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4BC0C" w14:textId="77777777" w:rsidR="00753534" w:rsidRPr="00C47021" w:rsidRDefault="00753534" w:rsidP="00753534">
      <w:pPr>
        <w:keepNext/>
        <w:spacing w:after="0" w:line="240" w:lineRule="auto"/>
        <w:jc w:val="right"/>
        <w:outlineLvl w:val="0"/>
        <w:rPr>
          <w:rFonts w:ascii="Times New Roman" w:eastAsia="Times New Roman" w:hAnsi="Times New Roman" w:cs="Times New Roman"/>
          <w:i/>
          <w:sz w:val="24"/>
          <w:szCs w:val="24"/>
        </w:rPr>
      </w:pPr>
      <w:r w:rsidRPr="00C47021">
        <w:rPr>
          <w:rFonts w:ascii="Times New Roman" w:eastAsia="Times New Roman" w:hAnsi="Times New Roman" w:cs="Times New Roman"/>
          <w:i/>
          <w:sz w:val="24"/>
          <w:szCs w:val="24"/>
        </w:rPr>
        <w:t>Projekts</w:t>
      </w:r>
    </w:p>
    <w:p w14:paraId="633ED2BA" w14:textId="77777777" w:rsidR="00753534" w:rsidRPr="00C47021" w:rsidRDefault="00753534" w:rsidP="00753534">
      <w:pPr>
        <w:keepNext/>
        <w:spacing w:after="0" w:line="240" w:lineRule="auto"/>
        <w:jc w:val="right"/>
        <w:outlineLvl w:val="0"/>
        <w:rPr>
          <w:rFonts w:ascii="Times New Roman" w:eastAsia="Times New Roman" w:hAnsi="Times New Roman" w:cs="Times New Roman"/>
          <w:i/>
          <w:sz w:val="24"/>
          <w:szCs w:val="24"/>
        </w:rPr>
      </w:pPr>
    </w:p>
    <w:p w14:paraId="7C271683" w14:textId="77777777" w:rsidR="00753534" w:rsidRPr="00C47021" w:rsidRDefault="00753534" w:rsidP="00753534">
      <w:pPr>
        <w:keepNext/>
        <w:spacing w:after="0" w:line="240" w:lineRule="auto"/>
        <w:jc w:val="center"/>
        <w:outlineLvl w:val="0"/>
        <w:rPr>
          <w:rFonts w:ascii="Times New Roman" w:eastAsia="Times New Roman" w:hAnsi="Times New Roman" w:cs="Times New Roman"/>
          <w:i/>
          <w:sz w:val="24"/>
          <w:szCs w:val="24"/>
        </w:rPr>
      </w:pPr>
    </w:p>
    <w:p w14:paraId="0297A3D8" w14:textId="77777777" w:rsidR="00753534" w:rsidRPr="00C47021" w:rsidRDefault="00753534" w:rsidP="00753534">
      <w:pPr>
        <w:keepNext/>
        <w:spacing w:after="0" w:line="240" w:lineRule="auto"/>
        <w:jc w:val="center"/>
        <w:outlineLvl w:val="0"/>
        <w:rPr>
          <w:rFonts w:ascii="Times New Roman" w:eastAsia="Times New Roman" w:hAnsi="Times New Roman" w:cs="Times New Roman"/>
          <w:i/>
          <w:sz w:val="24"/>
          <w:szCs w:val="24"/>
        </w:rPr>
      </w:pPr>
    </w:p>
    <w:p w14:paraId="0E753983" w14:textId="77777777" w:rsidR="00753534" w:rsidRPr="00C47021" w:rsidRDefault="00753534" w:rsidP="00753534">
      <w:pPr>
        <w:keepNext/>
        <w:spacing w:after="0" w:line="240" w:lineRule="auto"/>
        <w:jc w:val="right"/>
        <w:outlineLvl w:val="0"/>
        <w:rPr>
          <w:rFonts w:ascii="Times New Roman" w:eastAsia="Times New Roman" w:hAnsi="Times New Roman" w:cs="Times New Roman"/>
          <w:i/>
          <w:sz w:val="24"/>
          <w:szCs w:val="24"/>
        </w:rPr>
      </w:pPr>
    </w:p>
    <w:p w14:paraId="422C183B" w14:textId="2EC0FC83" w:rsidR="00753534" w:rsidRPr="00C47021" w:rsidRDefault="00753534" w:rsidP="00753534">
      <w:pPr>
        <w:spacing w:after="0" w:line="240" w:lineRule="auto"/>
        <w:rPr>
          <w:rFonts w:ascii="Times New Roman" w:eastAsia="Times New Roman" w:hAnsi="Times New Roman" w:cs="Times New Roman"/>
          <w:sz w:val="24"/>
          <w:szCs w:val="24"/>
        </w:rPr>
      </w:pPr>
      <w:r w:rsidRPr="00C47021">
        <w:rPr>
          <w:rFonts w:ascii="Times New Roman" w:eastAsia="Times New Roman" w:hAnsi="Times New Roman" w:cs="Times New Roman"/>
          <w:sz w:val="24"/>
          <w:szCs w:val="24"/>
        </w:rPr>
        <w:t>202</w:t>
      </w:r>
      <w:r w:rsidR="00FF1E6F" w:rsidRPr="00C47021">
        <w:rPr>
          <w:rFonts w:ascii="Times New Roman" w:eastAsia="Times New Roman" w:hAnsi="Times New Roman" w:cs="Times New Roman"/>
          <w:sz w:val="24"/>
          <w:szCs w:val="24"/>
        </w:rPr>
        <w:t>1</w:t>
      </w:r>
      <w:r w:rsidRPr="00C47021">
        <w:rPr>
          <w:rFonts w:ascii="Times New Roman" w:eastAsia="Times New Roman" w:hAnsi="Times New Roman" w:cs="Times New Roman"/>
          <w:sz w:val="24"/>
          <w:szCs w:val="24"/>
        </w:rPr>
        <w:t xml:space="preserve">. gads </w:t>
      </w:r>
      <w:r w:rsidRPr="00C47021">
        <w:rPr>
          <w:rFonts w:ascii="Times New Roman" w:hAnsi="Times New Roman" w:cs="Times New Roman"/>
          <w:sz w:val="24"/>
          <w:szCs w:val="24"/>
        </w:rPr>
        <w:t xml:space="preserve"> “____” __________                                                </w:t>
      </w:r>
      <w:r w:rsidR="00C47021">
        <w:rPr>
          <w:rFonts w:ascii="Times New Roman" w:hAnsi="Times New Roman" w:cs="Times New Roman"/>
          <w:sz w:val="24"/>
          <w:szCs w:val="24"/>
        </w:rPr>
        <w:tab/>
        <w:t xml:space="preserve">       </w:t>
      </w:r>
      <w:r w:rsidRPr="00C47021">
        <w:rPr>
          <w:rFonts w:ascii="Times New Roman" w:eastAsia="Times New Roman" w:hAnsi="Times New Roman" w:cs="Times New Roman"/>
          <w:sz w:val="24"/>
          <w:szCs w:val="24"/>
        </w:rPr>
        <w:t xml:space="preserve">Noteikumi Nr.           </w:t>
      </w:r>
    </w:p>
    <w:p w14:paraId="30AA5E69" w14:textId="77777777" w:rsidR="00753534" w:rsidRPr="00C47021" w:rsidRDefault="00753534" w:rsidP="00753534">
      <w:pPr>
        <w:tabs>
          <w:tab w:val="left" w:pos="6521"/>
          <w:tab w:val="left" w:pos="6804"/>
        </w:tabs>
        <w:spacing w:after="0" w:line="240" w:lineRule="auto"/>
        <w:rPr>
          <w:rFonts w:ascii="Times New Roman" w:eastAsia="Times New Roman" w:hAnsi="Times New Roman" w:cs="Times New Roman"/>
          <w:sz w:val="24"/>
          <w:szCs w:val="24"/>
          <w:lang w:eastAsia="lv-LV"/>
        </w:rPr>
      </w:pPr>
      <w:r w:rsidRPr="00C47021">
        <w:rPr>
          <w:rFonts w:ascii="Times New Roman" w:eastAsia="Times New Roman" w:hAnsi="Times New Roman" w:cs="Times New Roman"/>
          <w:sz w:val="24"/>
          <w:szCs w:val="24"/>
          <w:lang w:eastAsia="lv-LV"/>
        </w:rPr>
        <w:t>Rīgā</w:t>
      </w:r>
      <w:r w:rsidRPr="00C47021">
        <w:rPr>
          <w:rFonts w:ascii="Times New Roman" w:eastAsia="Times New Roman" w:hAnsi="Times New Roman" w:cs="Times New Roman"/>
          <w:sz w:val="24"/>
          <w:szCs w:val="24"/>
          <w:lang w:eastAsia="lv-LV"/>
        </w:rPr>
        <w:tab/>
      </w:r>
      <w:r w:rsidRPr="00C47021">
        <w:rPr>
          <w:rFonts w:ascii="Times New Roman" w:eastAsia="Times New Roman" w:hAnsi="Times New Roman" w:cs="Times New Roman"/>
          <w:sz w:val="24"/>
          <w:szCs w:val="24"/>
          <w:lang w:eastAsia="lv-LV"/>
        </w:rPr>
        <w:tab/>
        <w:t xml:space="preserve"> (prot. Nr.      .§)</w:t>
      </w:r>
    </w:p>
    <w:p w14:paraId="12F4A6DB" w14:textId="77777777" w:rsidR="00753534" w:rsidRPr="00C47021" w:rsidRDefault="00753534" w:rsidP="00753534">
      <w:pPr>
        <w:spacing w:after="0" w:line="240" w:lineRule="auto"/>
        <w:rPr>
          <w:rFonts w:ascii="Times New Roman" w:eastAsia="Times New Roman" w:hAnsi="Times New Roman" w:cs="Times New Roman"/>
          <w:b/>
          <w:bCs/>
          <w:sz w:val="24"/>
          <w:szCs w:val="24"/>
          <w:lang w:eastAsia="lv-LV"/>
        </w:rPr>
      </w:pPr>
    </w:p>
    <w:p w14:paraId="4EB1E8B0" w14:textId="77777777" w:rsidR="00753534" w:rsidRPr="00C47021" w:rsidRDefault="00753534" w:rsidP="00753534">
      <w:pPr>
        <w:spacing w:after="0" w:line="240" w:lineRule="auto"/>
        <w:rPr>
          <w:rFonts w:ascii="Times New Roman" w:eastAsia="Times New Roman" w:hAnsi="Times New Roman" w:cs="Times New Roman"/>
          <w:b/>
          <w:bCs/>
          <w:sz w:val="24"/>
          <w:szCs w:val="24"/>
          <w:lang w:eastAsia="lv-LV"/>
        </w:rPr>
      </w:pPr>
    </w:p>
    <w:p w14:paraId="18C1E0C4" w14:textId="461C997F" w:rsidR="00753534" w:rsidRPr="00C47021" w:rsidRDefault="00753534" w:rsidP="004E6C76">
      <w:pPr>
        <w:pStyle w:val="NormalWeb"/>
        <w:shd w:val="clear" w:color="auto" w:fill="FFFFFF"/>
        <w:spacing w:after="0"/>
        <w:jc w:val="center"/>
        <w:rPr>
          <w:b/>
          <w:bCs/>
        </w:rPr>
      </w:pPr>
      <w:r w:rsidRPr="00C47021">
        <w:rPr>
          <w:b/>
          <w:bCs/>
        </w:rPr>
        <w:t xml:space="preserve">Grozījumi </w:t>
      </w:r>
      <w:r w:rsidR="00FF1E6F" w:rsidRPr="00C47021">
        <w:rPr>
          <w:b/>
          <w:bCs/>
        </w:rPr>
        <w:t>Ministru kabineta 2016. gada 5. jūlij</w:t>
      </w:r>
      <w:r w:rsidR="002D3F30" w:rsidRPr="00C47021">
        <w:rPr>
          <w:b/>
          <w:bCs/>
        </w:rPr>
        <w:t>a</w:t>
      </w:r>
      <w:r w:rsidR="00FF1E6F" w:rsidRPr="00C47021">
        <w:rPr>
          <w:b/>
          <w:bCs/>
        </w:rPr>
        <w:t xml:space="preserve"> noteikum</w:t>
      </w:r>
      <w:r w:rsidR="004E6C76" w:rsidRPr="00C47021">
        <w:rPr>
          <w:b/>
          <w:bCs/>
        </w:rPr>
        <w:t>os</w:t>
      </w:r>
      <w:r w:rsidR="00FF1E6F" w:rsidRPr="00C47021">
        <w:rPr>
          <w:b/>
          <w:bCs/>
        </w:rPr>
        <w:t xml:space="preserve"> Nr. 427</w:t>
      </w:r>
      <w:r w:rsidR="004E6C76" w:rsidRPr="00C47021">
        <w:rPr>
          <w:b/>
          <w:bCs/>
        </w:rPr>
        <w:t xml:space="preserve"> “</w:t>
      </w:r>
      <w:r w:rsidR="00FF1E6F" w:rsidRPr="00C47021">
        <w:rPr>
          <w:b/>
          <w:bCs/>
        </w:rPr>
        <w:t>Noteikumi par valsts pensijas piešķiršanas, pārrēķināšanas un izmaksas nosacījumiem un kārtību</w:t>
      </w:r>
      <w:r w:rsidR="004E6C76" w:rsidRPr="00C47021">
        <w:rPr>
          <w:b/>
          <w:bCs/>
        </w:rPr>
        <w:t>”</w:t>
      </w:r>
    </w:p>
    <w:p w14:paraId="12CA1DDE" w14:textId="77777777" w:rsidR="004E6C76" w:rsidRPr="00C47021" w:rsidRDefault="004E6C76" w:rsidP="004E6C76">
      <w:pPr>
        <w:pStyle w:val="NormalWeb"/>
        <w:shd w:val="clear" w:color="auto" w:fill="FFFFFF"/>
        <w:contextualSpacing/>
        <w:jc w:val="right"/>
        <w:rPr>
          <w:i/>
          <w:iCs/>
          <w:shd w:val="clear" w:color="auto" w:fill="FFFFFF"/>
        </w:rPr>
      </w:pPr>
      <w:r w:rsidRPr="00C47021">
        <w:rPr>
          <w:i/>
          <w:iCs/>
          <w:shd w:val="clear" w:color="auto" w:fill="FFFFFF"/>
        </w:rPr>
        <w:t xml:space="preserve">Izdoti saskaņā ar likuma “Par valsts pensijām” </w:t>
      </w:r>
    </w:p>
    <w:p w14:paraId="6C33DF60" w14:textId="53BF2C58" w:rsidR="00753534" w:rsidRPr="00C47021" w:rsidRDefault="004E6C76" w:rsidP="004E6C76">
      <w:pPr>
        <w:pStyle w:val="NormalWeb"/>
        <w:shd w:val="clear" w:color="auto" w:fill="FFFFFF"/>
        <w:contextualSpacing/>
        <w:jc w:val="right"/>
        <w:rPr>
          <w:i/>
          <w:iCs/>
          <w:shd w:val="clear" w:color="auto" w:fill="FFFFFF"/>
        </w:rPr>
      </w:pPr>
      <w:r w:rsidRPr="00C47021">
        <w:rPr>
          <w:i/>
          <w:iCs/>
          <w:shd w:val="clear" w:color="auto" w:fill="FFFFFF"/>
        </w:rPr>
        <w:t>16. panta piekto daļu un 28. panta trešo daļu</w:t>
      </w:r>
    </w:p>
    <w:p w14:paraId="68150CED" w14:textId="77777777" w:rsidR="004E6C76" w:rsidRPr="00C47021" w:rsidRDefault="004E6C76" w:rsidP="00670973">
      <w:pPr>
        <w:pStyle w:val="NormalWeb"/>
        <w:shd w:val="clear" w:color="auto" w:fill="FFFFFF"/>
        <w:spacing w:after="120" w:afterAutospacing="0"/>
        <w:jc w:val="right"/>
        <w:rPr>
          <w:i/>
          <w:iCs/>
          <w:shd w:val="clear" w:color="auto" w:fill="FFFFFF"/>
        </w:rPr>
      </w:pPr>
    </w:p>
    <w:p w14:paraId="1D0D5B37" w14:textId="4633FA65" w:rsidR="00753534" w:rsidRPr="00C47021" w:rsidRDefault="00753534" w:rsidP="00670973">
      <w:pPr>
        <w:pStyle w:val="NormalWeb"/>
        <w:shd w:val="clear" w:color="auto" w:fill="FFFFFF"/>
        <w:spacing w:before="0" w:beforeAutospacing="0" w:after="120" w:afterAutospacing="0"/>
        <w:ind w:left="284" w:hanging="284"/>
        <w:jc w:val="both"/>
      </w:pPr>
      <w:r w:rsidRPr="00C47021">
        <w:t xml:space="preserve">1. Izdarīt Ministru kabineta </w:t>
      </w:r>
      <w:r w:rsidR="003B4F66" w:rsidRPr="00C47021">
        <w:t xml:space="preserve">2016. gada 5. jūlija noteikumos Nr. 427 “Noteikumi par valsts pensijas piešķiršanas, pārrēķināšanas un izmaksas nosacījumiem un kārtību” </w:t>
      </w:r>
      <w:r w:rsidRPr="00C47021">
        <w:t xml:space="preserve">(Latvijas Vēstnesis, </w:t>
      </w:r>
      <w:r w:rsidR="00CA37AB" w:rsidRPr="00C47021">
        <w:t>2016</w:t>
      </w:r>
      <w:r w:rsidRPr="00C47021">
        <w:t xml:space="preserve">, </w:t>
      </w:r>
      <w:r w:rsidR="00CA37AB" w:rsidRPr="00C47021">
        <w:t>129</w:t>
      </w:r>
      <w:r w:rsidRPr="00C47021">
        <w:t>. nr.) šādus grozījumus:</w:t>
      </w:r>
    </w:p>
    <w:p w14:paraId="5B38C5F4" w14:textId="77777777" w:rsidR="00142043" w:rsidRPr="00C47021" w:rsidRDefault="0080657D" w:rsidP="00670973">
      <w:pPr>
        <w:pStyle w:val="NormalWeb"/>
        <w:numPr>
          <w:ilvl w:val="1"/>
          <w:numId w:val="1"/>
        </w:numPr>
        <w:shd w:val="clear" w:color="auto" w:fill="FFFFFF"/>
        <w:spacing w:before="0" w:beforeAutospacing="0" w:after="120" w:afterAutospacing="0"/>
        <w:jc w:val="both"/>
      </w:pPr>
      <w:r w:rsidRPr="00C47021">
        <w:t>izteikt 1. punktu  šādā redakcijā:</w:t>
      </w:r>
    </w:p>
    <w:p w14:paraId="72AD6D9B" w14:textId="4F5322DB" w:rsidR="007372A2" w:rsidRPr="00C47021" w:rsidRDefault="0080657D" w:rsidP="00670973">
      <w:pPr>
        <w:pStyle w:val="NormalWeb"/>
        <w:shd w:val="clear" w:color="auto" w:fill="FFFFFF"/>
        <w:spacing w:before="0" w:beforeAutospacing="0" w:after="120" w:afterAutospacing="0"/>
        <w:ind w:left="720"/>
        <w:jc w:val="both"/>
      </w:pPr>
      <w:r w:rsidRPr="00C47021">
        <w:t xml:space="preserve">“1. </w:t>
      </w:r>
      <w:r w:rsidR="00634656" w:rsidRPr="00C47021">
        <w:rPr>
          <w:rFonts w:eastAsiaTheme="minorHAnsi"/>
          <w:shd w:val="clear" w:color="auto" w:fill="FFFFFF"/>
          <w:lang w:eastAsia="en-US"/>
        </w:rPr>
        <w:t xml:space="preserve">Noteikumi nosaka likumā </w:t>
      </w:r>
      <w:r w:rsidR="00380B09" w:rsidRPr="00C47021">
        <w:rPr>
          <w:rFonts w:eastAsiaTheme="minorHAnsi"/>
          <w:shd w:val="clear" w:color="auto" w:fill="FFFFFF"/>
          <w:lang w:eastAsia="en-US"/>
        </w:rPr>
        <w:t>“</w:t>
      </w:r>
      <w:hyperlink r:id="rId8" w:tgtFrame="_blank" w:history="1">
        <w:r w:rsidR="00634656" w:rsidRPr="00786D59">
          <w:rPr>
            <w:rFonts w:eastAsiaTheme="minorHAnsi"/>
            <w:shd w:val="clear" w:color="auto" w:fill="FFFFFF"/>
            <w:lang w:eastAsia="en-US"/>
          </w:rPr>
          <w:t>Par valsts pensijām</w:t>
        </w:r>
      </w:hyperlink>
      <w:r w:rsidR="00380B09" w:rsidRPr="00786D59">
        <w:rPr>
          <w:rFonts w:eastAsiaTheme="minorHAnsi"/>
          <w:shd w:val="clear" w:color="auto" w:fill="FFFFFF"/>
          <w:lang w:eastAsia="en-US"/>
        </w:rPr>
        <w:t>”</w:t>
      </w:r>
      <w:r w:rsidR="00634656" w:rsidRPr="00C47021">
        <w:rPr>
          <w:rFonts w:eastAsiaTheme="minorHAnsi"/>
          <w:shd w:val="clear" w:color="auto" w:fill="FFFFFF"/>
          <w:lang w:eastAsia="en-US"/>
        </w:rPr>
        <w:t xml:space="preserve"> (turpmāk – likums) noteiktās valsts pensijas (turpmāk – pensija) piešķiršanas, pārrēķināšanas un izmaksas nosacījumus un kārtību</w:t>
      </w:r>
      <w:r w:rsidR="00A439FC" w:rsidRPr="00C47021">
        <w:t xml:space="preserve">, </w:t>
      </w:r>
      <w:r w:rsidR="00634656" w:rsidRPr="00C47021">
        <w:rPr>
          <w:shd w:val="clear" w:color="auto" w:fill="FFFFFF"/>
        </w:rPr>
        <w:t>vidējās apdrošināšanas iemaksu algas aprēķināšanas nosacījumus invaliditātes pensijas noteikšanai, tajā skaitā aprēķina formulu un iemaksu algas apmēru periodā</w:t>
      </w:r>
      <w:r w:rsidR="00380B09" w:rsidRPr="00C47021">
        <w:rPr>
          <w:shd w:val="clear" w:color="auto" w:fill="FFFFFF"/>
        </w:rPr>
        <w:t>, kad</w:t>
      </w:r>
      <w:r w:rsidR="00634656" w:rsidRPr="00C47021">
        <w:rPr>
          <w:shd w:val="clear" w:color="auto" w:fill="FFFFFF"/>
        </w:rPr>
        <w:t xml:space="preserve"> apdrošināšanas iemaksu alga nav bij</w:t>
      </w:r>
      <w:r w:rsidR="00380B09" w:rsidRPr="00C47021">
        <w:rPr>
          <w:shd w:val="clear" w:color="auto" w:fill="FFFFFF"/>
        </w:rPr>
        <w:t>usi</w:t>
      </w:r>
      <w:r w:rsidR="00634656" w:rsidRPr="00C47021">
        <w:rPr>
          <w:shd w:val="clear" w:color="auto" w:fill="FFFFFF"/>
        </w:rPr>
        <w:t>, kā arī iemaksu algas aprēķināšanas kārtību.</w:t>
      </w:r>
      <w:r w:rsidR="007372A2" w:rsidRPr="00C47021">
        <w:t>”</w:t>
      </w:r>
      <w:r w:rsidR="00F25873" w:rsidRPr="00C47021">
        <w:t>;</w:t>
      </w:r>
    </w:p>
    <w:p w14:paraId="0D1E3F10" w14:textId="28F0D709" w:rsidR="00986B5B" w:rsidRPr="00C47021" w:rsidRDefault="00753534" w:rsidP="00670973">
      <w:pPr>
        <w:pStyle w:val="NormalWeb"/>
        <w:numPr>
          <w:ilvl w:val="1"/>
          <w:numId w:val="1"/>
        </w:numPr>
        <w:spacing w:after="120" w:afterAutospacing="0"/>
        <w:ind w:left="709" w:hanging="709"/>
        <w:jc w:val="both"/>
      </w:pPr>
      <w:r w:rsidRPr="00C47021">
        <w:t xml:space="preserve">izteikt </w:t>
      </w:r>
      <w:r w:rsidR="003E2FDF" w:rsidRPr="00C47021">
        <w:t>6.9.2. apakš</w:t>
      </w:r>
      <w:r w:rsidRPr="00C47021">
        <w:t>punktu šādā redakcijā:</w:t>
      </w:r>
    </w:p>
    <w:p w14:paraId="3781EF9E" w14:textId="39583CB0" w:rsidR="00753534" w:rsidRPr="00C47021" w:rsidRDefault="00753534" w:rsidP="00670973">
      <w:pPr>
        <w:pStyle w:val="NormalWeb"/>
        <w:spacing w:after="120" w:afterAutospacing="0"/>
        <w:ind w:left="709"/>
        <w:jc w:val="both"/>
      </w:pPr>
      <w:r w:rsidRPr="00C47021">
        <w:t xml:space="preserve"> “</w:t>
      </w:r>
      <w:r w:rsidR="003E2FDF" w:rsidRPr="00C47021">
        <w:t xml:space="preserve">6.9.2. </w:t>
      </w:r>
      <w:r w:rsidR="003E2FDF" w:rsidRPr="00C47021">
        <w:rPr>
          <w:shd w:val="clear" w:color="auto" w:fill="FFFFFF"/>
        </w:rPr>
        <w:t>izglītības iestādes izziņu, ja apgādnieka zaudējuma pensiju pieprasa persona, kura ir vecāka par 18 gadiem, bet nav sasniegusi 24 gadu vecumu, iegūst likuma 19.panta ceturtajā daļā noteikto izglītību un mācās ārvalsts izglītības iestādē;</w:t>
      </w:r>
      <w:r w:rsidRPr="00C47021">
        <w:t>”;</w:t>
      </w:r>
    </w:p>
    <w:p w14:paraId="0ED24782" w14:textId="1BF9F7D9" w:rsidR="00753534" w:rsidRPr="00C47021" w:rsidRDefault="00753534" w:rsidP="00670973">
      <w:pPr>
        <w:pStyle w:val="NormalWeb"/>
        <w:numPr>
          <w:ilvl w:val="1"/>
          <w:numId w:val="1"/>
        </w:numPr>
        <w:shd w:val="clear" w:color="auto" w:fill="FFFFFF"/>
        <w:spacing w:before="0" w:beforeAutospacing="0" w:after="120" w:afterAutospacing="0"/>
        <w:ind w:left="709" w:hanging="709"/>
        <w:jc w:val="both"/>
      </w:pPr>
      <w:r w:rsidRPr="00C47021">
        <w:t xml:space="preserve">papildināt </w:t>
      </w:r>
      <w:r w:rsidR="00CF1825" w:rsidRPr="00C47021">
        <w:t>15.3.</w:t>
      </w:r>
      <w:r w:rsidR="009243B3" w:rsidRPr="00C47021">
        <w:t>2</w:t>
      </w:r>
      <w:r w:rsidR="00BD66B3" w:rsidRPr="00C47021">
        <w:t xml:space="preserve">. </w:t>
      </w:r>
      <w:r w:rsidR="00FE3A49" w:rsidRPr="00C47021">
        <w:t>apakš</w:t>
      </w:r>
      <w:r w:rsidRPr="00C47021">
        <w:t>punktu aiz vārdiem “</w:t>
      </w:r>
      <w:r w:rsidR="00CF1825" w:rsidRPr="00C47021">
        <w:t>kurš pārtraucis mācības</w:t>
      </w:r>
      <w:r w:rsidRPr="00C47021">
        <w:t>” ar vārdiem “</w:t>
      </w:r>
      <w:r w:rsidR="00CF1825" w:rsidRPr="00C47021">
        <w:t>ārvalsts izglītības iestādē</w:t>
      </w:r>
      <w:r w:rsidRPr="00C47021">
        <w:t>”;</w:t>
      </w:r>
    </w:p>
    <w:p w14:paraId="2382B916" w14:textId="2B90220E" w:rsidR="003A33AB" w:rsidRPr="00C47021" w:rsidRDefault="00596937" w:rsidP="00670973">
      <w:pPr>
        <w:pStyle w:val="NormalWeb"/>
        <w:numPr>
          <w:ilvl w:val="1"/>
          <w:numId w:val="1"/>
        </w:numPr>
        <w:shd w:val="clear" w:color="auto" w:fill="FFFFFF"/>
        <w:spacing w:before="0" w:beforeAutospacing="0" w:after="120" w:afterAutospacing="0"/>
        <w:ind w:left="709" w:hanging="709"/>
        <w:jc w:val="both"/>
      </w:pPr>
      <w:r w:rsidRPr="00C47021">
        <w:t>papildināt noteikumus ar</w:t>
      </w:r>
      <w:r w:rsidR="003A33AB" w:rsidRPr="00C47021">
        <w:t xml:space="preserve">  III</w:t>
      </w:r>
      <w:r w:rsidRPr="00C47021">
        <w:rPr>
          <w:vertAlign w:val="superscript"/>
        </w:rPr>
        <w:t>1</w:t>
      </w:r>
      <w:r w:rsidR="003A33AB" w:rsidRPr="00C47021">
        <w:t xml:space="preserve">. nodaļu šādā redakcijā: </w:t>
      </w:r>
    </w:p>
    <w:p w14:paraId="690351B0" w14:textId="0A0747BD" w:rsidR="003A33AB" w:rsidRPr="00C47021" w:rsidRDefault="003A33AB" w:rsidP="00670973">
      <w:pPr>
        <w:pStyle w:val="NormalWeb"/>
        <w:shd w:val="clear" w:color="auto" w:fill="FFFFFF"/>
        <w:spacing w:before="0" w:beforeAutospacing="0" w:after="120" w:afterAutospacing="0"/>
        <w:ind w:left="709"/>
        <w:jc w:val="center"/>
        <w:rPr>
          <w:b/>
        </w:rPr>
      </w:pPr>
      <w:bookmarkStart w:id="0" w:name="_Hlk62641341"/>
      <w:r w:rsidRPr="00C47021">
        <w:rPr>
          <w:b/>
        </w:rPr>
        <w:t>“III</w:t>
      </w:r>
      <w:r w:rsidR="00596937" w:rsidRPr="00C47021">
        <w:rPr>
          <w:b/>
          <w:vertAlign w:val="superscript"/>
        </w:rPr>
        <w:t>1</w:t>
      </w:r>
      <w:r w:rsidRPr="00C47021">
        <w:rPr>
          <w:b/>
        </w:rPr>
        <w:t xml:space="preserve">. Vidējās </w:t>
      </w:r>
      <w:bookmarkEnd w:id="0"/>
      <w:r w:rsidRPr="00C47021">
        <w:rPr>
          <w:b/>
        </w:rPr>
        <w:t xml:space="preserve">apdrošināšanas iemaksu algas aprēķināšana </w:t>
      </w:r>
      <w:r w:rsidR="003E54D3" w:rsidRPr="00C47021">
        <w:rPr>
          <w:b/>
        </w:rPr>
        <w:t xml:space="preserve">I un II grupas </w:t>
      </w:r>
      <w:r w:rsidR="00596937" w:rsidRPr="00C47021">
        <w:rPr>
          <w:b/>
          <w:shd w:val="clear" w:color="auto" w:fill="FFFFFF"/>
        </w:rPr>
        <w:t xml:space="preserve">invaliditātes pensijas </w:t>
      </w:r>
      <w:r w:rsidR="00EC438F" w:rsidRPr="00C47021">
        <w:rPr>
          <w:b/>
          <w:shd w:val="clear" w:color="auto" w:fill="FFFFFF"/>
        </w:rPr>
        <w:t xml:space="preserve">piešķiršanai </w:t>
      </w:r>
    </w:p>
    <w:p w14:paraId="4817D4E6" w14:textId="5848EFBA" w:rsidR="00151A27" w:rsidRPr="00151A27" w:rsidRDefault="003A33AB" w:rsidP="00151A27">
      <w:pPr>
        <w:pStyle w:val="NormalWeb"/>
        <w:shd w:val="clear" w:color="auto" w:fill="FFFFFF"/>
        <w:spacing w:before="0" w:beforeAutospacing="0" w:after="120" w:afterAutospacing="0"/>
        <w:ind w:left="709" w:hanging="709"/>
        <w:jc w:val="both"/>
        <w:rPr>
          <w:color w:val="538135" w:themeColor="accent6" w:themeShade="BF"/>
        </w:rPr>
      </w:pPr>
      <w:r w:rsidRPr="00C47021">
        <w:t xml:space="preserve"> </w:t>
      </w:r>
      <w:r w:rsidRPr="00C47021">
        <w:tab/>
      </w:r>
      <w:bookmarkStart w:id="1" w:name="_Hlk64981146"/>
      <w:r w:rsidR="00054980" w:rsidRPr="00C47021">
        <w:t>16</w:t>
      </w:r>
      <w:r w:rsidR="00054980" w:rsidRPr="00C47021">
        <w:rPr>
          <w:vertAlign w:val="superscript"/>
        </w:rPr>
        <w:t>1</w:t>
      </w:r>
      <w:r w:rsidRPr="00C47021">
        <w:t xml:space="preserve">. Vidējo apdrošināšanas iemaksu algu aprēķina par periodu, kāds noteikts </w:t>
      </w:r>
      <w:bookmarkStart w:id="2" w:name="_Hlk31640413"/>
      <w:r w:rsidRPr="00C47021">
        <w:t xml:space="preserve">likuma </w:t>
      </w:r>
      <w:hyperlink r:id="rId9" w:anchor="p12" w:tgtFrame="_blank" w:history="1">
        <w:r w:rsidRPr="00C47021">
          <w:rPr>
            <w:rStyle w:val="Hyperlink"/>
            <w:color w:val="auto"/>
            <w:u w:val="none"/>
          </w:rPr>
          <w:t>1</w:t>
        </w:r>
        <w:r w:rsidR="00F97B0F" w:rsidRPr="00C47021">
          <w:rPr>
            <w:rStyle w:val="Hyperlink"/>
            <w:color w:val="auto"/>
            <w:u w:val="none"/>
          </w:rPr>
          <w:t>6</w:t>
        </w:r>
        <w:r w:rsidRPr="00C47021">
          <w:rPr>
            <w:rStyle w:val="Hyperlink"/>
            <w:color w:val="auto"/>
            <w:u w:val="none"/>
          </w:rPr>
          <w:t>. panta</w:t>
        </w:r>
      </w:hyperlink>
      <w:r w:rsidRPr="00C47021">
        <w:rPr>
          <w:rStyle w:val="Hyperlink"/>
          <w:color w:val="auto"/>
          <w:u w:val="none"/>
        </w:rPr>
        <w:t xml:space="preserve"> </w:t>
      </w:r>
      <w:r w:rsidRPr="00C47021">
        <w:t>pirm</w:t>
      </w:r>
      <w:r w:rsidR="00F97B0F" w:rsidRPr="00C47021">
        <w:t>ās daļas 1.</w:t>
      </w:r>
      <w:r w:rsidR="00544BEB">
        <w:t xml:space="preserve"> </w:t>
      </w:r>
      <w:r w:rsidR="00F97B0F" w:rsidRPr="00C47021">
        <w:t>punktā</w:t>
      </w:r>
      <w:r w:rsidRPr="00C47021">
        <w:t xml:space="preserve"> un kurā apdrošinātajai personai ir reģistrēta nepārtraukta 36 mēnešu lielākā </w:t>
      </w:r>
      <w:r w:rsidR="003867DD" w:rsidRPr="00341C67">
        <w:t>apdrošināšanas iemaks</w:t>
      </w:r>
      <w:r w:rsidR="008021E6">
        <w:t>u</w:t>
      </w:r>
      <w:r w:rsidR="003867DD" w:rsidRPr="00341C67">
        <w:t xml:space="preserve"> </w:t>
      </w:r>
      <w:r w:rsidR="00872BBF" w:rsidRPr="00341C67">
        <w:t xml:space="preserve">algas </w:t>
      </w:r>
      <w:r w:rsidRPr="00C47021">
        <w:t>summa.</w:t>
      </w:r>
      <w:r w:rsidR="00151A27">
        <w:t xml:space="preserve"> </w:t>
      </w:r>
    </w:p>
    <w:bookmarkEnd w:id="1"/>
    <w:bookmarkEnd w:id="2"/>
    <w:p w14:paraId="60E95BC6" w14:textId="23823462" w:rsidR="00872BBF" w:rsidRDefault="0069196F" w:rsidP="00193BD2">
      <w:pPr>
        <w:pStyle w:val="NormalWeb"/>
        <w:spacing w:before="0" w:beforeAutospacing="0" w:after="120" w:afterAutospacing="0"/>
        <w:ind w:left="709"/>
        <w:jc w:val="both"/>
      </w:pPr>
      <w:r w:rsidRPr="00C47021">
        <w:t>16</w:t>
      </w:r>
      <w:r w:rsidRPr="00C47021">
        <w:rPr>
          <w:vertAlign w:val="superscript"/>
        </w:rPr>
        <w:t>2</w:t>
      </w:r>
      <w:r w:rsidR="003A33AB" w:rsidRPr="00C47021">
        <w:t xml:space="preserve">. Vidējā apdrošināšanas iemaksu algā ieskaita </w:t>
      </w:r>
      <w:r w:rsidR="003A33AB" w:rsidRPr="008021E6">
        <w:t>vis</w:t>
      </w:r>
      <w:r w:rsidR="00872BBF" w:rsidRPr="008021E6">
        <w:t xml:space="preserve">u </w:t>
      </w:r>
      <w:r w:rsidR="008021E6" w:rsidRPr="008021E6">
        <w:t xml:space="preserve">apdrošināšanas iemaksas </w:t>
      </w:r>
      <w:r w:rsidR="00872BBF" w:rsidRPr="008021E6">
        <w:t>algu</w:t>
      </w:r>
      <w:r w:rsidR="003A33AB" w:rsidRPr="00C47021">
        <w:t>, kur</w:t>
      </w:r>
      <w:r w:rsidR="00872BBF">
        <w:t>u</w:t>
      </w:r>
      <w:r w:rsidR="003A33AB" w:rsidRPr="00C47021">
        <w:t xml:space="preserve"> apdrošinātā persona ir guvusi </w:t>
      </w:r>
      <w:bookmarkStart w:id="3" w:name="_Hlk34644425"/>
      <w:r w:rsidR="003A33AB" w:rsidRPr="00C47021">
        <w:t xml:space="preserve">likuma </w:t>
      </w:r>
      <w:bookmarkEnd w:id="3"/>
      <w:r w:rsidR="00B655E0" w:rsidRPr="00C47021">
        <w:fldChar w:fldCharType="begin"/>
      </w:r>
      <w:r w:rsidR="00B655E0" w:rsidRPr="00C47021">
        <w:instrText xml:space="preserve"> HYPERLINK "https://likumi.lv/ta/id/37968-par-obligato-socialo-apdrosinasanu-pret-nelaimes-gadijumiem-darba-un-arodslimibam" \l "p12" \t "_blank" </w:instrText>
      </w:r>
      <w:r w:rsidR="00B655E0" w:rsidRPr="00C47021">
        <w:fldChar w:fldCharType="separate"/>
      </w:r>
      <w:r w:rsidR="00B655E0" w:rsidRPr="00C47021">
        <w:rPr>
          <w:rStyle w:val="Hyperlink"/>
          <w:color w:val="auto"/>
          <w:u w:val="none"/>
        </w:rPr>
        <w:t>16. panta</w:t>
      </w:r>
      <w:r w:rsidR="00B655E0" w:rsidRPr="00C47021">
        <w:rPr>
          <w:rStyle w:val="Hyperlink"/>
          <w:color w:val="auto"/>
          <w:u w:val="none"/>
        </w:rPr>
        <w:fldChar w:fldCharType="end"/>
      </w:r>
      <w:r w:rsidR="00B655E0" w:rsidRPr="00C47021">
        <w:rPr>
          <w:rStyle w:val="Hyperlink"/>
          <w:color w:val="auto"/>
          <w:u w:val="none"/>
        </w:rPr>
        <w:t xml:space="preserve"> </w:t>
      </w:r>
      <w:r w:rsidR="00B655E0" w:rsidRPr="00C47021">
        <w:t>pirmās daļas 1.</w:t>
      </w:r>
      <w:r w:rsidR="00544BEB">
        <w:t xml:space="preserve"> </w:t>
      </w:r>
      <w:r w:rsidR="00B655E0" w:rsidRPr="00C47021">
        <w:t xml:space="preserve">punktā </w:t>
      </w:r>
      <w:r w:rsidR="003A33AB" w:rsidRPr="00C47021">
        <w:t xml:space="preserve">noteiktajā periodā, ja šajā periodā ir veiktas vai bija jāveic </w:t>
      </w:r>
      <w:r w:rsidR="003E54D3" w:rsidRPr="00C47021">
        <w:t>s</w:t>
      </w:r>
      <w:r w:rsidR="003A33AB" w:rsidRPr="00C47021">
        <w:t>ociālās apdrošināšanas iemaksas</w:t>
      </w:r>
      <w:r w:rsidR="003867DD">
        <w:t xml:space="preserve"> </w:t>
      </w:r>
      <w:r w:rsidR="00B655E0" w:rsidRPr="00C47021">
        <w:t>invaliditātes</w:t>
      </w:r>
      <w:r w:rsidR="003A33AB" w:rsidRPr="00C47021">
        <w:t xml:space="preserve"> apdrošināšanai</w:t>
      </w:r>
      <w:r w:rsidR="007E5AA4">
        <w:t>.</w:t>
      </w:r>
      <w:r w:rsidR="003867DD" w:rsidRPr="003867DD">
        <w:t xml:space="preserve"> </w:t>
      </w:r>
    </w:p>
    <w:p w14:paraId="6221269D" w14:textId="70D2C956" w:rsidR="00276E0E" w:rsidRDefault="00CF5E41" w:rsidP="00CF5E41">
      <w:pPr>
        <w:pStyle w:val="NormalWeb"/>
        <w:spacing w:before="0" w:beforeAutospacing="0" w:after="120" w:afterAutospacing="0"/>
        <w:ind w:left="709"/>
        <w:jc w:val="both"/>
      </w:pPr>
      <w:r w:rsidRPr="00F76C27">
        <w:t>16</w:t>
      </w:r>
      <w:r w:rsidRPr="00F76C27">
        <w:rPr>
          <w:vertAlign w:val="superscript"/>
        </w:rPr>
        <w:t>3</w:t>
      </w:r>
      <w:r w:rsidRPr="00F76C27">
        <w:t>.</w:t>
      </w:r>
      <w:r w:rsidRPr="00C47021">
        <w:t xml:space="preserve"> </w:t>
      </w:r>
      <w:bookmarkStart w:id="4" w:name="_Hlk33705724"/>
      <w:r w:rsidR="00276E0E" w:rsidRPr="00276E0E">
        <w:t xml:space="preserve">Mēnešus, kuros nepilnu mēnesi apdrošinātajai personai ir apdrošināšanas iemaksu alga, uzskata par pilniem mēnešiem un ņem vērā vidējās apdrošināšanas iemaksu algas aprēķināšanā saskaņā ar šo noteikumu </w:t>
      </w:r>
      <w:r w:rsidR="00F3140F" w:rsidRPr="00C47021">
        <w:t>16</w:t>
      </w:r>
      <w:r w:rsidR="00F3140F">
        <w:rPr>
          <w:vertAlign w:val="superscript"/>
        </w:rPr>
        <w:t xml:space="preserve">5 </w:t>
      </w:r>
      <w:r w:rsidR="00F3140F" w:rsidRPr="00F3140F">
        <w:t xml:space="preserve">un </w:t>
      </w:r>
      <w:r w:rsidR="00276E0E" w:rsidRPr="00F3140F">
        <w:t>16</w:t>
      </w:r>
      <w:r w:rsidR="00F3140F" w:rsidRPr="00F3140F">
        <w:rPr>
          <w:vertAlign w:val="superscript"/>
        </w:rPr>
        <w:t>6</w:t>
      </w:r>
      <w:r w:rsidR="00276E0E" w:rsidRPr="00F3140F">
        <w:t>.</w:t>
      </w:r>
      <w:r w:rsidR="00276E0E" w:rsidRPr="00276E0E">
        <w:t xml:space="preserve"> punktu.</w:t>
      </w:r>
    </w:p>
    <w:p w14:paraId="13877C18" w14:textId="77777777" w:rsidR="00644CEC" w:rsidRDefault="00644CEC" w:rsidP="00644CEC">
      <w:pPr>
        <w:pStyle w:val="NormalWeb"/>
        <w:shd w:val="clear" w:color="auto" w:fill="FFFFFF"/>
        <w:spacing w:after="120" w:afterAutospacing="0"/>
        <w:ind w:left="709"/>
        <w:jc w:val="both"/>
      </w:pPr>
      <w:r w:rsidRPr="00C47021">
        <w:lastRenderedPageBreak/>
        <w:t>16</w:t>
      </w:r>
      <w:r>
        <w:rPr>
          <w:vertAlign w:val="superscript"/>
        </w:rPr>
        <w:t>4</w:t>
      </w:r>
      <w:r w:rsidRPr="00C47021">
        <w:t xml:space="preserve">. Mēneši, kuros </w:t>
      </w:r>
      <w:r w:rsidRPr="00644CEC">
        <w:t xml:space="preserve">pilnu mēnesi </w:t>
      </w:r>
      <w:r w:rsidRPr="00C47021">
        <w:t>apdrošinātajai personai nav apdrošināšanas iemaksu alga, jo apdrošinātajai personai ir bijusi pārejoša darbnespēja, persona ir bijusi atvaļinājumā bez darba samaksas saglabāšanas, kas piešķirts sakarā ar nepieciešamību kopt bērnu, vai saņēmusi dīkstāves pabalstu, dīkstāves palīdzības pabalstu, vecāku pabalsta turpinājumu, slimības palīdzības pabalstu, bezdarbnieka palīdzības pabalstu, jaunā speciālista pabalstu vai atbalstu dīkstāvē esošu darbinieku, pašnodarbināto personu un patentmaksātāju atlīdzības kompensēšanai, ir attaisnotie periodi.</w:t>
      </w:r>
    </w:p>
    <w:p w14:paraId="026D524B" w14:textId="5F66B294" w:rsidR="00644CEC" w:rsidRPr="00C47021" w:rsidRDefault="00644CEC" w:rsidP="00644CEC">
      <w:pPr>
        <w:pStyle w:val="NormalWeb"/>
        <w:shd w:val="clear" w:color="auto" w:fill="FFFFFF"/>
        <w:spacing w:after="120" w:afterAutospacing="0"/>
        <w:ind w:left="709"/>
        <w:jc w:val="both"/>
      </w:pPr>
      <w:r w:rsidRPr="00C47021">
        <w:t>16</w:t>
      </w:r>
      <w:r w:rsidRPr="00C47021">
        <w:rPr>
          <w:vertAlign w:val="superscript"/>
        </w:rPr>
        <w:t>4</w:t>
      </w:r>
      <w:r w:rsidRPr="00C47021">
        <w:t xml:space="preserve">. Mēnešos, kuros </w:t>
      </w:r>
      <w:bookmarkStart w:id="5" w:name="_Hlk33707495"/>
      <w:r w:rsidRPr="00C47021">
        <w:t xml:space="preserve">apdrošinātajai personai </w:t>
      </w:r>
      <w:bookmarkStart w:id="6" w:name="_Hlk32415979"/>
      <w:r w:rsidRPr="00C47021">
        <w:t xml:space="preserve">nav </w:t>
      </w:r>
      <w:r>
        <w:t>a</w:t>
      </w:r>
      <w:r w:rsidRPr="00C47021">
        <w:t xml:space="preserve">pdrošināšanas iemaksu alga, izņemot tos pilnos kalendāra mēnešus, kuros apdrošinātajai personai bijuši attaisnotie periodi, </w:t>
      </w:r>
      <w:bookmarkStart w:id="7" w:name="_Hlk34640004"/>
      <w:bookmarkStart w:id="8" w:name="_Hlk33706881"/>
      <w:bookmarkEnd w:id="5"/>
      <w:bookmarkEnd w:id="6"/>
      <w:r w:rsidRPr="00C47021">
        <w:t>iemaksu algu nosaka 40 procentu apmērā no valstī noteiktās vidējās apdrošināšanas iemaksu algas (kalendāra gadā, kas beidzas gadu pirms gada, kurā tiek piešķirta pensija)</w:t>
      </w:r>
      <w:bookmarkEnd w:id="7"/>
      <w:r w:rsidR="00E24C81" w:rsidRPr="00E24C81">
        <w:t xml:space="preserve"> </w:t>
      </w:r>
      <w:r w:rsidR="00E24C81" w:rsidRPr="00276E0E">
        <w:t xml:space="preserve">un ņem vērā vidējās apdrošināšanas iemaksu algas aprēķināšanā saskaņā ar šo </w:t>
      </w:r>
      <w:r w:rsidR="00E24C81" w:rsidRPr="00F3140F">
        <w:t>noteikumu 16</w:t>
      </w:r>
      <w:r w:rsidR="00E24C81" w:rsidRPr="00F3140F">
        <w:rPr>
          <w:vertAlign w:val="superscript"/>
        </w:rPr>
        <w:t>6</w:t>
      </w:r>
      <w:r w:rsidR="00E24C81" w:rsidRPr="00F3140F">
        <w:t>. punktu</w:t>
      </w:r>
      <w:r w:rsidR="00E24C81" w:rsidRPr="00276E0E">
        <w:t>.</w:t>
      </w:r>
      <w:r w:rsidRPr="00C47021">
        <w:t xml:space="preserve"> </w:t>
      </w:r>
      <w:bookmarkEnd w:id="8"/>
    </w:p>
    <w:p w14:paraId="54165A31" w14:textId="0068A4C6" w:rsidR="00872BBF" w:rsidRPr="00E24C81" w:rsidRDefault="00872BBF" w:rsidP="007C20E1">
      <w:pPr>
        <w:pStyle w:val="NormalWeb"/>
        <w:shd w:val="clear" w:color="auto" w:fill="FFFFFF"/>
        <w:spacing w:after="120" w:afterAutospacing="0"/>
        <w:ind w:left="709"/>
        <w:jc w:val="both"/>
      </w:pPr>
      <w:bookmarkStart w:id="9" w:name="_Hlk33705795"/>
      <w:bookmarkEnd w:id="4"/>
      <w:r w:rsidRPr="00C47021">
        <w:t>16</w:t>
      </w:r>
      <w:r>
        <w:rPr>
          <w:vertAlign w:val="superscript"/>
        </w:rPr>
        <w:t>5</w:t>
      </w:r>
      <w:r w:rsidRPr="00C47021">
        <w:t>. Vidējo apdrošināšanas iemaksu algu</w:t>
      </w:r>
      <w:r>
        <w:t xml:space="preserve">, </w:t>
      </w:r>
      <w:r w:rsidRPr="00E24C81">
        <w:t>ņemot vērā 16</w:t>
      </w:r>
      <w:r w:rsidRPr="00E24C81">
        <w:rPr>
          <w:vertAlign w:val="superscript"/>
        </w:rPr>
        <w:t>1</w:t>
      </w:r>
      <w:r w:rsidRPr="00E24C81">
        <w:t>. -16</w:t>
      </w:r>
      <w:r w:rsidR="00012509" w:rsidRPr="00E24C81">
        <w:rPr>
          <w:vertAlign w:val="superscript"/>
        </w:rPr>
        <w:t>3</w:t>
      </w:r>
      <w:r w:rsidRPr="00E24C81">
        <w:t>. punktā noteikto, aprēķina, izmantojot šādu formulu:</w:t>
      </w:r>
    </w:p>
    <w:p w14:paraId="788EF625" w14:textId="7813747A" w:rsidR="00872BBF" w:rsidRPr="00E24C81" w:rsidRDefault="00872BBF" w:rsidP="00872BBF">
      <w:pPr>
        <w:pStyle w:val="NormalWeb"/>
        <w:shd w:val="clear" w:color="auto" w:fill="FFFFFF"/>
        <w:spacing w:after="0" w:afterAutospacing="0"/>
        <w:ind w:left="709" w:firstLine="720"/>
        <w:contextualSpacing/>
        <w:jc w:val="both"/>
      </w:pPr>
      <w:r w:rsidRPr="00E24C81">
        <w:t xml:space="preserve">Vi = ((A1+ A2 + </w:t>
      </w:r>
      <w:r w:rsidR="00C94592" w:rsidRPr="00E24C81">
        <w:t>…+A36</w:t>
      </w:r>
      <w:r w:rsidRPr="00E24C81">
        <w:t>)</w:t>
      </w:r>
      <w:r w:rsidR="00C94592" w:rsidRPr="00E24C81">
        <w:t xml:space="preserve"> </w:t>
      </w:r>
      <w:r w:rsidRPr="00E24C81">
        <w:t xml:space="preserve">:  36, </w:t>
      </w:r>
    </w:p>
    <w:p w14:paraId="1F85DC4F" w14:textId="77777777" w:rsidR="00872BBF" w:rsidRPr="00E24C81" w:rsidRDefault="00872BBF" w:rsidP="00872BBF">
      <w:pPr>
        <w:pStyle w:val="NormalWeb"/>
        <w:shd w:val="clear" w:color="auto" w:fill="FFFFFF"/>
        <w:spacing w:after="0" w:afterAutospacing="0"/>
        <w:ind w:left="709" w:firstLine="720"/>
        <w:contextualSpacing/>
        <w:jc w:val="both"/>
        <w:rPr>
          <w:sz w:val="10"/>
          <w:szCs w:val="10"/>
        </w:rPr>
      </w:pPr>
    </w:p>
    <w:p w14:paraId="6D6187B5" w14:textId="77777777" w:rsidR="00872BBF" w:rsidRPr="00E24C81" w:rsidRDefault="00872BBF" w:rsidP="00872BBF">
      <w:pPr>
        <w:pStyle w:val="NormalWeb"/>
        <w:shd w:val="clear" w:color="auto" w:fill="FFFFFF"/>
        <w:spacing w:after="0" w:afterAutospacing="0"/>
        <w:ind w:left="709" w:firstLine="720"/>
        <w:contextualSpacing/>
        <w:jc w:val="both"/>
      </w:pPr>
      <w:r w:rsidRPr="00E24C81">
        <w:t>kur</w:t>
      </w:r>
    </w:p>
    <w:p w14:paraId="51A00FC2" w14:textId="77777777" w:rsidR="00872BBF" w:rsidRPr="00E24C81" w:rsidRDefault="00872BBF" w:rsidP="00872BBF">
      <w:pPr>
        <w:pStyle w:val="NormalWeb"/>
        <w:shd w:val="clear" w:color="auto" w:fill="FFFFFF"/>
        <w:spacing w:after="0" w:afterAutospacing="0"/>
        <w:ind w:left="709" w:firstLine="720"/>
        <w:contextualSpacing/>
        <w:jc w:val="both"/>
        <w:rPr>
          <w:sz w:val="10"/>
          <w:szCs w:val="10"/>
        </w:rPr>
      </w:pPr>
    </w:p>
    <w:p w14:paraId="048959A0" w14:textId="77777777" w:rsidR="00872BBF" w:rsidRPr="00E24C81" w:rsidRDefault="00872BBF" w:rsidP="00872BBF">
      <w:pPr>
        <w:pStyle w:val="NormalWeb"/>
        <w:shd w:val="clear" w:color="auto" w:fill="FFFFFF"/>
        <w:spacing w:after="0" w:afterAutospacing="0"/>
        <w:ind w:left="709" w:firstLine="720"/>
        <w:contextualSpacing/>
        <w:jc w:val="both"/>
      </w:pPr>
      <w:r w:rsidRPr="00E24C81">
        <w:t>Vi - vidējā apdrošināšanas iemaksu alga;</w:t>
      </w:r>
    </w:p>
    <w:p w14:paraId="244001EE" w14:textId="77777777" w:rsidR="00872BBF" w:rsidRPr="00E24C81" w:rsidRDefault="00872BBF" w:rsidP="00872BBF">
      <w:pPr>
        <w:pStyle w:val="NormalWeb"/>
        <w:shd w:val="clear" w:color="auto" w:fill="FFFFFF"/>
        <w:spacing w:after="0" w:afterAutospacing="0"/>
        <w:ind w:left="709" w:firstLine="720"/>
        <w:contextualSpacing/>
        <w:jc w:val="both"/>
        <w:rPr>
          <w:sz w:val="10"/>
          <w:szCs w:val="10"/>
        </w:rPr>
      </w:pPr>
    </w:p>
    <w:p w14:paraId="2CE9C022" w14:textId="00C67B66" w:rsidR="00E24C81" w:rsidRPr="00E24C81" w:rsidRDefault="00872BBF" w:rsidP="00E24C81">
      <w:pPr>
        <w:pStyle w:val="NormalWeb"/>
        <w:shd w:val="clear" w:color="auto" w:fill="FFFFFF"/>
        <w:spacing w:after="0" w:afterAutospacing="0"/>
        <w:ind w:left="709" w:firstLine="720"/>
        <w:contextualSpacing/>
        <w:jc w:val="both"/>
      </w:pPr>
      <w:r w:rsidRPr="00E24C81">
        <w:t xml:space="preserve">A1, A2... </w:t>
      </w:r>
      <w:r w:rsidR="00F3140F">
        <w:t>-</w:t>
      </w:r>
      <w:r w:rsidRPr="00E24C81">
        <w:t xml:space="preserve"> </w:t>
      </w:r>
      <w:r w:rsidR="00A82A2B" w:rsidRPr="00E24C81">
        <w:t xml:space="preserve">36 </w:t>
      </w:r>
      <w:r w:rsidR="007C20E1" w:rsidRPr="00E24C81">
        <w:t xml:space="preserve">mēnešu </w:t>
      </w:r>
      <w:r w:rsidRPr="00E24C81">
        <w:t>apdrošināšanas iemaksu alg</w:t>
      </w:r>
      <w:r w:rsidR="00187F64" w:rsidRPr="00E24C81">
        <w:t>a</w:t>
      </w:r>
      <w:r w:rsidRPr="00E24C81">
        <w:t xml:space="preserve"> </w:t>
      </w:r>
      <w:r w:rsidR="00187F64" w:rsidRPr="00E24C81">
        <w:t>attiecīgajā kalendārajā mēnesī</w:t>
      </w:r>
      <w:r w:rsidRPr="00E24C81">
        <w:t>;</w:t>
      </w:r>
    </w:p>
    <w:p w14:paraId="1492E598" w14:textId="1E7CAED2" w:rsidR="00C94592" w:rsidRPr="00E24C81" w:rsidRDefault="00872BBF" w:rsidP="00E24C81">
      <w:pPr>
        <w:pStyle w:val="NormalWeb"/>
        <w:shd w:val="clear" w:color="auto" w:fill="FFFFFF"/>
        <w:spacing w:after="0" w:afterAutospacing="0"/>
        <w:ind w:left="709" w:firstLine="720"/>
        <w:contextualSpacing/>
        <w:jc w:val="both"/>
      </w:pPr>
      <w:r w:rsidRPr="00E24C81">
        <w:t>B - mēneši, kuros apdrošinātajai personai ir veiktas vai bija jāveic sociālās apdrošināšanas iemaksas invaliditātes apdrošināšanai</w:t>
      </w:r>
      <w:r w:rsidR="007C20E1" w:rsidRPr="00E24C81">
        <w:t>.</w:t>
      </w:r>
    </w:p>
    <w:p w14:paraId="304B794B" w14:textId="77777777" w:rsidR="00E24C81" w:rsidRPr="007C20E1" w:rsidRDefault="00E24C81" w:rsidP="00E24C81">
      <w:pPr>
        <w:pStyle w:val="NormalWeb"/>
        <w:shd w:val="clear" w:color="auto" w:fill="FFFFFF"/>
        <w:spacing w:after="0" w:afterAutospacing="0"/>
        <w:ind w:left="709" w:firstLine="720"/>
        <w:contextualSpacing/>
        <w:jc w:val="both"/>
        <w:rPr>
          <w:color w:val="538135" w:themeColor="accent6" w:themeShade="BF"/>
        </w:rPr>
      </w:pPr>
    </w:p>
    <w:p w14:paraId="61F0F383" w14:textId="34644D63" w:rsidR="00C94592" w:rsidRPr="007E5AA4" w:rsidRDefault="00C94592" w:rsidP="007C20E1">
      <w:pPr>
        <w:pStyle w:val="NormalWeb"/>
        <w:spacing w:before="0" w:beforeAutospacing="0" w:after="120" w:afterAutospacing="0"/>
        <w:ind w:left="709"/>
        <w:jc w:val="both"/>
        <w:rPr>
          <w:shd w:val="clear" w:color="auto" w:fill="FFFFFF"/>
        </w:rPr>
      </w:pPr>
      <w:r w:rsidRPr="007E5AA4">
        <w:t>16</w:t>
      </w:r>
      <w:r w:rsidRPr="007E5AA4">
        <w:rPr>
          <w:vertAlign w:val="superscript"/>
        </w:rPr>
        <w:t>6</w:t>
      </w:r>
      <w:r w:rsidRPr="007E5AA4">
        <w:t xml:space="preserve">. </w:t>
      </w:r>
      <w:r w:rsidRPr="007E5AA4">
        <w:rPr>
          <w:shd w:val="clear" w:color="auto" w:fill="FFFFFF"/>
        </w:rPr>
        <w:t xml:space="preserve">Ja piecu gadu laikā pirms invaliditātes pensijas piešķiršanas </w:t>
      </w:r>
      <w:r w:rsidR="001F37DF" w:rsidRPr="007E5AA4">
        <w:t>apdrošinātajai personai ir veiktas vai bija jāveic sociālās apdrošināšanas iemaksas invaliditātes apdrošināšanai</w:t>
      </w:r>
      <w:r w:rsidR="001F37DF" w:rsidRPr="007E5AA4">
        <w:rPr>
          <w:shd w:val="clear" w:color="auto" w:fill="FFFFFF"/>
        </w:rPr>
        <w:t xml:space="preserve"> </w:t>
      </w:r>
      <w:r w:rsidR="00E24C81" w:rsidRPr="007E5AA4">
        <w:rPr>
          <w:shd w:val="clear" w:color="auto" w:fill="FFFFFF"/>
        </w:rPr>
        <w:t xml:space="preserve">mazāk par 36 mēnešiem, bet </w:t>
      </w:r>
      <w:r w:rsidR="002D6622" w:rsidRPr="007E5AA4">
        <w:rPr>
          <w:shd w:val="clear" w:color="auto" w:fill="FFFFFF"/>
        </w:rPr>
        <w:t xml:space="preserve">vismaz vienu mēnesi, </w:t>
      </w:r>
      <w:r w:rsidRPr="007E5AA4">
        <w:rPr>
          <w:shd w:val="clear" w:color="auto" w:fill="FFFFFF"/>
        </w:rPr>
        <w:t>vidēj</w:t>
      </w:r>
      <w:r w:rsidR="002D6622" w:rsidRPr="007E5AA4">
        <w:rPr>
          <w:shd w:val="clear" w:color="auto" w:fill="FFFFFF"/>
        </w:rPr>
        <w:t>o</w:t>
      </w:r>
      <w:r w:rsidRPr="007E5AA4">
        <w:rPr>
          <w:shd w:val="clear" w:color="auto" w:fill="FFFFFF"/>
        </w:rPr>
        <w:t xml:space="preserve"> apdrošināšanas iemaksu alg</w:t>
      </w:r>
      <w:r w:rsidR="00187F64" w:rsidRPr="007E5AA4">
        <w:rPr>
          <w:shd w:val="clear" w:color="auto" w:fill="FFFFFF"/>
        </w:rPr>
        <w:t xml:space="preserve">u, ņemot vērā </w:t>
      </w:r>
      <w:r w:rsidRPr="007E5AA4">
        <w:t>16</w:t>
      </w:r>
      <w:r w:rsidRPr="007E5AA4">
        <w:rPr>
          <w:vertAlign w:val="superscript"/>
        </w:rPr>
        <w:t>2</w:t>
      </w:r>
      <w:r w:rsidRPr="007E5AA4">
        <w:t>. -16</w:t>
      </w:r>
      <w:r w:rsidRPr="007E5AA4">
        <w:rPr>
          <w:vertAlign w:val="superscript"/>
        </w:rPr>
        <w:t>4</w:t>
      </w:r>
      <w:r w:rsidRPr="007E5AA4">
        <w:t>. punktā noteikto</w:t>
      </w:r>
      <w:r w:rsidR="007E5AA4" w:rsidRPr="007E5AA4">
        <w:t xml:space="preserve">, aprēķina, </w:t>
      </w:r>
      <w:r w:rsidRPr="007E5AA4">
        <w:rPr>
          <w:shd w:val="clear" w:color="auto" w:fill="FFFFFF"/>
        </w:rPr>
        <w:t>izmantojot šādu formulu:</w:t>
      </w:r>
    </w:p>
    <w:bookmarkEnd w:id="9"/>
    <w:p w14:paraId="65B31B2D" w14:textId="77777777" w:rsidR="00D7500F" w:rsidRPr="007E5AA4" w:rsidRDefault="00D7500F" w:rsidP="00D8279D">
      <w:pPr>
        <w:pStyle w:val="NormalWeb"/>
        <w:shd w:val="clear" w:color="auto" w:fill="FFFFFF"/>
        <w:spacing w:after="0" w:afterAutospacing="0"/>
        <w:ind w:left="709" w:firstLine="720"/>
        <w:contextualSpacing/>
        <w:jc w:val="both"/>
      </w:pPr>
      <w:r w:rsidRPr="007E5AA4">
        <w:t xml:space="preserve">Vi = ((A1+ A2 + ..) + </w:t>
      </w:r>
      <w:proofErr w:type="spellStart"/>
      <w:r w:rsidRPr="007E5AA4">
        <w:t>Va</w:t>
      </w:r>
      <w:proofErr w:type="spellEnd"/>
      <w:r w:rsidRPr="007E5AA4">
        <w:t xml:space="preserve">  x  (36 - B - </w:t>
      </w:r>
      <w:proofErr w:type="spellStart"/>
      <w:r w:rsidRPr="007E5AA4">
        <w:t>At</w:t>
      </w:r>
      <w:proofErr w:type="spellEnd"/>
      <w:r w:rsidRPr="007E5AA4">
        <w:t xml:space="preserve">)) :  (36-At), </w:t>
      </w:r>
    </w:p>
    <w:p w14:paraId="345670C0" w14:textId="77777777" w:rsidR="00D8279D" w:rsidRPr="007E5AA4" w:rsidRDefault="00D8279D" w:rsidP="00D8279D">
      <w:pPr>
        <w:pStyle w:val="NormalWeb"/>
        <w:shd w:val="clear" w:color="auto" w:fill="FFFFFF"/>
        <w:spacing w:after="0" w:afterAutospacing="0"/>
        <w:ind w:left="709" w:firstLine="720"/>
        <w:contextualSpacing/>
        <w:jc w:val="both"/>
        <w:rPr>
          <w:sz w:val="10"/>
          <w:szCs w:val="10"/>
        </w:rPr>
      </w:pPr>
    </w:p>
    <w:p w14:paraId="23268A1B" w14:textId="049A73BB" w:rsidR="00D7500F" w:rsidRPr="007E5AA4" w:rsidRDefault="00D8279D" w:rsidP="00D8279D">
      <w:pPr>
        <w:pStyle w:val="NormalWeb"/>
        <w:shd w:val="clear" w:color="auto" w:fill="FFFFFF"/>
        <w:spacing w:after="0" w:afterAutospacing="0"/>
        <w:ind w:left="709" w:firstLine="720"/>
        <w:contextualSpacing/>
        <w:jc w:val="both"/>
      </w:pPr>
      <w:r w:rsidRPr="007E5AA4">
        <w:t>k</w:t>
      </w:r>
      <w:r w:rsidR="00D7500F" w:rsidRPr="007E5AA4">
        <w:t>ur</w:t>
      </w:r>
    </w:p>
    <w:p w14:paraId="16CC0D76" w14:textId="77777777" w:rsidR="00D8279D" w:rsidRPr="007E5AA4" w:rsidRDefault="00D8279D" w:rsidP="00D8279D">
      <w:pPr>
        <w:pStyle w:val="NormalWeb"/>
        <w:shd w:val="clear" w:color="auto" w:fill="FFFFFF"/>
        <w:spacing w:after="0" w:afterAutospacing="0"/>
        <w:ind w:left="709" w:firstLine="720"/>
        <w:contextualSpacing/>
        <w:jc w:val="both"/>
        <w:rPr>
          <w:sz w:val="10"/>
          <w:szCs w:val="10"/>
        </w:rPr>
      </w:pPr>
    </w:p>
    <w:p w14:paraId="188CF1D9" w14:textId="77777777" w:rsidR="00D7500F" w:rsidRPr="007E5AA4" w:rsidRDefault="00D7500F" w:rsidP="00D8279D">
      <w:pPr>
        <w:pStyle w:val="NormalWeb"/>
        <w:shd w:val="clear" w:color="auto" w:fill="FFFFFF"/>
        <w:spacing w:after="0" w:afterAutospacing="0"/>
        <w:ind w:left="709" w:firstLine="720"/>
        <w:contextualSpacing/>
        <w:jc w:val="both"/>
      </w:pPr>
      <w:r w:rsidRPr="007E5AA4">
        <w:t>Vi - vidējā apdrošināšanas iemaksu alga;</w:t>
      </w:r>
    </w:p>
    <w:p w14:paraId="1E67712B" w14:textId="77777777" w:rsidR="00D8279D" w:rsidRPr="007E5AA4" w:rsidRDefault="00D8279D" w:rsidP="00D8279D">
      <w:pPr>
        <w:pStyle w:val="NormalWeb"/>
        <w:shd w:val="clear" w:color="auto" w:fill="FFFFFF"/>
        <w:spacing w:after="0" w:afterAutospacing="0"/>
        <w:ind w:left="709" w:firstLine="720"/>
        <w:contextualSpacing/>
        <w:jc w:val="both"/>
        <w:rPr>
          <w:sz w:val="10"/>
          <w:szCs w:val="10"/>
        </w:rPr>
      </w:pPr>
    </w:p>
    <w:p w14:paraId="7226C29C" w14:textId="5BE9B86F" w:rsidR="00D7500F" w:rsidRPr="007E5AA4" w:rsidRDefault="00D7500F" w:rsidP="00D8279D">
      <w:pPr>
        <w:pStyle w:val="NormalWeb"/>
        <w:shd w:val="clear" w:color="auto" w:fill="FFFFFF"/>
        <w:spacing w:after="0" w:afterAutospacing="0"/>
        <w:ind w:left="709" w:firstLine="720"/>
        <w:contextualSpacing/>
        <w:jc w:val="both"/>
      </w:pPr>
      <w:r w:rsidRPr="007E5AA4">
        <w:t xml:space="preserve">A1, A2... </w:t>
      </w:r>
      <w:r w:rsidR="00D8279D" w:rsidRPr="007E5AA4">
        <w:t>-</w:t>
      </w:r>
      <w:r w:rsidRPr="007E5AA4">
        <w:t xml:space="preserve"> </w:t>
      </w:r>
      <w:r w:rsidR="00F76C27" w:rsidRPr="007E5AA4">
        <w:t>sociālās apdrošināšanas iemaksu</w:t>
      </w:r>
      <w:r w:rsidR="001F37DF" w:rsidRPr="007E5AA4">
        <w:t xml:space="preserve"> al</w:t>
      </w:r>
      <w:r w:rsidR="00187F64" w:rsidRPr="007E5AA4">
        <w:t>ga</w:t>
      </w:r>
      <w:r w:rsidR="001F37DF" w:rsidRPr="007E5AA4">
        <w:t xml:space="preserve"> attiecīgajā kalendārajā mēnesī</w:t>
      </w:r>
      <w:r w:rsidRPr="007E5AA4">
        <w:t>;</w:t>
      </w:r>
    </w:p>
    <w:p w14:paraId="58ED8F4D" w14:textId="77777777" w:rsidR="00D8279D" w:rsidRPr="007E5AA4" w:rsidRDefault="00D8279D" w:rsidP="00D8279D">
      <w:pPr>
        <w:pStyle w:val="NormalWeb"/>
        <w:shd w:val="clear" w:color="auto" w:fill="FFFFFF"/>
        <w:spacing w:after="0" w:afterAutospacing="0"/>
        <w:ind w:left="709" w:firstLine="720"/>
        <w:contextualSpacing/>
        <w:jc w:val="both"/>
        <w:rPr>
          <w:sz w:val="10"/>
          <w:szCs w:val="10"/>
        </w:rPr>
      </w:pPr>
    </w:p>
    <w:p w14:paraId="5404BE07" w14:textId="016D4B47" w:rsidR="00D7500F" w:rsidRPr="007E5AA4" w:rsidRDefault="00D7500F" w:rsidP="00D8279D">
      <w:pPr>
        <w:pStyle w:val="NormalWeb"/>
        <w:shd w:val="clear" w:color="auto" w:fill="FFFFFF"/>
        <w:spacing w:after="0" w:afterAutospacing="0"/>
        <w:ind w:left="709" w:firstLine="720"/>
        <w:contextualSpacing/>
        <w:jc w:val="both"/>
      </w:pPr>
      <w:proofErr w:type="spellStart"/>
      <w:r w:rsidRPr="007E5AA4">
        <w:t>Va</w:t>
      </w:r>
      <w:proofErr w:type="spellEnd"/>
      <w:r w:rsidR="008179FB" w:rsidRPr="007E5AA4">
        <w:t xml:space="preserve"> </w:t>
      </w:r>
      <w:r w:rsidR="00E95313" w:rsidRPr="007E5AA4">
        <w:t>-</w:t>
      </w:r>
      <w:r w:rsidRPr="007E5AA4">
        <w:t xml:space="preserve"> 40</w:t>
      </w:r>
      <w:r w:rsidR="008179FB" w:rsidRPr="007E5AA4">
        <w:t xml:space="preserve"> procenti</w:t>
      </w:r>
      <w:r w:rsidRPr="007E5AA4">
        <w:t xml:space="preserve"> no valstī noteiktās vidējās apdrošināšanas iemaksu algas (kalendāra gadā, kas beidzas gadu pirms gada, kurā tiek piešķirta pensija);</w:t>
      </w:r>
    </w:p>
    <w:p w14:paraId="77370DAE" w14:textId="77777777" w:rsidR="00D8279D" w:rsidRPr="007E5AA4" w:rsidRDefault="00D8279D" w:rsidP="00D8279D">
      <w:pPr>
        <w:pStyle w:val="NormalWeb"/>
        <w:shd w:val="clear" w:color="auto" w:fill="FFFFFF"/>
        <w:spacing w:after="0" w:afterAutospacing="0"/>
        <w:ind w:left="709" w:firstLine="720"/>
        <w:contextualSpacing/>
        <w:jc w:val="both"/>
        <w:rPr>
          <w:sz w:val="10"/>
          <w:szCs w:val="10"/>
        </w:rPr>
      </w:pPr>
    </w:p>
    <w:p w14:paraId="5886CFF8" w14:textId="77777777" w:rsidR="00965A44" w:rsidRDefault="00D7500F" w:rsidP="00965A44">
      <w:pPr>
        <w:pStyle w:val="NormalWeb"/>
        <w:shd w:val="clear" w:color="auto" w:fill="FFFFFF"/>
        <w:spacing w:after="0" w:afterAutospacing="0"/>
        <w:ind w:left="709" w:firstLine="720"/>
        <w:contextualSpacing/>
        <w:jc w:val="both"/>
      </w:pPr>
      <w:r w:rsidRPr="007E5AA4">
        <w:t xml:space="preserve">B - </w:t>
      </w:r>
      <w:r w:rsidR="00D97C15" w:rsidRPr="007E5AA4">
        <w:t>mēneši, kuros apdrošināt</w:t>
      </w:r>
      <w:r w:rsidR="00B6375B" w:rsidRPr="007E5AA4">
        <w:t>ajai personai</w:t>
      </w:r>
      <w:r w:rsidR="00D97C15" w:rsidRPr="007E5AA4">
        <w:t xml:space="preserve"> ir </w:t>
      </w:r>
      <w:r w:rsidR="00B6375B" w:rsidRPr="007E5AA4">
        <w:t>veiktas vai bija jāveic sociālās apdrošināšanas iemaksas invaliditātes apdrošināšanai;</w:t>
      </w:r>
    </w:p>
    <w:p w14:paraId="66AC5020" w14:textId="77777777" w:rsidR="00965A44" w:rsidRPr="00965A44" w:rsidRDefault="00965A44" w:rsidP="00965A44">
      <w:pPr>
        <w:pStyle w:val="NormalWeb"/>
        <w:shd w:val="clear" w:color="auto" w:fill="FFFFFF"/>
        <w:spacing w:after="0" w:afterAutospacing="0"/>
        <w:ind w:left="709" w:firstLine="720"/>
        <w:contextualSpacing/>
        <w:jc w:val="both"/>
        <w:rPr>
          <w:sz w:val="6"/>
          <w:szCs w:val="6"/>
        </w:rPr>
      </w:pPr>
    </w:p>
    <w:p w14:paraId="070FDAEB" w14:textId="6F844CB6" w:rsidR="00D7500F" w:rsidRPr="00965A44" w:rsidRDefault="00D7500F" w:rsidP="00965A44">
      <w:pPr>
        <w:pStyle w:val="NormalWeb"/>
        <w:shd w:val="clear" w:color="auto" w:fill="FFFFFF"/>
        <w:spacing w:after="0" w:afterAutospacing="0"/>
        <w:ind w:left="709" w:firstLine="720"/>
        <w:contextualSpacing/>
        <w:jc w:val="both"/>
      </w:pPr>
      <w:proofErr w:type="spellStart"/>
      <w:r w:rsidRPr="00965A44">
        <w:t>At</w:t>
      </w:r>
      <w:proofErr w:type="spellEnd"/>
      <w:r w:rsidRPr="00965A44">
        <w:t xml:space="preserve"> - </w:t>
      </w:r>
      <w:r w:rsidR="00D97C15" w:rsidRPr="00965A44">
        <w:t xml:space="preserve">mēneši, </w:t>
      </w:r>
      <w:r w:rsidR="00965A44" w:rsidRPr="00965A44">
        <w:t>kuros apdrošināšanas iemaksu alga nav bijusi attaisnoto periodu dēļ.</w:t>
      </w:r>
    </w:p>
    <w:p w14:paraId="0CFF28B2" w14:textId="79390B1F" w:rsidR="003A33AB" w:rsidRPr="00C47021" w:rsidRDefault="00D43ABD" w:rsidP="00670973">
      <w:pPr>
        <w:pStyle w:val="NormalWeb"/>
        <w:shd w:val="clear" w:color="auto" w:fill="FFFFFF"/>
        <w:spacing w:after="120" w:afterAutospacing="0"/>
        <w:ind w:left="709"/>
        <w:jc w:val="both"/>
      </w:pPr>
      <w:r w:rsidRPr="00965A44">
        <w:t>16</w:t>
      </w:r>
      <w:r w:rsidRPr="00965A44">
        <w:rPr>
          <w:vertAlign w:val="superscript"/>
        </w:rPr>
        <w:t>7</w:t>
      </w:r>
      <w:r w:rsidR="003A33AB" w:rsidRPr="00965A44">
        <w:t xml:space="preserve">. </w:t>
      </w:r>
      <w:r w:rsidR="003A33AB" w:rsidRPr="00C47021">
        <w:t xml:space="preserve">Mēneša vidējā apdrošināšanas iemaksu alga, kas aprēķināta saskaņā ar šo noteikumu </w:t>
      </w:r>
      <w:r w:rsidR="00587533" w:rsidRPr="00C47021">
        <w:t>16</w:t>
      </w:r>
      <w:r w:rsidR="003A26D3">
        <w:rPr>
          <w:vertAlign w:val="superscript"/>
        </w:rPr>
        <w:t>5</w:t>
      </w:r>
      <w:r w:rsidR="00587533" w:rsidRPr="00C47021">
        <w:t xml:space="preserve">. </w:t>
      </w:r>
      <w:r>
        <w:t xml:space="preserve">un </w:t>
      </w:r>
      <w:r w:rsidRPr="00C47021">
        <w:t>16</w:t>
      </w:r>
      <w:r>
        <w:rPr>
          <w:vertAlign w:val="superscript"/>
        </w:rPr>
        <w:t xml:space="preserve">6 </w:t>
      </w:r>
      <w:r>
        <w:t>.</w:t>
      </w:r>
      <w:r w:rsidR="003A33AB" w:rsidRPr="00C47021">
        <w:t xml:space="preserve">punktu, nevar būt mazāka par </w:t>
      </w:r>
      <w:bookmarkStart w:id="10" w:name="_Hlk31278430"/>
      <w:r w:rsidR="003A33AB" w:rsidRPr="00C47021">
        <w:t xml:space="preserve">40 procentiem no valstī noteiktās vidējās apdrošināšanas iemaksu algas (kalendāra gadā, kas beidzas gadu pirms gada, kurā </w:t>
      </w:r>
      <w:r w:rsidR="001F772F" w:rsidRPr="00C47021">
        <w:t>tiek piešķirta pensija</w:t>
      </w:r>
      <w:bookmarkEnd w:id="10"/>
      <w:r w:rsidR="003A33AB" w:rsidRPr="00C47021">
        <w:t>.</w:t>
      </w:r>
      <w:r w:rsidR="00193BD2" w:rsidRPr="00C47021">
        <w:t>)</w:t>
      </w:r>
      <w:r w:rsidR="003A33AB" w:rsidRPr="00C47021">
        <w:t>”;</w:t>
      </w:r>
    </w:p>
    <w:p w14:paraId="44490FEA" w14:textId="6FA19881" w:rsidR="00230B4F" w:rsidRPr="00C47021" w:rsidRDefault="00230B4F" w:rsidP="00670973">
      <w:pPr>
        <w:pStyle w:val="NormalWeb"/>
        <w:numPr>
          <w:ilvl w:val="1"/>
          <w:numId w:val="1"/>
        </w:numPr>
        <w:spacing w:after="120" w:afterAutospacing="0"/>
        <w:jc w:val="both"/>
      </w:pPr>
      <w:r w:rsidRPr="00C47021">
        <w:t xml:space="preserve">izteikt </w:t>
      </w:r>
      <w:r w:rsidR="000C6823" w:rsidRPr="00C47021">
        <w:t>26. punktu un 26.1.apakšpunktu šādā redakcijā</w:t>
      </w:r>
      <w:r w:rsidRPr="00C47021">
        <w:t>:</w:t>
      </w:r>
    </w:p>
    <w:p w14:paraId="2A248284" w14:textId="6F1090CF" w:rsidR="000C6823" w:rsidRPr="00C47021" w:rsidRDefault="000C6823" w:rsidP="00670973">
      <w:pPr>
        <w:pStyle w:val="NormalWeb"/>
        <w:spacing w:after="120" w:afterAutospacing="0"/>
        <w:ind w:left="720"/>
        <w:jc w:val="both"/>
      </w:pPr>
      <w:r w:rsidRPr="00C47021">
        <w:lastRenderedPageBreak/>
        <w:t>“26. Lai nodrošinātu apgādnieka zaudējuma pensijas izmaksu personām, kuras no 18 gadu vecuma sasniegšanas līdz 24 gadu vecuma sasniegšanai iegūst likuma 19.</w:t>
      </w:r>
      <w:r w:rsidR="00A660AC">
        <w:t xml:space="preserve"> </w:t>
      </w:r>
      <w:r w:rsidRPr="00C47021">
        <w:t>panta ceturtajā daļā noteikto izglītību, aģentūra:</w:t>
      </w:r>
    </w:p>
    <w:p w14:paraId="25648FC4" w14:textId="7A636AAB" w:rsidR="000C6823" w:rsidRPr="00C47021" w:rsidRDefault="000C6823" w:rsidP="00CF45E4">
      <w:pPr>
        <w:pStyle w:val="NormalWeb"/>
        <w:spacing w:after="120" w:afterAutospacing="0"/>
        <w:ind w:left="709"/>
        <w:jc w:val="both"/>
      </w:pPr>
      <w:bookmarkStart w:id="11" w:name="_GoBack"/>
      <w:bookmarkEnd w:id="11"/>
      <w:r w:rsidRPr="00C47021">
        <w:t>26.1. pensijas izmaksu personai pēc 18 gadu vecuma sasniegšanas turpina, pamatojoties uz Izglītības un zinātnes ministrijas elektroniski sniegto informāciju vai personas iesniegto ārvalsts izglītības iestādes izziņu, ja izglītību iegūst ārvalsts izglītības iestādē;</w:t>
      </w:r>
    </w:p>
    <w:p w14:paraId="3CD2B42E" w14:textId="20B1CF3B" w:rsidR="003A33AB" w:rsidRPr="00C47021" w:rsidRDefault="006D5268" w:rsidP="00670973">
      <w:pPr>
        <w:pStyle w:val="NormalWeb"/>
        <w:numPr>
          <w:ilvl w:val="1"/>
          <w:numId w:val="1"/>
        </w:numPr>
        <w:shd w:val="clear" w:color="auto" w:fill="FFFFFF"/>
        <w:spacing w:before="0" w:beforeAutospacing="0" w:after="120" w:afterAutospacing="0"/>
        <w:ind w:left="709" w:hanging="709"/>
        <w:jc w:val="both"/>
      </w:pPr>
      <w:r w:rsidRPr="00C47021">
        <w:t xml:space="preserve">papildināt </w:t>
      </w:r>
      <w:r w:rsidR="007E6200" w:rsidRPr="00C47021">
        <w:t>27</w:t>
      </w:r>
      <w:r w:rsidRPr="00C47021">
        <w:t>. punktu aiz vārd</w:t>
      </w:r>
      <w:r w:rsidR="007E6200" w:rsidRPr="00C47021">
        <w:t>a</w:t>
      </w:r>
      <w:r w:rsidRPr="00C47021">
        <w:t xml:space="preserve"> </w:t>
      </w:r>
      <w:r w:rsidR="007E6200" w:rsidRPr="00C47021">
        <w:t>“iesniedzot”</w:t>
      </w:r>
      <w:r w:rsidRPr="00C47021">
        <w:t xml:space="preserve"> ar vārd</w:t>
      </w:r>
      <w:r w:rsidR="007E6200" w:rsidRPr="00C47021">
        <w:t>u</w:t>
      </w:r>
      <w:r w:rsidRPr="00C47021">
        <w:t xml:space="preserve"> </w:t>
      </w:r>
      <w:r w:rsidR="007E6200" w:rsidRPr="00C47021">
        <w:t>“ārvalsts”</w:t>
      </w:r>
      <w:r w:rsidRPr="00C47021">
        <w:t>;</w:t>
      </w:r>
    </w:p>
    <w:p w14:paraId="6067BCB5" w14:textId="6917AE63" w:rsidR="00F059F4" w:rsidRPr="00C47021" w:rsidRDefault="00F059F4" w:rsidP="00670973">
      <w:pPr>
        <w:pStyle w:val="NormalWeb"/>
        <w:numPr>
          <w:ilvl w:val="1"/>
          <w:numId w:val="1"/>
        </w:numPr>
        <w:shd w:val="clear" w:color="auto" w:fill="FFFFFF"/>
        <w:spacing w:before="0" w:beforeAutospacing="0" w:after="120" w:afterAutospacing="0"/>
        <w:ind w:left="709" w:hanging="709"/>
        <w:jc w:val="both"/>
      </w:pPr>
      <w:r w:rsidRPr="00C47021">
        <w:t>izteikt 27.2. apakšpunktu šādā redakcijā</w:t>
      </w:r>
      <w:r w:rsidR="00A47777" w:rsidRPr="00C47021">
        <w:t>:</w:t>
      </w:r>
    </w:p>
    <w:p w14:paraId="36F26C28" w14:textId="20E10648" w:rsidR="00343714" w:rsidRPr="00C47021" w:rsidRDefault="00A47777" w:rsidP="00670973">
      <w:pPr>
        <w:shd w:val="clear" w:color="auto" w:fill="FFFFFF"/>
        <w:spacing w:after="120" w:line="240" w:lineRule="auto"/>
        <w:jc w:val="both"/>
        <w:rPr>
          <w:rFonts w:ascii="Times New Roman" w:eastAsia="Times New Roman" w:hAnsi="Times New Roman" w:cs="Times New Roman"/>
          <w:sz w:val="24"/>
          <w:szCs w:val="24"/>
          <w:lang w:eastAsia="lv-LV"/>
        </w:rPr>
      </w:pPr>
      <w:r w:rsidRPr="00C47021">
        <w:rPr>
          <w:rFonts w:ascii="Times New Roman" w:eastAsia="Times New Roman" w:hAnsi="Times New Roman" w:cs="Times New Roman"/>
          <w:sz w:val="24"/>
          <w:szCs w:val="24"/>
          <w:lang w:eastAsia="lv-LV"/>
        </w:rPr>
        <w:t>“</w:t>
      </w:r>
      <w:r w:rsidR="00343714" w:rsidRPr="00C47021">
        <w:rPr>
          <w:rFonts w:ascii="Times New Roman" w:eastAsia="Times New Roman" w:hAnsi="Times New Roman" w:cs="Times New Roman"/>
          <w:sz w:val="24"/>
          <w:szCs w:val="24"/>
          <w:lang w:eastAsia="lv-LV"/>
        </w:rPr>
        <w:t xml:space="preserve">27.2. izziņai </w:t>
      </w:r>
      <w:r w:rsidR="00253A32" w:rsidRPr="00C47021">
        <w:rPr>
          <w:rFonts w:ascii="Times New Roman" w:eastAsia="Times New Roman" w:hAnsi="Times New Roman" w:cs="Times New Roman"/>
          <w:sz w:val="24"/>
          <w:szCs w:val="24"/>
          <w:lang w:eastAsia="lv-LV"/>
        </w:rPr>
        <w:t xml:space="preserve">ir </w:t>
      </w:r>
      <w:r w:rsidR="00343714" w:rsidRPr="00C47021">
        <w:rPr>
          <w:rFonts w:ascii="Times New Roman" w:eastAsia="Times New Roman" w:hAnsi="Times New Roman" w:cs="Times New Roman"/>
          <w:sz w:val="24"/>
          <w:szCs w:val="24"/>
          <w:lang w:eastAsia="lv-LV"/>
        </w:rPr>
        <w:t>pievieno</w:t>
      </w:r>
      <w:r w:rsidR="00253A32" w:rsidRPr="00C47021">
        <w:rPr>
          <w:rFonts w:ascii="Times New Roman" w:eastAsia="Times New Roman" w:hAnsi="Times New Roman" w:cs="Times New Roman"/>
          <w:sz w:val="24"/>
          <w:szCs w:val="24"/>
          <w:lang w:eastAsia="lv-LV"/>
        </w:rPr>
        <w:t>ts</w:t>
      </w:r>
      <w:r w:rsidR="00343714" w:rsidRPr="00C47021">
        <w:rPr>
          <w:rFonts w:ascii="Times New Roman" w:eastAsia="Times New Roman" w:hAnsi="Times New Roman" w:cs="Times New Roman"/>
          <w:sz w:val="24"/>
          <w:szCs w:val="24"/>
          <w:lang w:eastAsia="lv-LV"/>
        </w:rPr>
        <w:t xml:space="preserve"> tulkojum</w:t>
      </w:r>
      <w:r w:rsidR="00253A32" w:rsidRPr="00C47021">
        <w:rPr>
          <w:rFonts w:ascii="Times New Roman" w:eastAsia="Times New Roman" w:hAnsi="Times New Roman" w:cs="Times New Roman"/>
          <w:sz w:val="24"/>
          <w:szCs w:val="24"/>
          <w:lang w:eastAsia="lv-LV"/>
        </w:rPr>
        <w:t>s</w:t>
      </w:r>
      <w:r w:rsidR="00343714" w:rsidRPr="00C47021">
        <w:rPr>
          <w:rFonts w:ascii="Times New Roman" w:eastAsia="Times New Roman" w:hAnsi="Times New Roman" w:cs="Times New Roman"/>
          <w:sz w:val="24"/>
          <w:szCs w:val="24"/>
          <w:lang w:eastAsia="lv-LV"/>
        </w:rPr>
        <w:t xml:space="preserve"> saskaņā ar normatīvajiem aktiem par valsts valodas lietošanu un normatīvaj</w:t>
      </w:r>
      <w:r w:rsidR="00253A32" w:rsidRPr="00C47021">
        <w:rPr>
          <w:rFonts w:ascii="Times New Roman" w:eastAsia="Times New Roman" w:hAnsi="Times New Roman" w:cs="Times New Roman"/>
          <w:sz w:val="24"/>
          <w:szCs w:val="24"/>
          <w:lang w:eastAsia="lv-LV"/>
        </w:rPr>
        <w:t>iem</w:t>
      </w:r>
      <w:r w:rsidR="00343714" w:rsidRPr="00C47021">
        <w:rPr>
          <w:rFonts w:ascii="Times New Roman" w:eastAsia="Times New Roman" w:hAnsi="Times New Roman" w:cs="Times New Roman"/>
          <w:sz w:val="24"/>
          <w:szCs w:val="24"/>
          <w:lang w:eastAsia="lv-LV"/>
        </w:rPr>
        <w:t xml:space="preserve"> akt</w:t>
      </w:r>
      <w:r w:rsidR="00253A32" w:rsidRPr="00C47021">
        <w:rPr>
          <w:rFonts w:ascii="Times New Roman" w:eastAsia="Times New Roman" w:hAnsi="Times New Roman" w:cs="Times New Roman"/>
          <w:sz w:val="24"/>
          <w:szCs w:val="24"/>
          <w:lang w:eastAsia="lv-LV"/>
        </w:rPr>
        <w:t>iem</w:t>
      </w:r>
      <w:r w:rsidR="00343714" w:rsidRPr="00C47021">
        <w:rPr>
          <w:rFonts w:ascii="Times New Roman" w:eastAsia="Times New Roman" w:hAnsi="Times New Roman" w:cs="Times New Roman"/>
          <w:sz w:val="24"/>
          <w:szCs w:val="24"/>
          <w:lang w:eastAsia="lv-LV"/>
        </w:rPr>
        <w:t xml:space="preserve"> par dokumentu legalizāciju.</w:t>
      </w:r>
      <w:r w:rsidRPr="00C47021">
        <w:rPr>
          <w:rFonts w:ascii="Times New Roman" w:eastAsia="Times New Roman" w:hAnsi="Times New Roman" w:cs="Times New Roman"/>
          <w:sz w:val="24"/>
          <w:szCs w:val="24"/>
          <w:lang w:eastAsia="lv-LV"/>
        </w:rPr>
        <w:t>”</w:t>
      </w:r>
    </w:p>
    <w:p w14:paraId="17DB5464" w14:textId="62D2B4E8" w:rsidR="00DA3280" w:rsidRPr="00C47021" w:rsidRDefault="00DA3280" w:rsidP="00670973">
      <w:pPr>
        <w:pStyle w:val="NormalWeb"/>
        <w:numPr>
          <w:ilvl w:val="1"/>
          <w:numId w:val="1"/>
        </w:numPr>
        <w:shd w:val="clear" w:color="auto" w:fill="FFFFFF"/>
        <w:spacing w:before="0" w:beforeAutospacing="0" w:after="120" w:afterAutospacing="0"/>
        <w:ind w:left="709" w:hanging="709"/>
        <w:jc w:val="both"/>
      </w:pPr>
      <w:r w:rsidRPr="00C47021">
        <w:t xml:space="preserve">papildināt noteikumus ar </w:t>
      </w:r>
      <w:r w:rsidR="00D11BB5" w:rsidRPr="00C47021">
        <w:t>V.</w:t>
      </w:r>
      <w:r w:rsidRPr="00C47021">
        <w:t xml:space="preserve"> nodaļu šādā redakcijā: </w:t>
      </w:r>
    </w:p>
    <w:p w14:paraId="7AC15ECC" w14:textId="75C2F965" w:rsidR="00670973" w:rsidRPr="00C47021" w:rsidRDefault="00670973" w:rsidP="00670973">
      <w:pPr>
        <w:pStyle w:val="NormalWeb"/>
        <w:shd w:val="clear" w:color="auto" w:fill="FFFFFF"/>
        <w:spacing w:before="0" w:beforeAutospacing="0" w:after="120" w:afterAutospacing="0"/>
        <w:jc w:val="center"/>
      </w:pPr>
      <w:r w:rsidRPr="00C47021">
        <w:rPr>
          <w:b/>
        </w:rPr>
        <w:t>“V. Noslēguma jautājumi</w:t>
      </w:r>
    </w:p>
    <w:p w14:paraId="451719F8" w14:textId="3D0DD817" w:rsidR="00753534" w:rsidRPr="00C47021" w:rsidRDefault="00D11BB5" w:rsidP="00670973">
      <w:pPr>
        <w:pStyle w:val="NormalWeb"/>
        <w:shd w:val="clear" w:color="auto" w:fill="FFFFFF"/>
        <w:spacing w:before="0" w:beforeAutospacing="0" w:after="120" w:afterAutospacing="0"/>
        <w:jc w:val="both"/>
      </w:pPr>
      <w:r w:rsidRPr="00C47021">
        <w:t>30. Grozījumi, kas papildina šos noteikumus ar III</w:t>
      </w:r>
      <w:r w:rsidRPr="00C47021">
        <w:rPr>
          <w:vertAlign w:val="superscript"/>
        </w:rPr>
        <w:t>1</w:t>
      </w:r>
      <w:r w:rsidRPr="00C47021">
        <w:t>.</w:t>
      </w:r>
      <w:r w:rsidRPr="00C47021">
        <w:rPr>
          <w:b/>
        </w:rPr>
        <w:t xml:space="preserve"> </w:t>
      </w:r>
      <w:r w:rsidRPr="00C47021">
        <w:t xml:space="preserve">nodaļu par vidējās apdrošināšanas iemaksu algas aprēķināšanu I un II grupas </w:t>
      </w:r>
      <w:r w:rsidRPr="00C47021">
        <w:rPr>
          <w:shd w:val="clear" w:color="auto" w:fill="FFFFFF"/>
        </w:rPr>
        <w:t xml:space="preserve">invaliditātes pensijas </w:t>
      </w:r>
      <w:r w:rsidR="00CA67BB" w:rsidRPr="00C47021">
        <w:t xml:space="preserve">piešķiršanai </w:t>
      </w:r>
      <w:r w:rsidRPr="00C47021">
        <w:t>stājas spēkā</w:t>
      </w:r>
      <w:r w:rsidR="00753534" w:rsidRPr="00C47021">
        <w:t xml:space="preserve"> 202</w:t>
      </w:r>
      <w:r w:rsidR="00A47777" w:rsidRPr="00C47021">
        <w:t>2</w:t>
      </w:r>
      <w:r w:rsidR="00753534" w:rsidRPr="00C47021">
        <w:t>. gada 1. janvārī.</w:t>
      </w:r>
      <w:r w:rsidRPr="00C47021">
        <w:t>”</w:t>
      </w:r>
    </w:p>
    <w:p w14:paraId="488ECC39" w14:textId="5C0BEA4A" w:rsidR="00103D63" w:rsidRDefault="00103D63" w:rsidP="00753534">
      <w:pPr>
        <w:tabs>
          <w:tab w:val="left" w:pos="6521"/>
          <w:tab w:val="right" w:pos="8820"/>
        </w:tabs>
        <w:spacing w:after="0" w:line="240" w:lineRule="auto"/>
        <w:jc w:val="both"/>
        <w:rPr>
          <w:rFonts w:ascii="Times New Roman" w:eastAsia="Times New Roman" w:hAnsi="Times New Roman" w:cs="Times New Roman"/>
          <w:sz w:val="28"/>
          <w:szCs w:val="28"/>
          <w:lang w:eastAsia="lv-LV"/>
        </w:rPr>
      </w:pPr>
    </w:p>
    <w:p w14:paraId="5027F69E" w14:textId="282CEE28" w:rsidR="00C47A6C" w:rsidRDefault="00C47A6C" w:rsidP="00753534">
      <w:pPr>
        <w:tabs>
          <w:tab w:val="left" w:pos="6521"/>
          <w:tab w:val="right" w:pos="8820"/>
        </w:tabs>
        <w:spacing w:after="0" w:line="240" w:lineRule="auto"/>
        <w:jc w:val="both"/>
        <w:rPr>
          <w:rFonts w:ascii="Times New Roman" w:eastAsia="Times New Roman" w:hAnsi="Times New Roman" w:cs="Times New Roman"/>
          <w:sz w:val="28"/>
          <w:szCs w:val="28"/>
          <w:lang w:eastAsia="lv-LV"/>
        </w:rPr>
      </w:pPr>
    </w:p>
    <w:p w14:paraId="5EB93771" w14:textId="77777777" w:rsidR="00C47A6C" w:rsidRPr="009D47E1" w:rsidRDefault="00C47A6C" w:rsidP="00753534">
      <w:pPr>
        <w:tabs>
          <w:tab w:val="left" w:pos="6521"/>
          <w:tab w:val="right" w:pos="8820"/>
        </w:tabs>
        <w:spacing w:after="0" w:line="240" w:lineRule="auto"/>
        <w:jc w:val="both"/>
        <w:rPr>
          <w:rFonts w:ascii="Times New Roman" w:eastAsia="Times New Roman" w:hAnsi="Times New Roman" w:cs="Times New Roman"/>
          <w:sz w:val="28"/>
          <w:szCs w:val="28"/>
          <w:lang w:eastAsia="lv-LV"/>
        </w:rPr>
      </w:pPr>
    </w:p>
    <w:p w14:paraId="2F412BCC" w14:textId="5DE84961" w:rsidR="00753534" w:rsidRPr="00103D63" w:rsidRDefault="00753534" w:rsidP="00EC504F">
      <w:pPr>
        <w:tabs>
          <w:tab w:val="left" w:pos="6521"/>
          <w:tab w:val="right" w:pos="8820"/>
        </w:tabs>
        <w:spacing w:after="0" w:line="240" w:lineRule="auto"/>
        <w:jc w:val="both"/>
        <w:rPr>
          <w:rFonts w:ascii="Times New Roman" w:eastAsia="Times New Roman" w:hAnsi="Times New Roman" w:cs="Times New Roman"/>
          <w:sz w:val="24"/>
          <w:szCs w:val="24"/>
          <w:lang w:eastAsia="lv-LV"/>
        </w:rPr>
      </w:pPr>
      <w:r w:rsidRPr="00103D63">
        <w:rPr>
          <w:rFonts w:ascii="Times New Roman" w:eastAsia="Times New Roman" w:hAnsi="Times New Roman" w:cs="Times New Roman"/>
          <w:sz w:val="24"/>
          <w:szCs w:val="24"/>
          <w:lang w:eastAsia="lv-LV"/>
        </w:rPr>
        <w:t>Ministru prezidents</w:t>
      </w:r>
      <w:r w:rsidR="00EC504F" w:rsidRPr="00103D63">
        <w:rPr>
          <w:rFonts w:ascii="Times New Roman" w:eastAsia="Times New Roman" w:hAnsi="Times New Roman" w:cs="Times New Roman"/>
          <w:sz w:val="24"/>
          <w:szCs w:val="24"/>
          <w:lang w:eastAsia="lv-LV"/>
        </w:rPr>
        <w:tab/>
      </w:r>
      <w:r w:rsidR="00EC504F" w:rsidRPr="00103D63">
        <w:rPr>
          <w:rFonts w:ascii="Times New Roman" w:eastAsia="Times New Roman" w:hAnsi="Times New Roman" w:cs="Times New Roman"/>
          <w:sz w:val="24"/>
          <w:szCs w:val="24"/>
          <w:lang w:eastAsia="lv-LV"/>
        </w:rPr>
        <w:tab/>
      </w:r>
      <w:proofErr w:type="spellStart"/>
      <w:r w:rsidRPr="00103D63">
        <w:rPr>
          <w:rFonts w:ascii="Times New Roman" w:eastAsia="Times New Roman" w:hAnsi="Times New Roman" w:cs="Times New Roman"/>
          <w:sz w:val="24"/>
          <w:szCs w:val="24"/>
          <w:lang w:eastAsia="lv-LV"/>
        </w:rPr>
        <w:t>A.K.Kariņš</w:t>
      </w:r>
      <w:proofErr w:type="spellEnd"/>
      <w:r w:rsidRPr="00103D63">
        <w:rPr>
          <w:rFonts w:ascii="Times New Roman" w:eastAsia="Times New Roman" w:hAnsi="Times New Roman" w:cs="Times New Roman"/>
          <w:sz w:val="24"/>
          <w:szCs w:val="24"/>
          <w:lang w:eastAsia="lv-LV"/>
        </w:rPr>
        <w:t xml:space="preserve"> </w:t>
      </w:r>
    </w:p>
    <w:p w14:paraId="60768EAA" w14:textId="77777777" w:rsidR="00EA308C" w:rsidRPr="00103D63" w:rsidRDefault="00EA308C" w:rsidP="00EC504F">
      <w:pPr>
        <w:tabs>
          <w:tab w:val="left" w:pos="6521"/>
          <w:tab w:val="right" w:pos="8820"/>
        </w:tabs>
        <w:spacing w:after="0" w:line="240" w:lineRule="auto"/>
        <w:jc w:val="both"/>
        <w:rPr>
          <w:rFonts w:ascii="Times New Roman" w:eastAsia="Times New Roman" w:hAnsi="Times New Roman" w:cs="Times New Roman"/>
          <w:sz w:val="24"/>
          <w:szCs w:val="24"/>
          <w:lang w:eastAsia="lv-LV"/>
        </w:rPr>
      </w:pPr>
    </w:p>
    <w:p w14:paraId="3835D8C7" w14:textId="3353F2CB" w:rsidR="00753534" w:rsidRPr="00103D63" w:rsidRDefault="00753534" w:rsidP="00EC504F">
      <w:pPr>
        <w:tabs>
          <w:tab w:val="left" w:pos="6521"/>
          <w:tab w:val="right" w:pos="8820"/>
        </w:tabs>
        <w:spacing w:after="0" w:line="240" w:lineRule="auto"/>
        <w:rPr>
          <w:rFonts w:ascii="Times New Roman" w:eastAsia="Times New Roman" w:hAnsi="Times New Roman" w:cs="Times New Roman"/>
          <w:sz w:val="24"/>
          <w:szCs w:val="24"/>
          <w:lang w:eastAsia="lv-LV"/>
        </w:rPr>
      </w:pPr>
      <w:r w:rsidRPr="00103D63">
        <w:rPr>
          <w:rFonts w:ascii="Times New Roman" w:eastAsia="Times New Roman" w:hAnsi="Times New Roman" w:cs="Times New Roman"/>
          <w:sz w:val="24"/>
          <w:szCs w:val="24"/>
          <w:lang w:eastAsia="lv-LV"/>
        </w:rPr>
        <w:t>Labklājības ministre</w:t>
      </w:r>
      <w:r w:rsidRPr="00103D63">
        <w:rPr>
          <w:rFonts w:ascii="Times New Roman" w:eastAsia="Times New Roman" w:hAnsi="Times New Roman" w:cs="Times New Roman"/>
          <w:sz w:val="24"/>
          <w:szCs w:val="24"/>
          <w:lang w:eastAsia="lv-LV"/>
        </w:rPr>
        <w:tab/>
      </w:r>
      <w:r w:rsidR="00EC504F" w:rsidRPr="00103D63">
        <w:rPr>
          <w:rFonts w:ascii="Times New Roman" w:eastAsia="Times New Roman" w:hAnsi="Times New Roman" w:cs="Times New Roman"/>
          <w:sz w:val="24"/>
          <w:szCs w:val="24"/>
          <w:lang w:eastAsia="lv-LV"/>
        </w:rPr>
        <w:tab/>
      </w:r>
      <w:proofErr w:type="spellStart"/>
      <w:r w:rsidRPr="00103D63">
        <w:rPr>
          <w:rFonts w:ascii="Times New Roman" w:eastAsia="Times New Roman" w:hAnsi="Times New Roman" w:cs="Times New Roman"/>
          <w:sz w:val="24"/>
          <w:szCs w:val="24"/>
          <w:lang w:eastAsia="lv-LV"/>
        </w:rPr>
        <w:t>R.Petraviča</w:t>
      </w:r>
      <w:proofErr w:type="spellEnd"/>
    </w:p>
    <w:p w14:paraId="48AF7E4D" w14:textId="3F4C04B9" w:rsidR="001D1302" w:rsidRPr="00103D63" w:rsidRDefault="001D1302" w:rsidP="00EC504F">
      <w:pPr>
        <w:tabs>
          <w:tab w:val="left" w:pos="6521"/>
          <w:tab w:val="right" w:pos="8820"/>
        </w:tabs>
        <w:spacing w:after="0" w:line="240" w:lineRule="auto"/>
        <w:rPr>
          <w:rFonts w:ascii="Times New Roman" w:eastAsia="Times New Roman" w:hAnsi="Times New Roman" w:cs="Times New Roman"/>
          <w:sz w:val="24"/>
          <w:szCs w:val="24"/>
          <w:lang w:eastAsia="lv-LV"/>
        </w:rPr>
      </w:pPr>
    </w:p>
    <w:p w14:paraId="0F8D259E" w14:textId="77777777" w:rsidR="001D1302" w:rsidRPr="00103D63" w:rsidRDefault="001D1302" w:rsidP="00EC504F">
      <w:pPr>
        <w:tabs>
          <w:tab w:val="left" w:pos="6521"/>
          <w:tab w:val="right" w:pos="8820"/>
        </w:tabs>
        <w:spacing w:after="0" w:line="240" w:lineRule="auto"/>
        <w:rPr>
          <w:rFonts w:ascii="Times New Roman" w:eastAsia="Times New Roman" w:hAnsi="Times New Roman" w:cs="Times New Roman"/>
          <w:sz w:val="24"/>
          <w:szCs w:val="24"/>
          <w:lang w:eastAsia="lv-LV"/>
        </w:rPr>
      </w:pPr>
      <w:r w:rsidRPr="00103D63">
        <w:rPr>
          <w:rFonts w:ascii="Times New Roman" w:eastAsia="Times New Roman" w:hAnsi="Times New Roman" w:cs="Times New Roman"/>
          <w:sz w:val="24"/>
          <w:szCs w:val="24"/>
          <w:lang w:eastAsia="lv-LV"/>
        </w:rPr>
        <w:t>Vīza:</w:t>
      </w:r>
    </w:p>
    <w:p w14:paraId="7CCF356A" w14:textId="23B8C91C" w:rsidR="006C32AF" w:rsidRPr="00103D63" w:rsidRDefault="001D1302" w:rsidP="00753534">
      <w:pPr>
        <w:tabs>
          <w:tab w:val="left" w:pos="6521"/>
          <w:tab w:val="right" w:pos="8820"/>
        </w:tabs>
        <w:spacing w:after="0" w:line="240" w:lineRule="auto"/>
        <w:rPr>
          <w:rFonts w:ascii="Times New Roman" w:eastAsia="Times New Roman" w:hAnsi="Times New Roman" w:cs="Times New Roman"/>
          <w:sz w:val="24"/>
          <w:szCs w:val="24"/>
          <w:lang w:eastAsia="lv-LV"/>
        </w:rPr>
      </w:pPr>
      <w:r w:rsidRPr="00103D63">
        <w:rPr>
          <w:rFonts w:ascii="Times New Roman" w:eastAsia="Times New Roman" w:hAnsi="Times New Roman" w:cs="Times New Roman"/>
          <w:sz w:val="24"/>
          <w:szCs w:val="24"/>
          <w:lang w:eastAsia="lv-LV"/>
        </w:rPr>
        <w:t>valsts sekretārs</w:t>
      </w:r>
      <w:r w:rsidRPr="00103D63">
        <w:rPr>
          <w:rFonts w:ascii="Times New Roman" w:eastAsia="Times New Roman" w:hAnsi="Times New Roman" w:cs="Times New Roman"/>
          <w:sz w:val="24"/>
          <w:szCs w:val="24"/>
          <w:lang w:eastAsia="lv-LV"/>
        </w:rPr>
        <w:tab/>
      </w:r>
      <w:r w:rsidR="00EC504F" w:rsidRPr="00103D63">
        <w:rPr>
          <w:rFonts w:ascii="Times New Roman" w:eastAsia="Times New Roman" w:hAnsi="Times New Roman" w:cs="Times New Roman"/>
          <w:sz w:val="24"/>
          <w:szCs w:val="24"/>
          <w:lang w:eastAsia="lv-LV"/>
        </w:rPr>
        <w:tab/>
      </w:r>
      <w:proofErr w:type="spellStart"/>
      <w:r w:rsidRPr="00103D63">
        <w:rPr>
          <w:rFonts w:ascii="Times New Roman" w:eastAsia="Times New Roman" w:hAnsi="Times New Roman" w:cs="Times New Roman"/>
          <w:sz w:val="24"/>
          <w:szCs w:val="24"/>
          <w:lang w:eastAsia="lv-LV"/>
        </w:rPr>
        <w:t>I.Alliks</w:t>
      </w:r>
      <w:proofErr w:type="spellEnd"/>
    </w:p>
    <w:sectPr w:rsidR="006C32AF" w:rsidRPr="00103D63" w:rsidSect="00C74A46">
      <w:headerReference w:type="default" r:id="rId10"/>
      <w:footerReference w:type="default" r:id="rId11"/>
      <w:headerReference w:type="first" r:id="rId12"/>
      <w:footerReference w:type="first" r:id="rId13"/>
      <w:pgSz w:w="11906" w:h="16838" w:code="9"/>
      <w:pgMar w:top="1418" w:right="1134" w:bottom="1134" w:left="1701" w:header="709"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3A8E7" w14:textId="77777777" w:rsidR="00A33BEA" w:rsidRDefault="00A33BEA">
      <w:pPr>
        <w:spacing w:after="0" w:line="240" w:lineRule="auto"/>
      </w:pPr>
      <w:r>
        <w:separator/>
      </w:r>
    </w:p>
  </w:endnote>
  <w:endnote w:type="continuationSeparator" w:id="0">
    <w:p w14:paraId="0B217B41" w14:textId="77777777" w:rsidR="00A33BEA" w:rsidRDefault="00A33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2588A" w14:textId="22DBC460" w:rsidR="0074148D" w:rsidRPr="00071750" w:rsidRDefault="00071750" w:rsidP="00071750">
    <w:pPr>
      <w:jc w:val="both"/>
      <w:rPr>
        <w:rFonts w:ascii="Times New Roman" w:hAnsi="Times New Roman" w:cs="Times New Roman"/>
        <w:bCs/>
        <w:shd w:val="clear" w:color="auto" w:fill="FFFFFF"/>
      </w:rPr>
    </w:pPr>
    <w:r w:rsidRPr="00A95489">
      <w:rPr>
        <w:rFonts w:ascii="Times New Roman" w:hAnsi="Times New Roman" w:cs="Times New Roman"/>
      </w:rPr>
      <w:t>LMnot_</w:t>
    </w:r>
    <w:r w:rsidR="00A71ED6">
      <w:rPr>
        <w:rFonts w:ascii="Times New Roman" w:hAnsi="Times New Roman" w:cs="Times New Roman"/>
      </w:rPr>
      <w:t>0</w:t>
    </w:r>
    <w:r w:rsidR="007E5AA4">
      <w:rPr>
        <w:rFonts w:ascii="Times New Roman" w:hAnsi="Times New Roman" w:cs="Times New Roman"/>
      </w:rPr>
      <w:t>9</w:t>
    </w:r>
    <w:r w:rsidR="00A71ED6">
      <w:rPr>
        <w:rFonts w:ascii="Times New Roman" w:hAnsi="Times New Roman" w:cs="Times New Roman"/>
      </w:rPr>
      <w:t>03</w:t>
    </w:r>
    <w:r>
      <w:rPr>
        <w:rFonts w:ascii="Times New Roman" w:hAnsi="Times New Roman" w:cs="Times New Roman"/>
      </w:rPr>
      <w:t>21</w:t>
    </w:r>
    <w:r w:rsidRPr="00A95489">
      <w:rPr>
        <w:rFonts w:ascii="Times New Roman" w:hAnsi="Times New Roman" w:cs="Times New Roman"/>
      </w:rPr>
      <w:t>_MK_Nr</w:t>
    </w:r>
    <w:r>
      <w:rPr>
        <w:rFonts w:ascii="Times New Roman" w:hAnsi="Times New Roman" w:cs="Times New Roman"/>
      </w:rPr>
      <w:t>427</w:t>
    </w:r>
  </w:p>
  <w:p w14:paraId="733FD844" w14:textId="77777777" w:rsidR="0074148D" w:rsidRPr="009E0796" w:rsidRDefault="00A33BEA">
    <w:pPr>
      <w:pStyle w:val="Footer"/>
      <w:rPr>
        <w:sz w:val="20"/>
        <w:szCs w:val="20"/>
      </w:rPr>
    </w:pPr>
  </w:p>
  <w:p w14:paraId="7358A48F" w14:textId="77777777" w:rsidR="0074148D" w:rsidRPr="009E0796" w:rsidRDefault="00A33BEA">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39839" w14:textId="628A0F17" w:rsidR="004A52EA" w:rsidRPr="00A95489" w:rsidRDefault="00BC4FCE" w:rsidP="004A52EA">
    <w:pPr>
      <w:jc w:val="both"/>
      <w:rPr>
        <w:rFonts w:ascii="Times New Roman" w:hAnsi="Times New Roman" w:cs="Times New Roman"/>
        <w:bCs/>
        <w:shd w:val="clear" w:color="auto" w:fill="FFFFFF"/>
      </w:rPr>
    </w:pPr>
    <w:r w:rsidRPr="00A95489">
      <w:rPr>
        <w:rFonts w:ascii="Times New Roman" w:hAnsi="Times New Roman" w:cs="Times New Roman"/>
      </w:rPr>
      <w:t>LMnot_</w:t>
    </w:r>
    <w:r w:rsidR="00B73645">
      <w:rPr>
        <w:rFonts w:ascii="Times New Roman" w:hAnsi="Times New Roman" w:cs="Times New Roman"/>
      </w:rPr>
      <w:t>0</w:t>
    </w:r>
    <w:r w:rsidR="007E5AA4">
      <w:rPr>
        <w:rFonts w:ascii="Times New Roman" w:hAnsi="Times New Roman" w:cs="Times New Roman"/>
      </w:rPr>
      <w:t>9</w:t>
    </w:r>
    <w:r w:rsidR="00B73645">
      <w:rPr>
        <w:rFonts w:ascii="Times New Roman" w:hAnsi="Times New Roman" w:cs="Times New Roman"/>
      </w:rPr>
      <w:t>0321</w:t>
    </w:r>
    <w:r w:rsidRPr="00A95489">
      <w:rPr>
        <w:rFonts w:ascii="Times New Roman" w:hAnsi="Times New Roman" w:cs="Times New Roman"/>
      </w:rPr>
      <w:t>_MK_Nr</w:t>
    </w:r>
    <w:r w:rsidR="006D5AEB">
      <w:rPr>
        <w:rFonts w:ascii="Times New Roman" w:hAnsi="Times New Roman" w:cs="Times New Roman"/>
      </w:rPr>
      <w:t>427</w:t>
    </w:r>
  </w:p>
  <w:p w14:paraId="0A4375F6" w14:textId="77777777" w:rsidR="0074148D" w:rsidRPr="009E0796" w:rsidRDefault="00A33BEA" w:rsidP="0074148D">
    <w:pPr>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E7299" w14:textId="77777777" w:rsidR="00A33BEA" w:rsidRDefault="00A33BEA">
      <w:pPr>
        <w:spacing w:after="0" w:line="240" w:lineRule="auto"/>
      </w:pPr>
      <w:r>
        <w:separator/>
      </w:r>
    </w:p>
  </w:footnote>
  <w:footnote w:type="continuationSeparator" w:id="0">
    <w:p w14:paraId="0A371578" w14:textId="77777777" w:rsidR="00A33BEA" w:rsidRDefault="00A33B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7774668"/>
      <w:docPartObj>
        <w:docPartGallery w:val="Page Numbers (Top of Page)"/>
        <w:docPartUnique/>
      </w:docPartObj>
    </w:sdtPr>
    <w:sdtEndPr>
      <w:rPr>
        <w:noProof/>
      </w:rPr>
    </w:sdtEndPr>
    <w:sdtContent>
      <w:p w14:paraId="4258E0C1" w14:textId="04059952" w:rsidR="00412952" w:rsidRDefault="00412952">
        <w:pPr>
          <w:pStyle w:val="Header"/>
          <w:jc w:val="center"/>
        </w:pPr>
        <w:r w:rsidRPr="00412952">
          <w:rPr>
            <w:rFonts w:ascii="Times New Roman" w:hAnsi="Times New Roman" w:cs="Times New Roman"/>
          </w:rPr>
          <w:fldChar w:fldCharType="begin"/>
        </w:r>
        <w:r w:rsidRPr="00412952">
          <w:rPr>
            <w:rFonts w:ascii="Times New Roman" w:hAnsi="Times New Roman" w:cs="Times New Roman"/>
          </w:rPr>
          <w:instrText xml:space="preserve"> PAGE   \* MERGEFORMAT </w:instrText>
        </w:r>
        <w:r w:rsidRPr="00412952">
          <w:rPr>
            <w:rFonts w:ascii="Times New Roman" w:hAnsi="Times New Roman" w:cs="Times New Roman"/>
          </w:rPr>
          <w:fldChar w:fldCharType="separate"/>
        </w:r>
        <w:r w:rsidRPr="00412952">
          <w:rPr>
            <w:rFonts w:ascii="Times New Roman" w:hAnsi="Times New Roman" w:cs="Times New Roman"/>
            <w:noProof/>
          </w:rPr>
          <w:t>2</w:t>
        </w:r>
        <w:r w:rsidRPr="00412952">
          <w:rPr>
            <w:rFonts w:ascii="Times New Roman" w:hAnsi="Times New Roman" w:cs="Times New Roman"/>
            <w:noProof/>
          </w:rPr>
          <w:fldChar w:fldCharType="end"/>
        </w:r>
      </w:p>
    </w:sdtContent>
  </w:sdt>
  <w:p w14:paraId="1A1466DB" w14:textId="77777777" w:rsidR="00412952" w:rsidRDefault="004129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B5551" w14:textId="77777777" w:rsidR="0074148D" w:rsidRDefault="00A33BEA">
    <w:pPr>
      <w:pStyle w:val="Header"/>
      <w:rPr>
        <w:sz w:val="28"/>
        <w:szCs w:val="28"/>
      </w:rPr>
    </w:pPr>
  </w:p>
  <w:p w14:paraId="2114E622" w14:textId="77777777" w:rsidR="0074148D" w:rsidRPr="00F4230A" w:rsidRDefault="00A33BEA">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D1074"/>
    <w:multiLevelType w:val="multilevel"/>
    <w:tmpl w:val="94EA5ED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640" w:hanging="180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1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534"/>
    <w:rsid w:val="00004540"/>
    <w:rsid w:val="00012509"/>
    <w:rsid w:val="000134A6"/>
    <w:rsid w:val="00023992"/>
    <w:rsid w:val="00027BF6"/>
    <w:rsid w:val="00035B19"/>
    <w:rsid w:val="000506D7"/>
    <w:rsid w:val="00054980"/>
    <w:rsid w:val="00066968"/>
    <w:rsid w:val="00070E7D"/>
    <w:rsid w:val="00071750"/>
    <w:rsid w:val="000755A3"/>
    <w:rsid w:val="000758F6"/>
    <w:rsid w:val="00080896"/>
    <w:rsid w:val="000843B4"/>
    <w:rsid w:val="00085322"/>
    <w:rsid w:val="0009165F"/>
    <w:rsid w:val="00091E78"/>
    <w:rsid w:val="00093579"/>
    <w:rsid w:val="000A0D1D"/>
    <w:rsid w:val="000A2AEA"/>
    <w:rsid w:val="000A6FBA"/>
    <w:rsid w:val="000B24BF"/>
    <w:rsid w:val="000B4A62"/>
    <w:rsid w:val="000C2A85"/>
    <w:rsid w:val="000C6823"/>
    <w:rsid w:val="000D0115"/>
    <w:rsid w:val="000E4AAB"/>
    <w:rsid w:val="000E6FF3"/>
    <w:rsid w:val="000E7A56"/>
    <w:rsid w:val="000F5A4F"/>
    <w:rsid w:val="00100327"/>
    <w:rsid w:val="00101A41"/>
    <w:rsid w:val="00103D63"/>
    <w:rsid w:val="0013297F"/>
    <w:rsid w:val="001370CD"/>
    <w:rsid w:val="00142043"/>
    <w:rsid w:val="001420E4"/>
    <w:rsid w:val="00151A27"/>
    <w:rsid w:val="0015294C"/>
    <w:rsid w:val="001758EE"/>
    <w:rsid w:val="00183958"/>
    <w:rsid w:val="00184AA9"/>
    <w:rsid w:val="00185460"/>
    <w:rsid w:val="00187F64"/>
    <w:rsid w:val="00193BD2"/>
    <w:rsid w:val="001A29D2"/>
    <w:rsid w:val="001B533A"/>
    <w:rsid w:val="001B5CFE"/>
    <w:rsid w:val="001B7EA6"/>
    <w:rsid w:val="001C692A"/>
    <w:rsid w:val="001D1302"/>
    <w:rsid w:val="001D40C1"/>
    <w:rsid w:val="001D6DA7"/>
    <w:rsid w:val="001E70C4"/>
    <w:rsid w:val="001E7CCB"/>
    <w:rsid w:val="001F37DF"/>
    <w:rsid w:val="001F772F"/>
    <w:rsid w:val="002071AB"/>
    <w:rsid w:val="00207331"/>
    <w:rsid w:val="00220779"/>
    <w:rsid w:val="0022185F"/>
    <w:rsid w:val="002253A7"/>
    <w:rsid w:val="00227570"/>
    <w:rsid w:val="00230B4F"/>
    <w:rsid w:val="002335FC"/>
    <w:rsid w:val="00253A32"/>
    <w:rsid w:val="00253B12"/>
    <w:rsid w:val="00260247"/>
    <w:rsid w:val="0026148D"/>
    <w:rsid w:val="0026475A"/>
    <w:rsid w:val="00265269"/>
    <w:rsid w:val="00272D4F"/>
    <w:rsid w:val="00276BDA"/>
    <w:rsid w:val="00276E0E"/>
    <w:rsid w:val="00282A21"/>
    <w:rsid w:val="00290492"/>
    <w:rsid w:val="0029155F"/>
    <w:rsid w:val="00295E60"/>
    <w:rsid w:val="002A217B"/>
    <w:rsid w:val="002B18A4"/>
    <w:rsid w:val="002D3F30"/>
    <w:rsid w:val="002D41A0"/>
    <w:rsid w:val="002D4889"/>
    <w:rsid w:val="002D6622"/>
    <w:rsid w:val="002D735D"/>
    <w:rsid w:val="002E3026"/>
    <w:rsid w:val="002E7AB1"/>
    <w:rsid w:val="002F512F"/>
    <w:rsid w:val="002F72C1"/>
    <w:rsid w:val="00306419"/>
    <w:rsid w:val="00314309"/>
    <w:rsid w:val="0032101F"/>
    <w:rsid w:val="00330E14"/>
    <w:rsid w:val="00331D19"/>
    <w:rsid w:val="00341C67"/>
    <w:rsid w:val="00343615"/>
    <w:rsid w:val="00343714"/>
    <w:rsid w:val="00346916"/>
    <w:rsid w:val="00354E17"/>
    <w:rsid w:val="0035628E"/>
    <w:rsid w:val="003621CE"/>
    <w:rsid w:val="003622F8"/>
    <w:rsid w:val="0037270E"/>
    <w:rsid w:val="0037461B"/>
    <w:rsid w:val="00380B09"/>
    <w:rsid w:val="003867DD"/>
    <w:rsid w:val="00393EA3"/>
    <w:rsid w:val="003959A2"/>
    <w:rsid w:val="00396E58"/>
    <w:rsid w:val="003A26D3"/>
    <w:rsid w:val="003A33AB"/>
    <w:rsid w:val="003B4F66"/>
    <w:rsid w:val="003B701D"/>
    <w:rsid w:val="003D2020"/>
    <w:rsid w:val="003D517A"/>
    <w:rsid w:val="003D5201"/>
    <w:rsid w:val="003D6E2D"/>
    <w:rsid w:val="003E15EA"/>
    <w:rsid w:val="003E2FDF"/>
    <w:rsid w:val="003E30FE"/>
    <w:rsid w:val="003E54D3"/>
    <w:rsid w:val="003E67C6"/>
    <w:rsid w:val="003F4F9C"/>
    <w:rsid w:val="0040737B"/>
    <w:rsid w:val="00412952"/>
    <w:rsid w:val="00412D1C"/>
    <w:rsid w:val="004145B3"/>
    <w:rsid w:val="00421A21"/>
    <w:rsid w:val="00431CB7"/>
    <w:rsid w:val="004368ED"/>
    <w:rsid w:val="004445A6"/>
    <w:rsid w:val="00450072"/>
    <w:rsid w:val="00456875"/>
    <w:rsid w:val="004607CE"/>
    <w:rsid w:val="00472573"/>
    <w:rsid w:val="0047331B"/>
    <w:rsid w:val="00475278"/>
    <w:rsid w:val="0049230D"/>
    <w:rsid w:val="004B5174"/>
    <w:rsid w:val="004C0CDE"/>
    <w:rsid w:val="004C4003"/>
    <w:rsid w:val="004C68A2"/>
    <w:rsid w:val="004D03E1"/>
    <w:rsid w:val="004E52A8"/>
    <w:rsid w:val="004E6C76"/>
    <w:rsid w:val="004E7AB2"/>
    <w:rsid w:val="004F1C08"/>
    <w:rsid w:val="004F2DEE"/>
    <w:rsid w:val="004F7241"/>
    <w:rsid w:val="00502F49"/>
    <w:rsid w:val="005116E8"/>
    <w:rsid w:val="005168DE"/>
    <w:rsid w:val="00523402"/>
    <w:rsid w:val="0052757B"/>
    <w:rsid w:val="00531944"/>
    <w:rsid w:val="00535672"/>
    <w:rsid w:val="00544BEB"/>
    <w:rsid w:val="00551B1D"/>
    <w:rsid w:val="00557934"/>
    <w:rsid w:val="00561D25"/>
    <w:rsid w:val="00563A31"/>
    <w:rsid w:val="005678CB"/>
    <w:rsid w:val="00573146"/>
    <w:rsid w:val="00574485"/>
    <w:rsid w:val="00577078"/>
    <w:rsid w:val="005850EB"/>
    <w:rsid w:val="00587533"/>
    <w:rsid w:val="00596937"/>
    <w:rsid w:val="005A2ACE"/>
    <w:rsid w:val="005B05C9"/>
    <w:rsid w:val="005B74F4"/>
    <w:rsid w:val="005B7A05"/>
    <w:rsid w:val="005D73A4"/>
    <w:rsid w:val="005E0147"/>
    <w:rsid w:val="005F6B8B"/>
    <w:rsid w:val="00611221"/>
    <w:rsid w:val="00614468"/>
    <w:rsid w:val="00616D72"/>
    <w:rsid w:val="00626F2E"/>
    <w:rsid w:val="00634656"/>
    <w:rsid w:val="00634C1B"/>
    <w:rsid w:val="006412BC"/>
    <w:rsid w:val="00643DFC"/>
    <w:rsid w:val="00644CEC"/>
    <w:rsid w:val="00645119"/>
    <w:rsid w:val="006461A8"/>
    <w:rsid w:val="006554D3"/>
    <w:rsid w:val="00656E1B"/>
    <w:rsid w:val="00660FDD"/>
    <w:rsid w:val="00670973"/>
    <w:rsid w:val="00690856"/>
    <w:rsid w:val="0069196F"/>
    <w:rsid w:val="006969A2"/>
    <w:rsid w:val="006A3ACD"/>
    <w:rsid w:val="006A7F9E"/>
    <w:rsid w:val="006C32AF"/>
    <w:rsid w:val="006D4014"/>
    <w:rsid w:val="006D5268"/>
    <w:rsid w:val="006D5AEB"/>
    <w:rsid w:val="006E1380"/>
    <w:rsid w:val="006F3B34"/>
    <w:rsid w:val="006F6938"/>
    <w:rsid w:val="0070443D"/>
    <w:rsid w:val="0070770E"/>
    <w:rsid w:val="007238DE"/>
    <w:rsid w:val="00724631"/>
    <w:rsid w:val="007257DC"/>
    <w:rsid w:val="0073344F"/>
    <w:rsid w:val="007372A2"/>
    <w:rsid w:val="00742C94"/>
    <w:rsid w:val="00744305"/>
    <w:rsid w:val="00753534"/>
    <w:rsid w:val="00760239"/>
    <w:rsid w:val="007662AE"/>
    <w:rsid w:val="00766484"/>
    <w:rsid w:val="00773E21"/>
    <w:rsid w:val="0077770C"/>
    <w:rsid w:val="00782694"/>
    <w:rsid w:val="007843D9"/>
    <w:rsid w:val="007856C3"/>
    <w:rsid w:val="007861B1"/>
    <w:rsid w:val="00786D59"/>
    <w:rsid w:val="007910DC"/>
    <w:rsid w:val="007B0888"/>
    <w:rsid w:val="007B31DB"/>
    <w:rsid w:val="007B66A0"/>
    <w:rsid w:val="007C20E1"/>
    <w:rsid w:val="007E1EAD"/>
    <w:rsid w:val="007E5AA4"/>
    <w:rsid w:val="007E6200"/>
    <w:rsid w:val="007F7328"/>
    <w:rsid w:val="008021E6"/>
    <w:rsid w:val="00805F76"/>
    <w:rsid w:val="0080657D"/>
    <w:rsid w:val="00811D9E"/>
    <w:rsid w:val="008173FB"/>
    <w:rsid w:val="008179FB"/>
    <w:rsid w:val="00831519"/>
    <w:rsid w:val="008437B8"/>
    <w:rsid w:val="00853474"/>
    <w:rsid w:val="0085348D"/>
    <w:rsid w:val="0086449B"/>
    <w:rsid w:val="00864884"/>
    <w:rsid w:val="008718E4"/>
    <w:rsid w:val="00872BBF"/>
    <w:rsid w:val="00883F76"/>
    <w:rsid w:val="00886449"/>
    <w:rsid w:val="00896446"/>
    <w:rsid w:val="0089691D"/>
    <w:rsid w:val="008A3BA6"/>
    <w:rsid w:val="008A65D7"/>
    <w:rsid w:val="008B3162"/>
    <w:rsid w:val="008B33B7"/>
    <w:rsid w:val="008B42F8"/>
    <w:rsid w:val="008B7EDA"/>
    <w:rsid w:val="008D0F4D"/>
    <w:rsid w:val="008D25FC"/>
    <w:rsid w:val="008D6B95"/>
    <w:rsid w:val="008E15D8"/>
    <w:rsid w:val="008E24C1"/>
    <w:rsid w:val="008E291E"/>
    <w:rsid w:val="008E3BEA"/>
    <w:rsid w:val="008E4CDC"/>
    <w:rsid w:val="008F19F4"/>
    <w:rsid w:val="008F5CC2"/>
    <w:rsid w:val="009100CB"/>
    <w:rsid w:val="00910A0B"/>
    <w:rsid w:val="009137F7"/>
    <w:rsid w:val="00916475"/>
    <w:rsid w:val="00916523"/>
    <w:rsid w:val="009238C4"/>
    <w:rsid w:val="009243B3"/>
    <w:rsid w:val="009248E0"/>
    <w:rsid w:val="00925C76"/>
    <w:rsid w:val="00932503"/>
    <w:rsid w:val="0093323C"/>
    <w:rsid w:val="009432FD"/>
    <w:rsid w:val="00946B0A"/>
    <w:rsid w:val="00947A85"/>
    <w:rsid w:val="009549B4"/>
    <w:rsid w:val="00965199"/>
    <w:rsid w:val="00965A44"/>
    <w:rsid w:val="00966667"/>
    <w:rsid w:val="00966A69"/>
    <w:rsid w:val="00986B5B"/>
    <w:rsid w:val="0099375E"/>
    <w:rsid w:val="009947A2"/>
    <w:rsid w:val="00996AE1"/>
    <w:rsid w:val="009B52FB"/>
    <w:rsid w:val="009B6311"/>
    <w:rsid w:val="009B70AC"/>
    <w:rsid w:val="009D2ABC"/>
    <w:rsid w:val="009D47E1"/>
    <w:rsid w:val="009E2A94"/>
    <w:rsid w:val="009E30AA"/>
    <w:rsid w:val="009E5413"/>
    <w:rsid w:val="009E65F2"/>
    <w:rsid w:val="009E799E"/>
    <w:rsid w:val="009F2319"/>
    <w:rsid w:val="009F2F36"/>
    <w:rsid w:val="009F3439"/>
    <w:rsid w:val="009F37C1"/>
    <w:rsid w:val="00A042AD"/>
    <w:rsid w:val="00A14861"/>
    <w:rsid w:val="00A14C95"/>
    <w:rsid w:val="00A25034"/>
    <w:rsid w:val="00A31AA1"/>
    <w:rsid w:val="00A3365C"/>
    <w:rsid w:val="00A33BEA"/>
    <w:rsid w:val="00A42D1C"/>
    <w:rsid w:val="00A439FC"/>
    <w:rsid w:val="00A47777"/>
    <w:rsid w:val="00A50EE1"/>
    <w:rsid w:val="00A660AC"/>
    <w:rsid w:val="00A71ED6"/>
    <w:rsid w:val="00A73BFC"/>
    <w:rsid w:val="00A75E65"/>
    <w:rsid w:val="00A76C07"/>
    <w:rsid w:val="00A82A2B"/>
    <w:rsid w:val="00A84722"/>
    <w:rsid w:val="00A869CC"/>
    <w:rsid w:val="00A95489"/>
    <w:rsid w:val="00A95F04"/>
    <w:rsid w:val="00AA2732"/>
    <w:rsid w:val="00AA726F"/>
    <w:rsid w:val="00AC1824"/>
    <w:rsid w:val="00AD4FD0"/>
    <w:rsid w:val="00AD770B"/>
    <w:rsid w:val="00AE0834"/>
    <w:rsid w:val="00AF2347"/>
    <w:rsid w:val="00AF43B2"/>
    <w:rsid w:val="00B0053A"/>
    <w:rsid w:val="00B020D0"/>
    <w:rsid w:val="00B206B2"/>
    <w:rsid w:val="00B20906"/>
    <w:rsid w:val="00B2128F"/>
    <w:rsid w:val="00B24517"/>
    <w:rsid w:val="00B26050"/>
    <w:rsid w:val="00B51358"/>
    <w:rsid w:val="00B53F0C"/>
    <w:rsid w:val="00B5448E"/>
    <w:rsid w:val="00B6375B"/>
    <w:rsid w:val="00B645C9"/>
    <w:rsid w:val="00B655E0"/>
    <w:rsid w:val="00B71575"/>
    <w:rsid w:val="00B73645"/>
    <w:rsid w:val="00B73BF5"/>
    <w:rsid w:val="00B87D9B"/>
    <w:rsid w:val="00B970E2"/>
    <w:rsid w:val="00B97B3D"/>
    <w:rsid w:val="00B97BE4"/>
    <w:rsid w:val="00BA0A89"/>
    <w:rsid w:val="00BA2F02"/>
    <w:rsid w:val="00BA6ED2"/>
    <w:rsid w:val="00BA7067"/>
    <w:rsid w:val="00BB21AD"/>
    <w:rsid w:val="00BB28A4"/>
    <w:rsid w:val="00BC3E98"/>
    <w:rsid w:val="00BC4FCE"/>
    <w:rsid w:val="00BC7516"/>
    <w:rsid w:val="00BD1067"/>
    <w:rsid w:val="00BD17FB"/>
    <w:rsid w:val="00BD19FA"/>
    <w:rsid w:val="00BD3505"/>
    <w:rsid w:val="00BD66B3"/>
    <w:rsid w:val="00BE0A60"/>
    <w:rsid w:val="00BE2F0A"/>
    <w:rsid w:val="00BE51CB"/>
    <w:rsid w:val="00BE576B"/>
    <w:rsid w:val="00BE57FA"/>
    <w:rsid w:val="00BF5E0B"/>
    <w:rsid w:val="00BF5F38"/>
    <w:rsid w:val="00C006C5"/>
    <w:rsid w:val="00C00751"/>
    <w:rsid w:val="00C02325"/>
    <w:rsid w:val="00C10F41"/>
    <w:rsid w:val="00C148AE"/>
    <w:rsid w:val="00C20BDE"/>
    <w:rsid w:val="00C31B02"/>
    <w:rsid w:val="00C33E74"/>
    <w:rsid w:val="00C36BB8"/>
    <w:rsid w:val="00C36E4B"/>
    <w:rsid w:val="00C419F2"/>
    <w:rsid w:val="00C46E3C"/>
    <w:rsid w:val="00C47021"/>
    <w:rsid w:val="00C47A6C"/>
    <w:rsid w:val="00C5192B"/>
    <w:rsid w:val="00C609A8"/>
    <w:rsid w:val="00C60C96"/>
    <w:rsid w:val="00C63E88"/>
    <w:rsid w:val="00C6421F"/>
    <w:rsid w:val="00C64257"/>
    <w:rsid w:val="00C7374B"/>
    <w:rsid w:val="00C74A46"/>
    <w:rsid w:val="00C82254"/>
    <w:rsid w:val="00C94592"/>
    <w:rsid w:val="00C95B61"/>
    <w:rsid w:val="00CA37AB"/>
    <w:rsid w:val="00CA67BB"/>
    <w:rsid w:val="00CB17B1"/>
    <w:rsid w:val="00CB633C"/>
    <w:rsid w:val="00CC188E"/>
    <w:rsid w:val="00CC1BC1"/>
    <w:rsid w:val="00CE54EE"/>
    <w:rsid w:val="00CE5816"/>
    <w:rsid w:val="00CE72FD"/>
    <w:rsid w:val="00CF135B"/>
    <w:rsid w:val="00CF1825"/>
    <w:rsid w:val="00CF45E4"/>
    <w:rsid w:val="00CF5E41"/>
    <w:rsid w:val="00D02C43"/>
    <w:rsid w:val="00D11789"/>
    <w:rsid w:val="00D11BB5"/>
    <w:rsid w:val="00D153FE"/>
    <w:rsid w:val="00D27567"/>
    <w:rsid w:val="00D32103"/>
    <w:rsid w:val="00D36A22"/>
    <w:rsid w:val="00D43ABD"/>
    <w:rsid w:val="00D473AD"/>
    <w:rsid w:val="00D51253"/>
    <w:rsid w:val="00D53FDC"/>
    <w:rsid w:val="00D63843"/>
    <w:rsid w:val="00D651B1"/>
    <w:rsid w:val="00D67E0D"/>
    <w:rsid w:val="00D7500F"/>
    <w:rsid w:val="00D8279D"/>
    <w:rsid w:val="00D8598A"/>
    <w:rsid w:val="00D95E4E"/>
    <w:rsid w:val="00D97C15"/>
    <w:rsid w:val="00DA3280"/>
    <w:rsid w:val="00DA5BC7"/>
    <w:rsid w:val="00DA5D34"/>
    <w:rsid w:val="00DB43A8"/>
    <w:rsid w:val="00DB77E0"/>
    <w:rsid w:val="00DC3ED6"/>
    <w:rsid w:val="00DD0094"/>
    <w:rsid w:val="00DD06CB"/>
    <w:rsid w:val="00DE0CCE"/>
    <w:rsid w:val="00DE2855"/>
    <w:rsid w:val="00DE403B"/>
    <w:rsid w:val="00DE443B"/>
    <w:rsid w:val="00DE5E28"/>
    <w:rsid w:val="00DF54B0"/>
    <w:rsid w:val="00E02A8F"/>
    <w:rsid w:val="00E05711"/>
    <w:rsid w:val="00E05E58"/>
    <w:rsid w:val="00E076C7"/>
    <w:rsid w:val="00E12ED7"/>
    <w:rsid w:val="00E24C81"/>
    <w:rsid w:val="00E32A67"/>
    <w:rsid w:val="00E5195F"/>
    <w:rsid w:val="00E57B12"/>
    <w:rsid w:val="00E60584"/>
    <w:rsid w:val="00E62412"/>
    <w:rsid w:val="00E70124"/>
    <w:rsid w:val="00E70D38"/>
    <w:rsid w:val="00E727E2"/>
    <w:rsid w:val="00E72D83"/>
    <w:rsid w:val="00E827F8"/>
    <w:rsid w:val="00E862D8"/>
    <w:rsid w:val="00E8768C"/>
    <w:rsid w:val="00E95313"/>
    <w:rsid w:val="00E97024"/>
    <w:rsid w:val="00EA2F82"/>
    <w:rsid w:val="00EA308C"/>
    <w:rsid w:val="00EB3E98"/>
    <w:rsid w:val="00EC02A8"/>
    <w:rsid w:val="00EC29D5"/>
    <w:rsid w:val="00EC438F"/>
    <w:rsid w:val="00EC504F"/>
    <w:rsid w:val="00ED05F3"/>
    <w:rsid w:val="00EE01D2"/>
    <w:rsid w:val="00EE7DD2"/>
    <w:rsid w:val="00EE7DD7"/>
    <w:rsid w:val="00EF0B65"/>
    <w:rsid w:val="00F059F4"/>
    <w:rsid w:val="00F0660B"/>
    <w:rsid w:val="00F06B86"/>
    <w:rsid w:val="00F20265"/>
    <w:rsid w:val="00F2476F"/>
    <w:rsid w:val="00F25646"/>
    <w:rsid w:val="00F25873"/>
    <w:rsid w:val="00F270B3"/>
    <w:rsid w:val="00F3140F"/>
    <w:rsid w:val="00F360E2"/>
    <w:rsid w:val="00F4196D"/>
    <w:rsid w:val="00F765D5"/>
    <w:rsid w:val="00F76C27"/>
    <w:rsid w:val="00F80816"/>
    <w:rsid w:val="00F8143D"/>
    <w:rsid w:val="00F82F09"/>
    <w:rsid w:val="00F93220"/>
    <w:rsid w:val="00F964EA"/>
    <w:rsid w:val="00F97B0F"/>
    <w:rsid w:val="00FA1621"/>
    <w:rsid w:val="00FA2EE6"/>
    <w:rsid w:val="00FC2D8A"/>
    <w:rsid w:val="00FC2EB6"/>
    <w:rsid w:val="00FC5999"/>
    <w:rsid w:val="00FC5A81"/>
    <w:rsid w:val="00FC7E04"/>
    <w:rsid w:val="00FD119F"/>
    <w:rsid w:val="00FD11D4"/>
    <w:rsid w:val="00FD5F3A"/>
    <w:rsid w:val="00FD7A9F"/>
    <w:rsid w:val="00FE360E"/>
    <w:rsid w:val="00FE3A49"/>
    <w:rsid w:val="00FF1E6F"/>
    <w:rsid w:val="00FF6C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1C47F"/>
  <w15:chartTrackingRefBased/>
  <w15:docId w15:val="{7D5B2BB0-0993-40CB-B45C-89881BA4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534"/>
    <w:pPr>
      <w:tabs>
        <w:tab w:val="center" w:pos="4153"/>
        <w:tab w:val="right" w:pos="8306"/>
      </w:tabs>
      <w:spacing w:after="0" w:line="240" w:lineRule="auto"/>
    </w:pPr>
  </w:style>
  <w:style w:type="character" w:customStyle="1" w:styleId="HeaderChar">
    <w:name w:val="Header Char"/>
    <w:basedOn w:val="DefaultParagraphFont"/>
    <w:link w:val="Header"/>
    <w:uiPriority w:val="99"/>
    <w:rsid w:val="00753534"/>
  </w:style>
  <w:style w:type="paragraph" w:styleId="Footer">
    <w:name w:val="footer"/>
    <w:basedOn w:val="Normal"/>
    <w:link w:val="FooterChar"/>
    <w:uiPriority w:val="99"/>
    <w:unhideWhenUsed/>
    <w:rsid w:val="00753534"/>
    <w:pPr>
      <w:tabs>
        <w:tab w:val="center" w:pos="4153"/>
        <w:tab w:val="right" w:pos="8306"/>
      </w:tabs>
      <w:spacing w:after="0" w:line="240" w:lineRule="auto"/>
    </w:pPr>
  </w:style>
  <w:style w:type="character" w:customStyle="1" w:styleId="FooterChar">
    <w:name w:val="Footer Char"/>
    <w:basedOn w:val="DefaultParagraphFont"/>
    <w:link w:val="Footer"/>
    <w:uiPriority w:val="99"/>
    <w:rsid w:val="00753534"/>
  </w:style>
  <w:style w:type="character" w:styleId="Hyperlink">
    <w:name w:val="Hyperlink"/>
    <w:basedOn w:val="DefaultParagraphFont"/>
    <w:uiPriority w:val="99"/>
    <w:unhideWhenUsed/>
    <w:rsid w:val="00753534"/>
    <w:rPr>
      <w:color w:val="0000FF"/>
      <w:u w:val="single"/>
    </w:rPr>
  </w:style>
  <w:style w:type="paragraph" w:styleId="NormalWeb">
    <w:name w:val="Normal (Web)"/>
    <w:basedOn w:val="Normal"/>
    <w:uiPriority w:val="99"/>
    <w:unhideWhenUsed/>
    <w:rsid w:val="0075353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53534"/>
    <w:rPr>
      <w:sz w:val="16"/>
      <w:szCs w:val="16"/>
    </w:rPr>
  </w:style>
  <w:style w:type="paragraph" w:styleId="CommentText">
    <w:name w:val="annotation text"/>
    <w:basedOn w:val="Normal"/>
    <w:link w:val="CommentTextChar"/>
    <w:uiPriority w:val="99"/>
    <w:semiHidden/>
    <w:unhideWhenUsed/>
    <w:rsid w:val="00753534"/>
    <w:pPr>
      <w:spacing w:line="240" w:lineRule="auto"/>
    </w:pPr>
    <w:rPr>
      <w:sz w:val="20"/>
      <w:szCs w:val="20"/>
    </w:rPr>
  </w:style>
  <w:style w:type="character" w:customStyle="1" w:styleId="CommentTextChar">
    <w:name w:val="Comment Text Char"/>
    <w:basedOn w:val="DefaultParagraphFont"/>
    <w:link w:val="CommentText"/>
    <w:uiPriority w:val="99"/>
    <w:semiHidden/>
    <w:rsid w:val="00753534"/>
    <w:rPr>
      <w:sz w:val="20"/>
      <w:szCs w:val="20"/>
    </w:rPr>
  </w:style>
  <w:style w:type="paragraph" w:styleId="BalloonText">
    <w:name w:val="Balloon Text"/>
    <w:basedOn w:val="Normal"/>
    <w:link w:val="BalloonTextChar"/>
    <w:uiPriority w:val="99"/>
    <w:semiHidden/>
    <w:unhideWhenUsed/>
    <w:rsid w:val="00753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53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A5BC7"/>
    <w:rPr>
      <w:b/>
      <w:bCs/>
    </w:rPr>
  </w:style>
  <w:style w:type="character" w:customStyle="1" w:styleId="CommentSubjectChar">
    <w:name w:val="Comment Subject Char"/>
    <w:basedOn w:val="CommentTextChar"/>
    <w:link w:val="CommentSubject"/>
    <w:uiPriority w:val="99"/>
    <w:semiHidden/>
    <w:rsid w:val="00DA5BC7"/>
    <w:rPr>
      <w:b/>
      <w:bCs/>
      <w:sz w:val="20"/>
      <w:szCs w:val="20"/>
    </w:rPr>
  </w:style>
  <w:style w:type="paragraph" w:customStyle="1" w:styleId="tv213">
    <w:name w:val="tv213"/>
    <w:basedOn w:val="Normal"/>
    <w:rsid w:val="0099375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737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726636">
      <w:bodyDiv w:val="1"/>
      <w:marLeft w:val="0"/>
      <w:marRight w:val="0"/>
      <w:marTop w:val="0"/>
      <w:marBottom w:val="0"/>
      <w:divBdr>
        <w:top w:val="none" w:sz="0" w:space="0" w:color="auto"/>
        <w:left w:val="none" w:sz="0" w:space="0" w:color="auto"/>
        <w:bottom w:val="none" w:sz="0" w:space="0" w:color="auto"/>
        <w:right w:val="none" w:sz="0" w:space="0" w:color="auto"/>
      </w:divBdr>
      <w:divsChild>
        <w:div w:id="1450467006">
          <w:marLeft w:val="0"/>
          <w:marRight w:val="0"/>
          <w:marTop w:val="480"/>
          <w:marBottom w:val="240"/>
          <w:divBdr>
            <w:top w:val="none" w:sz="0" w:space="0" w:color="auto"/>
            <w:left w:val="none" w:sz="0" w:space="0" w:color="auto"/>
            <w:bottom w:val="none" w:sz="0" w:space="0" w:color="auto"/>
            <w:right w:val="none" w:sz="0" w:space="0" w:color="auto"/>
          </w:divBdr>
        </w:div>
        <w:div w:id="1126659875">
          <w:marLeft w:val="0"/>
          <w:marRight w:val="0"/>
          <w:marTop w:val="0"/>
          <w:marBottom w:val="567"/>
          <w:divBdr>
            <w:top w:val="none" w:sz="0" w:space="0" w:color="auto"/>
            <w:left w:val="none" w:sz="0" w:space="0" w:color="auto"/>
            <w:bottom w:val="none" w:sz="0" w:space="0" w:color="auto"/>
            <w:right w:val="none" w:sz="0" w:space="0" w:color="auto"/>
          </w:divBdr>
        </w:div>
      </w:divsChild>
    </w:div>
    <w:div w:id="1149980694">
      <w:bodyDiv w:val="1"/>
      <w:marLeft w:val="0"/>
      <w:marRight w:val="0"/>
      <w:marTop w:val="0"/>
      <w:marBottom w:val="0"/>
      <w:divBdr>
        <w:top w:val="none" w:sz="0" w:space="0" w:color="auto"/>
        <w:left w:val="none" w:sz="0" w:space="0" w:color="auto"/>
        <w:bottom w:val="none" w:sz="0" w:space="0" w:color="auto"/>
        <w:right w:val="none" w:sz="0" w:space="0" w:color="auto"/>
      </w:divBdr>
    </w:div>
    <w:div w:id="1690982179">
      <w:bodyDiv w:val="1"/>
      <w:marLeft w:val="0"/>
      <w:marRight w:val="0"/>
      <w:marTop w:val="0"/>
      <w:marBottom w:val="0"/>
      <w:divBdr>
        <w:top w:val="none" w:sz="0" w:space="0" w:color="auto"/>
        <w:left w:val="none" w:sz="0" w:space="0" w:color="auto"/>
        <w:bottom w:val="none" w:sz="0" w:space="0" w:color="auto"/>
        <w:right w:val="none" w:sz="0" w:space="0" w:color="auto"/>
      </w:divBdr>
    </w:div>
    <w:div w:id="1719863909">
      <w:bodyDiv w:val="1"/>
      <w:marLeft w:val="0"/>
      <w:marRight w:val="0"/>
      <w:marTop w:val="0"/>
      <w:marBottom w:val="0"/>
      <w:divBdr>
        <w:top w:val="none" w:sz="0" w:space="0" w:color="auto"/>
        <w:left w:val="none" w:sz="0" w:space="0" w:color="auto"/>
        <w:bottom w:val="none" w:sz="0" w:space="0" w:color="auto"/>
        <w:right w:val="none" w:sz="0" w:space="0" w:color="auto"/>
      </w:divBdr>
    </w:div>
    <w:div w:id="211714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8048-par-valsts-pensija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37968-par-obligato-socialo-apdrosinasanu-pret-nelaimes-gadijumiem-darba-un-arodslimib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CBF71-B998-400D-97A9-EDB0C0B98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4178</Words>
  <Characters>2383</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Ministru kabineta noteikumu projekts „Grozījumi Ministru kabineta 1999.gada 16.februāra noteikumos Nr.50 „Obligātās sociālās apdrošināšanas pret nelaimes gadījumiem darbā un arodslimībām apdrošināšanas atlīdzības piešķiršanas un aprēķināšanas kārtība””</vt:lpstr>
    </vt:vector>
  </TitlesOfParts>
  <Company>LM</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projekts „Grozījumi Ministru kabineta 1999.gada 16.februāra noteikumos Nr.50 „Obligātās sociālās apdrošināšanas pret nelaimes gadījumiem darbā un arodslimībām apdrošināšanas atlīdzības piešķiršanas un aprēķināšanas kārtība””</dc:title>
  <dc:subject>Noteikumu projekts</dc:subject>
  <dc:creator>Daiga Kudiņa</dc:creator>
  <cp:keywords/>
  <dc:description>Daiga Kudiņa, 67021678
Daiga.Kudina@lm.gov.lv</dc:description>
  <cp:lastModifiedBy>Daiga Kudiņa</cp:lastModifiedBy>
  <cp:revision>2</cp:revision>
  <cp:lastPrinted>2021-01-27T10:06:00Z</cp:lastPrinted>
  <dcterms:created xsi:type="dcterms:W3CDTF">2021-03-09T15:39:00Z</dcterms:created>
  <dcterms:modified xsi:type="dcterms:W3CDTF">2021-03-09T15:39:00Z</dcterms:modified>
</cp:coreProperties>
</file>