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tblLayout w:type="fixed"/>
        <w:tblLook w:val="0600" w:firstRow="0" w:lastRow="0" w:firstColumn="0" w:lastColumn="0" w:noHBand="1" w:noVBand="1"/>
      </w:tblPr>
      <w:tblGrid>
        <w:gridCol w:w="4873"/>
        <w:gridCol w:w="4873"/>
      </w:tblGrid>
      <w:tr w:rsidR="00126015" w:rsidRPr="00126015" w14:paraId="5EA48336" w14:textId="77777777" w:rsidTr="00ED3F7C">
        <w:trPr>
          <w:trHeight w:val="111"/>
        </w:trPr>
        <w:tc>
          <w:tcPr>
            <w:tcW w:w="4873" w:type="dxa"/>
          </w:tcPr>
          <w:bookmarkStart w:id="0" w:name="_Hlk67922498"/>
          <w:bookmarkStart w:id="1" w:name="_GoBack" w:colFirst="1" w:colLast="1"/>
          <w:p w14:paraId="36D68327" w14:textId="7C63E0F4" w:rsidR="00126015" w:rsidRPr="00126015" w:rsidRDefault="00126015" w:rsidP="00126015">
            <w:pPr>
              <w:spacing w:after="0" w:line="240" w:lineRule="auto"/>
              <w:rPr>
                <w:rFonts w:ascii="Georgia" w:eastAsia="Georgia" w:hAnsi="Georgia" w:cs="Times New Roman"/>
                <w:sz w:val="10"/>
                <w:szCs w:val="24"/>
                <w:lang w:val="en-US"/>
              </w:rPr>
            </w:pPr>
            <w:r w:rsidRPr="00126015">
              <w:rPr>
                <w:rFonts w:ascii="Georgia" w:eastAsia="Georgia" w:hAnsi="Georgia" w:cs="Times New Roman"/>
                <w:noProof/>
                <w:sz w:val="10"/>
                <w:szCs w:val="24"/>
                <w:lang w:val="en-US" w:eastAsia="en-AU"/>
              </w:rPr>
              <mc:AlternateContent>
                <mc:Choice Requires="wpg">
                  <w:drawing>
                    <wp:anchor distT="0" distB="0" distL="114300" distR="114300" simplePos="0" relativeHeight="251663360" behindDoc="1" locked="0" layoutInCell="1" allowOverlap="1" wp14:anchorId="7F42EEA5" wp14:editId="5DE4F57D">
                      <wp:simplePos x="0" y="0"/>
                      <wp:positionH relativeFrom="margin">
                        <wp:posOffset>-513715</wp:posOffset>
                      </wp:positionH>
                      <wp:positionV relativeFrom="page">
                        <wp:posOffset>-406400</wp:posOffset>
                      </wp:positionV>
                      <wp:extent cx="7772400" cy="10054800"/>
                      <wp:effectExtent l="0" t="0" r="0" b="3810"/>
                      <wp:wrapNone/>
                      <wp:docPr id="8"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9"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rgbClr val="FFFFFF">
                                    <a:lumMod val="85000"/>
                                  </a:srgbClr>
                                </a:solidFill>
                                <a:ln w="12700">
                                  <a:miter lim="400000"/>
                                </a:ln>
                              </wps:spPr>
                              <wps:bodyPr lIns="38100" tIns="38100" rIns="38100" bIns="38100" anchor="ctr"/>
                            </wps:wsp>
                            <wps:wsp>
                              <wps:cNvPr id="11"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rgbClr val="00C1C7"/>
                                </a:solidFill>
                                <a:ln w="12700">
                                  <a:miter lim="400000"/>
                                </a:ln>
                              </wps:spPr>
                              <wps:bodyPr lIns="38100" tIns="38100" rIns="38100" bIns="38100" anchor="ctr"/>
                            </wps:wsp>
                            <wps:wsp>
                              <wps:cNvPr id="12"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rgbClr val="123869"/>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0A4D9E0" id="Group 1" o:spid="_x0000_s1026" style="position:absolute;margin-left:-40.45pt;margin-top:-32pt;width:612pt;height:791.7pt;z-index:-251653120;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" path="m,10687l,21600r1769,l21600,6148,13712,,,10687xe" fillcolor="#d9d9d9"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" path="m,21600l21600,10802,,,,21600xe" fillcolor="#00c1c7"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" path="m,14678r,6922l21600,3032,21600,,17075,,,14678xe" fillcolor="#123869"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4873" w:type="dxa"/>
          </w:tcPr>
          <w:p w14:paraId="5E723693" w14:textId="77777777" w:rsidR="00126015" w:rsidRPr="00126015" w:rsidRDefault="00126015" w:rsidP="00126015">
            <w:pPr>
              <w:spacing w:after="0" w:line="240" w:lineRule="auto"/>
              <w:rPr>
                <w:rFonts w:ascii="Georgia" w:eastAsia="Georgia" w:hAnsi="Georgia" w:cs="Times New Roman"/>
                <w:sz w:val="10"/>
                <w:szCs w:val="24"/>
                <w:lang w:val="en-US"/>
              </w:rPr>
            </w:pPr>
          </w:p>
        </w:tc>
      </w:tr>
      <w:tr w:rsidR="00126015" w:rsidRPr="00126015" w14:paraId="29B2C28F" w14:textId="77777777" w:rsidTr="00ED3F7C">
        <w:trPr>
          <w:trHeight w:val="2730"/>
        </w:trPr>
        <w:tc>
          <w:tcPr>
            <w:tcW w:w="4873" w:type="dxa"/>
          </w:tcPr>
          <w:p w14:paraId="684A9857" w14:textId="77777777" w:rsidR="00126015" w:rsidRPr="00126015" w:rsidRDefault="00126015" w:rsidP="00126015">
            <w:pPr>
              <w:keepNext/>
              <w:keepLines/>
              <w:spacing w:before="240" w:after="0" w:line="240" w:lineRule="auto"/>
              <w:outlineLvl w:val="0"/>
              <w:rPr>
                <w:rFonts w:ascii="Arial Black" w:eastAsia="Times New Roman" w:hAnsi="Arial Black" w:cs="Times New Roman"/>
                <w:b/>
                <w:color w:val="123869"/>
                <w:sz w:val="52"/>
                <w:szCs w:val="52"/>
              </w:rPr>
            </w:pPr>
            <w:bookmarkStart w:id="2" w:name="_Hlk68012196"/>
            <w:r w:rsidRPr="00126015">
              <w:rPr>
                <w:rFonts w:ascii="Arial Black" w:eastAsia="Times New Roman" w:hAnsi="Arial Black" w:cs="Arial"/>
                <w:b/>
                <w:color w:val="123869"/>
                <w:sz w:val="52"/>
                <w:szCs w:val="52"/>
              </w:rPr>
              <w:t>Dzimumu</w:t>
            </w:r>
            <w:r w:rsidRPr="00126015">
              <w:rPr>
                <w:rFonts w:ascii="Arial Black" w:eastAsia="Times New Roman" w:hAnsi="Arial Black" w:cs="Times New Roman"/>
                <w:b/>
                <w:color w:val="123869"/>
                <w:sz w:val="52"/>
                <w:szCs w:val="52"/>
              </w:rPr>
              <w:t xml:space="preserve"> līdztiesība un vienlīdzīgas iespējas </w:t>
            </w:r>
          </w:p>
        </w:tc>
        <w:tc>
          <w:tcPr>
            <w:tcW w:w="4873" w:type="dxa"/>
          </w:tcPr>
          <w:p w14:paraId="10C326C3" w14:textId="77777777" w:rsidR="00126015" w:rsidRPr="00126015" w:rsidRDefault="00126015" w:rsidP="00126015">
            <w:pPr>
              <w:spacing w:after="0" w:line="240" w:lineRule="auto"/>
              <w:rPr>
                <w:rFonts w:ascii="Georgia" w:eastAsia="Georgia" w:hAnsi="Georgia" w:cs="Times New Roman"/>
                <w:sz w:val="24"/>
                <w:szCs w:val="24"/>
                <w:lang w:val="en-US"/>
              </w:rPr>
            </w:pPr>
          </w:p>
        </w:tc>
      </w:tr>
      <w:bookmarkEnd w:id="2"/>
      <w:tr w:rsidR="00126015" w:rsidRPr="00126015" w14:paraId="0FC79D7D" w14:textId="77777777" w:rsidTr="00ED3F7C">
        <w:trPr>
          <w:trHeight w:val="6837"/>
        </w:trPr>
        <w:tc>
          <w:tcPr>
            <w:tcW w:w="4873" w:type="dxa"/>
          </w:tcPr>
          <w:p w14:paraId="49DEB8DF" w14:textId="77777777" w:rsidR="00126015" w:rsidRPr="00126015" w:rsidRDefault="00126015" w:rsidP="00126015">
            <w:pPr>
              <w:spacing w:after="0" w:line="240" w:lineRule="auto"/>
              <w:rPr>
                <w:rFonts w:ascii="Georgia" w:eastAsia="Georgia" w:hAnsi="Georgia" w:cs="Times New Roman"/>
                <w:sz w:val="24"/>
                <w:szCs w:val="24"/>
                <w:lang w:val="en-US"/>
              </w:rPr>
            </w:pPr>
          </w:p>
        </w:tc>
        <w:tc>
          <w:tcPr>
            <w:tcW w:w="4873" w:type="dxa"/>
          </w:tcPr>
          <w:p w14:paraId="00672373" w14:textId="77777777" w:rsidR="00126015" w:rsidRPr="00126015" w:rsidRDefault="00126015" w:rsidP="00126015">
            <w:pPr>
              <w:spacing w:after="0" w:line="240" w:lineRule="auto"/>
              <w:rPr>
                <w:rFonts w:ascii="Georgia" w:eastAsia="Georgia" w:hAnsi="Georgia" w:cs="Times New Roman"/>
                <w:sz w:val="24"/>
                <w:szCs w:val="24"/>
                <w:lang w:val="en-US"/>
              </w:rPr>
            </w:pPr>
          </w:p>
        </w:tc>
      </w:tr>
      <w:tr w:rsidR="00126015" w:rsidRPr="00126015" w14:paraId="064D039E" w14:textId="77777777" w:rsidTr="00ED3F7C">
        <w:trPr>
          <w:trHeight w:val="1304"/>
        </w:trPr>
        <w:tc>
          <w:tcPr>
            <w:tcW w:w="4873" w:type="dxa"/>
          </w:tcPr>
          <w:p w14:paraId="77F18C6A" w14:textId="77777777" w:rsidR="00126015" w:rsidRPr="00126015" w:rsidRDefault="00126015" w:rsidP="00126015">
            <w:pPr>
              <w:spacing w:after="0" w:line="240" w:lineRule="auto"/>
              <w:rPr>
                <w:rFonts w:ascii="Georgia" w:eastAsia="Georgia" w:hAnsi="Georgia" w:cs="Times New Roman"/>
                <w:sz w:val="24"/>
                <w:szCs w:val="24"/>
                <w:lang w:val="en-US"/>
              </w:rPr>
            </w:pPr>
          </w:p>
        </w:tc>
        <w:tc>
          <w:tcPr>
            <w:tcW w:w="4873" w:type="dxa"/>
          </w:tcPr>
          <w:p w14:paraId="1A5F458A" w14:textId="77777777" w:rsidR="00126015" w:rsidRDefault="00126015" w:rsidP="00126015">
            <w:pPr>
              <w:keepNext/>
              <w:keepLines/>
              <w:spacing w:after="0" w:line="240" w:lineRule="auto"/>
              <w:outlineLvl w:val="1"/>
              <w:rPr>
                <w:rFonts w:ascii="Arial Black" w:eastAsia="Times New Roman" w:hAnsi="Arial Black" w:cs="Times New Roman"/>
                <w:b/>
                <w:color w:val="00C1C7"/>
                <w:sz w:val="32"/>
                <w:szCs w:val="32"/>
              </w:rPr>
            </w:pPr>
            <w:r w:rsidRPr="00126015">
              <w:rPr>
                <w:rFonts w:ascii="Arial Black" w:eastAsia="Times New Roman" w:hAnsi="Arial Black" w:cs="Times New Roman"/>
                <w:b/>
                <w:color w:val="00C1C7"/>
                <w:sz w:val="32"/>
                <w:szCs w:val="32"/>
              </w:rPr>
              <w:t xml:space="preserve">Vadlīnijas horizontālā principa atspoguļošanai Atveseļošanas un </w:t>
            </w:r>
          </w:p>
          <w:p w14:paraId="7157319B" w14:textId="77777777" w:rsidR="00126015" w:rsidRDefault="00126015" w:rsidP="00126015">
            <w:pPr>
              <w:keepNext/>
              <w:keepLines/>
              <w:spacing w:after="0" w:line="240" w:lineRule="auto"/>
              <w:outlineLvl w:val="1"/>
              <w:rPr>
                <w:rFonts w:ascii="Arial Black" w:eastAsia="Times New Roman" w:hAnsi="Arial Black" w:cs="Times New Roman"/>
                <w:b/>
                <w:color w:val="00C1C7"/>
                <w:sz w:val="32"/>
                <w:szCs w:val="32"/>
              </w:rPr>
            </w:pPr>
            <w:r w:rsidRPr="00126015">
              <w:rPr>
                <w:rFonts w:ascii="Arial Black" w:eastAsia="Times New Roman" w:hAnsi="Arial Black" w:cs="Times New Roman"/>
                <w:b/>
                <w:color w:val="00C1C7"/>
                <w:sz w:val="32"/>
                <w:szCs w:val="32"/>
              </w:rPr>
              <w:t xml:space="preserve">noturības mehānisma </w:t>
            </w:r>
          </w:p>
          <w:p w14:paraId="08A4BC13" w14:textId="53FB78D4" w:rsidR="00126015" w:rsidRPr="00126015" w:rsidRDefault="00126015" w:rsidP="00126015">
            <w:pPr>
              <w:keepNext/>
              <w:keepLines/>
              <w:spacing w:after="0" w:line="240" w:lineRule="auto"/>
              <w:outlineLvl w:val="1"/>
              <w:rPr>
                <w:rFonts w:ascii="Arial Black" w:eastAsia="Times New Roman" w:hAnsi="Arial Black" w:cs="Times New Roman"/>
                <w:b/>
                <w:color w:val="00C1C7"/>
                <w:sz w:val="32"/>
                <w:szCs w:val="32"/>
              </w:rPr>
            </w:pPr>
            <w:r w:rsidRPr="00126015">
              <w:rPr>
                <w:rFonts w:ascii="Arial Black" w:eastAsia="Times New Roman" w:hAnsi="Arial Black" w:cs="Times New Roman"/>
                <w:b/>
                <w:color w:val="00C1C7"/>
                <w:sz w:val="32"/>
                <w:szCs w:val="32"/>
              </w:rPr>
              <w:t>plānā (2021-2027)</w:t>
            </w:r>
          </w:p>
          <w:p w14:paraId="32CFCA71" w14:textId="77777777" w:rsidR="00126015" w:rsidRPr="00126015" w:rsidRDefault="00126015" w:rsidP="00126015">
            <w:pPr>
              <w:spacing w:after="0" w:line="240" w:lineRule="auto"/>
              <w:rPr>
                <w:rFonts w:ascii="Georgia" w:eastAsia="Georgia" w:hAnsi="Georgia" w:cs="Times New Roman"/>
                <w:sz w:val="24"/>
                <w:szCs w:val="24"/>
              </w:rPr>
            </w:pPr>
          </w:p>
          <w:p w14:paraId="068DBB09" w14:textId="5F1C6A8A" w:rsidR="00126015" w:rsidRPr="00126015" w:rsidRDefault="00126015" w:rsidP="00ED3F7C">
            <w:pPr>
              <w:spacing w:after="0" w:line="240" w:lineRule="auto"/>
              <w:rPr>
                <w:rFonts w:ascii="Georgia" w:eastAsia="Times New Roman" w:hAnsi="Georgia" w:cs="Times New Roman"/>
                <w:i/>
                <w:color w:val="00C1C7"/>
                <w:sz w:val="42"/>
                <w:szCs w:val="26"/>
              </w:rPr>
            </w:pPr>
            <w:r w:rsidRPr="00126015">
              <w:rPr>
                <w:rFonts w:ascii="Arial" w:eastAsia="Georgia" w:hAnsi="Arial" w:cs="Arial"/>
                <w:sz w:val="24"/>
                <w:szCs w:val="24"/>
              </w:rPr>
              <w:t>Labklājības ministrija, 2021.gads</w:t>
            </w:r>
          </w:p>
        </w:tc>
      </w:tr>
      <w:bookmarkEnd w:id="0"/>
      <w:bookmarkEnd w:id="1"/>
    </w:tbl>
    <w:p w14:paraId="2865B487" w14:textId="77777777" w:rsidR="00ED3F7C" w:rsidRDefault="00ED3F7C" w:rsidP="003D3AE1">
      <w:pPr>
        <w:rPr>
          <w:rFonts w:cstheme="minorHAnsi"/>
          <w:b/>
          <w:color w:val="2E74B5" w:themeColor="accent5" w:themeShade="BF"/>
          <w:sz w:val="32"/>
          <w:szCs w:val="32"/>
        </w:rPr>
      </w:pPr>
    </w:p>
    <w:p w14:paraId="791FE550" w14:textId="77777777" w:rsidR="00ED3F7C" w:rsidRDefault="00ED3F7C" w:rsidP="003D3AE1">
      <w:pPr>
        <w:rPr>
          <w:rFonts w:cstheme="minorHAnsi"/>
          <w:b/>
          <w:color w:val="2E74B5" w:themeColor="accent5" w:themeShade="BF"/>
          <w:sz w:val="32"/>
          <w:szCs w:val="32"/>
        </w:rPr>
      </w:pPr>
    </w:p>
    <w:p w14:paraId="4C43A45C" w14:textId="01F8E7DD" w:rsidR="00ED3F7C" w:rsidRPr="00C87894" w:rsidRDefault="00ED3F7C" w:rsidP="00ED3F7C">
      <w:pPr>
        <w:jc w:val="both"/>
        <w:rPr>
          <w:rFonts w:cstheme="minorHAnsi"/>
          <w:sz w:val="24"/>
          <w:szCs w:val="24"/>
        </w:rPr>
      </w:pPr>
      <w:r w:rsidRPr="00C87894">
        <w:rPr>
          <w:rFonts w:cstheme="minorHAnsi"/>
          <w:sz w:val="24"/>
          <w:szCs w:val="24"/>
        </w:rPr>
        <w:lastRenderedPageBreak/>
        <w:t xml:space="preserve">Iekļaujošai sabiedrībai un diskriminācijas novēršanai ir jākļūst par jaunu normu </w:t>
      </w:r>
      <w:proofErr w:type="spellStart"/>
      <w:r w:rsidRPr="00C87894">
        <w:rPr>
          <w:rFonts w:cstheme="minorHAnsi"/>
          <w:sz w:val="24"/>
          <w:szCs w:val="24"/>
        </w:rPr>
        <w:t>Covid</w:t>
      </w:r>
      <w:proofErr w:type="spellEnd"/>
      <w:r w:rsidRPr="00C87894">
        <w:rPr>
          <w:rFonts w:cstheme="minorHAnsi"/>
          <w:sz w:val="24"/>
          <w:szCs w:val="24"/>
        </w:rPr>
        <w:t xml:space="preserve"> – 19 krīzes radītajos apstākļos. </w:t>
      </w:r>
      <w:proofErr w:type="spellStart"/>
      <w:r w:rsidRPr="00C87894">
        <w:rPr>
          <w:rFonts w:cstheme="minorHAnsi"/>
          <w:sz w:val="24"/>
          <w:szCs w:val="24"/>
        </w:rPr>
        <w:t>Domenica</w:t>
      </w:r>
      <w:proofErr w:type="spellEnd"/>
      <w:r w:rsidRPr="00C87894">
        <w:rPr>
          <w:rFonts w:cstheme="minorHAnsi"/>
          <w:sz w:val="24"/>
          <w:szCs w:val="24"/>
        </w:rPr>
        <w:t xml:space="preserve"> </w:t>
      </w:r>
      <w:proofErr w:type="spellStart"/>
      <w:r w:rsidRPr="00C87894">
        <w:rPr>
          <w:rFonts w:cstheme="minorHAnsi"/>
          <w:sz w:val="24"/>
          <w:szCs w:val="24"/>
        </w:rPr>
        <w:t>Ghidei</w:t>
      </w:r>
      <w:proofErr w:type="spellEnd"/>
      <w:r w:rsidRPr="00C87894">
        <w:rPr>
          <w:rFonts w:cstheme="minorHAnsi"/>
          <w:sz w:val="24"/>
          <w:szCs w:val="24"/>
        </w:rPr>
        <w:t xml:space="preserve"> </w:t>
      </w:r>
      <w:proofErr w:type="spellStart"/>
      <w:r w:rsidRPr="00C87894">
        <w:rPr>
          <w:rFonts w:cstheme="minorHAnsi"/>
          <w:sz w:val="24"/>
          <w:szCs w:val="24"/>
        </w:rPr>
        <w:t>Biidu</w:t>
      </w:r>
      <w:proofErr w:type="spellEnd"/>
      <w:r w:rsidRPr="00C87894">
        <w:rPr>
          <w:rFonts w:cstheme="minorHAnsi"/>
          <w:sz w:val="24"/>
          <w:szCs w:val="24"/>
        </w:rPr>
        <w:t xml:space="preserve">, Nīderlandes Cilvēktiesību institūta cilvēktiesību komisāra vietniece un Eiropas Padomes Eiropas Komisijas pret rasismu un neiecietību priekšsēdētāja vietniece runā par </w:t>
      </w:r>
      <w:proofErr w:type="spellStart"/>
      <w:r w:rsidRPr="00C87894">
        <w:rPr>
          <w:rFonts w:cstheme="minorHAnsi"/>
          <w:sz w:val="24"/>
          <w:szCs w:val="24"/>
        </w:rPr>
        <w:t>daudzajiem</w:t>
      </w:r>
      <w:proofErr w:type="spellEnd"/>
      <w:r w:rsidRPr="00C87894">
        <w:rPr>
          <w:rFonts w:cstheme="minorHAnsi"/>
          <w:sz w:val="24"/>
          <w:szCs w:val="24"/>
        </w:rPr>
        <w:t xml:space="preserve"> izaicinājumiem, kuri vēl jāatrisina, lai neviens netiek pakļauts diskriminācijai.</w:t>
      </w:r>
      <w:r w:rsidRPr="00C87894">
        <w:rPr>
          <w:sz w:val="24"/>
          <w:szCs w:val="24"/>
        </w:rPr>
        <w:t xml:space="preserve"> </w:t>
      </w:r>
      <w:r>
        <w:rPr>
          <w:sz w:val="24"/>
          <w:szCs w:val="24"/>
        </w:rPr>
        <w:t>Diskriminācijas izskaušanas</w:t>
      </w:r>
      <w:r w:rsidRPr="00C87894">
        <w:rPr>
          <w:sz w:val="24"/>
          <w:szCs w:val="24"/>
        </w:rPr>
        <w:t xml:space="preserve"> kontekstā valstis tiek aicinātas meklēt veidus, kā  </w:t>
      </w:r>
      <w:r w:rsidRPr="00C87894">
        <w:rPr>
          <w:rFonts w:cstheme="minorHAnsi"/>
          <w:sz w:val="24"/>
          <w:szCs w:val="24"/>
        </w:rPr>
        <w:t>to, ko esam darījuši līdz šim</w:t>
      </w:r>
      <w:r w:rsidR="004B3D90">
        <w:rPr>
          <w:rFonts w:cstheme="minorHAnsi"/>
          <w:sz w:val="24"/>
          <w:szCs w:val="24"/>
        </w:rPr>
        <w:t>,</w:t>
      </w:r>
      <w:r w:rsidRPr="00C87894">
        <w:rPr>
          <w:rFonts w:cstheme="minorHAnsi"/>
          <w:sz w:val="24"/>
          <w:szCs w:val="24"/>
        </w:rPr>
        <w:t xml:space="preserve"> darīt citādi, lai mazinātu aizspriedumus par dzimumu līdztiesību, </w:t>
      </w:r>
      <w:r>
        <w:rPr>
          <w:rFonts w:cstheme="minorHAnsi"/>
          <w:sz w:val="24"/>
          <w:szCs w:val="24"/>
        </w:rPr>
        <w:t xml:space="preserve">invaliditāti, </w:t>
      </w:r>
      <w:r w:rsidRPr="00C87894">
        <w:rPr>
          <w:rFonts w:cstheme="minorHAnsi"/>
          <w:sz w:val="24"/>
          <w:szCs w:val="24"/>
        </w:rPr>
        <w:t>etnisko vai reliģisko piederību, seksuālo orientāciju, politi</w:t>
      </w:r>
      <w:r>
        <w:rPr>
          <w:rFonts w:cstheme="minorHAnsi"/>
          <w:sz w:val="24"/>
          <w:szCs w:val="24"/>
        </w:rPr>
        <w:t>sk</w:t>
      </w:r>
      <w:r w:rsidRPr="00C87894">
        <w:rPr>
          <w:rFonts w:cstheme="minorHAnsi"/>
          <w:sz w:val="24"/>
          <w:szCs w:val="24"/>
        </w:rPr>
        <w:t>ajiem uzskatiem</w:t>
      </w:r>
      <w:r w:rsidR="004B3D90">
        <w:rPr>
          <w:rFonts w:cstheme="minorHAnsi"/>
          <w:sz w:val="24"/>
          <w:szCs w:val="24"/>
        </w:rPr>
        <w:t xml:space="preserve"> un izskaustu diskrimināciju</w:t>
      </w:r>
      <w:r>
        <w:rPr>
          <w:rFonts w:cstheme="minorHAnsi"/>
          <w:sz w:val="24"/>
          <w:szCs w:val="24"/>
        </w:rPr>
        <w:t>.</w:t>
      </w:r>
      <w:r w:rsidRPr="00C87894">
        <w:rPr>
          <w:rFonts w:cstheme="minorHAnsi"/>
          <w:sz w:val="24"/>
          <w:szCs w:val="24"/>
        </w:rPr>
        <w:t xml:space="preserve"> </w:t>
      </w:r>
    </w:p>
    <w:p w14:paraId="5A0535D6" w14:textId="77777777" w:rsidR="00ED3F7C" w:rsidRPr="005F5A8B" w:rsidRDefault="00ED3F7C" w:rsidP="00ED3F7C">
      <w:pPr>
        <w:jc w:val="both"/>
        <w:rPr>
          <w:rFonts w:cstheme="minorHAnsi"/>
          <w:sz w:val="24"/>
          <w:szCs w:val="24"/>
        </w:rPr>
      </w:pPr>
      <w:r w:rsidRPr="005F5A8B">
        <w:rPr>
          <w:rFonts w:cstheme="minorHAnsi"/>
          <w:sz w:val="24"/>
          <w:szCs w:val="24"/>
        </w:rPr>
        <w:t>Covid-19 krīzes saasinātie dziļi iesakņojušies dzimumu stereotipi individuālā, institucionālā un strukturālā līmenī rada dziļu un ilgstošu kaitējumu sievietēm un vīriešiem, kā arī sabiedrībai kopumā, tostarp kavējot ilgtspējīgu izaugsmi, tādējādi arī apdraudot līdz šim sasniegto mēreno progresu dzimumu līdztiesībā.</w:t>
      </w:r>
    </w:p>
    <w:p w14:paraId="040E069E" w14:textId="50315C14" w:rsidR="003D3AE1" w:rsidRPr="00BD0C9B" w:rsidRDefault="003D3AE1" w:rsidP="003D3AE1">
      <w:pPr>
        <w:rPr>
          <w:rFonts w:cstheme="minorHAnsi"/>
          <w:b/>
          <w:color w:val="2E74B5" w:themeColor="accent5" w:themeShade="BF"/>
          <w:sz w:val="28"/>
          <w:szCs w:val="28"/>
        </w:rPr>
      </w:pPr>
      <w:r w:rsidRPr="00126015">
        <w:rPr>
          <w:rFonts w:cstheme="minorHAnsi"/>
          <w:b/>
          <w:color w:val="2E74B5" w:themeColor="accent5" w:themeShade="BF"/>
          <w:sz w:val="32"/>
          <w:szCs w:val="32"/>
        </w:rPr>
        <w:t>ANM plānā īstenot</w:t>
      </w:r>
      <w:r w:rsidR="00126015" w:rsidRPr="00126015">
        <w:rPr>
          <w:rFonts w:cstheme="minorHAnsi"/>
          <w:b/>
          <w:color w:val="2E74B5" w:themeColor="accent5" w:themeShade="BF"/>
          <w:sz w:val="32"/>
          <w:szCs w:val="32"/>
        </w:rPr>
        <w:t>ajām</w:t>
      </w:r>
      <w:r w:rsidRPr="00126015">
        <w:rPr>
          <w:rFonts w:cstheme="minorHAnsi"/>
          <w:b/>
          <w:color w:val="2E74B5" w:themeColor="accent5" w:themeShade="BF"/>
          <w:sz w:val="32"/>
          <w:szCs w:val="32"/>
        </w:rPr>
        <w:t xml:space="preserve"> darbīb</w:t>
      </w:r>
      <w:r w:rsidR="00BD0C9B" w:rsidRPr="00126015">
        <w:rPr>
          <w:rFonts w:cstheme="minorHAnsi"/>
          <w:b/>
          <w:color w:val="2E74B5" w:themeColor="accent5" w:themeShade="BF"/>
          <w:sz w:val="32"/>
          <w:szCs w:val="32"/>
        </w:rPr>
        <w:t xml:space="preserve">ām ir jānodrošina </w:t>
      </w:r>
      <w:r w:rsidRPr="00126015">
        <w:rPr>
          <w:rFonts w:cstheme="minorHAnsi"/>
          <w:b/>
          <w:color w:val="2E74B5" w:themeColor="accent5" w:themeShade="BF"/>
          <w:sz w:val="32"/>
          <w:szCs w:val="32"/>
        </w:rPr>
        <w:t>horizontālā principa</w:t>
      </w:r>
      <w:r w:rsidR="00FE343B" w:rsidRPr="00126015">
        <w:rPr>
          <w:rFonts w:cstheme="minorHAnsi"/>
          <w:b/>
          <w:color w:val="2E74B5" w:themeColor="accent5" w:themeShade="BF"/>
          <w:sz w:val="32"/>
          <w:szCs w:val="32"/>
        </w:rPr>
        <w:t xml:space="preserve"> “Dzimumu līdztiesība un </w:t>
      </w:r>
      <w:r w:rsidRPr="00126015">
        <w:rPr>
          <w:rFonts w:cstheme="minorHAnsi"/>
          <w:b/>
          <w:color w:val="2E74B5" w:themeColor="accent5" w:themeShade="BF"/>
          <w:sz w:val="32"/>
          <w:szCs w:val="32"/>
        </w:rPr>
        <w:t xml:space="preserve"> </w:t>
      </w:r>
      <w:r w:rsidR="00FE343B" w:rsidRPr="00126015">
        <w:rPr>
          <w:rFonts w:cstheme="minorHAnsi"/>
          <w:b/>
          <w:color w:val="2E74B5" w:themeColor="accent5" w:themeShade="BF"/>
          <w:sz w:val="32"/>
          <w:szCs w:val="32"/>
        </w:rPr>
        <w:t xml:space="preserve">vienlīdzīgas iespējas” </w:t>
      </w:r>
      <w:r w:rsidRPr="00126015">
        <w:rPr>
          <w:rFonts w:cstheme="minorHAnsi"/>
          <w:b/>
          <w:color w:val="2E74B5" w:themeColor="accent5" w:themeShade="BF"/>
          <w:sz w:val="32"/>
          <w:szCs w:val="32"/>
        </w:rPr>
        <w:t>ievērošanu, tostarp</w:t>
      </w:r>
      <w:r w:rsidRPr="00BD0C9B">
        <w:rPr>
          <w:rFonts w:cstheme="minorHAnsi"/>
          <w:b/>
          <w:color w:val="2E74B5" w:themeColor="accent5" w:themeShade="BF"/>
          <w:sz w:val="28"/>
          <w:szCs w:val="28"/>
        </w:rPr>
        <w:t>:</w:t>
      </w:r>
    </w:p>
    <w:p w14:paraId="29209253" w14:textId="77777777" w:rsidR="003D3AE1" w:rsidRPr="007271EE" w:rsidRDefault="00BD0C9B" w:rsidP="002969DD">
      <w:pPr>
        <w:pStyle w:val="ListParagraph"/>
        <w:numPr>
          <w:ilvl w:val="0"/>
          <w:numId w:val="9"/>
        </w:numPr>
        <w:jc w:val="both"/>
        <w:rPr>
          <w:rFonts w:cstheme="minorHAnsi"/>
          <w:sz w:val="24"/>
          <w:szCs w:val="24"/>
        </w:rPr>
      </w:pPr>
      <w:r w:rsidRPr="007271EE">
        <w:rPr>
          <w:rFonts w:cstheme="minorHAnsi"/>
          <w:sz w:val="24"/>
          <w:szCs w:val="24"/>
        </w:rPr>
        <w:t>jā</w:t>
      </w:r>
      <w:r w:rsidR="00AD701A" w:rsidRPr="007271EE">
        <w:rPr>
          <w:rFonts w:cstheme="minorHAnsi"/>
          <w:sz w:val="24"/>
          <w:szCs w:val="24"/>
        </w:rPr>
        <w:t>veicina</w:t>
      </w:r>
      <w:r w:rsidR="003D3AE1" w:rsidRPr="007271EE">
        <w:rPr>
          <w:rFonts w:cstheme="minorHAnsi"/>
          <w:sz w:val="24"/>
          <w:szCs w:val="24"/>
        </w:rPr>
        <w:t xml:space="preserve"> vienlīdzīg</w:t>
      </w:r>
      <w:r w:rsidR="00AD701A" w:rsidRPr="007271EE">
        <w:rPr>
          <w:rFonts w:cstheme="minorHAnsi"/>
          <w:sz w:val="24"/>
          <w:szCs w:val="24"/>
        </w:rPr>
        <w:t>u</w:t>
      </w:r>
      <w:r w:rsidR="003D3AE1" w:rsidRPr="007271EE">
        <w:rPr>
          <w:rFonts w:cstheme="minorHAnsi"/>
          <w:sz w:val="24"/>
          <w:szCs w:val="24"/>
        </w:rPr>
        <w:t xml:space="preserve"> attieksm</w:t>
      </w:r>
      <w:r w:rsidR="00AD701A" w:rsidRPr="007271EE">
        <w:rPr>
          <w:rFonts w:cstheme="minorHAnsi"/>
          <w:sz w:val="24"/>
          <w:szCs w:val="24"/>
        </w:rPr>
        <w:t>i</w:t>
      </w:r>
      <w:r w:rsidR="003D3AE1" w:rsidRPr="007271EE">
        <w:rPr>
          <w:rFonts w:cstheme="minorHAnsi"/>
          <w:sz w:val="24"/>
          <w:szCs w:val="24"/>
        </w:rPr>
        <w:t xml:space="preserve"> un iespējas sievietēm un vīriešiem visās jomās, tostarp attiecībā uz dalību darba tirgū, noteikumiem un nosacījumiem;</w:t>
      </w:r>
    </w:p>
    <w:p w14:paraId="619A3319" w14:textId="3A3C585A" w:rsidR="003D3AE1" w:rsidRPr="007271EE" w:rsidRDefault="00BD0C9B" w:rsidP="002969DD">
      <w:pPr>
        <w:pStyle w:val="ListParagraph"/>
        <w:numPr>
          <w:ilvl w:val="0"/>
          <w:numId w:val="9"/>
        </w:numPr>
        <w:jc w:val="both"/>
        <w:rPr>
          <w:rFonts w:cstheme="minorHAnsi"/>
          <w:sz w:val="24"/>
          <w:szCs w:val="24"/>
        </w:rPr>
      </w:pPr>
      <w:r w:rsidRPr="007271EE">
        <w:rPr>
          <w:rFonts w:cstheme="minorHAnsi"/>
          <w:sz w:val="24"/>
          <w:szCs w:val="24"/>
        </w:rPr>
        <w:t>jā</w:t>
      </w:r>
      <w:r w:rsidR="00AD701A" w:rsidRPr="007271EE">
        <w:rPr>
          <w:rFonts w:cstheme="minorHAnsi"/>
          <w:sz w:val="24"/>
          <w:szCs w:val="24"/>
        </w:rPr>
        <w:t xml:space="preserve">veicina </w:t>
      </w:r>
      <w:r w:rsidR="003D3AE1" w:rsidRPr="007271EE">
        <w:rPr>
          <w:rFonts w:cstheme="minorHAnsi"/>
          <w:sz w:val="24"/>
          <w:szCs w:val="24"/>
        </w:rPr>
        <w:t>nodarbinātības apstākļ</w:t>
      </w:r>
      <w:r w:rsidR="00AD701A" w:rsidRPr="007271EE">
        <w:rPr>
          <w:rFonts w:cstheme="minorHAnsi"/>
          <w:sz w:val="24"/>
          <w:szCs w:val="24"/>
        </w:rPr>
        <w:t>us</w:t>
      </w:r>
      <w:r w:rsidR="003D3AE1" w:rsidRPr="007271EE">
        <w:rPr>
          <w:rFonts w:cstheme="minorHAnsi"/>
          <w:sz w:val="24"/>
          <w:szCs w:val="24"/>
        </w:rPr>
        <w:t xml:space="preserve"> un karjeras virzīb</w:t>
      </w:r>
      <w:r w:rsidR="00AD701A" w:rsidRPr="007271EE">
        <w:rPr>
          <w:rFonts w:cstheme="minorHAnsi"/>
          <w:sz w:val="24"/>
          <w:szCs w:val="24"/>
        </w:rPr>
        <w:t>u</w:t>
      </w:r>
      <w:r w:rsidR="003D3AE1" w:rsidRPr="007271EE">
        <w:rPr>
          <w:rFonts w:cstheme="minorHAnsi"/>
          <w:sz w:val="24"/>
          <w:szCs w:val="24"/>
        </w:rPr>
        <w:t xml:space="preserve"> (Eiropas </w:t>
      </w:r>
      <w:r w:rsidR="007271EE" w:rsidRPr="007271EE">
        <w:rPr>
          <w:rFonts w:cstheme="minorHAnsi"/>
          <w:sz w:val="24"/>
          <w:szCs w:val="24"/>
        </w:rPr>
        <w:t xml:space="preserve">sociālo tiesību </w:t>
      </w:r>
      <w:r w:rsidR="003D3AE1" w:rsidRPr="007271EE">
        <w:rPr>
          <w:rFonts w:cstheme="minorHAnsi"/>
          <w:sz w:val="24"/>
          <w:szCs w:val="24"/>
        </w:rPr>
        <w:t>pīlāra 2. princips);</w:t>
      </w:r>
    </w:p>
    <w:p w14:paraId="73A721B7" w14:textId="77777777" w:rsidR="003D3AE1" w:rsidRPr="007271EE" w:rsidRDefault="00BD0C9B" w:rsidP="002969DD">
      <w:pPr>
        <w:pStyle w:val="ListParagraph"/>
        <w:numPr>
          <w:ilvl w:val="0"/>
          <w:numId w:val="9"/>
        </w:numPr>
        <w:jc w:val="both"/>
        <w:rPr>
          <w:rFonts w:cstheme="minorHAnsi"/>
          <w:sz w:val="24"/>
          <w:szCs w:val="24"/>
        </w:rPr>
      </w:pPr>
      <w:bookmarkStart w:id="3" w:name="_Hlk67989610"/>
      <w:r w:rsidRPr="007271EE">
        <w:rPr>
          <w:rFonts w:cstheme="minorHAnsi"/>
          <w:sz w:val="24"/>
          <w:szCs w:val="24"/>
        </w:rPr>
        <w:t>jā</w:t>
      </w:r>
      <w:r w:rsidR="00AD701A" w:rsidRPr="007271EE">
        <w:rPr>
          <w:rFonts w:cstheme="minorHAnsi"/>
          <w:sz w:val="24"/>
          <w:szCs w:val="24"/>
        </w:rPr>
        <w:t xml:space="preserve">nodrošina </w:t>
      </w:r>
      <w:r w:rsidR="003D3AE1" w:rsidRPr="007271EE">
        <w:rPr>
          <w:rFonts w:cstheme="minorHAnsi"/>
          <w:sz w:val="24"/>
          <w:szCs w:val="24"/>
        </w:rPr>
        <w:t xml:space="preserve">sievietēm un vīriešiem tiesības uz vienādu samaksu par vienādas vērtības darbu </w:t>
      </w:r>
      <w:bookmarkEnd w:id="3"/>
      <w:r w:rsidR="003D3AE1" w:rsidRPr="007271EE">
        <w:rPr>
          <w:rFonts w:cstheme="minorHAnsi"/>
          <w:sz w:val="24"/>
          <w:szCs w:val="24"/>
        </w:rPr>
        <w:t>(LESD 157. pants, Eiropas sociālo tiesību pīlāra 2. princips);</w:t>
      </w:r>
    </w:p>
    <w:p w14:paraId="6DC56F4D" w14:textId="77777777" w:rsidR="003D3AE1" w:rsidRPr="007271EE" w:rsidRDefault="00BD0C9B" w:rsidP="002969DD">
      <w:pPr>
        <w:pStyle w:val="ListParagraph"/>
        <w:numPr>
          <w:ilvl w:val="0"/>
          <w:numId w:val="9"/>
        </w:numPr>
        <w:jc w:val="both"/>
        <w:rPr>
          <w:rFonts w:cstheme="minorHAnsi"/>
          <w:sz w:val="24"/>
          <w:szCs w:val="24"/>
        </w:rPr>
      </w:pPr>
      <w:r w:rsidRPr="007271EE">
        <w:rPr>
          <w:rFonts w:cstheme="minorHAnsi"/>
          <w:sz w:val="24"/>
          <w:szCs w:val="24"/>
        </w:rPr>
        <w:t>jā</w:t>
      </w:r>
      <w:r w:rsidR="00AD701A" w:rsidRPr="007271EE">
        <w:rPr>
          <w:rFonts w:cstheme="minorHAnsi"/>
          <w:sz w:val="24"/>
          <w:szCs w:val="24"/>
        </w:rPr>
        <w:t xml:space="preserve">nodrošina, ka ikvienam ir tiesības uz vienlīdzīgu attieksmi un iespējām attiecībā uz nodarbinātību, sociālo aizsardzību, izglītību un piekļuvi precēm un pakalpojumiem, kas pieejami sabiedrībai, </w:t>
      </w:r>
      <w:r w:rsidR="003D3AE1" w:rsidRPr="007271EE">
        <w:rPr>
          <w:rFonts w:cstheme="minorHAnsi"/>
          <w:sz w:val="24"/>
          <w:szCs w:val="24"/>
        </w:rPr>
        <w:t>neatkarīgi no dzimuma, rases vai etniskās izcelsmes, reliģijas vai pārliecības, invaliditātes, vecuma vai seksuālās piederības (Eiropas sociālo tiesību pīlāra 3. princips);</w:t>
      </w:r>
    </w:p>
    <w:p w14:paraId="4A4BC6B2" w14:textId="584D7549" w:rsidR="003D3AE1" w:rsidRDefault="003D3AE1" w:rsidP="002969DD">
      <w:pPr>
        <w:pStyle w:val="ListParagraph"/>
        <w:numPr>
          <w:ilvl w:val="0"/>
          <w:numId w:val="9"/>
        </w:numPr>
        <w:jc w:val="both"/>
        <w:rPr>
          <w:rFonts w:cstheme="minorHAnsi"/>
          <w:sz w:val="24"/>
          <w:szCs w:val="24"/>
        </w:rPr>
      </w:pPr>
      <w:r w:rsidRPr="007271EE">
        <w:rPr>
          <w:rFonts w:cstheme="minorHAnsi"/>
          <w:sz w:val="24"/>
          <w:szCs w:val="24"/>
        </w:rPr>
        <w:t>jāveicina nepietiekami pārstāvēto grupu vienlīdzīgas iespējas (Eiropas sociālo tiesību pīlār</w:t>
      </w:r>
      <w:r w:rsidR="007271EE" w:rsidRPr="007271EE">
        <w:rPr>
          <w:rFonts w:cstheme="minorHAnsi"/>
          <w:sz w:val="24"/>
          <w:szCs w:val="24"/>
        </w:rPr>
        <w:t>a 3. princips</w:t>
      </w:r>
      <w:r w:rsidRPr="007271EE">
        <w:rPr>
          <w:rFonts w:cstheme="minorHAnsi"/>
          <w:sz w:val="24"/>
          <w:szCs w:val="24"/>
        </w:rPr>
        <w:t>).</w:t>
      </w:r>
    </w:p>
    <w:p w14:paraId="16663333" w14:textId="7CCEC4B4" w:rsidR="007271EE" w:rsidRPr="00126015" w:rsidRDefault="007271EE" w:rsidP="007271EE">
      <w:pPr>
        <w:keepNext/>
        <w:keepLines/>
        <w:spacing w:before="480" w:after="120" w:line="264" w:lineRule="auto"/>
        <w:outlineLvl w:val="0"/>
        <w:rPr>
          <w:rFonts w:eastAsia="HGSoeiKakugothicUB" w:cstheme="minorHAnsi"/>
          <w:color w:val="2E74B5" w:themeColor="accent5" w:themeShade="BF"/>
          <w:sz w:val="32"/>
          <w:szCs w:val="32"/>
          <w:lang w:eastAsia="ja-JP"/>
        </w:rPr>
      </w:pPr>
      <w:r w:rsidRPr="00126015">
        <w:rPr>
          <w:rFonts w:eastAsia="HGSoeiKakugothicUB" w:cstheme="minorHAnsi"/>
          <w:b/>
          <w:color w:val="2E74B5" w:themeColor="accent5" w:themeShade="BF"/>
          <w:sz w:val="32"/>
          <w:szCs w:val="32"/>
          <w:lang w:eastAsia="ja-JP"/>
        </w:rPr>
        <w:t>Horizontālā principa “</w:t>
      </w:r>
      <w:bookmarkStart w:id="4" w:name="_Hlk67926957"/>
      <w:r w:rsidRPr="00126015">
        <w:rPr>
          <w:rFonts w:eastAsia="HGSoeiKakugothicUB" w:cstheme="minorHAnsi"/>
          <w:b/>
          <w:color w:val="2E74B5" w:themeColor="accent5" w:themeShade="BF"/>
          <w:sz w:val="32"/>
          <w:szCs w:val="32"/>
          <w:lang w:eastAsia="ja-JP"/>
        </w:rPr>
        <w:t>Dzimumu līdztiesība un vienlīdzīgas iespējas</w:t>
      </w:r>
      <w:bookmarkEnd w:id="4"/>
      <w:r w:rsidRPr="00126015">
        <w:rPr>
          <w:rFonts w:eastAsia="HGSoeiKakugothicUB" w:cstheme="minorHAnsi"/>
          <w:b/>
          <w:color w:val="2E74B5" w:themeColor="accent5" w:themeShade="BF"/>
          <w:sz w:val="32"/>
          <w:szCs w:val="32"/>
          <w:lang w:eastAsia="ja-JP"/>
        </w:rPr>
        <w:t>” mērķis</w:t>
      </w:r>
      <w:r w:rsidR="00126015">
        <w:rPr>
          <w:rFonts w:eastAsia="HGSoeiKakugothicUB" w:cstheme="minorHAnsi"/>
          <w:color w:val="2E74B5" w:themeColor="accent5" w:themeShade="BF"/>
          <w:sz w:val="32"/>
          <w:szCs w:val="32"/>
          <w:lang w:eastAsia="ja-JP"/>
        </w:rPr>
        <w:t xml:space="preserve">: </w:t>
      </w:r>
    </w:p>
    <w:p w14:paraId="69C6DF73" w14:textId="77777777" w:rsidR="007271EE" w:rsidRDefault="007271EE" w:rsidP="002969DD">
      <w:pPr>
        <w:keepNext/>
        <w:keepLines/>
        <w:spacing w:before="480" w:after="120" w:line="264" w:lineRule="auto"/>
        <w:jc w:val="both"/>
        <w:outlineLvl w:val="0"/>
        <w:rPr>
          <w:rFonts w:eastAsia="HGSoeiKakugothicUB" w:cstheme="minorHAnsi"/>
          <w:color w:val="134163"/>
          <w:sz w:val="24"/>
          <w:szCs w:val="24"/>
          <w:lang w:eastAsia="ja-JP"/>
        </w:rPr>
      </w:pPr>
      <w:r>
        <w:rPr>
          <w:rFonts w:eastAsia="HGSoeiKakugothicUB" w:cstheme="minorHAnsi"/>
          <w:color w:val="134163"/>
          <w:sz w:val="24"/>
          <w:szCs w:val="24"/>
          <w:lang w:eastAsia="ja-JP"/>
        </w:rPr>
        <w:t>N</w:t>
      </w:r>
      <w:r w:rsidRPr="00B53DA2">
        <w:rPr>
          <w:rFonts w:eastAsia="HGSoeiKakugothicUB" w:cstheme="minorHAnsi"/>
          <w:color w:val="134163"/>
          <w:sz w:val="24"/>
          <w:szCs w:val="24"/>
          <w:lang w:eastAsia="ja-JP"/>
        </w:rPr>
        <w:t xml:space="preserve">ovērst nevienlīdzību, veicināt iekļaušanu un </w:t>
      </w:r>
      <w:proofErr w:type="spellStart"/>
      <w:r w:rsidRPr="00B53DA2">
        <w:rPr>
          <w:rFonts w:eastAsia="HGSoeiKakugothicUB" w:cstheme="minorHAnsi"/>
          <w:color w:val="134163"/>
          <w:sz w:val="24"/>
          <w:szCs w:val="24"/>
          <w:lang w:eastAsia="ja-JP"/>
        </w:rPr>
        <w:t>nediskrimināciju</w:t>
      </w:r>
      <w:proofErr w:type="spellEnd"/>
      <w:r w:rsidRPr="00B53DA2">
        <w:rPr>
          <w:rFonts w:eastAsia="HGSoeiKakugothicUB" w:cstheme="minorHAnsi"/>
          <w:color w:val="134163"/>
          <w:sz w:val="24"/>
          <w:szCs w:val="24"/>
          <w:lang w:eastAsia="ja-JP"/>
        </w:rPr>
        <w:t xml:space="preserve">, tostarp vienlīdzīgu attieksmi un iespējas sievietēm un vīriešiem visās jomās, tostarp attiecībā uz dalību darba tirgū, nodarbinātību un karjeras attīstību, kā arī izskaust jebkādu diskrimināciju rases vai etniskās izcelsmes, reliģijas vai pārliecības, invaliditātes, vecuma vai seksuālās orientācijas dēļ. </w:t>
      </w:r>
    </w:p>
    <w:p w14:paraId="7550F325" w14:textId="77777777" w:rsidR="00FE343B" w:rsidRPr="00FE343B" w:rsidRDefault="00FE343B" w:rsidP="00FE343B">
      <w:pPr>
        <w:rPr>
          <w:rFonts w:cstheme="minorHAnsi"/>
          <w:sz w:val="24"/>
          <w:szCs w:val="24"/>
          <w:highlight w:val="yellow"/>
        </w:rPr>
      </w:pPr>
    </w:p>
    <w:p w14:paraId="58127FE4" w14:textId="77777777" w:rsidR="00193EB1" w:rsidRPr="00AD701A" w:rsidRDefault="00193EB1" w:rsidP="0047131A">
      <w:pPr>
        <w:keepNext/>
        <w:keepLines/>
        <w:spacing w:before="480" w:after="120" w:line="264" w:lineRule="auto"/>
        <w:jc w:val="both"/>
        <w:outlineLvl w:val="0"/>
        <w:rPr>
          <w:rFonts w:eastAsia="HGSoeiKakugothicUB" w:cstheme="minorHAnsi"/>
          <w:b/>
          <w:color w:val="2683C6"/>
          <w:sz w:val="32"/>
          <w:szCs w:val="32"/>
          <w:lang w:eastAsia="ja-JP"/>
        </w:rPr>
      </w:pPr>
      <w:r w:rsidRPr="007B4326">
        <w:rPr>
          <w:rFonts w:eastAsia="HGSoeiKakugothicUB" w:cstheme="minorHAnsi"/>
          <w:b/>
          <w:color w:val="2683C6"/>
          <w:sz w:val="32"/>
          <w:szCs w:val="32"/>
          <w:lang w:eastAsia="ja-JP"/>
        </w:rPr>
        <w:lastRenderedPageBreak/>
        <w:t>Ieteikumi atbildīgajām iestādēm horizontālā principa “</w:t>
      </w:r>
      <w:r w:rsidRPr="00AD701A">
        <w:rPr>
          <w:rFonts w:eastAsia="HGSoeiKakugothicUB" w:cstheme="minorHAnsi"/>
          <w:b/>
          <w:color w:val="2683C6"/>
          <w:sz w:val="32"/>
          <w:szCs w:val="32"/>
          <w:lang w:eastAsia="ja-JP"/>
        </w:rPr>
        <w:t>Dzimumu līdztiesība un vienlīdzīgas iespējas</w:t>
      </w:r>
      <w:r w:rsidRPr="007B4326">
        <w:rPr>
          <w:rFonts w:eastAsia="HGSoeiKakugothicUB" w:cstheme="minorHAnsi"/>
          <w:b/>
          <w:color w:val="2683C6"/>
          <w:sz w:val="32"/>
          <w:szCs w:val="32"/>
          <w:lang w:eastAsia="ja-JP"/>
        </w:rPr>
        <w:t xml:space="preserve">” atspoguļošanai </w:t>
      </w:r>
      <w:r w:rsidR="00A502EE" w:rsidRPr="00AD701A">
        <w:rPr>
          <w:rFonts w:eastAsia="HGSoeiKakugothicUB" w:cstheme="minorHAnsi"/>
          <w:b/>
          <w:color w:val="2683C6"/>
          <w:sz w:val="32"/>
          <w:szCs w:val="32"/>
          <w:lang w:eastAsia="ja-JP"/>
        </w:rPr>
        <w:t>ANM</w:t>
      </w:r>
      <w:r w:rsidRPr="007B4326">
        <w:rPr>
          <w:rFonts w:eastAsia="HGSoeiKakugothicUB" w:cstheme="minorHAnsi"/>
          <w:b/>
          <w:color w:val="2683C6"/>
          <w:sz w:val="32"/>
          <w:szCs w:val="32"/>
          <w:lang w:eastAsia="ja-JP"/>
        </w:rPr>
        <w:t xml:space="preserve"> plān</w:t>
      </w:r>
      <w:r w:rsidRPr="00AD701A">
        <w:rPr>
          <w:rFonts w:eastAsia="HGSoeiKakugothicUB" w:cstheme="minorHAnsi"/>
          <w:b/>
          <w:color w:val="2683C6"/>
          <w:sz w:val="32"/>
          <w:szCs w:val="32"/>
          <w:lang w:eastAsia="ja-JP"/>
        </w:rPr>
        <w:t>ā</w:t>
      </w:r>
      <w:r w:rsidRPr="007B4326">
        <w:rPr>
          <w:rFonts w:eastAsia="HGSoeiKakugothicUB" w:cstheme="minorHAnsi"/>
          <w:b/>
          <w:color w:val="2683C6"/>
          <w:sz w:val="32"/>
          <w:szCs w:val="32"/>
          <w:lang w:eastAsia="ja-JP"/>
        </w:rPr>
        <w:t xml:space="preserve"> (2021-202</w:t>
      </w:r>
      <w:r w:rsidRPr="00AD701A">
        <w:rPr>
          <w:rFonts w:eastAsia="HGSoeiKakugothicUB" w:cstheme="minorHAnsi"/>
          <w:b/>
          <w:color w:val="2683C6"/>
          <w:sz w:val="32"/>
          <w:szCs w:val="32"/>
          <w:lang w:eastAsia="ja-JP"/>
        </w:rPr>
        <w:t>6</w:t>
      </w:r>
      <w:r w:rsidRPr="007B4326">
        <w:rPr>
          <w:rFonts w:eastAsia="HGSoeiKakugothicUB" w:cstheme="minorHAnsi"/>
          <w:b/>
          <w:color w:val="2683C6"/>
          <w:sz w:val="32"/>
          <w:szCs w:val="32"/>
          <w:lang w:eastAsia="ja-JP"/>
        </w:rPr>
        <w:t>)</w:t>
      </w:r>
    </w:p>
    <w:p w14:paraId="58C136E0" w14:textId="179811C0" w:rsidR="009C3D25" w:rsidRDefault="009C3D25" w:rsidP="0047131A">
      <w:pPr>
        <w:jc w:val="both"/>
        <w:rPr>
          <w:rFonts w:cstheme="minorHAnsi"/>
          <w:sz w:val="24"/>
          <w:szCs w:val="24"/>
        </w:rPr>
      </w:pPr>
      <w:r w:rsidRPr="003D3AE1">
        <w:rPr>
          <w:rFonts w:cstheme="minorHAnsi"/>
          <w:sz w:val="24"/>
          <w:szCs w:val="24"/>
        </w:rPr>
        <w:t xml:space="preserve">Gatavojot aprakstu par horizontālo principu “Dzimumu līdztiesība un vienlīdzīgas iespējas”, atbildīgajai iestādei būtu jāpaskaidro, kā </w:t>
      </w:r>
      <w:r w:rsidR="0047131A">
        <w:rPr>
          <w:rFonts w:cstheme="minorHAnsi"/>
          <w:sz w:val="24"/>
          <w:szCs w:val="24"/>
        </w:rPr>
        <w:t xml:space="preserve">ANM </w:t>
      </w:r>
      <w:r w:rsidRPr="003D3AE1">
        <w:rPr>
          <w:rFonts w:cstheme="minorHAnsi"/>
          <w:sz w:val="24"/>
          <w:szCs w:val="24"/>
        </w:rPr>
        <w:t>plān</w:t>
      </w:r>
      <w:r w:rsidR="00AD701A">
        <w:rPr>
          <w:rFonts w:cstheme="minorHAnsi"/>
          <w:sz w:val="24"/>
          <w:szCs w:val="24"/>
        </w:rPr>
        <w:t>a</w:t>
      </w:r>
      <w:r w:rsidRPr="003D3AE1">
        <w:rPr>
          <w:rFonts w:cstheme="minorHAnsi"/>
          <w:sz w:val="24"/>
          <w:szCs w:val="24"/>
        </w:rPr>
        <w:t xml:space="preserve"> atbalstītās reformas un ieguldījumi palīdz pārvarēt</w:t>
      </w:r>
      <w:r w:rsidR="002969DD">
        <w:rPr>
          <w:rFonts w:cstheme="minorHAnsi"/>
          <w:sz w:val="24"/>
          <w:szCs w:val="24"/>
        </w:rPr>
        <w:t xml:space="preserve"> Latvijā</w:t>
      </w:r>
      <w:r w:rsidRPr="003D3AE1">
        <w:rPr>
          <w:rFonts w:cstheme="minorHAnsi"/>
          <w:sz w:val="24"/>
          <w:szCs w:val="24"/>
        </w:rPr>
        <w:t xml:space="preserve"> </w:t>
      </w:r>
      <w:r w:rsidR="00AD701A">
        <w:rPr>
          <w:rFonts w:cstheme="minorHAnsi"/>
          <w:sz w:val="24"/>
          <w:szCs w:val="24"/>
        </w:rPr>
        <w:t>identificētās</w:t>
      </w:r>
      <w:r w:rsidRPr="003D3AE1">
        <w:rPr>
          <w:rFonts w:cstheme="minorHAnsi"/>
          <w:sz w:val="24"/>
          <w:szCs w:val="24"/>
        </w:rPr>
        <w:t xml:space="preserve"> </w:t>
      </w:r>
      <w:proofErr w:type="spellStart"/>
      <w:r w:rsidR="0047131A">
        <w:rPr>
          <w:rFonts w:cstheme="minorHAnsi"/>
          <w:sz w:val="24"/>
          <w:szCs w:val="24"/>
        </w:rPr>
        <w:t>C</w:t>
      </w:r>
      <w:r w:rsidR="005F5A8B">
        <w:rPr>
          <w:rFonts w:cstheme="minorHAnsi"/>
          <w:sz w:val="24"/>
          <w:szCs w:val="24"/>
        </w:rPr>
        <w:t>ovid</w:t>
      </w:r>
      <w:proofErr w:type="spellEnd"/>
      <w:r w:rsidR="0047131A">
        <w:rPr>
          <w:rFonts w:cstheme="minorHAnsi"/>
          <w:sz w:val="24"/>
          <w:szCs w:val="24"/>
        </w:rPr>
        <w:t xml:space="preserve"> – 19 </w:t>
      </w:r>
      <w:r w:rsidR="00126015">
        <w:rPr>
          <w:rFonts w:cstheme="minorHAnsi"/>
          <w:sz w:val="24"/>
          <w:szCs w:val="24"/>
        </w:rPr>
        <w:t>krīzes</w:t>
      </w:r>
      <w:r w:rsidR="0047131A">
        <w:rPr>
          <w:rFonts w:cstheme="minorHAnsi"/>
          <w:sz w:val="24"/>
          <w:szCs w:val="24"/>
        </w:rPr>
        <w:t xml:space="preserve"> izraisītās </w:t>
      </w:r>
      <w:r w:rsidRPr="003D3AE1">
        <w:rPr>
          <w:rFonts w:cstheme="minorHAnsi"/>
          <w:sz w:val="24"/>
          <w:szCs w:val="24"/>
        </w:rPr>
        <w:t>vienlīdzības problēmas</w:t>
      </w:r>
      <w:r w:rsidR="001C1AAC">
        <w:rPr>
          <w:rStyle w:val="FootnoteReference"/>
          <w:rFonts w:cstheme="minorHAnsi"/>
          <w:sz w:val="24"/>
          <w:szCs w:val="24"/>
        </w:rPr>
        <w:footnoteReference w:id="1"/>
      </w:r>
      <w:r w:rsidRPr="003D3AE1">
        <w:rPr>
          <w:rFonts w:cstheme="minorHAnsi"/>
          <w:sz w:val="24"/>
          <w:szCs w:val="24"/>
        </w:rPr>
        <w:t xml:space="preserve">, </w:t>
      </w:r>
      <w:r w:rsidRPr="0067790D">
        <w:rPr>
          <w:rFonts w:cstheme="minorHAnsi"/>
          <w:b/>
          <w:sz w:val="24"/>
          <w:szCs w:val="24"/>
          <w:u w:val="single"/>
        </w:rPr>
        <w:t>atbildot uz šādiem jautājumiem</w:t>
      </w:r>
      <w:r w:rsidRPr="003D3AE1">
        <w:rPr>
          <w:rFonts w:cstheme="minorHAnsi"/>
          <w:sz w:val="24"/>
          <w:szCs w:val="24"/>
        </w:rPr>
        <w:t>:</w:t>
      </w:r>
    </w:p>
    <w:p w14:paraId="35CF5138" w14:textId="6798A537" w:rsidR="00D27326" w:rsidRDefault="00D27326" w:rsidP="0047131A">
      <w:pPr>
        <w:jc w:val="both"/>
        <w:rPr>
          <w:rFonts w:cstheme="minorHAnsi"/>
          <w:sz w:val="24"/>
          <w:szCs w:val="24"/>
        </w:rPr>
      </w:pPr>
    </w:p>
    <w:p w14:paraId="1EEBD9CA" w14:textId="77777777" w:rsidR="00D27326" w:rsidRPr="00B53DA2" w:rsidRDefault="00D27326" w:rsidP="00D27326">
      <w:pPr>
        <w:spacing w:after="0" w:line="240" w:lineRule="auto"/>
        <w:jc w:val="both"/>
        <w:rPr>
          <w:rFonts w:cstheme="minorHAnsi"/>
          <w:b/>
          <w:color w:val="2E74B5" w:themeColor="accent5" w:themeShade="BF"/>
          <w:sz w:val="24"/>
          <w:szCs w:val="24"/>
        </w:rPr>
      </w:pPr>
      <w:r w:rsidRPr="00B53DA2">
        <w:rPr>
          <w:rFonts w:cstheme="minorHAnsi"/>
          <w:sz w:val="24"/>
          <w:szCs w:val="24"/>
        </w:rPr>
        <w:t xml:space="preserve"> </w:t>
      </w:r>
      <w:r w:rsidRPr="00B53DA2">
        <w:rPr>
          <w:rFonts w:cstheme="minorHAnsi"/>
          <w:b/>
          <w:color w:val="2E74B5" w:themeColor="accent5" w:themeShade="BF"/>
          <w:sz w:val="24"/>
          <w:szCs w:val="24"/>
        </w:rPr>
        <w:t xml:space="preserve">Kā </w:t>
      </w:r>
      <w:r>
        <w:rPr>
          <w:rFonts w:cstheme="minorHAnsi"/>
          <w:b/>
          <w:color w:val="2E74B5" w:themeColor="accent5" w:themeShade="BF"/>
          <w:sz w:val="24"/>
          <w:szCs w:val="24"/>
        </w:rPr>
        <w:t xml:space="preserve">ANM </w:t>
      </w:r>
      <w:r w:rsidRPr="00B53DA2">
        <w:rPr>
          <w:rFonts w:cstheme="minorHAnsi"/>
          <w:b/>
          <w:color w:val="2E74B5" w:themeColor="accent5" w:themeShade="BF"/>
          <w:sz w:val="24"/>
          <w:szCs w:val="24"/>
        </w:rPr>
        <w:t xml:space="preserve">plāns veicina vienlīdzīgas iespējas neatkarīgi no dzimuma, rases vai etniskās piederības izcelsme, reliģija vai pārliecība, invaliditāte, vecums un seksuālā orientācija? </w:t>
      </w:r>
    </w:p>
    <w:p w14:paraId="590ECC49" w14:textId="77777777" w:rsidR="00D27326" w:rsidRPr="00B53DA2" w:rsidRDefault="00D27326" w:rsidP="00D27326">
      <w:pPr>
        <w:spacing w:after="0" w:line="240" w:lineRule="auto"/>
        <w:jc w:val="both"/>
        <w:rPr>
          <w:rFonts w:cstheme="minorHAnsi"/>
          <w:sz w:val="24"/>
          <w:szCs w:val="24"/>
        </w:rPr>
      </w:pPr>
    </w:p>
    <w:p w14:paraId="27BFE550" w14:textId="380F1FEB" w:rsidR="00D27326" w:rsidRDefault="00D27326" w:rsidP="00D27326">
      <w:pPr>
        <w:spacing w:after="0"/>
        <w:jc w:val="both"/>
        <w:rPr>
          <w:rFonts w:cstheme="minorHAnsi"/>
          <w:sz w:val="24"/>
          <w:szCs w:val="24"/>
          <w:highlight w:val="yellow"/>
        </w:rPr>
      </w:pPr>
      <w:r w:rsidRPr="00B53DA2">
        <w:rPr>
          <w:rFonts w:cstheme="minorHAnsi"/>
          <w:sz w:val="24"/>
          <w:szCs w:val="24"/>
        </w:rPr>
        <w:t xml:space="preserve">To darot, atbildīgās iestādes tiek aicinātas izskaidrot, kā </w:t>
      </w:r>
      <w:r>
        <w:rPr>
          <w:rFonts w:cstheme="minorHAnsi"/>
          <w:sz w:val="24"/>
          <w:szCs w:val="24"/>
        </w:rPr>
        <w:t xml:space="preserve">ANM </w:t>
      </w:r>
      <w:r w:rsidRPr="00B53DA2">
        <w:rPr>
          <w:rFonts w:cstheme="minorHAnsi"/>
          <w:sz w:val="24"/>
          <w:szCs w:val="24"/>
        </w:rPr>
        <w:t xml:space="preserve">plāns nodrošina </w:t>
      </w:r>
      <w:r>
        <w:rPr>
          <w:rFonts w:cstheme="minorHAnsi"/>
          <w:sz w:val="24"/>
          <w:szCs w:val="24"/>
        </w:rPr>
        <w:t xml:space="preserve">horizontālā principa “Dzimumu līdztiesības un vienlīdzīgas iespējas” </w:t>
      </w:r>
      <w:r w:rsidRPr="00B53DA2">
        <w:rPr>
          <w:rFonts w:cstheme="minorHAnsi"/>
          <w:sz w:val="24"/>
          <w:szCs w:val="24"/>
        </w:rPr>
        <w:t>integrētu pieeju</w:t>
      </w:r>
      <w:r>
        <w:rPr>
          <w:rFonts w:cstheme="minorHAnsi"/>
          <w:sz w:val="24"/>
          <w:szCs w:val="24"/>
        </w:rPr>
        <w:t xml:space="preserve"> </w:t>
      </w:r>
      <w:r w:rsidRPr="00B53DA2">
        <w:rPr>
          <w:rFonts w:cstheme="minorHAnsi"/>
          <w:sz w:val="24"/>
          <w:szCs w:val="24"/>
        </w:rPr>
        <w:t xml:space="preserve">attiecīgajos </w:t>
      </w:r>
      <w:r>
        <w:rPr>
          <w:rFonts w:cstheme="minorHAnsi"/>
          <w:sz w:val="24"/>
          <w:szCs w:val="24"/>
        </w:rPr>
        <w:t xml:space="preserve">reformu un investīciju </w:t>
      </w:r>
      <w:r w:rsidRPr="00B53DA2">
        <w:rPr>
          <w:rFonts w:cstheme="minorHAnsi"/>
          <w:sz w:val="24"/>
          <w:szCs w:val="24"/>
        </w:rPr>
        <w:t>virzienos.</w:t>
      </w:r>
    </w:p>
    <w:p w14:paraId="5CE4293E" w14:textId="77777777" w:rsidR="00D27326" w:rsidRDefault="00D27326" w:rsidP="00D27326">
      <w:pPr>
        <w:spacing w:after="0"/>
        <w:jc w:val="both"/>
        <w:rPr>
          <w:rFonts w:cstheme="minorHAnsi"/>
          <w:sz w:val="24"/>
          <w:szCs w:val="24"/>
        </w:rPr>
      </w:pPr>
    </w:p>
    <w:p w14:paraId="088C3890" w14:textId="3163AAA1" w:rsidR="00D27326" w:rsidRDefault="00D27326" w:rsidP="00D27326">
      <w:pPr>
        <w:spacing w:after="0"/>
        <w:jc w:val="both"/>
        <w:rPr>
          <w:rFonts w:cstheme="minorHAnsi"/>
          <w:sz w:val="24"/>
          <w:szCs w:val="24"/>
        </w:rPr>
      </w:pPr>
      <w:r w:rsidRPr="00D27326">
        <w:rPr>
          <w:rFonts w:cstheme="minorHAnsi"/>
          <w:b/>
          <w:sz w:val="24"/>
          <w:szCs w:val="24"/>
        </w:rPr>
        <w:t>Piemēr</w:t>
      </w:r>
      <w:r w:rsidR="00257219">
        <w:rPr>
          <w:rFonts w:cstheme="minorHAnsi"/>
          <w:b/>
          <w:sz w:val="24"/>
          <w:szCs w:val="24"/>
        </w:rPr>
        <w:t>s</w:t>
      </w:r>
      <w:r w:rsidR="00DF758C">
        <w:rPr>
          <w:rFonts w:cstheme="minorHAnsi"/>
          <w:b/>
          <w:sz w:val="24"/>
          <w:szCs w:val="24"/>
        </w:rPr>
        <w:t xml:space="preserve"> </w:t>
      </w:r>
      <w:r>
        <w:rPr>
          <w:rFonts w:cstheme="minorHAnsi"/>
          <w:sz w:val="24"/>
          <w:szCs w:val="24"/>
        </w:rPr>
        <w:t xml:space="preserve">(visiem investīciju virzieniem): </w:t>
      </w:r>
      <w:r w:rsidRPr="00D27326">
        <w:rPr>
          <w:rFonts w:cstheme="minorHAnsi"/>
          <w:sz w:val="24"/>
          <w:szCs w:val="24"/>
        </w:rPr>
        <w:t>projekta vadībā un īstenošanā</w:t>
      </w:r>
      <w:r>
        <w:rPr>
          <w:rFonts w:cstheme="minorHAnsi"/>
          <w:sz w:val="24"/>
          <w:szCs w:val="24"/>
        </w:rPr>
        <w:t xml:space="preserve"> tiks nodrošināta </w:t>
      </w:r>
      <w:r w:rsidRPr="00EC4A0F">
        <w:rPr>
          <w:rFonts w:cstheme="minorHAnsi"/>
          <w:sz w:val="24"/>
          <w:szCs w:val="24"/>
        </w:rPr>
        <w:t xml:space="preserve">informācijas un vides </w:t>
      </w:r>
      <w:proofErr w:type="spellStart"/>
      <w:r>
        <w:rPr>
          <w:rFonts w:cstheme="minorHAnsi"/>
          <w:sz w:val="24"/>
          <w:szCs w:val="24"/>
        </w:rPr>
        <w:t>piekļūstamība</w:t>
      </w:r>
      <w:proofErr w:type="spellEnd"/>
      <w:r w:rsidRPr="00EC4A0F">
        <w:rPr>
          <w:rFonts w:cstheme="minorHAnsi"/>
          <w:sz w:val="24"/>
          <w:szCs w:val="24"/>
        </w:rPr>
        <w:t xml:space="preserve">, </w:t>
      </w:r>
      <w:proofErr w:type="spellStart"/>
      <w:r w:rsidRPr="00EC4A0F">
        <w:rPr>
          <w:rFonts w:cstheme="minorHAnsi"/>
          <w:sz w:val="24"/>
          <w:szCs w:val="24"/>
        </w:rPr>
        <w:t>nediskriminācija</w:t>
      </w:r>
      <w:proofErr w:type="spellEnd"/>
      <w:r w:rsidRPr="00EC4A0F">
        <w:rPr>
          <w:rFonts w:cstheme="minorHAnsi"/>
          <w:sz w:val="24"/>
          <w:szCs w:val="24"/>
        </w:rPr>
        <w:t xml:space="preserve"> pēc vecuma, dzimuma, etniskās piederības u.c. pazīmes un vienlīdzīgu iespēju principu ievērošana</w:t>
      </w:r>
      <w:r>
        <w:rPr>
          <w:rFonts w:cstheme="minorHAnsi"/>
          <w:sz w:val="24"/>
          <w:szCs w:val="24"/>
        </w:rPr>
        <w:t>.</w:t>
      </w:r>
      <w:r w:rsidRPr="00EC4A0F">
        <w:rPr>
          <w:rFonts w:cstheme="minorHAnsi"/>
          <w:sz w:val="24"/>
          <w:szCs w:val="24"/>
        </w:rPr>
        <w:t xml:space="preserve"> </w:t>
      </w:r>
    </w:p>
    <w:p w14:paraId="06629CA5" w14:textId="77777777" w:rsidR="00D27326" w:rsidRDefault="00D27326" w:rsidP="00D27326">
      <w:pPr>
        <w:spacing w:after="0"/>
        <w:jc w:val="both"/>
        <w:rPr>
          <w:rFonts w:cstheme="minorHAnsi"/>
          <w:sz w:val="24"/>
          <w:szCs w:val="24"/>
        </w:rPr>
      </w:pPr>
    </w:p>
    <w:p w14:paraId="3D62C76D" w14:textId="53C903DF" w:rsidR="00DF758C" w:rsidRDefault="00D27326" w:rsidP="00DF758C">
      <w:pPr>
        <w:jc w:val="both"/>
        <w:rPr>
          <w:rFonts w:cstheme="minorHAnsi"/>
          <w:sz w:val="24"/>
          <w:szCs w:val="24"/>
        </w:rPr>
      </w:pPr>
      <w:r w:rsidRPr="00D27326">
        <w:rPr>
          <w:rFonts w:cstheme="minorHAnsi"/>
          <w:b/>
          <w:sz w:val="24"/>
          <w:szCs w:val="24"/>
        </w:rPr>
        <w:t>Piemēr</w:t>
      </w:r>
      <w:r w:rsidR="00257219">
        <w:rPr>
          <w:rFonts w:cstheme="minorHAnsi"/>
          <w:b/>
          <w:sz w:val="24"/>
          <w:szCs w:val="24"/>
        </w:rPr>
        <w:t>s</w:t>
      </w:r>
      <w:r>
        <w:rPr>
          <w:rFonts w:cstheme="minorHAnsi"/>
          <w:sz w:val="24"/>
          <w:szCs w:val="24"/>
        </w:rPr>
        <w:t xml:space="preserve"> (visiem investīciju virzieniem): projekta īstenošanā tiks ievērots dažādības vadības princips, kas balstīts </w:t>
      </w:r>
      <w:r w:rsidR="00DF758C">
        <w:rPr>
          <w:rFonts w:cstheme="minorHAnsi"/>
          <w:sz w:val="24"/>
          <w:szCs w:val="24"/>
        </w:rPr>
        <w:t xml:space="preserve">uz uzņēmuma </w:t>
      </w:r>
      <w:r w:rsidRPr="00D27326">
        <w:rPr>
          <w:rFonts w:cstheme="minorHAnsi"/>
          <w:sz w:val="24"/>
          <w:szCs w:val="24"/>
        </w:rPr>
        <w:t>vērtībām</w:t>
      </w:r>
      <w:r>
        <w:rPr>
          <w:rFonts w:cstheme="minorHAnsi"/>
          <w:sz w:val="24"/>
          <w:szCs w:val="24"/>
        </w:rPr>
        <w:t xml:space="preserve">, </w:t>
      </w:r>
      <w:r w:rsidRPr="00D27326">
        <w:rPr>
          <w:rFonts w:cstheme="minorHAnsi"/>
          <w:sz w:val="24"/>
          <w:szCs w:val="24"/>
        </w:rPr>
        <w:t xml:space="preserve"> </w:t>
      </w:r>
      <w:r>
        <w:rPr>
          <w:rFonts w:cstheme="minorHAnsi"/>
          <w:sz w:val="24"/>
          <w:szCs w:val="24"/>
        </w:rPr>
        <w:t xml:space="preserve">tādu </w:t>
      </w:r>
      <w:r w:rsidRPr="00D27326">
        <w:rPr>
          <w:rFonts w:cstheme="minorHAnsi"/>
          <w:sz w:val="24"/>
          <w:szCs w:val="24"/>
        </w:rPr>
        <w:t>saziņas un vadības proces</w:t>
      </w:r>
      <w:r>
        <w:rPr>
          <w:rFonts w:cstheme="minorHAnsi"/>
          <w:sz w:val="24"/>
          <w:szCs w:val="24"/>
        </w:rPr>
        <w:t>u</w:t>
      </w:r>
      <w:r w:rsidRPr="00D27326">
        <w:rPr>
          <w:rFonts w:cstheme="minorHAnsi"/>
          <w:sz w:val="24"/>
          <w:szCs w:val="24"/>
        </w:rPr>
        <w:t>, kas pieņem un izmanto noteiktas dažādības un</w:t>
      </w:r>
      <w:r>
        <w:rPr>
          <w:rFonts w:cstheme="minorHAnsi"/>
          <w:sz w:val="24"/>
          <w:szCs w:val="24"/>
        </w:rPr>
        <w:t xml:space="preserve"> </w:t>
      </w:r>
      <w:r w:rsidRPr="00D27326">
        <w:rPr>
          <w:rFonts w:cstheme="minorHAnsi"/>
          <w:sz w:val="24"/>
          <w:szCs w:val="24"/>
        </w:rPr>
        <w:t>atšķirības kā organizācijas potenciālu</w:t>
      </w:r>
      <w:r w:rsidR="00DF758C">
        <w:rPr>
          <w:rFonts w:cstheme="minorHAnsi"/>
          <w:sz w:val="24"/>
          <w:szCs w:val="24"/>
        </w:rPr>
        <w:t xml:space="preserve">. </w:t>
      </w:r>
    </w:p>
    <w:p w14:paraId="7984474B" w14:textId="297EC8F8" w:rsidR="00D27326" w:rsidRDefault="004071A9" w:rsidP="00DF758C">
      <w:pPr>
        <w:jc w:val="both"/>
        <w:rPr>
          <w:rFonts w:cstheme="minorHAnsi"/>
          <w:sz w:val="24"/>
          <w:szCs w:val="24"/>
        </w:rPr>
      </w:pPr>
      <w:r w:rsidRPr="004071A9">
        <w:rPr>
          <w:rFonts w:cstheme="minorHAnsi"/>
          <w:b/>
          <w:sz w:val="24"/>
          <w:szCs w:val="24"/>
        </w:rPr>
        <w:t>Piemērs</w:t>
      </w:r>
      <w:r>
        <w:rPr>
          <w:rFonts w:cstheme="minorHAnsi"/>
          <w:sz w:val="24"/>
          <w:szCs w:val="24"/>
        </w:rPr>
        <w:t xml:space="preserve"> (visiem investīciju virzieniem): p</w:t>
      </w:r>
      <w:r w:rsidR="00DF758C">
        <w:rPr>
          <w:rFonts w:cstheme="minorHAnsi"/>
          <w:sz w:val="24"/>
          <w:szCs w:val="24"/>
        </w:rPr>
        <w:t>rojektu īstenošanā tiks ņemti vērā sekojoši principi:</w:t>
      </w:r>
    </w:p>
    <w:p w14:paraId="64191BCC" w14:textId="77777777" w:rsidR="00DF758C" w:rsidRDefault="00DF758C" w:rsidP="00A25354">
      <w:pPr>
        <w:pStyle w:val="ListParagraph"/>
        <w:numPr>
          <w:ilvl w:val="0"/>
          <w:numId w:val="13"/>
        </w:numPr>
        <w:jc w:val="both"/>
        <w:rPr>
          <w:rFonts w:cstheme="minorHAnsi"/>
          <w:sz w:val="24"/>
          <w:szCs w:val="24"/>
        </w:rPr>
      </w:pPr>
      <w:r w:rsidRPr="00DF758C">
        <w:rPr>
          <w:rFonts w:cstheme="minorHAnsi"/>
          <w:sz w:val="24"/>
          <w:szCs w:val="24"/>
        </w:rPr>
        <w:t>darbinieku dažādība: piesaistīt, nodarbināt un noturēt cilvēkus no dažādām sabiedrības grupām ar visdažādākajām spējām un talantiem;</w:t>
      </w:r>
    </w:p>
    <w:p w14:paraId="75535C83" w14:textId="77777777" w:rsidR="00DF758C" w:rsidRDefault="00DF758C" w:rsidP="00794F20">
      <w:pPr>
        <w:pStyle w:val="ListParagraph"/>
        <w:numPr>
          <w:ilvl w:val="0"/>
          <w:numId w:val="13"/>
        </w:numPr>
        <w:jc w:val="both"/>
        <w:rPr>
          <w:rFonts w:cstheme="minorHAnsi"/>
          <w:sz w:val="24"/>
          <w:szCs w:val="24"/>
        </w:rPr>
      </w:pPr>
      <w:r w:rsidRPr="00DF758C">
        <w:rPr>
          <w:rFonts w:cstheme="minorHAnsi"/>
          <w:sz w:val="24"/>
          <w:szCs w:val="24"/>
        </w:rPr>
        <w:t>darba vides dažādība: radīt darba vidi, kurā katrs cilvēks jūtas cienīts un var maksimāli īstenot savu profesionālo potenciālu;</w:t>
      </w:r>
    </w:p>
    <w:p w14:paraId="3AB54C63" w14:textId="5726A0F8" w:rsidR="00DF758C" w:rsidRDefault="00DF758C" w:rsidP="00E63C73">
      <w:pPr>
        <w:pStyle w:val="ListParagraph"/>
        <w:numPr>
          <w:ilvl w:val="0"/>
          <w:numId w:val="13"/>
        </w:numPr>
        <w:jc w:val="both"/>
        <w:rPr>
          <w:rFonts w:cstheme="minorHAnsi"/>
          <w:sz w:val="24"/>
          <w:szCs w:val="24"/>
        </w:rPr>
      </w:pPr>
      <w:r w:rsidRPr="00DF758C">
        <w:rPr>
          <w:rFonts w:cstheme="minorHAnsi"/>
          <w:sz w:val="24"/>
          <w:szCs w:val="24"/>
        </w:rPr>
        <w:t>klientu dažādība: pieņemt un iepazīt savus klientus un radīt pakalpojumus, kas atbilst dažādu</w:t>
      </w:r>
      <w:r>
        <w:rPr>
          <w:rFonts w:cstheme="minorHAnsi"/>
          <w:sz w:val="24"/>
          <w:szCs w:val="24"/>
        </w:rPr>
        <w:t xml:space="preserve"> </w:t>
      </w:r>
      <w:r w:rsidRPr="00DF758C">
        <w:rPr>
          <w:rFonts w:cstheme="minorHAnsi"/>
          <w:sz w:val="24"/>
          <w:szCs w:val="24"/>
        </w:rPr>
        <w:t>klientu atšķirīgajām vajadzībām</w:t>
      </w:r>
      <w:r>
        <w:rPr>
          <w:rFonts w:cstheme="minorHAnsi"/>
          <w:sz w:val="24"/>
          <w:szCs w:val="24"/>
        </w:rPr>
        <w:t>;</w:t>
      </w:r>
    </w:p>
    <w:p w14:paraId="7FFA255A" w14:textId="49E6DFB9" w:rsidR="00DF758C" w:rsidRDefault="00DF758C" w:rsidP="00E63C73">
      <w:pPr>
        <w:pStyle w:val="ListParagraph"/>
        <w:numPr>
          <w:ilvl w:val="0"/>
          <w:numId w:val="13"/>
        </w:numPr>
        <w:jc w:val="both"/>
        <w:rPr>
          <w:rFonts w:cstheme="minorHAnsi"/>
          <w:sz w:val="24"/>
          <w:szCs w:val="24"/>
        </w:rPr>
      </w:pPr>
      <w:r>
        <w:rPr>
          <w:rFonts w:cstheme="minorHAnsi"/>
          <w:sz w:val="24"/>
          <w:szCs w:val="24"/>
        </w:rPr>
        <w:t>aptaujas: tiks veiktas, lai novērtētu nodarbināto apmierinātību ar uzņēmuma īstenoto politiku.</w:t>
      </w:r>
    </w:p>
    <w:p w14:paraId="2B860C38" w14:textId="6816BA7B" w:rsidR="00DF758C" w:rsidRDefault="00DF758C" w:rsidP="00DF758C">
      <w:pPr>
        <w:jc w:val="both"/>
        <w:rPr>
          <w:rFonts w:cstheme="minorHAnsi"/>
          <w:sz w:val="24"/>
          <w:szCs w:val="24"/>
        </w:rPr>
      </w:pPr>
      <w:r w:rsidRPr="00DF758C">
        <w:rPr>
          <w:rFonts w:cstheme="minorHAnsi"/>
          <w:b/>
          <w:sz w:val="24"/>
          <w:szCs w:val="24"/>
        </w:rPr>
        <w:lastRenderedPageBreak/>
        <w:t>Piemēr</w:t>
      </w:r>
      <w:r w:rsidR="00257219">
        <w:rPr>
          <w:rFonts w:cstheme="minorHAnsi"/>
          <w:b/>
          <w:sz w:val="24"/>
          <w:szCs w:val="24"/>
        </w:rPr>
        <w:t>s</w:t>
      </w:r>
      <w:r>
        <w:rPr>
          <w:rFonts w:cstheme="minorHAnsi"/>
          <w:sz w:val="24"/>
          <w:szCs w:val="24"/>
        </w:rPr>
        <w:t xml:space="preserve"> (visiem investīciju virzieniem): projektu vadībā un īstenošanā tiks </w:t>
      </w:r>
      <w:r w:rsidRPr="00DF758C">
        <w:rPr>
          <w:rFonts w:cstheme="minorHAnsi"/>
          <w:sz w:val="24"/>
          <w:szCs w:val="24"/>
        </w:rPr>
        <w:t>ieviesti tādi personāla atlases nosacījumi un prakses, lai veicinātu mazāk</w:t>
      </w:r>
      <w:r>
        <w:rPr>
          <w:rFonts w:cstheme="minorHAnsi"/>
          <w:sz w:val="24"/>
          <w:szCs w:val="24"/>
        </w:rPr>
        <w:t xml:space="preserve"> </w:t>
      </w:r>
      <w:r w:rsidRPr="00DF758C">
        <w:rPr>
          <w:rFonts w:cstheme="minorHAnsi"/>
          <w:sz w:val="24"/>
          <w:szCs w:val="24"/>
        </w:rPr>
        <w:t>pārstāvētā dzimuma piesaistīšanu uzņēmumā</w:t>
      </w:r>
      <w:r>
        <w:rPr>
          <w:rFonts w:cstheme="minorHAnsi"/>
          <w:sz w:val="24"/>
          <w:szCs w:val="24"/>
        </w:rPr>
        <w:t xml:space="preserve">. </w:t>
      </w:r>
    </w:p>
    <w:p w14:paraId="5A751F2A" w14:textId="79D25ADE" w:rsidR="00DF758C" w:rsidRPr="00DF758C" w:rsidRDefault="00DF758C" w:rsidP="00DF758C">
      <w:pPr>
        <w:jc w:val="both"/>
        <w:rPr>
          <w:rFonts w:cstheme="minorHAnsi"/>
          <w:sz w:val="24"/>
          <w:szCs w:val="24"/>
        </w:rPr>
      </w:pPr>
      <w:r w:rsidRPr="00DF758C">
        <w:rPr>
          <w:rFonts w:cstheme="minorHAnsi"/>
          <w:b/>
          <w:sz w:val="24"/>
          <w:szCs w:val="24"/>
        </w:rPr>
        <w:t>Piemēr</w:t>
      </w:r>
      <w:r w:rsidR="00257219">
        <w:rPr>
          <w:rFonts w:cstheme="minorHAnsi"/>
          <w:b/>
          <w:sz w:val="24"/>
          <w:szCs w:val="24"/>
        </w:rPr>
        <w:t>s</w:t>
      </w:r>
      <w:r>
        <w:rPr>
          <w:rFonts w:cstheme="minorHAnsi"/>
          <w:sz w:val="24"/>
          <w:szCs w:val="24"/>
        </w:rPr>
        <w:t xml:space="preserve"> (visiem investīciju virzieniem): projektu vadībā un īstenošanā tiks </w:t>
      </w:r>
      <w:r w:rsidRPr="00DF758C">
        <w:rPr>
          <w:rFonts w:cstheme="minorHAnsi"/>
          <w:sz w:val="24"/>
          <w:szCs w:val="24"/>
        </w:rPr>
        <w:t>virzīti pasākumi, kas sekmē darba un ģimenes dzīves saskaņošanu,</w:t>
      </w:r>
      <w:r>
        <w:rPr>
          <w:rFonts w:cstheme="minorHAnsi"/>
          <w:sz w:val="24"/>
          <w:szCs w:val="24"/>
        </w:rPr>
        <w:t xml:space="preserve"> </w:t>
      </w:r>
      <w:r w:rsidRPr="00DF758C">
        <w:rPr>
          <w:rFonts w:cstheme="minorHAnsi"/>
          <w:sz w:val="24"/>
          <w:szCs w:val="24"/>
        </w:rPr>
        <w:t>paredzot attālināta un nepilna laika darba iespēju radīšanu vecākiem ar bērniem</w:t>
      </w:r>
      <w:r>
        <w:rPr>
          <w:rFonts w:cstheme="minorHAnsi"/>
          <w:sz w:val="24"/>
          <w:szCs w:val="24"/>
        </w:rPr>
        <w:t>.</w:t>
      </w:r>
      <w:r w:rsidRPr="00DF758C">
        <w:rPr>
          <w:rFonts w:cstheme="minorHAnsi"/>
          <w:sz w:val="24"/>
          <w:szCs w:val="24"/>
        </w:rPr>
        <w:cr/>
      </w:r>
    </w:p>
    <w:p w14:paraId="0763228B" w14:textId="290DE98A" w:rsidR="00B53DA2" w:rsidRPr="00B53DA2" w:rsidRDefault="009C3D25" w:rsidP="0047131A">
      <w:pPr>
        <w:jc w:val="both"/>
        <w:rPr>
          <w:rFonts w:cstheme="minorHAnsi"/>
          <w:color w:val="FF0000"/>
          <w:sz w:val="24"/>
          <w:szCs w:val="24"/>
        </w:rPr>
      </w:pPr>
      <w:r w:rsidRPr="00B53DA2">
        <w:rPr>
          <w:rFonts w:cstheme="minorHAnsi"/>
          <w:sz w:val="24"/>
          <w:szCs w:val="24"/>
        </w:rPr>
        <w:t xml:space="preserve"> </w:t>
      </w:r>
      <w:r w:rsidRPr="0047131A">
        <w:rPr>
          <w:rFonts w:cstheme="minorHAnsi"/>
          <w:b/>
          <w:color w:val="2E74B5" w:themeColor="accent5" w:themeShade="BF"/>
          <w:sz w:val="24"/>
          <w:szCs w:val="24"/>
          <w:u w:val="single"/>
        </w:rPr>
        <w:t xml:space="preserve">Kā </w:t>
      </w:r>
      <w:r w:rsidR="0047131A" w:rsidRPr="0047131A">
        <w:rPr>
          <w:rFonts w:cstheme="minorHAnsi"/>
          <w:b/>
          <w:color w:val="2E74B5" w:themeColor="accent5" w:themeShade="BF"/>
          <w:sz w:val="24"/>
          <w:szCs w:val="24"/>
          <w:u w:val="single"/>
        </w:rPr>
        <w:t xml:space="preserve">ANM </w:t>
      </w:r>
      <w:r w:rsidRPr="0047131A">
        <w:rPr>
          <w:rFonts w:cstheme="minorHAnsi"/>
          <w:b/>
          <w:color w:val="2E74B5" w:themeColor="accent5" w:themeShade="BF"/>
          <w:sz w:val="24"/>
          <w:szCs w:val="24"/>
          <w:u w:val="single"/>
        </w:rPr>
        <w:t>plān</w:t>
      </w:r>
      <w:r w:rsidR="00B53DA2" w:rsidRPr="0047131A">
        <w:rPr>
          <w:rFonts w:cstheme="minorHAnsi"/>
          <w:b/>
          <w:color w:val="2E74B5" w:themeColor="accent5" w:themeShade="BF"/>
          <w:sz w:val="24"/>
          <w:szCs w:val="24"/>
          <w:u w:val="single"/>
        </w:rPr>
        <w:t xml:space="preserve">a pasākumi </w:t>
      </w:r>
      <w:r w:rsidRPr="0047131A">
        <w:rPr>
          <w:rFonts w:cstheme="minorHAnsi"/>
          <w:b/>
          <w:color w:val="2E74B5" w:themeColor="accent5" w:themeShade="BF"/>
          <w:sz w:val="24"/>
          <w:szCs w:val="24"/>
          <w:u w:val="single"/>
        </w:rPr>
        <w:t>nodrošina un veicina sieviešu un vīriešu līdztiesību</w:t>
      </w:r>
      <w:r w:rsidRPr="00B53DA2">
        <w:rPr>
          <w:rFonts w:cstheme="minorHAnsi"/>
          <w:b/>
          <w:color w:val="2E74B5" w:themeColor="accent5" w:themeShade="BF"/>
          <w:sz w:val="24"/>
          <w:szCs w:val="24"/>
        </w:rPr>
        <w:t>?</w:t>
      </w:r>
      <w:r w:rsidRPr="00B53DA2">
        <w:rPr>
          <w:rFonts w:cstheme="minorHAnsi"/>
          <w:color w:val="2E74B5" w:themeColor="accent5" w:themeShade="BF"/>
          <w:sz w:val="24"/>
          <w:szCs w:val="24"/>
        </w:rPr>
        <w:t xml:space="preserve"> </w:t>
      </w:r>
    </w:p>
    <w:p w14:paraId="0130E8F2" w14:textId="5732F210" w:rsidR="009C3D25" w:rsidRDefault="004A5D62" w:rsidP="0047131A">
      <w:pPr>
        <w:jc w:val="both"/>
        <w:rPr>
          <w:rFonts w:cstheme="minorHAnsi"/>
          <w:sz w:val="24"/>
          <w:szCs w:val="24"/>
        </w:rPr>
      </w:pPr>
      <w:r>
        <w:rPr>
          <w:rFonts w:cstheme="minorHAnsi"/>
          <w:sz w:val="24"/>
          <w:szCs w:val="24"/>
        </w:rPr>
        <w:t xml:space="preserve">Atbildot, </w:t>
      </w:r>
      <w:r w:rsidR="00B53DA2" w:rsidRPr="00B53DA2">
        <w:rPr>
          <w:rFonts w:cstheme="minorHAnsi"/>
          <w:sz w:val="24"/>
          <w:szCs w:val="24"/>
        </w:rPr>
        <w:t>a</w:t>
      </w:r>
      <w:r w:rsidR="009C3D25" w:rsidRPr="00B53DA2">
        <w:rPr>
          <w:rFonts w:cstheme="minorHAnsi"/>
          <w:sz w:val="24"/>
          <w:szCs w:val="24"/>
        </w:rPr>
        <w:t xml:space="preserve">tbildīgās iestādes tiek aicinātas skaidrot, kā </w:t>
      </w:r>
      <w:r w:rsidR="0047131A">
        <w:rPr>
          <w:rFonts w:cstheme="minorHAnsi"/>
          <w:sz w:val="24"/>
          <w:szCs w:val="24"/>
        </w:rPr>
        <w:t xml:space="preserve">ANM </w:t>
      </w:r>
      <w:r w:rsidR="009C3D25" w:rsidRPr="00B53DA2">
        <w:rPr>
          <w:rFonts w:cstheme="minorHAnsi"/>
          <w:sz w:val="24"/>
          <w:szCs w:val="24"/>
        </w:rPr>
        <w:t>plāna darbības mazina C</w:t>
      </w:r>
      <w:r w:rsidR="005F5A8B">
        <w:rPr>
          <w:rFonts w:cstheme="minorHAnsi"/>
          <w:sz w:val="24"/>
          <w:szCs w:val="24"/>
        </w:rPr>
        <w:t>ovid</w:t>
      </w:r>
      <w:r w:rsidR="0047131A">
        <w:rPr>
          <w:rFonts w:cstheme="minorHAnsi"/>
          <w:sz w:val="24"/>
          <w:szCs w:val="24"/>
        </w:rPr>
        <w:t xml:space="preserve">-19 </w:t>
      </w:r>
      <w:r w:rsidR="00B53DA2" w:rsidRPr="00B53DA2">
        <w:rPr>
          <w:rFonts w:cstheme="minorHAnsi"/>
          <w:sz w:val="24"/>
          <w:szCs w:val="24"/>
        </w:rPr>
        <w:t xml:space="preserve">radītās </w:t>
      </w:r>
      <w:r w:rsidR="009C3D25" w:rsidRPr="00B53DA2">
        <w:rPr>
          <w:rFonts w:cstheme="minorHAnsi"/>
          <w:sz w:val="24"/>
          <w:szCs w:val="24"/>
        </w:rPr>
        <w:t>sociālās krīzes  ekonomisk</w:t>
      </w:r>
      <w:r w:rsidR="00B53DA2" w:rsidRPr="00B53DA2">
        <w:rPr>
          <w:rFonts w:cstheme="minorHAnsi"/>
          <w:sz w:val="24"/>
          <w:szCs w:val="24"/>
        </w:rPr>
        <w:t>o</w:t>
      </w:r>
      <w:r w:rsidR="009C3D25" w:rsidRPr="00B53DA2">
        <w:rPr>
          <w:rFonts w:cstheme="minorHAnsi"/>
          <w:sz w:val="24"/>
          <w:szCs w:val="24"/>
        </w:rPr>
        <w:t xml:space="preserve"> ietekm</w:t>
      </w:r>
      <w:r w:rsidR="00B53DA2" w:rsidRPr="00B53DA2">
        <w:rPr>
          <w:rFonts w:cstheme="minorHAnsi"/>
          <w:sz w:val="24"/>
          <w:szCs w:val="24"/>
        </w:rPr>
        <w:t>i</w:t>
      </w:r>
      <w:r w:rsidR="009C3D25" w:rsidRPr="00B53DA2">
        <w:rPr>
          <w:rFonts w:cstheme="minorHAnsi"/>
          <w:sz w:val="24"/>
          <w:szCs w:val="24"/>
        </w:rPr>
        <w:t xml:space="preserve"> uz sievietēm, tostarp attiecībā uz dzimumu un</w:t>
      </w:r>
      <w:r w:rsidR="00B53DA2" w:rsidRPr="00B53DA2">
        <w:rPr>
          <w:rFonts w:cstheme="minorHAnsi"/>
          <w:sz w:val="24"/>
          <w:szCs w:val="24"/>
        </w:rPr>
        <w:t xml:space="preserve"> </w:t>
      </w:r>
      <w:r w:rsidR="009C3D25" w:rsidRPr="00B53DA2">
        <w:rPr>
          <w:rFonts w:cstheme="minorHAnsi"/>
          <w:sz w:val="24"/>
          <w:szCs w:val="24"/>
        </w:rPr>
        <w:t>vardarbīb</w:t>
      </w:r>
      <w:r w:rsidR="00B53DA2" w:rsidRPr="00B53DA2">
        <w:rPr>
          <w:rFonts w:cstheme="minorHAnsi"/>
          <w:sz w:val="24"/>
          <w:szCs w:val="24"/>
        </w:rPr>
        <w:t>u</w:t>
      </w:r>
      <w:r w:rsidR="009C3D25" w:rsidRPr="00B53DA2">
        <w:rPr>
          <w:rFonts w:cstheme="minorHAnsi"/>
          <w:sz w:val="24"/>
          <w:szCs w:val="24"/>
        </w:rPr>
        <w:t xml:space="preserve"> ģimenē un kā tā</w:t>
      </w:r>
      <w:r w:rsidR="00AD701A">
        <w:rPr>
          <w:rFonts w:cstheme="minorHAnsi"/>
          <w:sz w:val="24"/>
          <w:szCs w:val="24"/>
        </w:rPr>
        <w:t>s</w:t>
      </w:r>
      <w:r w:rsidR="009C3D25" w:rsidRPr="00B53DA2">
        <w:rPr>
          <w:rFonts w:cstheme="minorHAnsi"/>
          <w:sz w:val="24"/>
          <w:szCs w:val="24"/>
        </w:rPr>
        <w:t xml:space="preserve"> </w:t>
      </w:r>
      <w:r w:rsidR="009C3D25" w:rsidRPr="0047131A">
        <w:rPr>
          <w:rFonts w:cstheme="minorHAnsi"/>
          <w:sz w:val="24"/>
          <w:szCs w:val="24"/>
        </w:rPr>
        <w:t>veicina ANO ilgtspējīgas attīstības 5. mērķa</w:t>
      </w:r>
      <w:r w:rsidR="007271EE" w:rsidRPr="0047131A">
        <w:rPr>
          <w:rFonts w:cstheme="minorHAnsi"/>
          <w:sz w:val="24"/>
          <w:szCs w:val="24"/>
        </w:rPr>
        <w:t xml:space="preserve"> “Dzimumu līdztiesība” </w:t>
      </w:r>
      <w:r w:rsidR="009C3D25" w:rsidRPr="0047131A">
        <w:rPr>
          <w:rFonts w:cstheme="minorHAnsi"/>
          <w:sz w:val="24"/>
          <w:szCs w:val="24"/>
        </w:rPr>
        <w:t xml:space="preserve"> sasniegšanu</w:t>
      </w:r>
      <w:r w:rsidR="00315AC8" w:rsidRPr="0047131A">
        <w:rPr>
          <w:rStyle w:val="FootnoteReference"/>
          <w:rFonts w:cstheme="minorHAnsi"/>
          <w:sz w:val="24"/>
          <w:szCs w:val="24"/>
        </w:rPr>
        <w:footnoteReference w:id="2"/>
      </w:r>
      <w:r w:rsidR="009C3D25" w:rsidRPr="0047131A">
        <w:rPr>
          <w:rFonts w:cstheme="minorHAnsi"/>
          <w:sz w:val="24"/>
          <w:szCs w:val="24"/>
        </w:rPr>
        <w:t>.</w:t>
      </w:r>
      <w:r w:rsidR="00AC423C" w:rsidRPr="0047131A">
        <w:rPr>
          <w:rFonts w:cstheme="minorHAnsi"/>
          <w:sz w:val="24"/>
          <w:szCs w:val="24"/>
        </w:rPr>
        <w:t xml:space="preserve"> </w:t>
      </w:r>
    </w:p>
    <w:p w14:paraId="2BA05BC9" w14:textId="26D7128C" w:rsidR="00315AC8" w:rsidRPr="00415CCC" w:rsidRDefault="00315AC8" w:rsidP="0047131A">
      <w:pPr>
        <w:jc w:val="both"/>
        <w:rPr>
          <w:rFonts w:cstheme="minorHAnsi"/>
          <w:sz w:val="24"/>
          <w:szCs w:val="24"/>
        </w:rPr>
      </w:pPr>
      <w:r w:rsidRPr="00415CCC">
        <w:rPr>
          <w:rFonts w:cstheme="minorHAnsi"/>
          <w:b/>
          <w:sz w:val="24"/>
          <w:szCs w:val="24"/>
        </w:rPr>
        <w:t>Piemērs</w:t>
      </w:r>
      <w:r w:rsidR="00DC06B6" w:rsidRPr="00415CCC">
        <w:rPr>
          <w:rFonts w:cstheme="minorHAnsi"/>
          <w:b/>
          <w:sz w:val="24"/>
          <w:szCs w:val="24"/>
        </w:rPr>
        <w:t>:</w:t>
      </w:r>
      <w:r w:rsidR="00DC06B6" w:rsidRPr="00415CCC">
        <w:rPr>
          <w:rFonts w:cstheme="minorHAnsi"/>
          <w:sz w:val="24"/>
          <w:szCs w:val="24"/>
        </w:rPr>
        <w:t xml:space="preserve">  (investīcijas Nr.)</w:t>
      </w:r>
      <w:r w:rsidRPr="00415CCC">
        <w:rPr>
          <w:rFonts w:cstheme="minorHAnsi"/>
          <w:sz w:val="24"/>
          <w:szCs w:val="24"/>
        </w:rPr>
        <w:t xml:space="preserve"> </w:t>
      </w:r>
      <w:r w:rsidR="00415CCC">
        <w:rPr>
          <w:rFonts w:cstheme="minorHAnsi"/>
          <w:sz w:val="24"/>
          <w:szCs w:val="24"/>
        </w:rPr>
        <w:t xml:space="preserve">lai veicinātu </w:t>
      </w:r>
      <w:r w:rsidR="00415CCC" w:rsidRPr="00415CCC">
        <w:rPr>
          <w:rFonts w:cstheme="minorHAnsi"/>
          <w:sz w:val="24"/>
          <w:szCs w:val="24"/>
        </w:rPr>
        <w:t>sieviešu lielāku iesaisti IKT jomā</w:t>
      </w:r>
      <w:r w:rsidRPr="00415CCC">
        <w:rPr>
          <w:rFonts w:cstheme="minorHAnsi"/>
          <w:sz w:val="24"/>
          <w:szCs w:val="24"/>
        </w:rPr>
        <w:t xml:space="preserve"> siev</w:t>
      </w:r>
      <w:r w:rsidR="00415CCC">
        <w:rPr>
          <w:rFonts w:cstheme="minorHAnsi"/>
          <w:sz w:val="24"/>
          <w:szCs w:val="24"/>
        </w:rPr>
        <w:t xml:space="preserve">iešu, tostarp vecumā pēc 60 gadiem, tiks </w:t>
      </w:r>
      <w:r w:rsidR="00225848" w:rsidRPr="00415CCC">
        <w:rPr>
          <w:rFonts w:cstheme="minorHAnsi"/>
          <w:sz w:val="24"/>
          <w:szCs w:val="24"/>
        </w:rPr>
        <w:t xml:space="preserve"> </w:t>
      </w:r>
      <w:r w:rsidR="000869E6" w:rsidRPr="00415CCC">
        <w:rPr>
          <w:rFonts w:cstheme="minorHAnsi"/>
          <w:sz w:val="24"/>
          <w:szCs w:val="24"/>
        </w:rPr>
        <w:t xml:space="preserve">īstenots mācību kurss sievietēm </w:t>
      </w:r>
      <w:proofErr w:type="spellStart"/>
      <w:r w:rsidR="000869E6" w:rsidRPr="00415CCC">
        <w:rPr>
          <w:rFonts w:cstheme="minorHAnsi"/>
          <w:sz w:val="24"/>
          <w:szCs w:val="24"/>
        </w:rPr>
        <w:t>pirmspensijas</w:t>
      </w:r>
      <w:proofErr w:type="spellEnd"/>
      <w:r w:rsidR="000869E6" w:rsidRPr="00415CCC">
        <w:rPr>
          <w:rFonts w:cstheme="minorHAnsi"/>
          <w:sz w:val="24"/>
          <w:szCs w:val="24"/>
        </w:rPr>
        <w:t xml:space="preserve"> vecumā, stiprinot prasmes un zināšanas </w:t>
      </w:r>
      <w:r w:rsidRPr="00415CCC">
        <w:rPr>
          <w:rFonts w:cstheme="minorHAnsi"/>
          <w:sz w:val="24"/>
          <w:szCs w:val="24"/>
        </w:rPr>
        <w:t xml:space="preserve"> </w:t>
      </w:r>
      <w:r w:rsidR="000869E6" w:rsidRPr="00415CCC">
        <w:rPr>
          <w:rFonts w:cstheme="minorHAnsi"/>
          <w:sz w:val="24"/>
          <w:szCs w:val="24"/>
        </w:rPr>
        <w:t xml:space="preserve">digitālo tehnoloģiju pielietošanā praksē, vienlaikus nodrošinot </w:t>
      </w:r>
      <w:proofErr w:type="spellStart"/>
      <w:r w:rsidR="000869E6" w:rsidRPr="00415CCC">
        <w:rPr>
          <w:rFonts w:cstheme="minorHAnsi"/>
          <w:sz w:val="24"/>
          <w:szCs w:val="24"/>
        </w:rPr>
        <w:t>mentora</w:t>
      </w:r>
      <w:proofErr w:type="spellEnd"/>
      <w:r w:rsidR="000869E6" w:rsidRPr="00415CCC">
        <w:rPr>
          <w:rFonts w:cstheme="minorHAnsi"/>
          <w:sz w:val="24"/>
          <w:szCs w:val="24"/>
        </w:rPr>
        <w:t xml:space="preserve"> piesaisti</w:t>
      </w:r>
      <w:r w:rsidR="00225848" w:rsidRPr="00415CCC">
        <w:rPr>
          <w:rFonts w:cstheme="minorHAnsi"/>
          <w:sz w:val="24"/>
          <w:szCs w:val="24"/>
        </w:rPr>
        <w:t xml:space="preserve">, veiksmīgākai integrācijai darba tirgū. Pasākums </w:t>
      </w:r>
      <w:r w:rsidR="00383442" w:rsidRPr="00415CCC">
        <w:rPr>
          <w:rFonts w:cstheme="minorHAnsi"/>
          <w:sz w:val="24"/>
          <w:szCs w:val="24"/>
        </w:rPr>
        <w:t xml:space="preserve">tiešā veidā ietekmēs </w:t>
      </w:r>
      <w:proofErr w:type="spellStart"/>
      <w:r w:rsidR="00383442" w:rsidRPr="00415CCC">
        <w:rPr>
          <w:rFonts w:cstheme="minorHAnsi"/>
          <w:sz w:val="24"/>
          <w:szCs w:val="24"/>
        </w:rPr>
        <w:t>pirmspensijas</w:t>
      </w:r>
      <w:proofErr w:type="spellEnd"/>
      <w:r w:rsidR="00383442" w:rsidRPr="00415CCC">
        <w:rPr>
          <w:rFonts w:cstheme="minorHAnsi"/>
          <w:sz w:val="24"/>
          <w:szCs w:val="24"/>
        </w:rPr>
        <w:t xml:space="preserve"> vecumā esošo sieviešu nodarbinātības iespējas, kā arī sniegs atbalstu dzīves kvalitātes, t.sk., materiālās nodrošinātības uzlabošanā. </w:t>
      </w:r>
    </w:p>
    <w:p w14:paraId="50D6E419" w14:textId="14C88266" w:rsidR="007271EE" w:rsidRPr="00415CCC" w:rsidRDefault="007271EE" w:rsidP="0047131A">
      <w:pPr>
        <w:jc w:val="both"/>
        <w:rPr>
          <w:rFonts w:cstheme="minorHAnsi"/>
          <w:sz w:val="24"/>
          <w:szCs w:val="24"/>
        </w:rPr>
      </w:pPr>
      <w:r w:rsidRPr="00415CCC">
        <w:rPr>
          <w:rFonts w:cstheme="minorHAnsi"/>
          <w:b/>
          <w:sz w:val="24"/>
          <w:szCs w:val="24"/>
        </w:rPr>
        <w:t>Piemērs</w:t>
      </w:r>
      <w:r w:rsidRPr="00415CCC">
        <w:rPr>
          <w:rFonts w:cstheme="minorHAnsi"/>
          <w:sz w:val="24"/>
          <w:szCs w:val="24"/>
        </w:rPr>
        <w:t xml:space="preserve"> </w:t>
      </w:r>
      <w:r w:rsidR="00415CCC">
        <w:rPr>
          <w:rFonts w:cstheme="minorHAnsi"/>
          <w:sz w:val="24"/>
          <w:szCs w:val="24"/>
        </w:rPr>
        <w:t xml:space="preserve">(investīcijas </w:t>
      </w:r>
      <w:r w:rsidR="004071A9">
        <w:rPr>
          <w:rFonts w:cstheme="minorHAnsi"/>
          <w:sz w:val="24"/>
          <w:szCs w:val="24"/>
        </w:rPr>
        <w:t>Nr.</w:t>
      </w:r>
      <w:r w:rsidR="00415CCC">
        <w:rPr>
          <w:rFonts w:cstheme="minorHAnsi"/>
          <w:sz w:val="24"/>
          <w:szCs w:val="24"/>
        </w:rPr>
        <w:t>)</w:t>
      </w:r>
      <w:r w:rsidR="004A5D62">
        <w:rPr>
          <w:rFonts w:cstheme="minorHAnsi"/>
          <w:sz w:val="24"/>
          <w:szCs w:val="24"/>
        </w:rPr>
        <w:t>:</w:t>
      </w:r>
      <w:r w:rsidR="00415CCC">
        <w:rPr>
          <w:rFonts w:cstheme="minorHAnsi"/>
          <w:sz w:val="24"/>
          <w:szCs w:val="24"/>
        </w:rPr>
        <w:t xml:space="preserve"> projekta vadībā un īstenošanā </w:t>
      </w:r>
      <w:r w:rsidRPr="00415CCC">
        <w:rPr>
          <w:rFonts w:cstheme="minorHAnsi"/>
          <w:sz w:val="24"/>
          <w:szCs w:val="24"/>
        </w:rPr>
        <w:t xml:space="preserve">sievietēm un vīriešiem </w:t>
      </w:r>
      <w:r w:rsidR="004A5D62" w:rsidRPr="004A5D62">
        <w:rPr>
          <w:rFonts w:cstheme="minorHAnsi"/>
          <w:sz w:val="24"/>
          <w:szCs w:val="24"/>
        </w:rPr>
        <w:t xml:space="preserve">tiks nodrošināta </w:t>
      </w:r>
      <w:r w:rsidRPr="00415CCC">
        <w:rPr>
          <w:rFonts w:cstheme="minorHAnsi"/>
          <w:sz w:val="24"/>
          <w:szCs w:val="24"/>
        </w:rPr>
        <w:t>vienād</w:t>
      </w:r>
      <w:r w:rsidR="00415CCC">
        <w:rPr>
          <w:rFonts w:cstheme="minorHAnsi"/>
          <w:sz w:val="24"/>
          <w:szCs w:val="24"/>
        </w:rPr>
        <w:t>a</w:t>
      </w:r>
      <w:r w:rsidRPr="00415CCC">
        <w:rPr>
          <w:rFonts w:cstheme="minorHAnsi"/>
          <w:sz w:val="24"/>
          <w:szCs w:val="24"/>
        </w:rPr>
        <w:t xml:space="preserve"> samaks</w:t>
      </w:r>
      <w:r w:rsidR="00415CCC">
        <w:rPr>
          <w:rFonts w:cstheme="minorHAnsi"/>
          <w:sz w:val="24"/>
          <w:szCs w:val="24"/>
        </w:rPr>
        <w:t>a</w:t>
      </w:r>
      <w:r w:rsidRPr="00415CCC">
        <w:rPr>
          <w:rFonts w:cstheme="minorHAnsi"/>
          <w:sz w:val="24"/>
          <w:szCs w:val="24"/>
        </w:rPr>
        <w:t xml:space="preserve"> par vienādas vērtības darbu</w:t>
      </w:r>
      <w:r w:rsidR="00415CCC">
        <w:rPr>
          <w:rFonts w:cstheme="minorHAnsi"/>
          <w:sz w:val="24"/>
          <w:szCs w:val="24"/>
        </w:rPr>
        <w:t>.</w:t>
      </w:r>
    </w:p>
    <w:p w14:paraId="5DE45BFE" w14:textId="6B3F4F8E" w:rsidR="0047131A" w:rsidRPr="00415CCC" w:rsidRDefault="0047131A" w:rsidP="0047131A">
      <w:pPr>
        <w:jc w:val="both"/>
        <w:rPr>
          <w:rFonts w:cstheme="minorHAnsi"/>
          <w:sz w:val="24"/>
          <w:szCs w:val="24"/>
        </w:rPr>
      </w:pPr>
      <w:r w:rsidRPr="00415CCC">
        <w:rPr>
          <w:rFonts w:cstheme="minorHAnsi"/>
          <w:b/>
          <w:sz w:val="24"/>
          <w:szCs w:val="24"/>
        </w:rPr>
        <w:t>Piemērs</w:t>
      </w:r>
      <w:r w:rsidRPr="00415CCC">
        <w:rPr>
          <w:rFonts w:cstheme="minorHAnsi"/>
          <w:sz w:val="24"/>
          <w:szCs w:val="24"/>
        </w:rPr>
        <w:t xml:space="preserve"> </w:t>
      </w:r>
      <w:r w:rsidR="00415CCC">
        <w:rPr>
          <w:rFonts w:cstheme="minorHAnsi"/>
          <w:sz w:val="24"/>
          <w:szCs w:val="24"/>
        </w:rPr>
        <w:t>(investīcijas</w:t>
      </w:r>
      <w:r w:rsidR="004A5D62">
        <w:rPr>
          <w:rFonts w:cstheme="minorHAnsi"/>
          <w:sz w:val="24"/>
          <w:szCs w:val="24"/>
        </w:rPr>
        <w:t xml:space="preserve"> Nr.</w:t>
      </w:r>
      <w:r w:rsidR="00415CCC">
        <w:rPr>
          <w:rFonts w:cstheme="minorHAnsi"/>
          <w:sz w:val="24"/>
          <w:szCs w:val="24"/>
        </w:rPr>
        <w:t>)</w:t>
      </w:r>
      <w:r w:rsidR="004A5D62">
        <w:rPr>
          <w:rFonts w:cstheme="minorHAnsi"/>
          <w:sz w:val="24"/>
          <w:szCs w:val="24"/>
        </w:rPr>
        <w:t>:</w:t>
      </w:r>
      <w:r w:rsidR="00415CCC">
        <w:rPr>
          <w:rFonts w:cstheme="minorHAnsi"/>
          <w:sz w:val="24"/>
          <w:szCs w:val="24"/>
        </w:rPr>
        <w:t xml:space="preserve"> p</w:t>
      </w:r>
      <w:r w:rsidRPr="00415CCC">
        <w:rPr>
          <w:rFonts w:cstheme="minorHAnsi"/>
          <w:sz w:val="24"/>
          <w:szCs w:val="24"/>
        </w:rPr>
        <w:t>rasm</w:t>
      </w:r>
      <w:r w:rsidR="00415CCC">
        <w:rPr>
          <w:rFonts w:cstheme="minorHAnsi"/>
          <w:sz w:val="24"/>
          <w:szCs w:val="24"/>
        </w:rPr>
        <w:t>ju</w:t>
      </w:r>
      <w:r w:rsidRPr="00415CCC">
        <w:rPr>
          <w:rFonts w:cstheme="minorHAnsi"/>
          <w:sz w:val="24"/>
          <w:szCs w:val="24"/>
        </w:rPr>
        <w:t xml:space="preserve"> un izglītība</w:t>
      </w:r>
      <w:r w:rsidR="00415CCC">
        <w:rPr>
          <w:rFonts w:cstheme="minorHAnsi"/>
          <w:sz w:val="24"/>
          <w:szCs w:val="24"/>
        </w:rPr>
        <w:t xml:space="preserve">s veicināšanas pasākumi pastarpināti sekmēs </w:t>
      </w:r>
      <w:r w:rsidRPr="00415CCC">
        <w:rPr>
          <w:rFonts w:cstheme="minorHAnsi"/>
          <w:sz w:val="24"/>
          <w:szCs w:val="24"/>
        </w:rPr>
        <w:t>bezdarb</w:t>
      </w:r>
      <w:r w:rsidR="00415CCC">
        <w:rPr>
          <w:rFonts w:cstheme="minorHAnsi"/>
          <w:sz w:val="24"/>
          <w:szCs w:val="24"/>
        </w:rPr>
        <w:t>a mazināšanos</w:t>
      </w:r>
      <w:r w:rsidRPr="00415CCC">
        <w:rPr>
          <w:rFonts w:cstheme="minorHAnsi"/>
          <w:sz w:val="24"/>
          <w:szCs w:val="24"/>
        </w:rPr>
        <w:t>, ekonomisk</w:t>
      </w:r>
      <w:r w:rsidR="00415CCC">
        <w:rPr>
          <w:rFonts w:cstheme="minorHAnsi"/>
          <w:sz w:val="24"/>
          <w:szCs w:val="24"/>
        </w:rPr>
        <w:t>o</w:t>
      </w:r>
      <w:r w:rsidRPr="00415CCC">
        <w:rPr>
          <w:rFonts w:cstheme="minorHAnsi"/>
          <w:sz w:val="24"/>
          <w:szCs w:val="24"/>
        </w:rPr>
        <w:t xml:space="preserve">  labklājīb</w:t>
      </w:r>
      <w:r w:rsidR="00415CCC">
        <w:rPr>
          <w:rFonts w:cstheme="minorHAnsi"/>
          <w:sz w:val="24"/>
          <w:szCs w:val="24"/>
        </w:rPr>
        <w:t xml:space="preserve">u, </w:t>
      </w:r>
      <w:r w:rsidRPr="00415CCC">
        <w:rPr>
          <w:rFonts w:cstheme="minorHAnsi"/>
          <w:sz w:val="24"/>
          <w:szCs w:val="24"/>
        </w:rPr>
        <w:t>netieši ietekmē</w:t>
      </w:r>
      <w:r w:rsidR="00415CCC">
        <w:rPr>
          <w:rFonts w:cstheme="minorHAnsi"/>
          <w:sz w:val="24"/>
          <w:szCs w:val="24"/>
        </w:rPr>
        <w:t xml:space="preserve">s </w:t>
      </w:r>
      <w:r w:rsidRPr="00415CCC">
        <w:rPr>
          <w:rFonts w:cstheme="minorHAnsi"/>
          <w:sz w:val="24"/>
          <w:szCs w:val="24"/>
        </w:rPr>
        <w:t>vardarbības risku mazināšanos</w:t>
      </w:r>
      <w:r w:rsidR="00415CCC">
        <w:rPr>
          <w:rFonts w:cstheme="minorHAnsi"/>
          <w:sz w:val="24"/>
          <w:szCs w:val="24"/>
        </w:rPr>
        <w:t>.</w:t>
      </w:r>
    </w:p>
    <w:p w14:paraId="03ED206B" w14:textId="689F497F" w:rsidR="002969DD" w:rsidRDefault="002969DD" w:rsidP="002969DD">
      <w:pPr>
        <w:spacing w:after="0"/>
        <w:jc w:val="both"/>
        <w:rPr>
          <w:rFonts w:cstheme="minorHAnsi"/>
          <w:sz w:val="24"/>
          <w:szCs w:val="24"/>
        </w:rPr>
      </w:pPr>
      <w:r w:rsidRPr="002969DD">
        <w:rPr>
          <w:rFonts w:cstheme="minorHAnsi"/>
          <w:b/>
          <w:sz w:val="24"/>
          <w:szCs w:val="24"/>
        </w:rPr>
        <w:t>Piemērs</w:t>
      </w:r>
      <w:r>
        <w:rPr>
          <w:rFonts w:cstheme="minorHAnsi"/>
          <w:sz w:val="24"/>
          <w:szCs w:val="24"/>
        </w:rPr>
        <w:t xml:space="preserve"> (investīcij</w:t>
      </w:r>
      <w:r w:rsidR="004071A9">
        <w:rPr>
          <w:rFonts w:cstheme="minorHAnsi"/>
          <w:sz w:val="24"/>
          <w:szCs w:val="24"/>
        </w:rPr>
        <w:t>as</w:t>
      </w:r>
      <w:r>
        <w:rPr>
          <w:rFonts w:cstheme="minorHAnsi"/>
          <w:sz w:val="24"/>
          <w:szCs w:val="24"/>
        </w:rPr>
        <w:t xml:space="preserve"> Nr.): p</w:t>
      </w:r>
      <w:r w:rsidRPr="002969DD">
        <w:rPr>
          <w:rFonts w:cstheme="minorHAnsi"/>
          <w:sz w:val="24"/>
          <w:szCs w:val="24"/>
        </w:rPr>
        <w:t xml:space="preserve">asākumi </w:t>
      </w:r>
      <w:r>
        <w:rPr>
          <w:rFonts w:cstheme="minorHAnsi"/>
          <w:sz w:val="24"/>
          <w:szCs w:val="24"/>
        </w:rPr>
        <w:t>nodarbināto atbalstam tādās</w:t>
      </w:r>
      <w:r w:rsidRPr="002969DD">
        <w:rPr>
          <w:rFonts w:cstheme="minorHAnsi"/>
          <w:sz w:val="24"/>
          <w:szCs w:val="24"/>
        </w:rPr>
        <w:t xml:space="preserve"> smagi skart</w:t>
      </w:r>
      <w:r>
        <w:rPr>
          <w:rFonts w:cstheme="minorHAnsi"/>
          <w:sz w:val="24"/>
          <w:szCs w:val="24"/>
        </w:rPr>
        <w:t>ajās</w:t>
      </w:r>
      <w:r w:rsidRPr="002969DD">
        <w:rPr>
          <w:rFonts w:cstheme="minorHAnsi"/>
          <w:sz w:val="24"/>
          <w:szCs w:val="24"/>
        </w:rPr>
        <w:t xml:space="preserve"> ekonomikas nozarēs kā mazumtirdzniecība un izmitināšana, kas atbilst sieviešu īpašajām vajadzībām, tostarp lielajam skaitam sieviešu ar samazinātu darba laiku, neaktīvām sievietēm un bezdarbniecēm, it īpaši jaunām </w:t>
      </w:r>
      <w:r>
        <w:rPr>
          <w:rFonts w:cstheme="minorHAnsi"/>
          <w:sz w:val="24"/>
          <w:szCs w:val="24"/>
        </w:rPr>
        <w:t xml:space="preserve">sievietēm </w:t>
      </w:r>
      <w:r w:rsidRPr="002969DD">
        <w:rPr>
          <w:rFonts w:cstheme="minorHAnsi"/>
          <w:sz w:val="24"/>
          <w:szCs w:val="24"/>
        </w:rPr>
        <w:t>un migrantēm</w:t>
      </w:r>
      <w:r>
        <w:rPr>
          <w:rFonts w:cstheme="minorHAnsi"/>
          <w:sz w:val="24"/>
          <w:szCs w:val="24"/>
        </w:rPr>
        <w:t>. Pasākumi sievietēm</w:t>
      </w:r>
      <w:r w:rsidRPr="002969DD">
        <w:rPr>
          <w:rFonts w:cstheme="minorHAnsi"/>
          <w:sz w:val="24"/>
          <w:szCs w:val="24"/>
        </w:rPr>
        <w:t xml:space="preserve">, kas ir bez darba, koncentrējoties uz tādiem aspektiem kā kvalifikācijas paaugstināšana un </w:t>
      </w:r>
      <w:r>
        <w:rPr>
          <w:rFonts w:cstheme="minorHAnsi"/>
          <w:sz w:val="24"/>
          <w:szCs w:val="24"/>
        </w:rPr>
        <w:t>pārkvalificēšanās</w:t>
      </w:r>
      <w:r w:rsidRPr="002969DD">
        <w:rPr>
          <w:rFonts w:cstheme="minorHAnsi"/>
          <w:sz w:val="24"/>
          <w:szCs w:val="24"/>
        </w:rPr>
        <w:t>, aktīva darba tirgus politika un uzņēmējdarbība.</w:t>
      </w:r>
    </w:p>
    <w:p w14:paraId="4CD49571" w14:textId="1275EDB7" w:rsidR="002969DD" w:rsidRDefault="002969DD" w:rsidP="002969DD">
      <w:pPr>
        <w:spacing w:after="0"/>
        <w:jc w:val="both"/>
        <w:rPr>
          <w:rFonts w:cstheme="minorHAnsi"/>
          <w:sz w:val="24"/>
          <w:szCs w:val="24"/>
        </w:rPr>
      </w:pPr>
    </w:p>
    <w:p w14:paraId="3224E128" w14:textId="1A73DB6C" w:rsidR="006A0F66" w:rsidRPr="002969DD" w:rsidRDefault="006A0F66" w:rsidP="006A0F66">
      <w:pPr>
        <w:spacing w:after="0"/>
        <w:jc w:val="both"/>
        <w:rPr>
          <w:rFonts w:cstheme="minorHAnsi"/>
          <w:sz w:val="24"/>
          <w:szCs w:val="24"/>
        </w:rPr>
      </w:pPr>
      <w:r w:rsidRPr="006A0F66">
        <w:rPr>
          <w:rFonts w:cstheme="minorHAnsi"/>
          <w:b/>
          <w:sz w:val="24"/>
          <w:szCs w:val="24"/>
        </w:rPr>
        <w:t>Piemērs</w:t>
      </w:r>
      <w:r>
        <w:rPr>
          <w:rFonts w:cstheme="minorHAnsi"/>
          <w:sz w:val="24"/>
          <w:szCs w:val="24"/>
        </w:rPr>
        <w:t xml:space="preserve"> (visiem investīciju virzieniem):  </w:t>
      </w:r>
      <w:r w:rsidRPr="006A0F66">
        <w:rPr>
          <w:rFonts w:cstheme="minorHAnsi"/>
          <w:sz w:val="24"/>
          <w:szCs w:val="24"/>
        </w:rPr>
        <w:t xml:space="preserve">a) </w:t>
      </w:r>
      <w:r>
        <w:rPr>
          <w:rFonts w:cstheme="minorHAnsi"/>
          <w:sz w:val="24"/>
          <w:szCs w:val="24"/>
        </w:rPr>
        <w:t>p</w:t>
      </w:r>
      <w:r w:rsidRPr="006A0F66">
        <w:rPr>
          <w:rFonts w:cstheme="minorHAnsi"/>
          <w:sz w:val="24"/>
          <w:szCs w:val="24"/>
        </w:rPr>
        <w:t xml:space="preserve">asākumi, lai nodrošinātu, ka visi darba ņēmēji, tostarp </w:t>
      </w:r>
      <w:r>
        <w:rPr>
          <w:rFonts w:cstheme="minorHAnsi"/>
          <w:sz w:val="24"/>
          <w:szCs w:val="24"/>
        </w:rPr>
        <w:t>tāldarbi</w:t>
      </w:r>
      <w:r w:rsidRPr="006A0F66">
        <w:rPr>
          <w:rFonts w:cstheme="minorHAnsi"/>
          <w:sz w:val="24"/>
          <w:szCs w:val="24"/>
        </w:rPr>
        <w:t>nieki, var piekļūt atbalsta sniegšanai no pakalpojumu sniedzēja, iestādes vai organizācijas, kas sniedz palīdzību bērnu vai citu apgādājamo personu aprūpē</w:t>
      </w:r>
      <w:r>
        <w:rPr>
          <w:rFonts w:cstheme="minorHAnsi"/>
          <w:sz w:val="24"/>
          <w:szCs w:val="24"/>
        </w:rPr>
        <w:t xml:space="preserve">; </w:t>
      </w:r>
      <w:r w:rsidRPr="006A0F66">
        <w:rPr>
          <w:rFonts w:cstheme="minorHAnsi"/>
          <w:sz w:val="24"/>
          <w:szCs w:val="24"/>
        </w:rPr>
        <w:t xml:space="preserve">b) </w:t>
      </w:r>
      <w:r>
        <w:rPr>
          <w:rFonts w:cstheme="minorHAnsi"/>
          <w:sz w:val="24"/>
          <w:szCs w:val="24"/>
        </w:rPr>
        <w:t>p</w:t>
      </w:r>
      <w:r w:rsidRPr="006A0F66">
        <w:rPr>
          <w:rFonts w:cstheme="minorHAnsi"/>
          <w:sz w:val="24"/>
          <w:szCs w:val="24"/>
        </w:rPr>
        <w:t xml:space="preserve">asākumi, lai nodrošinātu, ka visiem darba ņēmējiem, tostarp tāldarbiniekiem, ir vienādi nosacījumi karjeras izaugsmei, tostarp vienlīdzīga piekļuve </w:t>
      </w:r>
      <w:r w:rsidRPr="006A0F66">
        <w:rPr>
          <w:rFonts w:cstheme="minorHAnsi"/>
          <w:sz w:val="24"/>
          <w:szCs w:val="24"/>
        </w:rPr>
        <w:lastRenderedPageBreak/>
        <w:t>vadības un lēmumu pieņemšanas amatiem</w:t>
      </w:r>
      <w:r>
        <w:rPr>
          <w:rFonts w:cstheme="minorHAnsi"/>
          <w:sz w:val="24"/>
          <w:szCs w:val="24"/>
        </w:rPr>
        <w:t xml:space="preserve">; </w:t>
      </w:r>
      <w:r w:rsidRPr="006A0F66">
        <w:rPr>
          <w:rFonts w:cstheme="minorHAnsi"/>
          <w:sz w:val="24"/>
          <w:szCs w:val="24"/>
        </w:rPr>
        <w:t xml:space="preserve">c) </w:t>
      </w:r>
      <w:r>
        <w:rPr>
          <w:rFonts w:cstheme="minorHAnsi"/>
          <w:sz w:val="24"/>
          <w:szCs w:val="24"/>
        </w:rPr>
        <w:t>p</w:t>
      </w:r>
      <w:r w:rsidRPr="006A0F66">
        <w:rPr>
          <w:rFonts w:cstheme="minorHAnsi"/>
          <w:sz w:val="24"/>
          <w:szCs w:val="24"/>
        </w:rPr>
        <w:t>asākumi, lai veicinātu vienlīdzīgu sieviešu un vīriešu aprūpes un sadzīves uzdevumu dalīšanu</w:t>
      </w:r>
      <w:r>
        <w:rPr>
          <w:rFonts w:cstheme="minorHAnsi"/>
          <w:sz w:val="24"/>
          <w:szCs w:val="24"/>
        </w:rPr>
        <w:t>.</w:t>
      </w:r>
    </w:p>
    <w:p w14:paraId="29B1BDA0" w14:textId="77777777" w:rsidR="002969DD" w:rsidRDefault="002969DD" w:rsidP="002969DD">
      <w:pPr>
        <w:spacing w:after="0"/>
        <w:jc w:val="both"/>
        <w:rPr>
          <w:rFonts w:cstheme="minorHAnsi"/>
          <w:sz w:val="24"/>
          <w:szCs w:val="24"/>
        </w:rPr>
      </w:pPr>
    </w:p>
    <w:p w14:paraId="00DBBA1C" w14:textId="2B184AB0" w:rsidR="009C3D25" w:rsidRPr="00B53DA2" w:rsidRDefault="009C3D25" w:rsidP="0047131A">
      <w:pPr>
        <w:jc w:val="both"/>
        <w:rPr>
          <w:rFonts w:cstheme="minorHAnsi"/>
          <w:sz w:val="24"/>
          <w:szCs w:val="24"/>
        </w:rPr>
      </w:pPr>
      <w:bookmarkStart w:id="5" w:name="_Hlk67931395"/>
      <w:r w:rsidRPr="00B53DA2">
        <w:rPr>
          <w:rFonts w:cstheme="minorHAnsi"/>
          <w:sz w:val="24"/>
          <w:szCs w:val="24"/>
        </w:rPr>
        <w:t xml:space="preserve"> </w:t>
      </w:r>
      <w:r w:rsidRPr="00B73A4B">
        <w:rPr>
          <w:rFonts w:cstheme="minorHAnsi"/>
          <w:b/>
          <w:color w:val="2E74B5" w:themeColor="accent5" w:themeShade="BF"/>
          <w:sz w:val="24"/>
          <w:szCs w:val="24"/>
          <w:u w:val="single"/>
        </w:rPr>
        <w:t xml:space="preserve">Kā </w:t>
      </w:r>
      <w:r w:rsidR="00B73A4B">
        <w:rPr>
          <w:rFonts w:cstheme="minorHAnsi"/>
          <w:b/>
          <w:color w:val="2E74B5" w:themeColor="accent5" w:themeShade="BF"/>
          <w:sz w:val="24"/>
          <w:szCs w:val="24"/>
          <w:u w:val="single"/>
        </w:rPr>
        <w:t xml:space="preserve">ANM </w:t>
      </w:r>
      <w:r w:rsidRPr="00B73A4B">
        <w:rPr>
          <w:rFonts w:cstheme="minorHAnsi"/>
          <w:b/>
          <w:color w:val="2E74B5" w:themeColor="accent5" w:themeShade="BF"/>
          <w:sz w:val="24"/>
          <w:szCs w:val="24"/>
          <w:u w:val="single"/>
        </w:rPr>
        <w:t>plāns nodrošina atbilstību cilvēku ar invaliditāti tiesībām</w:t>
      </w:r>
      <w:r w:rsidR="00B53DA2" w:rsidRPr="00B73A4B">
        <w:rPr>
          <w:rFonts w:cstheme="minorHAnsi"/>
          <w:b/>
          <w:color w:val="2E74B5" w:themeColor="accent5" w:themeShade="BF"/>
          <w:sz w:val="24"/>
          <w:szCs w:val="24"/>
          <w:u w:val="single"/>
        </w:rPr>
        <w:t>?</w:t>
      </w:r>
    </w:p>
    <w:bookmarkEnd w:id="5"/>
    <w:p w14:paraId="087F7C12" w14:textId="29F4619E" w:rsidR="009C3D25" w:rsidRPr="00B53DA2" w:rsidRDefault="00415CCC" w:rsidP="0047131A">
      <w:pPr>
        <w:spacing w:after="0"/>
        <w:jc w:val="both"/>
        <w:rPr>
          <w:rFonts w:cstheme="minorHAnsi"/>
          <w:sz w:val="24"/>
          <w:szCs w:val="24"/>
        </w:rPr>
      </w:pPr>
      <w:r>
        <w:rPr>
          <w:rFonts w:cstheme="minorHAnsi"/>
          <w:sz w:val="24"/>
          <w:szCs w:val="24"/>
        </w:rPr>
        <w:t xml:space="preserve">Lai demonstrētu investīciju virziena atbilstību </w:t>
      </w:r>
      <w:r w:rsidRPr="00415CCC">
        <w:rPr>
          <w:rFonts w:cstheme="minorHAnsi"/>
          <w:sz w:val="24"/>
          <w:szCs w:val="24"/>
        </w:rPr>
        <w:t>ANO Konvencij</w:t>
      </w:r>
      <w:r>
        <w:rPr>
          <w:rFonts w:cstheme="minorHAnsi"/>
          <w:sz w:val="24"/>
          <w:szCs w:val="24"/>
        </w:rPr>
        <w:t>ā</w:t>
      </w:r>
      <w:r w:rsidRPr="00415CCC">
        <w:rPr>
          <w:rFonts w:cstheme="minorHAnsi"/>
          <w:sz w:val="24"/>
          <w:szCs w:val="24"/>
        </w:rPr>
        <w:t xml:space="preserve"> par personu ar invaliditāti tiesībām </w:t>
      </w:r>
      <w:r>
        <w:rPr>
          <w:rFonts w:cstheme="minorHAnsi"/>
          <w:sz w:val="24"/>
          <w:szCs w:val="24"/>
        </w:rPr>
        <w:t xml:space="preserve">noteiktajiem principiem </w:t>
      </w:r>
      <w:r w:rsidRPr="00415CCC">
        <w:rPr>
          <w:rFonts w:cstheme="minorHAnsi"/>
          <w:sz w:val="24"/>
          <w:szCs w:val="24"/>
        </w:rPr>
        <w:t xml:space="preserve">un citu </w:t>
      </w:r>
      <w:r>
        <w:rPr>
          <w:rFonts w:cstheme="minorHAnsi"/>
          <w:sz w:val="24"/>
          <w:szCs w:val="24"/>
        </w:rPr>
        <w:t xml:space="preserve">sociālās atstumtības riskam pakļauto </w:t>
      </w:r>
      <w:r w:rsidR="006A0F66">
        <w:rPr>
          <w:rFonts w:cstheme="minorHAnsi"/>
          <w:sz w:val="24"/>
          <w:szCs w:val="24"/>
        </w:rPr>
        <w:t>grupu</w:t>
      </w:r>
      <w:r w:rsidRPr="00415CCC">
        <w:rPr>
          <w:rFonts w:cstheme="minorHAnsi"/>
          <w:sz w:val="24"/>
          <w:szCs w:val="24"/>
        </w:rPr>
        <w:t xml:space="preserve"> tiesībām</w:t>
      </w:r>
      <w:r w:rsidR="006A0F66">
        <w:rPr>
          <w:rFonts w:cstheme="minorHAnsi"/>
          <w:sz w:val="24"/>
          <w:szCs w:val="24"/>
        </w:rPr>
        <w:t xml:space="preserve">, </w:t>
      </w:r>
      <w:r w:rsidR="00997A3C">
        <w:rPr>
          <w:rFonts w:cstheme="minorHAnsi"/>
          <w:sz w:val="24"/>
          <w:szCs w:val="24"/>
        </w:rPr>
        <w:t>a</w:t>
      </w:r>
      <w:r w:rsidR="00EC4A0F">
        <w:rPr>
          <w:rFonts w:cstheme="minorHAnsi"/>
          <w:sz w:val="24"/>
          <w:szCs w:val="24"/>
        </w:rPr>
        <w:t xml:space="preserve">tbildīgās iestādes aicinātas </w:t>
      </w:r>
      <w:r w:rsidR="009C3D25" w:rsidRPr="00B53DA2">
        <w:rPr>
          <w:rFonts w:cstheme="minorHAnsi"/>
          <w:sz w:val="24"/>
          <w:szCs w:val="24"/>
        </w:rPr>
        <w:t xml:space="preserve">paskaidrot, kā </w:t>
      </w:r>
      <w:r w:rsidR="006A0F66">
        <w:rPr>
          <w:rFonts w:cstheme="minorHAnsi"/>
          <w:sz w:val="24"/>
          <w:szCs w:val="24"/>
        </w:rPr>
        <w:t xml:space="preserve">ANM </w:t>
      </w:r>
      <w:r w:rsidR="009C3D25" w:rsidRPr="00B53DA2">
        <w:rPr>
          <w:rFonts w:cstheme="minorHAnsi"/>
          <w:sz w:val="24"/>
          <w:szCs w:val="24"/>
        </w:rPr>
        <w:t>plān</w:t>
      </w:r>
      <w:r w:rsidR="00EC4A0F">
        <w:rPr>
          <w:rFonts w:cstheme="minorHAnsi"/>
          <w:sz w:val="24"/>
          <w:szCs w:val="24"/>
        </w:rPr>
        <w:t>ā paredzētie pasākumi</w:t>
      </w:r>
      <w:r w:rsidR="009C3D25" w:rsidRPr="00B53DA2">
        <w:rPr>
          <w:rFonts w:cstheme="minorHAnsi"/>
          <w:sz w:val="24"/>
          <w:szCs w:val="24"/>
        </w:rPr>
        <w:t xml:space="preserve"> nodrošina </w:t>
      </w:r>
      <w:r w:rsidR="00EC4A0F">
        <w:rPr>
          <w:rFonts w:cstheme="minorHAnsi"/>
          <w:sz w:val="24"/>
          <w:szCs w:val="24"/>
        </w:rPr>
        <w:t xml:space="preserve">personu ar invaliditāti tiesības un iespējas, </w:t>
      </w:r>
      <w:r w:rsidR="009C3D25" w:rsidRPr="00B53DA2">
        <w:rPr>
          <w:rFonts w:cstheme="minorHAnsi"/>
          <w:sz w:val="24"/>
          <w:szCs w:val="24"/>
        </w:rPr>
        <w:t>ieskaitot</w:t>
      </w:r>
      <w:r w:rsidR="008858CF">
        <w:rPr>
          <w:rFonts w:cstheme="minorHAnsi"/>
          <w:sz w:val="24"/>
          <w:szCs w:val="24"/>
        </w:rPr>
        <w:t xml:space="preserve"> </w:t>
      </w:r>
      <w:r w:rsidR="009C3D25" w:rsidRPr="00B53DA2">
        <w:rPr>
          <w:rFonts w:cstheme="minorHAnsi"/>
          <w:sz w:val="24"/>
          <w:szCs w:val="24"/>
        </w:rPr>
        <w:t xml:space="preserve">izglītības, darba tirgus un veselības nozares reformas, </w:t>
      </w:r>
      <w:r w:rsidR="00EC4A0F">
        <w:rPr>
          <w:rFonts w:cstheme="minorHAnsi"/>
          <w:sz w:val="24"/>
          <w:szCs w:val="24"/>
        </w:rPr>
        <w:t>p</w:t>
      </w:r>
      <w:r w:rsidR="009C3D25" w:rsidRPr="00B53DA2">
        <w:rPr>
          <w:rFonts w:cstheme="minorHAnsi"/>
          <w:sz w:val="24"/>
          <w:szCs w:val="24"/>
        </w:rPr>
        <w:t>ieejamīb</w:t>
      </w:r>
      <w:r w:rsidR="00EC4A0F">
        <w:rPr>
          <w:rFonts w:cstheme="minorHAnsi"/>
          <w:sz w:val="24"/>
          <w:szCs w:val="24"/>
        </w:rPr>
        <w:t>u ēkām, mājokļiem</w:t>
      </w:r>
      <w:r w:rsidR="009C3D25" w:rsidRPr="00B53DA2">
        <w:rPr>
          <w:rFonts w:cstheme="minorHAnsi"/>
          <w:sz w:val="24"/>
          <w:szCs w:val="24"/>
        </w:rPr>
        <w:t>,</w:t>
      </w:r>
      <w:r w:rsidR="008858CF">
        <w:rPr>
          <w:rFonts w:cstheme="minorHAnsi"/>
          <w:sz w:val="24"/>
          <w:szCs w:val="24"/>
        </w:rPr>
        <w:t xml:space="preserve"> </w:t>
      </w:r>
      <w:r w:rsidR="009C3D25" w:rsidRPr="00B53DA2">
        <w:rPr>
          <w:rFonts w:cstheme="minorHAnsi"/>
          <w:sz w:val="24"/>
          <w:szCs w:val="24"/>
        </w:rPr>
        <w:t xml:space="preserve">pakalpojumiem un </w:t>
      </w:r>
      <w:r w:rsidR="00EC4A0F">
        <w:rPr>
          <w:rFonts w:cstheme="minorHAnsi"/>
          <w:sz w:val="24"/>
          <w:szCs w:val="24"/>
        </w:rPr>
        <w:t xml:space="preserve">tīmekļa </w:t>
      </w:r>
      <w:r w:rsidR="009C3D25" w:rsidRPr="00B53DA2">
        <w:rPr>
          <w:rFonts w:cstheme="minorHAnsi"/>
          <w:sz w:val="24"/>
          <w:szCs w:val="24"/>
        </w:rPr>
        <w:t>vietnēm, kā arī pāreju no institucionāla</w:t>
      </w:r>
      <w:r w:rsidR="008A41D9">
        <w:rPr>
          <w:rFonts w:cstheme="minorHAnsi"/>
          <w:sz w:val="24"/>
          <w:szCs w:val="24"/>
        </w:rPr>
        <w:t xml:space="preserve">s aprūpes </w:t>
      </w:r>
      <w:r w:rsidR="009C3D25" w:rsidRPr="00B53DA2">
        <w:rPr>
          <w:rFonts w:cstheme="minorHAnsi"/>
          <w:sz w:val="24"/>
          <w:szCs w:val="24"/>
        </w:rPr>
        <w:t>uz kopienu</w:t>
      </w:r>
      <w:r w:rsidR="008A41D9">
        <w:rPr>
          <w:rFonts w:cstheme="minorHAnsi"/>
          <w:sz w:val="24"/>
          <w:szCs w:val="24"/>
        </w:rPr>
        <w:t xml:space="preserve"> </w:t>
      </w:r>
      <w:r w:rsidR="009C3D25" w:rsidRPr="00B53DA2">
        <w:rPr>
          <w:rFonts w:cstheme="minorHAnsi"/>
          <w:sz w:val="24"/>
          <w:szCs w:val="24"/>
        </w:rPr>
        <w:t>pakalpojum</w:t>
      </w:r>
      <w:r w:rsidR="008A41D9">
        <w:rPr>
          <w:rFonts w:cstheme="minorHAnsi"/>
          <w:sz w:val="24"/>
          <w:szCs w:val="24"/>
        </w:rPr>
        <w:t>iem</w:t>
      </w:r>
      <w:r w:rsidR="009C3D25" w:rsidRPr="00B53DA2">
        <w:rPr>
          <w:rFonts w:cstheme="minorHAnsi"/>
          <w:sz w:val="24"/>
          <w:szCs w:val="24"/>
        </w:rPr>
        <w:t>.</w:t>
      </w:r>
    </w:p>
    <w:p w14:paraId="1DC7855A" w14:textId="24D9D261" w:rsidR="00B53DA2" w:rsidRDefault="00B53DA2" w:rsidP="0047131A">
      <w:pPr>
        <w:jc w:val="both"/>
        <w:rPr>
          <w:rFonts w:cstheme="minorHAnsi"/>
          <w:sz w:val="24"/>
          <w:szCs w:val="24"/>
        </w:rPr>
      </w:pPr>
    </w:p>
    <w:p w14:paraId="02925D26" w14:textId="5B7771B2" w:rsidR="00DC06B6" w:rsidRDefault="00DC06B6" w:rsidP="0047131A">
      <w:pPr>
        <w:jc w:val="both"/>
        <w:rPr>
          <w:rFonts w:cstheme="minorHAnsi"/>
          <w:sz w:val="24"/>
          <w:szCs w:val="24"/>
        </w:rPr>
      </w:pPr>
      <w:r w:rsidRPr="00DC06B6">
        <w:rPr>
          <w:rFonts w:cstheme="minorHAnsi"/>
          <w:b/>
          <w:sz w:val="24"/>
          <w:szCs w:val="24"/>
        </w:rPr>
        <w:t>Piemērs</w:t>
      </w:r>
      <w:r>
        <w:rPr>
          <w:rFonts w:cstheme="minorHAnsi"/>
          <w:sz w:val="24"/>
          <w:szCs w:val="24"/>
        </w:rPr>
        <w:t xml:space="preserve">: (investīcijas Nr.) veicot ieguldījumus ēku energoefektivitātes uzlabošanai, attiecināmos gadījumos tiks nodrošināti vides pieejamības uzlabošanas pasākumi, lai nodrošinātu piekļuvi cilvēkiem ar dažādiem funkcionēšanas traucējumiem. </w:t>
      </w:r>
    </w:p>
    <w:p w14:paraId="5B3FE260" w14:textId="2FC6328A" w:rsidR="00DC06B6" w:rsidRDefault="00DC06B6" w:rsidP="0047131A">
      <w:pPr>
        <w:jc w:val="both"/>
        <w:rPr>
          <w:rFonts w:cstheme="minorHAnsi"/>
          <w:sz w:val="24"/>
          <w:szCs w:val="24"/>
        </w:rPr>
      </w:pPr>
      <w:r w:rsidRPr="00DC06B6">
        <w:rPr>
          <w:rFonts w:cstheme="minorHAnsi"/>
          <w:b/>
          <w:sz w:val="24"/>
          <w:szCs w:val="24"/>
        </w:rPr>
        <w:t>Piemērs:</w:t>
      </w:r>
      <w:r>
        <w:rPr>
          <w:rFonts w:cstheme="minorHAnsi"/>
          <w:b/>
          <w:sz w:val="24"/>
          <w:szCs w:val="24"/>
        </w:rPr>
        <w:t xml:space="preserve"> </w:t>
      </w:r>
      <w:r w:rsidRPr="00DC06B6">
        <w:rPr>
          <w:rFonts w:cstheme="minorHAnsi"/>
          <w:sz w:val="24"/>
          <w:szCs w:val="24"/>
        </w:rPr>
        <w:t>(investīcijas Nr.)</w:t>
      </w:r>
      <w:r w:rsidR="00B73A4B">
        <w:rPr>
          <w:rFonts w:cstheme="minorHAnsi"/>
          <w:sz w:val="24"/>
          <w:szCs w:val="24"/>
        </w:rPr>
        <w:t xml:space="preserve"> </w:t>
      </w:r>
      <w:r w:rsidRPr="00DC06B6">
        <w:rPr>
          <w:rFonts w:cstheme="minorHAnsi"/>
          <w:sz w:val="24"/>
          <w:szCs w:val="24"/>
        </w:rPr>
        <w:t>veicot ieguldījumus</w:t>
      </w:r>
      <w:r>
        <w:rPr>
          <w:rFonts w:cstheme="minorHAnsi"/>
          <w:b/>
          <w:sz w:val="24"/>
          <w:szCs w:val="24"/>
        </w:rPr>
        <w:t xml:space="preserve"> </w:t>
      </w:r>
      <w:r w:rsidR="00997A3C" w:rsidRPr="002969DD">
        <w:rPr>
          <w:rFonts w:cstheme="minorHAnsi"/>
          <w:sz w:val="24"/>
          <w:szCs w:val="24"/>
        </w:rPr>
        <w:t>k</w:t>
      </w:r>
      <w:r w:rsidRPr="00DC06B6">
        <w:rPr>
          <w:rFonts w:cstheme="minorHAnsi"/>
          <w:sz w:val="24"/>
          <w:szCs w:val="24"/>
        </w:rPr>
        <w:t>atastrofu pārvaldības sistēmas adaptācijas klimata pārmaiņām, glābšanas un ātrās reaģēšanas dienestu koordinācijai</w:t>
      </w:r>
      <w:r>
        <w:rPr>
          <w:rFonts w:cstheme="minorHAnsi"/>
          <w:sz w:val="24"/>
          <w:szCs w:val="24"/>
        </w:rPr>
        <w:t>, ar</w:t>
      </w:r>
      <w:r w:rsidRPr="00DC06B6">
        <w:rPr>
          <w:rFonts w:cstheme="minorHAnsi"/>
          <w:sz w:val="24"/>
          <w:szCs w:val="24"/>
        </w:rPr>
        <w:t xml:space="preserve"> digitālajiem risinājumiem paredzēts nodrošināt iedzīvotājus ar ātru, kvalitatīvu un teritoriāli mērķētu informāciju, </w:t>
      </w:r>
      <w:r w:rsidR="00997A3C">
        <w:rPr>
          <w:rFonts w:cstheme="minorHAnsi"/>
          <w:sz w:val="24"/>
          <w:szCs w:val="24"/>
        </w:rPr>
        <w:t xml:space="preserve">tostarp </w:t>
      </w:r>
      <w:r>
        <w:rPr>
          <w:rFonts w:cstheme="minorHAnsi"/>
          <w:sz w:val="24"/>
          <w:szCs w:val="24"/>
        </w:rPr>
        <w:t xml:space="preserve">tiks nodrošināta </w:t>
      </w:r>
      <w:r w:rsidR="00DB53AD">
        <w:rPr>
          <w:rFonts w:cstheme="minorHAnsi"/>
          <w:sz w:val="24"/>
          <w:szCs w:val="24"/>
        </w:rPr>
        <w:t xml:space="preserve">informācijas </w:t>
      </w:r>
      <w:proofErr w:type="spellStart"/>
      <w:r w:rsidR="00DB53AD">
        <w:rPr>
          <w:rFonts w:cstheme="minorHAnsi"/>
          <w:sz w:val="24"/>
          <w:szCs w:val="24"/>
        </w:rPr>
        <w:t>piekļūstamība</w:t>
      </w:r>
      <w:proofErr w:type="spellEnd"/>
      <w:r w:rsidR="00DB53AD">
        <w:rPr>
          <w:rFonts w:cstheme="minorHAnsi"/>
          <w:sz w:val="24"/>
          <w:szCs w:val="24"/>
        </w:rPr>
        <w:t xml:space="preserve"> cilvēkiem ar funkcionāliem traucējumiem</w:t>
      </w:r>
      <w:r w:rsidR="006A0F66">
        <w:rPr>
          <w:rFonts w:cstheme="minorHAnsi"/>
          <w:sz w:val="24"/>
          <w:szCs w:val="24"/>
        </w:rPr>
        <w:t xml:space="preserve">, izmantojot </w:t>
      </w:r>
      <w:r w:rsidR="006A0F66" w:rsidRPr="006A0F66">
        <w:rPr>
          <w:rFonts w:cstheme="minorHAnsi"/>
          <w:sz w:val="24"/>
          <w:szCs w:val="24"/>
        </w:rPr>
        <w:t>vairākus sensoros (redze, dzirde, tauste) kanālus</w:t>
      </w:r>
      <w:r w:rsidR="006A0F66">
        <w:rPr>
          <w:rFonts w:cstheme="minorHAnsi"/>
          <w:sz w:val="24"/>
          <w:szCs w:val="24"/>
        </w:rPr>
        <w:t xml:space="preserve">. </w:t>
      </w:r>
    </w:p>
    <w:p w14:paraId="75F2B6BA" w14:textId="77777777" w:rsidR="00ED3F7C" w:rsidRDefault="00ED3F7C" w:rsidP="00AF1941">
      <w:pPr>
        <w:rPr>
          <w:rFonts w:cstheme="minorHAnsi"/>
          <w:sz w:val="24"/>
          <w:szCs w:val="24"/>
        </w:rPr>
      </w:pPr>
    </w:p>
    <w:p w14:paraId="0A537F44" w14:textId="444DC105" w:rsidR="00AF1941" w:rsidRPr="00B53DA2" w:rsidRDefault="00AF1941" w:rsidP="00AF1941">
      <w:pPr>
        <w:rPr>
          <w:rFonts w:cstheme="minorHAnsi"/>
          <w:sz w:val="24"/>
          <w:szCs w:val="24"/>
        </w:rPr>
      </w:pPr>
      <w:r w:rsidRPr="00B53DA2">
        <w:rPr>
          <w:rFonts w:cstheme="minorHAnsi"/>
          <w:sz w:val="24"/>
          <w:szCs w:val="24"/>
        </w:rPr>
        <w:t xml:space="preserve"> </w:t>
      </w:r>
      <w:r>
        <w:rPr>
          <w:rFonts w:cstheme="minorHAnsi"/>
          <w:b/>
          <w:color w:val="2E74B5" w:themeColor="accent5" w:themeShade="BF"/>
          <w:sz w:val="24"/>
          <w:szCs w:val="24"/>
        </w:rPr>
        <w:t>Vai ir notikušas konsultācijas ar dzimumu līdztiesības un vienlīdzīgu iespēju jomas nevalstiskajām organizācijām</w:t>
      </w:r>
      <w:r w:rsidRPr="00B53DA2">
        <w:rPr>
          <w:rFonts w:cstheme="minorHAnsi"/>
          <w:b/>
          <w:color w:val="2E74B5" w:themeColor="accent5" w:themeShade="BF"/>
          <w:sz w:val="24"/>
          <w:szCs w:val="24"/>
        </w:rPr>
        <w:t>?</w:t>
      </w:r>
    </w:p>
    <w:p w14:paraId="5792E835" w14:textId="043C979B" w:rsidR="00AC423C" w:rsidRPr="00B53DA2" w:rsidRDefault="0067790D" w:rsidP="00B45403">
      <w:pPr>
        <w:jc w:val="both"/>
        <w:rPr>
          <w:rFonts w:cstheme="minorHAnsi"/>
          <w:sz w:val="24"/>
          <w:szCs w:val="24"/>
        </w:rPr>
      </w:pPr>
      <w:r>
        <w:rPr>
          <w:rFonts w:cstheme="minorHAnsi"/>
          <w:sz w:val="24"/>
          <w:szCs w:val="24"/>
        </w:rPr>
        <w:t>Atbildīgās iestādes aicinātas sniegt aprakstu par notikušajām konsultācijā</w:t>
      </w:r>
      <w:r w:rsidR="00B45403">
        <w:rPr>
          <w:rFonts w:cstheme="minorHAnsi"/>
          <w:sz w:val="24"/>
          <w:szCs w:val="24"/>
        </w:rPr>
        <w:t>m</w:t>
      </w:r>
      <w:r>
        <w:rPr>
          <w:rFonts w:cstheme="minorHAnsi"/>
          <w:sz w:val="24"/>
          <w:szCs w:val="24"/>
        </w:rPr>
        <w:t xml:space="preserve"> un apspriedēm ar sadarbības partneriem, </w:t>
      </w:r>
      <w:proofErr w:type="spellStart"/>
      <w:r w:rsidR="00B45403">
        <w:rPr>
          <w:rFonts w:cstheme="minorHAnsi"/>
          <w:sz w:val="24"/>
          <w:szCs w:val="24"/>
        </w:rPr>
        <w:t>nediskriminācijas</w:t>
      </w:r>
      <w:proofErr w:type="spellEnd"/>
      <w:r w:rsidR="00B45403">
        <w:rPr>
          <w:rFonts w:cstheme="minorHAnsi"/>
          <w:sz w:val="24"/>
          <w:szCs w:val="24"/>
        </w:rPr>
        <w:t xml:space="preserve"> jomu pārstāvošajām nevalstiskajām organizācijām. </w:t>
      </w:r>
      <w:r w:rsidR="00FD4913" w:rsidRPr="00FD4913">
        <w:rPr>
          <w:rFonts w:cstheme="minorHAnsi"/>
          <w:sz w:val="24"/>
          <w:szCs w:val="24"/>
        </w:rPr>
        <w:t>Personas ar invaliditāti ar savu pārstāvju organizāciju starpniecību var labāk ieteikt politiskajām iestādēm iekļaut invaliditātes dimensiju ar šo slimību saistītos profilakses, mazināšanas un uzraudzības plānos.</w:t>
      </w:r>
      <w:r w:rsidR="00FD4913">
        <w:rPr>
          <w:rFonts w:cstheme="minorHAnsi"/>
          <w:sz w:val="24"/>
          <w:szCs w:val="24"/>
        </w:rPr>
        <w:t xml:space="preserve"> Līdzīgi arī citu jomu organizācijas vislabāk var palīdzēt iekļaut dzimumu līdztiesības, etnisko minoritāšu, novecošanās un citus jautājumus. </w:t>
      </w:r>
    </w:p>
    <w:p w14:paraId="4A1BFBAE" w14:textId="77777777" w:rsidR="008A41D9" w:rsidRDefault="008A41D9" w:rsidP="009C3D25">
      <w:pPr>
        <w:rPr>
          <w:rFonts w:cstheme="minorHAnsi"/>
          <w:sz w:val="24"/>
          <w:szCs w:val="24"/>
        </w:rPr>
      </w:pPr>
    </w:p>
    <w:p w14:paraId="2E931981" w14:textId="4E44407E" w:rsidR="003D3AE1" w:rsidRPr="00B45403" w:rsidRDefault="0067790D" w:rsidP="00B45403">
      <w:pPr>
        <w:jc w:val="both"/>
        <w:rPr>
          <w:rFonts w:cstheme="minorHAnsi"/>
          <w:i/>
          <w:sz w:val="24"/>
          <w:szCs w:val="24"/>
        </w:rPr>
      </w:pPr>
      <w:r w:rsidRPr="00B45403">
        <w:rPr>
          <w:rFonts w:cstheme="minorHAnsi"/>
          <w:i/>
          <w:noProof/>
          <w:sz w:val="24"/>
          <w:szCs w:val="24"/>
        </w:rPr>
        <w:drawing>
          <wp:anchor distT="0" distB="0" distL="114300" distR="114300" simplePos="0" relativeHeight="251661312" behindDoc="1" locked="0" layoutInCell="1" allowOverlap="1" wp14:anchorId="6AC8045D" wp14:editId="2426E161">
            <wp:simplePos x="0" y="0"/>
            <wp:positionH relativeFrom="margin">
              <wp:align>left</wp:align>
            </wp:positionH>
            <wp:positionV relativeFrom="paragraph">
              <wp:posOffset>109366</wp:posOffset>
            </wp:positionV>
            <wp:extent cx="633730" cy="414655"/>
            <wp:effectExtent l="0" t="0" r="0" b="4445"/>
            <wp:wrapTight wrapText="bothSides">
              <wp:wrapPolygon edited="0">
                <wp:start x="12337" y="0"/>
                <wp:lineTo x="0" y="3969"/>
                <wp:lineTo x="0" y="16870"/>
                <wp:lineTo x="12337" y="20839"/>
                <wp:lineTo x="15583" y="20839"/>
                <wp:lineTo x="16232" y="20839"/>
                <wp:lineTo x="20778" y="11908"/>
                <wp:lineTo x="20778" y="8931"/>
                <wp:lineTo x="15583" y="0"/>
                <wp:lineTo x="123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 cy="414655"/>
                    </a:xfrm>
                    <a:prstGeom prst="rect">
                      <a:avLst/>
                    </a:prstGeom>
                    <a:noFill/>
                  </pic:spPr>
                </pic:pic>
              </a:graphicData>
            </a:graphic>
          </wp:anchor>
        </w:drawing>
      </w:r>
      <w:r w:rsidR="009C3D25" w:rsidRPr="00B45403">
        <w:rPr>
          <w:rFonts w:cstheme="minorHAnsi"/>
          <w:i/>
          <w:sz w:val="24"/>
          <w:szCs w:val="24"/>
        </w:rPr>
        <w:t xml:space="preserve">Atbildot uz šiem jautājumiem, </w:t>
      </w:r>
      <w:r w:rsidR="00AF1941" w:rsidRPr="00B45403">
        <w:rPr>
          <w:rFonts w:cstheme="minorHAnsi"/>
          <w:i/>
          <w:sz w:val="24"/>
          <w:szCs w:val="24"/>
        </w:rPr>
        <w:t xml:space="preserve">atbildīgajai iestādei </w:t>
      </w:r>
      <w:r w:rsidR="009C3D25" w:rsidRPr="00B45403">
        <w:rPr>
          <w:rFonts w:cstheme="minorHAnsi"/>
          <w:i/>
          <w:sz w:val="24"/>
          <w:szCs w:val="24"/>
        </w:rPr>
        <w:t>būtu jāpierāda, ka</w:t>
      </w:r>
      <w:r w:rsidR="00B53DA2" w:rsidRPr="00B45403">
        <w:rPr>
          <w:rFonts w:cstheme="minorHAnsi"/>
          <w:i/>
          <w:sz w:val="24"/>
          <w:szCs w:val="24"/>
        </w:rPr>
        <w:t xml:space="preserve"> </w:t>
      </w:r>
      <w:r w:rsidR="009C3D25" w:rsidRPr="00B45403">
        <w:rPr>
          <w:rFonts w:cstheme="minorHAnsi"/>
          <w:i/>
          <w:sz w:val="24"/>
          <w:szCs w:val="24"/>
        </w:rPr>
        <w:t>dzimumu līdztiesība un vien</w:t>
      </w:r>
      <w:r w:rsidR="00B53DA2" w:rsidRPr="00B45403">
        <w:rPr>
          <w:rFonts w:cstheme="minorHAnsi"/>
          <w:i/>
          <w:sz w:val="24"/>
          <w:szCs w:val="24"/>
        </w:rPr>
        <w:t xml:space="preserve">līdzīgas </w:t>
      </w:r>
      <w:r w:rsidR="009C3D25" w:rsidRPr="00B45403">
        <w:rPr>
          <w:rFonts w:cstheme="minorHAnsi"/>
          <w:i/>
          <w:sz w:val="24"/>
          <w:szCs w:val="24"/>
        </w:rPr>
        <w:t>iespējas visiem ir iekļauti plānā, t.i., ka</w:t>
      </w:r>
      <w:r w:rsidR="00B53DA2" w:rsidRPr="00B45403">
        <w:rPr>
          <w:rFonts w:cstheme="minorHAnsi"/>
          <w:i/>
          <w:sz w:val="24"/>
          <w:szCs w:val="24"/>
        </w:rPr>
        <w:t xml:space="preserve"> </w:t>
      </w:r>
      <w:r w:rsidR="00EC4A0F" w:rsidRPr="00B45403">
        <w:rPr>
          <w:rFonts w:cstheme="minorHAnsi"/>
          <w:i/>
          <w:sz w:val="24"/>
          <w:szCs w:val="24"/>
        </w:rPr>
        <w:t xml:space="preserve">tiek īstenota dzimumu līdztiesības un vienlīdzīgu iespēju integrētā pieeja. </w:t>
      </w:r>
      <w:r w:rsidR="009C3D25" w:rsidRPr="00B45403">
        <w:rPr>
          <w:rFonts w:cstheme="minorHAnsi"/>
          <w:i/>
          <w:sz w:val="24"/>
          <w:szCs w:val="24"/>
        </w:rPr>
        <w:t xml:space="preserve"> </w:t>
      </w:r>
    </w:p>
    <w:p w14:paraId="5C4634CA" w14:textId="158A9879" w:rsidR="003D3AE1" w:rsidRDefault="003D3AE1" w:rsidP="009C3D25">
      <w:pPr>
        <w:rPr>
          <w:rFonts w:cstheme="minorHAnsi"/>
          <w:sz w:val="24"/>
          <w:szCs w:val="24"/>
        </w:rPr>
      </w:pPr>
    </w:p>
    <w:p w14:paraId="0474D2A8" w14:textId="77777777" w:rsidR="004B3D90" w:rsidRDefault="004B3D90" w:rsidP="009C3D25">
      <w:pPr>
        <w:rPr>
          <w:rFonts w:cstheme="minorHAnsi"/>
          <w:b/>
          <w:color w:val="2E74B5" w:themeColor="accent5" w:themeShade="BF"/>
          <w:sz w:val="32"/>
          <w:szCs w:val="32"/>
        </w:rPr>
      </w:pPr>
    </w:p>
    <w:p w14:paraId="01C64758" w14:textId="77777777" w:rsidR="004B3D90" w:rsidRDefault="004B3D90" w:rsidP="009C3D25">
      <w:pPr>
        <w:rPr>
          <w:rFonts w:cstheme="minorHAnsi"/>
          <w:b/>
          <w:color w:val="2E74B5" w:themeColor="accent5" w:themeShade="BF"/>
          <w:sz w:val="32"/>
          <w:szCs w:val="32"/>
        </w:rPr>
      </w:pPr>
    </w:p>
    <w:p w14:paraId="010813A8" w14:textId="10C21C59" w:rsidR="00B45403" w:rsidRPr="00822FD7" w:rsidRDefault="00B45403" w:rsidP="009C3D25">
      <w:pPr>
        <w:rPr>
          <w:rFonts w:cstheme="minorHAnsi"/>
          <w:b/>
          <w:color w:val="2E74B5" w:themeColor="accent5" w:themeShade="BF"/>
          <w:sz w:val="32"/>
          <w:szCs w:val="32"/>
        </w:rPr>
      </w:pPr>
      <w:r w:rsidRPr="00822FD7">
        <w:rPr>
          <w:rFonts w:cstheme="minorHAnsi"/>
          <w:b/>
          <w:color w:val="2E74B5" w:themeColor="accent5" w:themeShade="BF"/>
          <w:sz w:val="32"/>
          <w:szCs w:val="32"/>
        </w:rPr>
        <w:lastRenderedPageBreak/>
        <w:t xml:space="preserve">Datu atspoguļošana ANM plānā </w:t>
      </w:r>
    </w:p>
    <w:p w14:paraId="357AD5C4" w14:textId="2E16104B" w:rsidR="009C3D25" w:rsidRPr="00B45403" w:rsidRDefault="00B45403" w:rsidP="00B45403">
      <w:pPr>
        <w:jc w:val="both"/>
        <w:rPr>
          <w:rFonts w:cstheme="minorHAnsi"/>
          <w:sz w:val="24"/>
          <w:szCs w:val="24"/>
        </w:rPr>
      </w:pPr>
      <w:r>
        <w:rPr>
          <w:rFonts w:cstheme="minorHAnsi"/>
          <w:noProof/>
          <w:sz w:val="24"/>
          <w:szCs w:val="24"/>
        </w:rPr>
        <w:t>A</w:t>
      </w:r>
      <w:proofErr w:type="spellStart"/>
      <w:r w:rsidR="00AF1941" w:rsidRPr="00B45403">
        <w:rPr>
          <w:rFonts w:cstheme="minorHAnsi"/>
          <w:sz w:val="24"/>
          <w:szCs w:val="24"/>
        </w:rPr>
        <w:t>tbildīgās</w:t>
      </w:r>
      <w:proofErr w:type="spellEnd"/>
      <w:r w:rsidR="00AF1941" w:rsidRPr="00B45403">
        <w:rPr>
          <w:rFonts w:cstheme="minorHAnsi"/>
          <w:sz w:val="24"/>
          <w:szCs w:val="24"/>
        </w:rPr>
        <w:t xml:space="preserve"> iestādes </w:t>
      </w:r>
      <w:r w:rsidR="009C3D25" w:rsidRPr="00B45403">
        <w:rPr>
          <w:rFonts w:cstheme="minorHAnsi"/>
          <w:sz w:val="24"/>
          <w:szCs w:val="24"/>
        </w:rPr>
        <w:t xml:space="preserve">tiek aicinātas datus </w:t>
      </w:r>
      <w:r w:rsidR="00AF1941" w:rsidRPr="00B45403">
        <w:rPr>
          <w:rFonts w:cstheme="minorHAnsi"/>
          <w:sz w:val="24"/>
          <w:szCs w:val="24"/>
        </w:rPr>
        <w:t xml:space="preserve">sadalīt </w:t>
      </w:r>
      <w:r w:rsidR="009C3D25" w:rsidRPr="00B45403">
        <w:rPr>
          <w:rFonts w:cstheme="minorHAnsi"/>
          <w:sz w:val="24"/>
          <w:szCs w:val="24"/>
        </w:rPr>
        <w:t>pēc dzimuma, vecuma,</w:t>
      </w:r>
      <w:r w:rsidR="0067790D" w:rsidRPr="00B45403">
        <w:rPr>
          <w:rFonts w:cstheme="minorHAnsi"/>
          <w:sz w:val="24"/>
          <w:szCs w:val="24"/>
        </w:rPr>
        <w:t xml:space="preserve"> </w:t>
      </w:r>
      <w:r w:rsidR="009C3D25" w:rsidRPr="00B45403">
        <w:rPr>
          <w:rFonts w:cstheme="minorHAnsi"/>
          <w:sz w:val="24"/>
          <w:szCs w:val="24"/>
        </w:rPr>
        <w:t>invaliditāte</w:t>
      </w:r>
      <w:r w:rsidR="00AF1941" w:rsidRPr="00B45403">
        <w:rPr>
          <w:rFonts w:cstheme="minorHAnsi"/>
          <w:sz w:val="24"/>
          <w:szCs w:val="24"/>
        </w:rPr>
        <w:t>s</w:t>
      </w:r>
      <w:r w:rsidR="009C3D25" w:rsidRPr="00B45403">
        <w:rPr>
          <w:rFonts w:cstheme="minorHAnsi"/>
          <w:sz w:val="24"/>
          <w:szCs w:val="24"/>
        </w:rPr>
        <w:t xml:space="preserve"> un rase</w:t>
      </w:r>
      <w:r w:rsidR="00AF1941" w:rsidRPr="00B45403">
        <w:rPr>
          <w:rFonts w:cstheme="minorHAnsi"/>
          <w:sz w:val="24"/>
          <w:szCs w:val="24"/>
        </w:rPr>
        <w:t>s</w:t>
      </w:r>
      <w:r w:rsidR="009C3D25" w:rsidRPr="00B45403">
        <w:rPr>
          <w:rFonts w:cstheme="minorHAnsi"/>
          <w:sz w:val="24"/>
          <w:szCs w:val="24"/>
        </w:rPr>
        <w:t xml:space="preserve"> vai etniskā izcelsme</w:t>
      </w:r>
      <w:r w:rsidR="00AF1941" w:rsidRPr="00B45403">
        <w:rPr>
          <w:rFonts w:cstheme="minorHAnsi"/>
          <w:sz w:val="24"/>
          <w:szCs w:val="24"/>
        </w:rPr>
        <w:t>s</w:t>
      </w:r>
      <w:r w:rsidR="009C3D25" w:rsidRPr="00B45403">
        <w:rPr>
          <w:rFonts w:cstheme="minorHAnsi"/>
          <w:sz w:val="24"/>
          <w:szCs w:val="24"/>
        </w:rPr>
        <w:t xml:space="preserve">, kur vien </w:t>
      </w:r>
      <w:r w:rsidR="00AF1941" w:rsidRPr="00B45403">
        <w:rPr>
          <w:rFonts w:cstheme="minorHAnsi"/>
          <w:sz w:val="24"/>
          <w:szCs w:val="24"/>
        </w:rPr>
        <w:t xml:space="preserve">tas ir </w:t>
      </w:r>
      <w:r w:rsidR="009C3D25" w:rsidRPr="00B45403">
        <w:rPr>
          <w:rFonts w:cstheme="minorHAnsi"/>
          <w:sz w:val="24"/>
          <w:szCs w:val="24"/>
        </w:rPr>
        <w:t>iespējams.</w:t>
      </w:r>
      <w:r w:rsidR="002969DD" w:rsidRPr="00B45403">
        <w:t xml:space="preserve"> </w:t>
      </w:r>
      <w:r w:rsidR="002969DD" w:rsidRPr="00B45403">
        <w:rPr>
          <w:rFonts w:cstheme="minorHAnsi"/>
          <w:sz w:val="24"/>
          <w:szCs w:val="24"/>
        </w:rPr>
        <w:t>Šajā nolūkā visās nozarēs izmantojiet īpašas dzimumu analīzes metodes un rīkus, piemēram, ietekmes uz dzimumu novērtējumu, kvalitatīvus pēc dzimuma sadalītus datus un attiecīgus dzimumu līdztiesības rādītājus</w:t>
      </w:r>
      <w:r>
        <w:rPr>
          <w:rFonts w:cstheme="minorHAnsi"/>
          <w:sz w:val="24"/>
          <w:szCs w:val="24"/>
        </w:rPr>
        <w:t xml:space="preserve">, kur tas ir iespējams. </w:t>
      </w:r>
    </w:p>
    <w:p w14:paraId="63D8F18C" w14:textId="14B77362" w:rsidR="00B45403" w:rsidRDefault="00B45403" w:rsidP="009C3D25">
      <w:pPr>
        <w:rPr>
          <w:rFonts w:cstheme="minorHAnsi"/>
          <w:color w:val="FF0000"/>
          <w:sz w:val="24"/>
          <w:szCs w:val="24"/>
        </w:rPr>
      </w:pPr>
    </w:p>
    <w:p w14:paraId="5CD2432D" w14:textId="51076499" w:rsidR="00B45403" w:rsidRDefault="00B45403" w:rsidP="009C3D25">
      <w:pPr>
        <w:rPr>
          <w:rFonts w:cstheme="minorHAnsi"/>
          <w:b/>
          <w:color w:val="2E74B5" w:themeColor="accent5" w:themeShade="BF"/>
          <w:sz w:val="32"/>
          <w:szCs w:val="32"/>
        </w:rPr>
      </w:pPr>
      <w:r w:rsidRPr="00B45403">
        <w:rPr>
          <w:rFonts w:cstheme="minorHAnsi"/>
          <w:b/>
          <w:color w:val="2E74B5" w:themeColor="accent5" w:themeShade="BF"/>
          <w:sz w:val="32"/>
          <w:szCs w:val="32"/>
        </w:rPr>
        <w:t xml:space="preserve">Horizontālā principa “Dzimumu līdztiesība un vienlīdzīgas iespējas” rādītāju noteikšana ANM plānā </w:t>
      </w:r>
    </w:p>
    <w:p w14:paraId="6149451B" w14:textId="24489C19" w:rsidR="00B45403" w:rsidRPr="00A76D67" w:rsidRDefault="00B45403" w:rsidP="00B45403">
      <w:pPr>
        <w:jc w:val="both"/>
        <w:rPr>
          <w:rFonts w:cstheme="minorHAnsi"/>
          <w:sz w:val="24"/>
          <w:szCs w:val="24"/>
        </w:rPr>
      </w:pPr>
      <w:r w:rsidRPr="00A76D67">
        <w:rPr>
          <w:rFonts w:cstheme="minorHAnsi"/>
          <w:sz w:val="24"/>
          <w:szCs w:val="24"/>
        </w:rPr>
        <w:t xml:space="preserve">Attiecībā uz horizontālā principa uzraudzības jautājumiem (t.sk. </w:t>
      </w:r>
      <w:proofErr w:type="spellStart"/>
      <w:r w:rsidRPr="00A76D67">
        <w:rPr>
          <w:rFonts w:cstheme="minorHAnsi"/>
          <w:sz w:val="24"/>
          <w:szCs w:val="24"/>
        </w:rPr>
        <w:t>overall</w:t>
      </w:r>
      <w:proofErr w:type="spellEnd"/>
      <w:r w:rsidRPr="00A76D67">
        <w:rPr>
          <w:rFonts w:cstheme="minorHAnsi"/>
          <w:sz w:val="24"/>
          <w:szCs w:val="24"/>
        </w:rPr>
        <w:t xml:space="preserve"> </w:t>
      </w:r>
      <w:proofErr w:type="spellStart"/>
      <w:r w:rsidRPr="00A76D67">
        <w:rPr>
          <w:rFonts w:cstheme="minorHAnsi"/>
          <w:sz w:val="24"/>
          <w:szCs w:val="24"/>
        </w:rPr>
        <w:t>impact</w:t>
      </w:r>
      <w:proofErr w:type="spellEnd"/>
      <w:r w:rsidRPr="00A76D67">
        <w:rPr>
          <w:rFonts w:cstheme="minorHAnsi"/>
          <w:sz w:val="24"/>
          <w:szCs w:val="24"/>
        </w:rPr>
        <w:t xml:space="preserve"> izmērīšanu) rādītājus var mērīt plāna ieviešanas gaitā (vai noslēgumā), līdz ar to horizontālā principa darbībām ir jābūt tik konkrētām, lai tām varētu noteikt rādītājus. Vienlaikus ir iespējami tādi investīciju virzieni, kur atbilstošu rādītāju noteikt nebūs iespējams.  </w:t>
      </w:r>
    </w:p>
    <w:p w14:paraId="23AB1521" w14:textId="0B90E0E6" w:rsidR="00B45403" w:rsidRPr="00A76D67" w:rsidRDefault="00A76D67" w:rsidP="00A76D67">
      <w:pPr>
        <w:jc w:val="both"/>
        <w:rPr>
          <w:rFonts w:cstheme="minorHAnsi"/>
          <w:sz w:val="24"/>
          <w:szCs w:val="24"/>
        </w:rPr>
      </w:pPr>
      <w:r w:rsidRPr="00A76D67">
        <w:rPr>
          <w:rFonts w:cstheme="minorHAnsi"/>
          <w:sz w:val="24"/>
          <w:szCs w:val="24"/>
        </w:rPr>
        <w:t xml:space="preserve">LM kā atskaites punktu piedāvā izmantot Eiropas komisijas izvirzītos rādītājus saskaņā ar </w:t>
      </w:r>
      <w:bookmarkStart w:id="6" w:name="_Hlk68010367"/>
      <w:r w:rsidRPr="00A76D67">
        <w:rPr>
          <w:rFonts w:cstheme="minorHAnsi"/>
          <w:sz w:val="24"/>
          <w:szCs w:val="24"/>
        </w:rPr>
        <w:t xml:space="preserve">ANO ilgtspējīgas attīstības mērķiem </w:t>
      </w:r>
      <w:bookmarkEnd w:id="6"/>
      <w:r w:rsidRPr="00A76D67">
        <w:rPr>
          <w:rFonts w:cstheme="minorHAnsi"/>
          <w:sz w:val="24"/>
          <w:szCs w:val="24"/>
        </w:rPr>
        <w:t>(IAM), kas ierosina trīs galvenos mērķus ES, kas jāsasniedz līdz 2030. gadam attiecībā uz nodarbinātību, prasmēm un sociālo aizsardzību:</w:t>
      </w:r>
    </w:p>
    <w:p w14:paraId="31FACB06" w14:textId="033C8574" w:rsidR="007E36D5" w:rsidRPr="00A76D67" w:rsidRDefault="007E36D5" w:rsidP="00A76D67">
      <w:pPr>
        <w:pStyle w:val="ListParagraph"/>
        <w:numPr>
          <w:ilvl w:val="0"/>
          <w:numId w:val="14"/>
        </w:numPr>
        <w:spacing w:after="0" w:line="240" w:lineRule="auto"/>
        <w:jc w:val="both"/>
        <w:rPr>
          <w:rFonts w:ascii="Calibri" w:eastAsia="Calibri" w:hAnsi="Calibri" w:cs="Calibri"/>
          <w:sz w:val="24"/>
          <w:szCs w:val="24"/>
        </w:rPr>
      </w:pPr>
      <w:r w:rsidRPr="00A76D67">
        <w:rPr>
          <w:rFonts w:ascii="Calibri" w:eastAsia="Calibri" w:hAnsi="Calibri" w:cs="Calibri"/>
          <w:sz w:val="24"/>
          <w:szCs w:val="24"/>
        </w:rPr>
        <w:t>Vismaz 78% cilvēku vecumā no 20 līdz 64 gadiem jābūt nodarbinātiem.</w:t>
      </w:r>
    </w:p>
    <w:p w14:paraId="7D4B66E3" w14:textId="48D4D70A" w:rsidR="007E36D5" w:rsidRPr="00A76D67" w:rsidRDefault="007E36D5" w:rsidP="00A76D67">
      <w:pPr>
        <w:pStyle w:val="ListParagraph"/>
        <w:numPr>
          <w:ilvl w:val="0"/>
          <w:numId w:val="14"/>
        </w:numPr>
        <w:spacing w:after="0" w:line="240" w:lineRule="auto"/>
        <w:jc w:val="both"/>
        <w:rPr>
          <w:rFonts w:ascii="Calibri" w:eastAsia="Calibri" w:hAnsi="Calibri" w:cs="Calibri"/>
          <w:sz w:val="24"/>
          <w:szCs w:val="24"/>
        </w:rPr>
      </w:pPr>
      <w:r w:rsidRPr="00A76D67">
        <w:rPr>
          <w:rFonts w:ascii="Calibri" w:eastAsia="Calibri" w:hAnsi="Calibri" w:cs="Calibri"/>
          <w:sz w:val="24"/>
          <w:szCs w:val="24"/>
        </w:rPr>
        <w:t>Katru gadu apmācībā jāpiedalās vismaz 60% no visiem pieaugušajiem.</w:t>
      </w:r>
    </w:p>
    <w:p w14:paraId="369E886A" w14:textId="36A9DDFF" w:rsidR="007E36D5" w:rsidRPr="00A76D67" w:rsidRDefault="007E36D5" w:rsidP="00A76D67">
      <w:pPr>
        <w:pStyle w:val="ListParagraph"/>
        <w:numPr>
          <w:ilvl w:val="0"/>
          <w:numId w:val="14"/>
        </w:numPr>
        <w:spacing w:after="0" w:line="240" w:lineRule="auto"/>
        <w:jc w:val="both"/>
        <w:rPr>
          <w:rFonts w:ascii="Calibri" w:eastAsia="Calibri" w:hAnsi="Calibri" w:cs="Calibri"/>
          <w:sz w:val="24"/>
          <w:szCs w:val="24"/>
        </w:rPr>
      </w:pPr>
      <w:r w:rsidRPr="00A76D67">
        <w:rPr>
          <w:rFonts w:ascii="Calibri" w:eastAsia="Calibri" w:hAnsi="Calibri" w:cs="Calibri"/>
          <w:sz w:val="24"/>
          <w:szCs w:val="24"/>
        </w:rPr>
        <w:t>Nabadzības vai sociālās atstumtības riskam pakļauto cilvēku skaits jāsamazina vismaz par 15 miljoniem.</w:t>
      </w:r>
    </w:p>
    <w:p w14:paraId="12BBFD7A" w14:textId="50F7F5F5" w:rsidR="007E36D5" w:rsidRPr="00A76D67" w:rsidRDefault="007E36D5" w:rsidP="007E36D5">
      <w:pPr>
        <w:spacing w:after="0" w:line="240" w:lineRule="auto"/>
        <w:jc w:val="both"/>
        <w:rPr>
          <w:rFonts w:ascii="Calibri" w:eastAsia="Calibri" w:hAnsi="Calibri" w:cs="Calibri"/>
          <w:sz w:val="24"/>
          <w:szCs w:val="24"/>
          <w:highlight w:val="yellow"/>
        </w:rPr>
      </w:pPr>
    </w:p>
    <w:p w14:paraId="53A385AB" w14:textId="1B1A46F7" w:rsidR="007E36D5" w:rsidRPr="00A76D67" w:rsidRDefault="00A76D67" w:rsidP="007E36D5">
      <w:pPr>
        <w:spacing w:after="0" w:line="240" w:lineRule="auto"/>
        <w:jc w:val="both"/>
        <w:rPr>
          <w:rFonts w:ascii="Calibri" w:eastAsia="Calibri" w:hAnsi="Calibri" w:cs="Calibri"/>
          <w:sz w:val="24"/>
          <w:szCs w:val="24"/>
        </w:rPr>
      </w:pPr>
      <w:r w:rsidRPr="00A76D67">
        <w:rPr>
          <w:rFonts w:ascii="Calibri" w:eastAsia="Calibri" w:hAnsi="Calibri" w:cs="Calibri"/>
          <w:sz w:val="24"/>
          <w:szCs w:val="24"/>
        </w:rPr>
        <w:t xml:space="preserve">Savukārt </w:t>
      </w:r>
      <w:r w:rsidR="007E36D5" w:rsidRPr="00A76D67">
        <w:rPr>
          <w:rFonts w:ascii="Calibri" w:eastAsia="Calibri" w:hAnsi="Calibri" w:cs="Calibri"/>
          <w:sz w:val="24"/>
          <w:szCs w:val="24"/>
        </w:rPr>
        <w:t xml:space="preserve">Latvija </w:t>
      </w:r>
      <w:r w:rsidR="00EC4A0F" w:rsidRPr="00A76D67">
        <w:rPr>
          <w:rFonts w:ascii="Calibri" w:eastAsia="Calibri" w:hAnsi="Calibri" w:cs="Calibri"/>
          <w:sz w:val="24"/>
          <w:szCs w:val="24"/>
        </w:rPr>
        <w:t>noteiks savus valsts mērķus, lai veicinātu šos kopīgos ES centienus. N</w:t>
      </w:r>
      <w:r w:rsidR="007E36D5" w:rsidRPr="00A76D67">
        <w:rPr>
          <w:rFonts w:ascii="Calibri" w:eastAsia="Calibri" w:hAnsi="Calibri" w:cs="Calibri"/>
          <w:sz w:val="24"/>
          <w:szCs w:val="24"/>
        </w:rPr>
        <w:t>acionālie kvantificētie mērķi saistībā ar nodarbinātību, izglītību un nabadzības mazināšan</w:t>
      </w:r>
      <w:r w:rsidR="007271EE" w:rsidRPr="00A76D67">
        <w:rPr>
          <w:rFonts w:ascii="Calibri" w:eastAsia="Calibri" w:hAnsi="Calibri" w:cs="Calibri"/>
          <w:sz w:val="24"/>
          <w:szCs w:val="24"/>
        </w:rPr>
        <w:t>u</w:t>
      </w:r>
      <w:r w:rsidR="007E36D5" w:rsidRPr="00A76D67">
        <w:rPr>
          <w:rFonts w:ascii="Calibri" w:eastAsia="Calibri" w:hAnsi="Calibri" w:cs="Calibri"/>
          <w:sz w:val="24"/>
          <w:szCs w:val="24"/>
        </w:rPr>
        <w:t xml:space="preserve"> tiks  noteikti  nacionālajos plānošanas dokumentos 2021.gada 2.pusē un tiks mērīti katru gadu.</w:t>
      </w:r>
    </w:p>
    <w:p w14:paraId="0D2A7BA6" w14:textId="061FC990" w:rsidR="00EC4A0F" w:rsidRPr="00A76D67" w:rsidRDefault="00EC4A0F" w:rsidP="007E36D5">
      <w:pPr>
        <w:spacing w:after="0" w:line="240" w:lineRule="auto"/>
        <w:jc w:val="both"/>
        <w:rPr>
          <w:rFonts w:ascii="Calibri" w:eastAsia="Calibri" w:hAnsi="Calibri" w:cs="Calibri"/>
        </w:rPr>
      </w:pPr>
    </w:p>
    <w:p w14:paraId="1EB7ABF8" w14:textId="0B04BD69" w:rsidR="007E36D5" w:rsidRDefault="007E36D5" w:rsidP="007E36D5">
      <w:pPr>
        <w:spacing w:after="0" w:line="240" w:lineRule="auto"/>
        <w:jc w:val="both"/>
        <w:rPr>
          <w:rFonts w:ascii="Calibri" w:eastAsia="Calibri" w:hAnsi="Calibri" w:cs="Calibri"/>
          <w:color w:val="FF0000"/>
          <w:highlight w:val="yellow"/>
        </w:rPr>
      </w:pPr>
    </w:p>
    <w:p w14:paraId="0A392E25" w14:textId="626BC1A8" w:rsidR="00E42E99" w:rsidRDefault="00E42E99" w:rsidP="007E36D5">
      <w:pPr>
        <w:spacing w:after="0" w:line="240" w:lineRule="auto"/>
        <w:jc w:val="both"/>
        <w:rPr>
          <w:rFonts w:ascii="Calibri" w:eastAsia="Calibri" w:hAnsi="Calibri" w:cs="Calibri"/>
          <w:sz w:val="24"/>
          <w:szCs w:val="24"/>
        </w:rPr>
      </w:pPr>
      <w:r w:rsidRPr="00E42E99">
        <w:rPr>
          <w:rFonts w:ascii="Calibri" w:eastAsia="Calibri" w:hAnsi="Calibri" w:cs="Calibri"/>
          <w:sz w:val="24"/>
          <w:szCs w:val="24"/>
        </w:rPr>
        <w:t>Katram ANM investīciju virzienam</w:t>
      </w:r>
      <w:r w:rsidR="00822FD7">
        <w:rPr>
          <w:rFonts w:ascii="Calibri" w:eastAsia="Calibri" w:hAnsi="Calibri" w:cs="Calibri"/>
          <w:sz w:val="24"/>
          <w:szCs w:val="24"/>
        </w:rPr>
        <w:t xml:space="preserve"> (kur attiecināms)</w:t>
      </w:r>
      <w:r w:rsidRPr="00E42E99">
        <w:rPr>
          <w:rFonts w:ascii="Calibri" w:eastAsia="Calibri" w:hAnsi="Calibri" w:cs="Calibri"/>
          <w:sz w:val="24"/>
          <w:szCs w:val="24"/>
        </w:rPr>
        <w:t xml:space="preserve"> būtu nosakāmi specifiskie horizontālā principa “Dzimumu līdztiesība un vienlīdzīgas iespējas”</w:t>
      </w:r>
      <w:r w:rsidR="00822FD7">
        <w:rPr>
          <w:rFonts w:ascii="Calibri" w:eastAsia="Calibri" w:hAnsi="Calibri" w:cs="Calibri"/>
          <w:sz w:val="24"/>
          <w:szCs w:val="24"/>
        </w:rPr>
        <w:t xml:space="preserve"> rādītāji</w:t>
      </w:r>
      <w:r w:rsidRPr="00E42E99">
        <w:rPr>
          <w:rFonts w:ascii="Calibri" w:eastAsia="Calibri" w:hAnsi="Calibri" w:cs="Calibri"/>
          <w:sz w:val="24"/>
          <w:szCs w:val="24"/>
        </w:rPr>
        <w:t xml:space="preserve">, kas atspoguļo katras investīcijas ietvaros veikto pasākumu ietekmi uz horizontālo principu un kopējo ieguldījumu ANO ilgtspējīgas attīstības mērķu sasniegšanā. </w:t>
      </w:r>
    </w:p>
    <w:p w14:paraId="748EBF5E" w14:textId="23506A5E" w:rsidR="00E42E99" w:rsidRDefault="00E42E99" w:rsidP="007E36D5">
      <w:pPr>
        <w:spacing w:after="0" w:line="240" w:lineRule="auto"/>
        <w:jc w:val="both"/>
        <w:rPr>
          <w:rFonts w:ascii="Calibri" w:eastAsia="Calibri" w:hAnsi="Calibri" w:cs="Calibri"/>
          <w:sz w:val="24"/>
          <w:szCs w:val="24"/>
        </w:rPr>
      </w:pPr>
    </w:p>
    <w:p w14:paraId="5F0D5D4E" w14:textId="45CEE5C2" w:rsidR="00E42E99" w:rsidRPr="00E42E99" w:rsidRDefault="00E42E99" w:rsidP="007E36D5">
      <w:pPr>
        <w:spacing w:after="0" w:line="240" w:lineRule="auto"/>
        <w:jc w:val="both"/>
        <w:rPr>
          <w:rFonts w:ascii="Calibri" w:eastAsia="Calibri" w:hAnsi="Calibri" w:cs="Calibri"/>
          <w:sz w:val="24"/>
          <w:szCs w:val="24"/>
        </w:rPr>
      </w:pPr>
      <w:r>
        <w:rPr>
          <w:rFonts w:ascii="Calibri" w:eastAsia="Calibri" w:hAnsi="Calibri" w:cs="Calibri"/>
          <w:sz w:val="24"/>
          <w:szCs w:val="24"/>
        </w:rPr>
        <w:t>Specifisko rādītāju mērījumus var paredzēt ik gadu vai arī investīciju sākumā/beigās.</w:t>
      </w:r>
      <w:r w:rsidR="00822FD7">
        <w:rPr>
          <w:rFonts w:ascii="Calibri" w:eastAsia="Calibri" w:hAnsi="Calibri" w:cs="Calibri"/>
          <w:sz w:val="24"/>
          <w:szCs w:val="24"/>
        </w:rPr>
        <w:t xml:space="preserve"> Atbildīgās iestādes </w:t>
      </w:r>
      <w:r w:rsidR="001647A6">
        <w:rPr>
          <w:rFonts w:ascii="Calibri" w:eastAsia="Calibri" w:hAnsi="Calibri" w:cs="Calibri"/>
          <w:sz w:val="24"/>
          <w:szCs w:val="24"/>
        </w:rPr>
        <w:t xml:space="preserve">tiek </w:t>
      </w:r>
      <w:r w:rsidR="00822FD7">
        <w:rPr>
          <w:rFonts w:ascii="Calibri" w:eastAsia="Calibri" w:hAnsi="Calibri" w:cs="Calibri"/>
          <w:sz w:val="24"/>
          <w:szCs w:val="24"/>
        </w:rPr>
        <w:t>aicinātas Horizontālā principa rādītājus iespēju robežās saskaņot ar jau esošajiem investīciju virziena rādītāj</w:t>
      </w:r>
      <w:r w:rsidR="001647A6">
        <w:rPr>
          <w:rFonts w:ascii="Calibri" w:eastAsia="Calibri" w:hAnsi="Calibri" w:cs="Calibri"/>
          <w:sz w:val="24"/>
          <w:szCs w:val="24"/>
        </w:rPr>
        <w:t>iem</w:t>
      </w:r>
      <w:r w:rsidR="00822FD7">
        <w:rPr>
          <w:rFonts w:ascii="Calibri" w:eastAsia="Calibri" w:hAnsi="Calibri" w:cs="Calibri"/>
          <w:sz w:val="24"/>
          <w:szCs w:val="24"/>
        </w:rPr>
        <w:t>, izvērtējot t</w:t>
      </w:r>
      <w:r w:rsidR="001647A6">
        <w:rPr>
          <w:rFonts w:ascii="Calibri" w:eastAsia="Calibri" w:hAnsi="Calibri" w:cs="Calibri"/>
          <w:sz w:val="24"/>
          <w:szCs w:val="24"/>
        </w:rPr>
        <w:t>o</w:t>
      </w:r>
      <w:r w:rsidR="00822FD7">
        <w:rPr>
          <w:rFonts w:ascii="Calibri" w:eastAsia="Calibri" w:hAnsi="Calibri" w:cs="Calibri"/>
          <w:sz w:val="24"/>
          <w:szCs w:val="24"/>
        </w:rPr>
        <w:t xml:space="preserve"> kvalitatīvo pienesumu dzimumu līdztiesības</w:t>
      </w:r>
      <w:r w:rsidR="001647A6">
        <w:rPr>
          <w:rFonts w:ascii="Calibri" w:eastAsia="Calibri" w:hAnsi="Calibri" w:cs="Calibri"/>
          <w:sz w:val="24"/>
          <w:szCs w:val="24"/>
        </w:rPr>
        <w:t xml:space="preserve"> un vienlīdzīgu iespēju veicināšanai.</w:t>
      </w:r>
    </w:p>
    <w:p w14:paraId="385DD055" w14:textId="77777777" w:rsidR="00E42E99" w:rsidRPr="00E42E99" w:rsidRDefault="00E42E99" w:rsidP="007E36D5">
      <w:pPr>
        <w:spacing w:after="0" w:line="240" w:lineRule="auto"/>
        <w:jc w:val="both"/>
        <w:rPr>
          <w:rFonts w:ascii="Calibri" w:eastAsia="Calibri" w:hAnsi="Calibri" w:cs="Calibri"/>
          <w:sz w:val="24"/>
          <w:szCs w:val="24"/>
        </w:rPr>
      </w:pPr>
    </w:p>
    <w:p w14:paraId="305FF077" w14:textId="77777777" w:rsidR="006B4A31" w:rsidRDefault="006B4A31" w:rsidP="007E36D5">
      <w:pPr>
        <w:spacing w:after="0" w:line="240" w:lineRule="auto"/>
        <w:jc w:val="both"/>
        <w:rPr>
          <w:rFonts w:ascii="Calibri" w:eastAsia="Calibri" w:hAnsi="Calibri" w:cs="Calibri"/>
          <w:b/>
          <w:color w:val="2E74B5" w:themeColor="accent5" w:themeShade="BF"/>
          <w:sz w:val="28"/>
          <w:szCs w:val="28"/>
        </w:rPr>
      </w:pPr>
    </w:p>
    <w:p w14:paraId="61371848" w14:textId="77777777" w:rsidR="006B4A31" w:rsidRDefault="006B4A31" w:rsidP="007E36D5">
      <w:pPr>
        <w:spacing w:after="0" w:line="240" w:lineRule="auto"/>
        <w:jc w:val="both"/>
        <w:rPr>
          <w:rFonts w:ascii="Calibri" w:eastAsia="Calibri" w:hAnsi="Calibri" w:cs="Calibri"/>
          <w:b/>
          <w:color w:val="2E74B5" w:themeColor="accent5" w:themeShade="BF"/>
          <w:sz w:val="28"/>
          <w:szCs w:val="28"/>
        </w:rPr>
      </w:pPr>
    </w:p>
    <w:p w14:paraId="4FE31FF6" w14:textId="6B98D52D" w:rsidR="007E36D5" w:rsidRPr="00E42E99" w:rsidRDefault="00E42E99" w:rsidP="007E36D5">
      <w:pPr>
        <w:spacing w:after="0" w:line="240" w:lineRule="auto"/>
        <w:jc w:val="both"/>
        <w:rPr>
          <w:rFonts w:ascii="Calibri" w:eastAsia="Calibri" w:hAnsi="Calibri" w:cs="Calibri"/>
          <w:b/>
          <w:color w:val="2E74B5" w:themeColor="accent5" w:themeShade="BF"/>
          <w:sz w:val="28"/>
          <w:szCs w:val="28"/>
        </w:rPr>
      </w:pPr>
      <w:r>
        <w:rPr>
          <w:rFonts w:ascii="Calibri" w:eastAsia="Calibri" w:hAnsi="Calibri" w:cs="Calibri"/>
          <w:b/>
          <w:color w:val="2E74B5" w:themeColor="accent5" w:themeShade="BF"/>
          <w:sz w:val="28"/>
          <w:szCs w:val="28"/>
        </w:rPr>
        <w:lastRenderedPageBreak/>
        <w:t>Investīciju virzienu s</w:t>
      </w:r>
      <w:r w:rsidR="007E36D5" w:rsidRPr="00E42E99">
        <w:rPr>
          <w:rFonts w:ascii="Calibri" w:eastAsia="Calibri" w:hAnsi="Calibri" w:cs="Calibri"/>
          <w:b/>
          <w:color w:val="2E74B5" w:themeColor="accent5" w:themeShade="BF"/>
          <w:sz w:val="28"/>
          <w:szCs w:val="28"/>
        </w:rPr>
        <w:t>pecifisko rādītāju piemēri:</w:t>
      </w:r>
    </w:p>
    <w:p w14:paraId="6C12ED68" w14:textId="2D2A99DB" w:rsidR="001A5B7E" w:rsidRDefault="001A5B7E" w:rsidP="007E36D5">
      <w:pPr>
        <w:spacing w:after="0" w:line="240" w:lineRule="auto"/>
        <w:jc w:val="both"/>
        <w:rPr>
          <w:rFonts w:ascii="Calibri" w:eastAsia="Calibri" w:hAnsi="Calibri" w:cs="Calibri"/>
          <w:color w:val="FF0000"/>
          <w:highlight w:val="yellow"/>
        </w:rPr>
      </w:pPr>
    </w:p>
    <w:p w14:paraId="565D2FC3" w14:textId="4FFE3770" w:rsidR="001A5B7E" w:rsidRDefault="001A5B7E" w:rsidP="007E36D5">
      <w:pPr>
        <w:spacing w:after="0" w:line="240" w:lineRule="auto"/>
        <w:jc w:val="both"/>
        <w:rPr>
          <w:rFonts w:ascii="Calibri" w:eastAsia="Calibri" w:hAnsi="Calibri" w:cs="Calibri"/>
          <w:color w:val="FF0000"/>
          <w:highlight w:val="yellow"/>
        </w:rPr>
      </w:pPr>
    </w:p>
    <w:tbl>
      <w:tblPr>
        <w:tblStyle w:val="TableGrid"/>
        <w:tblW w:w="0" w:type="auto"/>
        <w:tblLook w:val="04A0" w:firstRow="1" w:lastRow="0" w:firstColumn="1" w:lastColumn="0" w:noHBand="0" w:noVBand="1"/>
      </w:tblPr>
      <w:tblGrid>
        <w:gridCol w:w="1980"/>
        <w:gridCol w:w="992"/>
        <w:gridCol w:w="1134"/>
        <w:gridCol w:w="992"/>
        <w:gridCol w:w="1134"/>
        <w:gridCol w:w="948"/>
        <w:gridCol w:w="1116"/>
      </w:tblGrid>
      <w:tr w:rsidR="001647A6" w:rsidRPr="00126575" w14:paraId="35147EC6" w14:textId="77777777" w:rsidTr="004071A9">
        <w:tc>
          <w:tcPr>
            <w:tcW w:w="1980" w:type="dxa"/>
          </w:tcPr>
          <w:p w14:paraId="5A4F5D5B" w14:textId="77777777" w:rsidR="001A5B7E" w:rsidRPr="00126575" w:rsidRDefault="001A5B7E" w:rsidP="007E36D5">
            <w:pPr>
              <w:spacing w:line="240" w:lineRule="auto"/>
              <w:jc w:val="both"/>
              <w:rPr>
                <w:rFonts w:eastAsia="Calibri" w:cstheme="minorHAnsi"/>
                <w:color w:val="auto"/>
                <w:lang w:val="lv-LV"/>
              </w:rPr>
            </w:pPr>
          </w:p>
        </w:tc>
        <w:tc>
          <w:tcPr>
            <w:tcW w:w="992" w:type="dxa"/>
          </w:tcPr>
          <w:p w14:paraId="31BD521D" w14:textId="13EFF0E4" w:rsidR="001A5B7E" w:rsidRPr="00126575" w:rsidRDefault="001A5B7E" w:rsidP="007E36D5">
            <w:pPr>
              <w:spacing w:line="240" w:lineRule="auto"/>
              <w:jc w:val="both"/>
              <w:rPr>
                <w:rFonts w:eastAsia="Calibri" w:cstheme="minorHAnsi"/>
                <w:color w:val="auto"/>
              </w:rPr>
            </w:pPr>
            <w:r w:rsidRPr="00126575">
              <w:rPr>
                <w:rFonts w:eastAsia="Calibri" w:cstheme="minorHAnsi"/>
                <w:color w:val="auto"/>
              </w:rPr>
              <w:t>2021</w:t>
            </w:r>
          </w:p>
        </w:tc>
        <w:tc>
          <w:tcPr>
            <w:tcW w:w="1134" w:type="dxa"/>
          </w:tcPr>
          <w:p w14:paraId="4703E525" w14:textId="7F1A6035" w:rsidR="001A5B7E" w:rsidRPr="00126575" w:rsidRDefault="001A5B7E" w:rsidP="007E36D5">
            <w:pPr>
              <w:spacing w:line="240" w:lineRule="auto"/>
              <w:jc w:val="both"/>
              <w:rPr>
                <w:rFonts w:eastAsia="Calibri" w:cstheme="minorHAnsi"/>
                <w:color w:val="auto"/>
              </w:rPr>
            </w:pPr>
            <w:r w:rsidRPr="00126575">
              <w:rPr>
                <w:rFonts w:eastAsia="Calibri" w:cstheme="minorHAnsi"/>
                <w:color w:val="auto"/>
              </w:rPr>
              <w:t>2022</w:t>
            </w:r>
          </w:p>
        </w:tc>
        <w:tc>
          <w:tcPr>
            <w:tcW w:w="992" w:type="dxa"/>
          </w:tcPr>
          <w:p w14:paraId="7B7AA8A2" w14:textId="22393696" w:rsidR="001A5B7E" w:rsidRPr="00126575" w:rsidRDefault="001A5B7E" w:rsidP="007E36D5">
            <w:pPr>
              <w:spacing w:line="240" w:lineRule="auto"/>
              <w:jc w:val="both"/>
              <w:rPr>
                <w:rFonts w:eastAsia="Calibri" w:cstheme="minorHAnsi"/>
                <w:color w:val="auto"/>
              </w:rPr>
            </w:pPr>
            <w:r w:rsidRPr="00126575">
              <w:rPr>
                <w:rFonts w:eastAsia="Calibri" w:cstheme="minorHAnsi"/>
                <w:color w:val="auto"/>
              </w:rPr>
              <w:t>2023</w:t>
            </w:r>
          </w:p>
        </w:tc>
        <w:tc>
          <w:tcPr>
            <w:tcW w:w="1134" w:type="dxa"/>
          </w:tcPr>
          <w:p w14:paraId="2BA45A25" w14:textId="060CEE8B" w:rsidR="001A5B7E" w:rsidRPr="00126575" w:rsidRDefault="001A5B7E" w:rsidP="007E36D5">
            <w:pPr>
              <w:spacing w:line="240" w:lineRule="auto"/>
              <w:jc w:val="both"/>
              <w:rPr>
                <w:rFonts w:eastAsia="Calibri" w:cstheme="minorHAnsi"/>
                <w:color w:val="auto"/>
              </w:rPr>
            </w:pPr>
            <w:r w:rsidRPr="00126575">
              <w:rPr>
                <w:rFonts w:eastAsia="Calibri" w:cstheme="minorHAnsi"/>
                <w:color w:val="auto"/>
              </w:rPr>
              <w:t>2024</w:t>
            </w:r>
          </w:p>
        </w:tc>
        <w:tc>
          <w:tcPr>
            <w:tcW w:w="948" w:type="dxa"/>
          </w:tcPr>
          <w:p w14:paraId="5B230AB1" w14:textId="77B2150E" w:rsidR="001A5B7E" w:rsidRPr="00126575" w:rsidRDefault="001A5B7E" w:rsidP="007E36D5">
            <w:pPr>
              <w:spacing w:line="240" w:lineRule="auto"/>
              <w:jc w:val="both"/>
              <w:rPr>
                <w:rFonts w:eastAsia="Calibri" w:cstheme="minorHAnsi"/>
                <w:color w:val="auto"/>
              </w:rPr>
            </w:pPr>
            <w:r w:rsidRPr="00126575">
              <w:rPr>
                <w:rFonts w:eastAsia="Calibri" w:cstheme="minorHAnsi"/>
                <w:color w:val="auto"/>
              </w:rPr>
              <w:t>2025</w:t>
            </w:r>
          </w:p>
        </w:tc>
        <w:tc>
          <w:tcPr>
            <w:tcW w:w="1116" w:type="dxa"/>
          </w:tcPr>
          <w:p w14:paraId="6A5E0C8D" w14:textId="25CEE815" w:rsidR="001A5B7E" w:rsidRPr="00126575" w:rsidRDefault="001A5B7E" w:rsidP="007E36D5">
            <w:pPr>
              <w:spacing w:line="240" w:lineRule="auto"/>
              <w:jc w:val="both"/>
              <w:rPr>
                <w:rFonts w:eastAsia="Calibri" w:cstheme="minorHAnsi"/>
                <w:color w:val="auto"/>
              </w:rPr>
            </w:pPr>
            <w:r w:rsidRPr="00126575">
              <w:rPr>
                <w:rFonts w:eastAsia="Calibri" w:cstheme="minorHAnsi"/>
                <w:color w:val="auto"/>
              </w:rPr>
              <w:t>2026</w:t>
            </w:r>
          </w:p>
        </w:tc>
      </w:tr>
      <w:tr w:rsidR="00E42E99" w:rsidRPr="00126575" w14:paraId="0AC7FFB8" w14:textId="77777777" w:rsidTr="00642819">
        <w:tc>
          <w:tcPr>
            <w:tcW w:w="8296" w:type="dxa"/>
            <w:gridSpan w:val="7"/>
          </w:tcPr>
          <w:p w14:paraId="07ACC9D7" w14:textId="30551E87" w:rsidR="001A5B7E" w:rsidRPr="00126575" w:rsidRDefault="001A5B7E" w:rsidP="007E36D5">
            <w:pPr>
              <w:spacing w:line="240" w:lineRule="auto"/>
              <w:jc w:val="both"/>
              <w:rPr>
                <w:rFonts w:eastAsia="Calibri" w:cstheme="minorHAnsi"/>
                <w:b/>
                <w:color w:val="auto"/>
                <w:highlight w:val="yellow"/>
                <w:lang w:val="lv-LV"/>
              </w:rPr>
            </w:pPr>
            <w:r w:rsidRPr="00126575">
              <w:rPr>
                <w:rFonts w:eastAsia="Calibri" w:cstheme="minorHAnsi"/>
                <w:b/>
                <w:color w:val="auto"/>
                <w:lang w:val="lv-LV"/>
              </w:rPr>
              <w:t>EU: Vismaz 78% cilvēku vecumā no 20 līdz 64 gadiem jābūt nodarbinātiem</w:t>
            </w:r>
            <w:r w:rsidR="00C13973" w:rsidRPr="00126575">
              <w:rPr>
                <w:rFonts w:eastAsia="Calibri" w:cstheme="minorHAnsi"/>
                <w:b/>
                <w:color w:val="auto"/>
                <w:lang w:val="lv-LV"/>
              </w:rPr>
              <w:t xml:space="preserve"> (I)</w:t>
            </w:r>
          </w:p>
        </w:tc>
      </w:tr>
      <w:tr w:rsidR="00E42E99" w:rsidRPr="00126575" w14:paraId="4515DFAF" w14:textId="77777777" w:rsidTr="00642819">
        <w:tc>
          <w:tcPr>
            <w:tcW w:w="8296" w:type="dxa"/>
            <w:gridSpan w:val="7"/>
          </w:tcPr>
          <w:p w14:paraId="6D2BD1A0" w14:textId="40A35D30" w:rsidR="001A5B7E" w:rsidRPr="00126575" w:rsidRDefault="001A5B7E" w:rsidP="007E36D5">
            <w:pPr>
              <w:spacing w:line="240" w:lineRule="auto"/>
              <w:jc w:val="both"/>
              <w:rPr>
                <w:rFonts w:eastAsia="Calibri" w:cstheme="minorHAnsi"/>
                <w:b/>
                <w:color w:val="auto"/>
                <w:lang w:val="lv-LV"/>
              </w:rPr>
            </w:pPr>
            <w:r w:rsidRPr="00126575">
              <w:rPr>
                <w:rFonts w:eastAsia="Calibri" w:cstheme="minorHAnsi"/>
                <w:b/>
                <w:color w:val="auto"/>
                <w:lang w:val="lv-LV"/>
              </w:rPr>
              <w:t xml:space="preserve">LV : </w:t>
            </w:r>
            <w:r w:rsidR="00E42E99" w:rsidRPr="00126575">
              <w:rPr>
                <w:rFonts w:eastAsia="Calibri" w:cstheme="minorHAnsi"/>
                <w:b/>
                <w:color w:val="auto"/>
                <w:highlight w:val="yellow"/>
                <w:lang w:val="lv-LV"/>
              </w:rPr>
              <w:t>tiks  noteikt</w:t>
            </w:r>
            <w:r w:rsidR="00C13973" w:rsidRPr="00126575">
              <w:rPr>
                <w:rFonts w:eastAsia="Calibri" w:cstheme="minorHAnsi"/>
                <w:b/>
                <w:color w:val="auto"/>
                <w:highlight w:val="yellow"/>
                <w:lang w:val="lv-LV"/>
              </w:rPr>
              <w:t>s</w:t>
            </w:r>
            <w:r w:rsidR="00E42E99" w:rsidRPr="00126575">
              <w:rPr>
                <w:rFonts w:eastAsia="Calibri" w:cstheme="minorHAnsi"/>
                <w:b/>
                <w:color w:val="auto"/>
                <w:highlight w:val="yellow"/>
                <w:lang w:val="lv-LV"/>
              </w:rPr>
              <w:t xml:space="preserve">  nacionālajos plānošanas dokumentos 2021.gada 2.pusē</w:t>
            </w:r>
          </w:p>
        </w:tc>
      </w:tr>
      <w:tr w:rsidR="001647A6" w:rsidRPr="00126575" w14:paraId="6F073B03" w14:textId="77777777" w:rsidTr="004071A9">
        <w:tc>
          <w:tcPr>
            <w:tcW w:w="1980" w:type="dxa"/>
          </w:tcPr>
          <w:p w14:paraId="6695093E" w14:textId="7C4C76BC" w:rsidR="001A5B7E" w:rsidRPr="00126575" w:rsidRDefault="001A5B7E" w:rsidP="007E36D5">
            <w:pPr>
              <w:spacing w:line="240" w:lineRule="auto"/>
              <w:jc w:val="both"/>
              <w:rPr>
                <w:rFonts w:eastAsia="Calibri" w:cstheme="minorHAnsi"/>
                <w:color w:val="auto"/>
                <w:highlight w:val="yellow"/>
                <w:lang w:val="lv-LV"/>
              </w:rPr>
            </w:pPr>
          </w:p>
        </w:tc>
        <w:tc>
          <w:tcPr>
            <w:tcW w:w="992" w:type="dxa"/>
          </w:tcPr>
          <w:p w14:paraId="7E906B9C" w14:textId="77777777" w:rsidR="001A5B7E" w:rsidRPr="00126575" w:rsidRDefault="001A5B7E" w:rsidP="007E36D5">
            <w:pPr>
              <w:spacing w:line="240" w:lineRule="auto"/>
              <w:jc w:val="both"/>
              <w:rPr>
                <w:rFonts w:eastAsia="Calibri" w:cstheme="minorHAnsi"/>
                <w:color w:val="auto"/>
                <w:highlight w:val="yellow"/>
                <w:lang w:val="lv-LV"/>
              </w:rPr>
            </w:pPr>
          </w:p>
        </w:tc>
        <w:tc>
          <w:tcPr>
            <w:tcW w:w="1134" w:type="dxa"/>
          </w:tcPr>
          <w:p w14:paraId="057D2E0C" w14:textId="77777777" w:rsidR="001A5B7E" w:rsidRPr="00126575" w:rsidRDefault="001A5B7E" w:rsidP="007E36D5">
            <w:pPr>
              <w:spacing w:line="240" w:lineRule="auto"/>
              <w:jc w:val="both"/>
              <w:rPr>
                <w:rFonts w:eastAsia="Calibri" w:cstheme="minorHAnsi"/>
                <w:color w:val="auto"/>
                <w:highlight w:val="yellow"/>
                <w:lang w:val="lv-LV"/>
              </w:rPr>
            </w:pPr>
          </w:p>
        </w:tc>
        <w:tc>
          <w:tcPr>
            <w:tcW w:w="992" w:type="dxa"/>
          </w:tcPr>
          <w:p w14:paraId="2E5C24E7" w14:textId="77777777" w:rsidR="001A5B7E" w:rsidRPr="00126575" w:rsidRDefault="001A5B7E" w:rsidP="007E36D5">
            <w:pPr>
              <w:spacing w:line="240" w:lineRule="auto"/>
              <w:jc w:val="both"/>
              <w:rPr>
                <w:rFonts w:eastAsia="Calibri" w:cstheme="minorHAnsi"/>
                <w:color w:val="auto"/>
                <w:highlight w:val="yellow"/>
                <w:lang w:val="lv-LV"/>
              </w:rPr>
            </w:pPr>
          </w:p>
        </w:tc>
        <w:tc>
          <w:tcPr>
            <w:tcW w:w="1134" w:type="dxa"/>
          </w:tcPr>
          <w:p w14:paraId="200081A5" w14:textId="77777777" w:rsidR="001A5B7E" w:rsidRPr="00126575" w:rsidRDefault="001A5B7E" w:rsidP="007E36D5">
            <w:pPr>
              <w:spacing w:line="240" w:lineRule="auto"/>
              <w:jc w:val="both"/>
              <w:rPr>
                <w:rFonts w:eastAsia="Calibri" w:cstheme="minorHAnsi"/>
                <w:color w:val="auto"/>
                <w:highlight w:val="yellow"/>
                <w:lang w:val="lv-LV"/>
              </w:rPr>
            </w:pPr>
          </w:p>
        </w:tc>
        <w:tc>
          <w:tcPr>
            <w:tcW w:w="948" w:type="dxa"/>
          </w:tcPr>
          <w:p w14:paraId="4E7A549B" w14:textId="77777777" w:rsidR="001A5B7E" w:rsidRPr="00126575" w:rsidRDefault="001A5B7E" w:rsidP="007E36D5">
            <w:pPr>
              <w:spacing w:line="240" w:lineRule="auto"/>
              <w:jc w:val="both"/>
              <w:rPr>
                <w:rFonts w:eastAsia="Calibri" w:cstheme="minorHAnsi"/>
                <w:color w:val="auto"/>
                <w:highlight w:val="yellow"/>
                <w:lang w:val="lv-LV"/>
              </w:rPr>
            </w:pPr>
          </w:p>
        </w:tc>
        <w:tc>
          <w:tcPr>
            <w:tcW w:w="1116" w:type="dxa"/>
          </w:tcPr>
          <w:p w14:paraId="460CAAF4" w14:textId="77777777" w:rsidR="001A5B7E" w:rsidRPr="00126575" w:rsidRDefault="001A5B7E" w:rsidP="007E36D5">
            <w:pPr>
              <w:spacing w:line="240" w:lineRule="auto"/>
              <w:jc w:val="both"/>
              <w:rPr>
                <w:rFonts w:eastAsia="Calibri" w:cstheme="minorHAnsi"/>
                <w:color w:val="auto"/>
                <w:highlight w:val="yellow"/>
                <w:lang w:val="lv-LV"/>
              </w:rPr>
            </w:pPr>
          </w:p>
        </w:tc>
      </w:tr>
      <w:tr w:rsidR="001647A6" w:rsidRPr="00126575" w14:paraId="17841597" w14:textId="77777777" w:rsidTr="004071A9">
        <w:tc>
          <w:tcPr>
            <w:tcW w:w="1980" w:type="dxa"/>
          </w:tcPr>
          <w:p w14:paraId="18B13627" w14:textId="1C740DB9" w:rsidR="001A5B7E" w:rsidRPr="00126575" w:rsidRDefault="001A5B7E" w:rsidP="007E36D5">
            <w:pPr>
              <w:spacing w:line="240" w:lineRule="auto"/>
              <w:jc w:val="both"/>
              <w:rPr>
                <w:rFonts w:eastAsia="Calibri" w:cstheme="minorHAnsi"/>
                <w:color w:val="auto"/>
                <w:lang w:val="lv-LV"/>
              </w:rPr>
            </w:pPr>
          </w:p>
        </w:tc>
        <w:tc>
          <w:tcPr>
            <w:tcW w:w="992" w:type="dxa"/>
          </w:tcPr>
          <w:p w14:paraId="61772FA3" w14:textId="77777777" w:rsidR="001A5B7E" w:rsidRPr="00126575" w:rsidRDefault="001A5B7E" w:rsidP="007E36D5">
            <w:pPr>
              <w:spacing w:line="240" w:lineRule="auto"/>
              <w:jc w:val="both"/>
              <w:rPr>
                <w:rFonts w:eastAsia="Calibri" w:cstheme="minorHAnsi"/>
                <w:color w:val="auto"/>
                <w:highlight w:val="yellow"/>
                <w:lang w:val="lv-LV"/>
              </w:rPr>
            </w:pPr>
          </w:p>
        </w:tc>
        <w:tc>
          <w:tcPr>
            <w:tcW w:w="1134" w:type="dxa"/>
          </w:tcPr>
          <w:p w14:paraId="346B6645" w14:textId="77777777" w:rsidR="001A5B7E" w:rsidRPr="00126575" w:rsidRDefault="001A5B7E" w:rsidP="007E36D5">
            <w:pPr>
              <w:spacing w:line="240" w:lineRule="auto"/>
              <w:jc w:val="both"/>
              <w:rPr>
                <w:rFonts w:eastAsia="Calibri" w:cstheme="minorHAnsi"/>
                <w:color w:val="auto"/>
                <w:highlight w:val="yellow"/>
                <w:lang w:val="lv-LV"/>
              </w:rPr>
            </w:pPr>
          </w:p>
        </w:tc>
        <w:tc>
          <w:tcPr>
            <w:tcW w:w="992" w:type="dxa"/>
          </w:tcPr>
          <w:p w14:paraId="173F27AE" w14:textId="77777777" w:rsidR="001A5B7E" w:rsidRPr="00126575" w:rsidRDefault="001A5B7E" w:rsidP="007E36D5">
            <w:pPr>
              <w:spacing w:line="240" w:lineRule="auto"/>
              <w:jc w:val="both"/>
              <w:rPr>
                <w:rFonts w:eastAsia="Calibri" w:cstheme="minorHAnsi"/>
                <w:color w:val="auto"/>
                <w:highlight w:val="yellow"/>
                <w:lang w:val="lv-LV"/>
              </w:rPr>
            </w:pPr>
          </w:p>
        </w:tc>
        <w:tc>
          <w:tcPr>
            <w:tcW w:w="1134" w:type="dxa"/>
          </w:tcPr>
          <w:p w14:paraId="6CE2040B" w14:textId="77777777" w:rsidR="001A5B7E" w:rsidRPr="00126575" w:rsidRDefault="001A5B7E" w:rsidP="007E36D5">
            <w:pPr>
              <w:spacing w:line="240" w:lineRule="auto"/>
              <w:jc w:val="both"/>
              <w:rPr>
                <w:rFonts w:eastAsia="Calibri" w:cstheme="minorHAnsi"/>
                <w:color w:val="auto"/>
                <w:highlight w:val="yellow"/>
                <w:lang w:val="lv-LV"/>
              </w:rPr>
            </w:pPr>
          </w:p>
        </w:tc>
        <w:tc>
          <w:tcPr>
            <w:tcW w:w="948" w:type="dxa"/>
          </w:tcPr>
          <w:p w14:paraId="35C1FEED" w14:textId="77777777" w:rsidR="001A5B7E" w:rsidRPr="00126575" w:rsidRDefault="001A5B7E" w:rsidP="007E36D5">
            <w:pPr>
              <w:spacing w:line="240" w:lineRule="auto"/>
              <w:jc w:val="both"/>
              <w:rPr>
                <w:rFonts w:eastAsia="Calibri" w:cstheme="minorHAnsi"/>
                <w:color w:val="auto"/>
                <w:highlight w:val="yellow"/>
                <w:lang w:val="lv-LV"/>
              </w:rPr>
            </w:pPr>
          </w:p>
        </w:tc>
        <w:tc>
          <w:tcPr>
            <w:tcW w:w="1116" w:type="dxa"/>
          </w:tcPr>
          <w:p w14:paraId="6E5D9759" w14:textId="77777777" w:rsidR="001A5B7E" w:rsidRPr="00126575" w:rsidRDefault="001A5B7E" w:rsidP="007E36D5">
            <w:pPr>
              <w:spacing w:line="240" w:lineRule="auto"/>
              <w:jc w:val="both"/>
              <w:rPr>
                <w:rFonts w:eastAsia="Calibri" w:cstheme="minorHAnsi"/>
                <w:color w:val="auto"/>
                <w:highlight w:val="yellow"/>
                <w:lang w:val="lv-LV"/>
              </w:rPr>
            </w:pPr>
          </w:p>
        </w:tc>
      </w:tr>
      <w:tr w:rsidR="001647A6" w:rsidRPr="00126575" w14:paraId="21D6A56D" w14:textId="77777777" w:rsidTr="004071A9">
        <w:tc>
          <w:tcPr>
            <w:tcW w:w="1980" w:type="dxa"/>
          </w:tcPr>
          <w:p w14:paraId="4CA7C885" w14:textId="77777777" w:rsidR="001A5B7E" w:rsidRPr="00126575" w:rsidRDefault="001A5B7E" w:rsidP="007E36D5">
            <w:pPr>
              <w:spacing w:line="240" w:lineRule="auto"/>
              <w:jc w:val="both"/>
              <w:rPr>
                <w:rFonts w:eastAsia="Calibri" w:cstheme="minorHAnsi"/>
                <w:color w:val="auto"/>
              </w:rPr>
            </w:pPr>
            <w:proofErr w:type="spellStart"/>
            <w:r w:rsidRPr="00126575">
              <w:rPr>
                <w:rFonts w:eastAsia="Calibri" w:cstheme="minorHAnsi"/>
                <w:color w:val="auto"/>
              </w:rPr>
              <w:t>Izveidoto</w:t>
            </w:r>
            <w:proofErr w:type="spellEnd"/>
            <w:r w:rsidRPr="00126575">
              <w:rPr>
                <w:rFonts w:eastAsia="Calibri" w:cstheme="minorHAnsi"/>
                <w:color w:val="auto"/>
              </w:rPr>
              <w:t xml:space="preserve"> </w:t>
            </w:r>
            <w:proofErr w:type="spellStart"/>
            <w:r w:rsidRPr="00126575">
              <w:rPr>
                <w:rFonts w:eastAsia="Calibri" w:cstheme="minorHAnsi"/>
                <w:color w:val="auto"/>
              </w:rPr>
              <w:t>īres</w:t>
            </w:r>
            <w:proofErr w:type="spellEnd"/>
            <w:r w:rsidRPr="00126575">
              <w:rPr>
                <w:rFonts w:eastAsia="Calibri" w:cstheme="minorHAnsi"/>
                <w:color w:val="auto"/>
              </w:rPr>
              <w:t xml:space="preserve"> </w:t>
            </w:r>
            <w:proofErr w:type="spellStart"/>
            <w:r w:rsidRPr="00126575">
              <w:rPr>
                <w:rFonts w:eastAsia="Calibri" w:cstheme="minorHAnsi"/>
                <w:color w:val="auto"/>
              </w:rPr>
              <w:t>mājokļu</w:t>
            </w:r>
            <w:proofErr w:type="spellEnd"/>
            <w:r w:rsidRPr="00126575">
              <w:rPr>
                <w:rFonts w:eastAsia="Calibri" w:cstheme="minorHAnsi"/>
                <w:color w:val="auto"/>
              </w:rPr>
              <w:t xml:space="preserve"> </w:t>
            </w:r>
            <w:proofErr w:type="spellStart"/>
            <w:r w:rsidRPr="00126575">
              <w:rPr>
                <w:rFonts w:eastAsia="Calibri" w:cstheme="minorHAnsi"/>
                <w:color w:val="auto"/>
              </w:rPr>
              <w:t>skaits</w:t>
            </w:r>
            <w:proofErr w:type="spellEnd"/>
          </w:p>
          <w:p w14:paraId="4AC0247B" w14:textId="7EF308DB" w:rsidR="001A5B7E" w:rsidRPr="00126575" w:rsidRDefault="001A5B7E" w:rsidP="007E36D5">
            <w:pPr>
              <w:spacing w:line="240" w:lineRule="auto"/>
              <w:jc w:val="both"/>
              <w:rPr>
                <w:rFonts w:eastAsia="Calibri" w:cstheme="minorHAnsi"/>
                <w:color w:val="auto"/>
              </w:rPr>
            </w:pPr>
          </w:p>
        </w:tc>
        <w:tc>
          <w:tcPr>
            <w:tcW w:w="992" w:type="dxa"/>
          </w:tcPr>
          <w:p w14:paraId="48444EE3" w14:textId="77777777" w:rsidR="001A5B7E" w:rsidRPr="00126575" w:rsidRDefault="001A5B7E" w:rsidP="007E36D5">
            <w:pPr>
              <w:spacing w:line="240" w:lineRule="auto"/>
              <w:jc w:val="both"/>
              <w:rPr>
                <w:rFonts w:eastAsia="Calibri" w:cstheme="minorHAnsi"/>
                <w:color w:val="auto"/>
                <w:highlight w:val="yellow"/>
              </w:rPr>
            </w:pPr>
          </w:p>
        </w:tc>
        <w:tc>
          <w:tcPr>
            <w:tcW w:w="1134" w:type="dxa"/>
          </w:tcPr>
          <w:p w14:paraId="7F9329E3" w14:textId="77777777" w:rsidR="001A5B7E" w:rsidRPr="00126575" w:rsidRDefault="001A5B7E" w:rsidP="007E36D5">
            <w:pPr>
              <w:spacing w:line="240" w:lineRule="auto"/>
              <w:jc w:val="both"/>
              <w:rPr>
                <w:rFonts w:eastAsia="Calibri" w:cstheme="minorHAnsi"/>
                <w:color w:val="auto"/>
                <w:highlight w:val="yellow"/>
              </w:rPr>
            </w:pPr>
          </w:p>
        </w:tc>
        <w:tc>
          <w:tcPr>
            <w:tcW w:w="992" w:type="dxa"/>
          </w:tcPr>
          <w:p w14:paraId="4BBAD7FC" w14:textId="77777777" w:rsidR="001A5B7E" w:rsidRPr="00126575" w:rsidRDefault="001A5B7E" w:rsidP="007E36D5">
            <w:pPr>
              <w:spacing w:line="240" w:lineRule="auto"/>
              <w:jc w:val="both"/>
              <w:rPr>
                <w:rFonts w:eastAsia="Calibri" w:cstheme="minorHAnsi"/>
                <w:color w:val="auto"/>
                <w:highlight w:val="yellow"/>
              </w:rPr>
            </w:pPr>
          </w:p>
        </w:tc>
        <w:tc>
          <w:tcPr>
            <w:tcW w:w="1134" w:type="dxa"/>
          </w:tcPr>
          <w:p w14:paraId="59FCB563" w14:textId="77777777" w:rsidR="001A5B7E" w:rsidRPr="00126575" w:rsidRDefault="001A5B7E" w:rsidP="007E36D5">
            <w:pPr>
              <w:spacing w:line="240" w:lineRule="auto"/>
              <w:jc w:val="both"/>
              <w:rPr>
                <w:rFonts w:eastAsia="Calibri" w:cstheme="minorHAnsi"/>
                <w:color w:val="auto"/>
                <w:highlight w:val="yellow"/>
              </w:rPr>
            </w:pPr>
          </w:p>
        </w:tc>
        <w:tc>
          <w:tcPr>
            <w:tcW w:w="948" w:type="dxa"/>
          </w:tcPr>
          <w:p w14:paraId="4EC784CF" w14:textId="77777777" w:rsidR="001A5B7E" w:rsidRPr="00126575" w:rsidRDefault="001A5B7E" w:rsidP="007E36D5">
            <w:pPr>
              <w:spacing w:line="240" w:lineRule="auto"/>
              <w:jc w:val="both"/>
              <w:rPr>
                <w:rFonts w:eastAsia="Calibri" w:cstheme="minorHAnsi"/>
                <w:color w:val="auto"/>
                <w:highlight w:val="yellow"/>
              </w:rPr>
            </w:pPr>
          </w:p>
        </w:tc>
        <w:tc>
          <w:tcPr>
            <w:tcW w:w="1116" w:type="dxa"/>
          </w:tcPr>
          <w:p w14:paraId="573EDDFA" w14:textId="77777777" w:rsidR="001A5B7E" w:rsidRPr="00126575" w:rsidRDefault="001A5B7E" w:rsidP="007E36D5">
            <w:pPr>
              <w:spacing w:line="240" w:lineRule="auto"/>
              <w:jc w:val="both"/>
              <w:rPr>
                <w:rFonts w:eastAsia="Calibri" w:cstheme="minorHAnsi"/>
                <w:color w:val="auto"/>
                <w:highlight w:val="yellow"/>
              </w:rPr>
            </w:pPr>
          </w:p>
        </w:tc>
      </w:tr>
      <w:tr w:rsidR="00E42E99" w:rsidRPr="00126575" w14:paraId="0FE1C1A0" w14:textId="77777777" w:rsidTr="00B90B55">
        <w:tc>
          <w:tcPr>
            <w:tcW w:w="8296" w:type="dxa"/>
            <w:gridSpan w:val="7"/>
          </w:tcPr>
          <w:p w14:paraId="19BA01BF" w14:textId="2427EEF4" w:rsidR="001A5B7E" w:rsidRPr="00126575" w:rsidRDefault="001A5B7E" w:rsidP="007E36D5">
            <w:pPr>
              <w:spacing w:line="240" w:lineRule="auto"/>
              <w:jc w:val="both"/>
              <w:rPr>
                <w:rFonts w:eastAsia="Calibri" w:cstheme="minorHAnsi"/>
                <w:b/>
                <w:color w:val="auto"/>
                <w:highlight w:val="yellow"/>
                <w:lang w:val="lv-LV"/>
              </w:rPr>
            </w:pPr>
            <w:r w:rsidRPr="00126575">
              <w:rPr>
                <w:rFonts w:eastAsia="Calibri" w:cstheme="minorHAnsi"/>
                <w:b/>
                <w:color w:val="auto"/>
                <w:lang w:val="lv-LV"/>
              </w:rPr>
              <w:t>EU: Katru gadu apmācībā jāpiedalās vismaz 60% no visiem pieaugušajiem</w:t>
            </w:r>
            <w:r w:rsidR="00C13973" w:rsidRPr="00126575">
              <w:rPr>
                <w:rFonts w:eastAsia="Calibri" w:cstheme="minorHAnsi"/>
                <w:b/>
                <w:color w:val="auto"/>
                <w:lang w:val="lv-LV"/>
              </w:rPr>
              <w:t xml:space="preserve"> (II)</w:t>
            </w:r>
          </w:p>
        </w:tc>
      </w:tr>
      <w:tr w:rsidR="00C13973" w:rsidRPr="00126575" w14:paraId="63264111" w14:textId="77777777" w:rsidTr="00B90B55">
        <w:tc>
          <w:tcPr>
            <w:tcW w:w="8296" w:type="dxa"/>
            <w:gridSpan w:val="7"/>
          </w:tcPr>
          <w:p w14:paraId="05673343" w14:textId="39C5E38F" w:rsidR="00C13973" w:rsidRPr="00126575" w:rsidRDefault="00C13973" w:rsidP="00C13973">
            <w:pPr>
              <w:spacing w:line="240" w:lineRule="auto"/>
              <w:jc w:val="both"/>
              <w:rPr>
                <w:rFonts w:eastAsia="Calibri" w:cstheme="minorHAnsi"/>
                <w:b/>
              </w:rPr>
            </w:pPr>
            <w:r w:rsidRPr="00126575">
              <w:rPr>
                <w:rFonts w:eastAsia="Calibri" w:cstheme="minorHAnsi"/>
                <w:b/>
                <w:color w:val="auto"/>
                <w:lang w:val="lv-LV"/>
              </w:rPr>
              <w:t xml:space="preserve">LV : </w:t>
            </w:r>
            <w:r w:rsidRPr="00126575">
              <w:rPr>
                <w:rFonts w:eastAsia="Calibri" w:cstheme="minorHAnsi"/>
                <w:b/>
                <w:color w:val="auto"/>
                <w:highlight w:val="yellow"/>
                <w:lang w:val="lv-LV"/>
              </w:rPr>
              <w:t>tiks  noteikts  nacionālajos plānošanas dokumentos 2021.gada 2.pusē</w:t>
            </w:r>
          </w:p>
        </w:tc>
      </w:tr>
      <w:tr w:rsidR="001647A6" w:rsidRPr="00126575" w14:paraId="1168B706" w14:textId="77777777" w:rsidTr="004071A9">
        <w:tc>
          <w:tcPr>
            <w:tcW w:w="1980" w:type="dxa"/>
          </w:tcPr>
          <w:p w14:paraId="1DE1F57D" w14:textId="532F431F" w:rsidR="00C13973" w:rsidRPr="00126575" w:rsidRDefault="00C13973" w:rsidP="00C13973">
            <w:pPr>
              <w:spacing w:line="240" w:lineRule="auto"/>
              <w:jc w:val="both"/>
              <w:rPr>
                <w:rFonts w:eastAsia="Calibri" w:cstheme="minorHAnsi"/>
                <w:color w:val="auto"/>
                <w:lang w:val="lv-LV"/>
              </w:rPr>
            </w:pPr>
            <w:r w:rsidRPr="00126575">
              <w:rPr>
                <w:rFonts w:eastAsia="Calibri" w:cstheme="minorHAnsi"/>
                <w:color w:val="auto"/>
                <w:lang w:val="lv-LV"/>
              </w:rPr>
              <w:t>Sieviešu skaits, kuras ir uzlabojušas IKT prasmes</w:t>
            </w:r>
          </w:p>
        </w:tc>
        <w:tc>
          <w:tcPr>
            <w:tcW w:w="992" w:type="dxa"/>
          </w:tcPr>
          <w:p w14:paraId="0093827A" w14:textId="77777777" w:rsidR="00C13973" w:rsidRPr="00126575" w:rsidRDefault="00C13973" w:rsidP="00C13973">
            <w:pPr>
              <w:spacing w:line="240" w:lineRule="auto"/>
              <w:jc w:val="both"/>
              <w:rPr>
                <w:rFonts w:eastAsia="Calibri" w:cstheme="minorHAnsi"/>
                <w:color w:val="auto"/>
                <w:highlight w:val="yellow"/>
                <w:lang w:val="lv-LV"/>
              </w:rPr>
            </w:pPr>
          </w:p>
        </w:tc>
        <w:tc>
          <w:tcPr>
            <w:tcW w:w="1134" w:type="dxa"/>
          </w:tcPr>
          <w:p w14:paraId="36012011" w14:textId="77777777" w:rsidR="00C13973" w:rsidRPr="00126575" w:rsidRDefault="00C13973" w:rsidP="00C13973">
            <w:pPr>
              <w:spacing w:line="240" w:lineRule="auto"/>
              <w:jc w:val="both"/>
              <w:rPr>
                <w:rFonts w:eastAsia="Calibri" w:cstheme="minorHAnsi"/>
                <w:color w:val="auto"/>
                <w:highlight w:val="yellow"/>
                <w:lang w:val="lv-LV"/>
              </w:rPr>
            </w:pPr>
          </w:p>
        </w:tc>
        <w:tc>
          <w:tcPr>
            <w:tcW w:w="992" w:type="dxa"/>
          </w:tcPr>
          <w:p w14:paraId="64380A49" w14:textId="77777777" w:rsidR="00C13973" w:rsidRPr="00126575" w:rsidRDefault="00C13973" w:rsidP="00C13973">
            <w:pPr>
              <w:spacing w:line="240" w:lineRule="auto"/>
              <w:jc w:val="both"/>
              <w:rPr>
                <w:rFonts w:eastAsia="Calibri" w:cstheme="minorHAnsi"/>
                <w:color w:val="auto"/>
                <w:highlight w:val="yellow"/>
                <w:lang w:val="lv-LV"/>
              </w:rPr>
            </w:pPr>
          </w:p>
        </w:tc>
        <w:tc>
          <w:tcPr>
            <w:tcW w:w="1134" w:type="dxa"/>
          </w:tcPr>
          <w:p w14:paraId="54EF7D37" w14:textId="77777777" w:rsidR="00C13973" w:rsidRPr="00126575" w:rsidRDefault="00C13973" w:rsidP="00C13973">
            <w:pPr>
              <w:spacing w:line="240" w:lineRule="auto"/>
              <w:jc w:val="both"/>
              <w:rPr>
                <w:rFonts w:eastAsia="Calibri" w:cstheme="minorHAnsi"/>
                <w:color w:val="auto"/>
                <w:highlight w:val="yellow"/>
                <w:lang w:val="lv-LV"/>
              </w:rPr>
            </w:pPr>
          </w:p>
        </w:tc>
        <w:tc>
          <w:tcPr>
            <w:tcW w:w="948" w:type="dxa"/>
          </w:tcPr>
          <w:p w14:paraId="02A39A00" w14:textId="77777777" w:rsidR="00C13973" w:rsidRPr="00126575" w:rsidRDefault="00C13973" w:rsidP="00C13973">
            <w:pPr>
              <w:spacing w:line="240" w:lineRule="auto"/>
              <w:jc w:val="both"/>
              <w:rPr>
                <w:rFonts w:eastAsia="Calibri" w:cstheme="minorHAnsi"/>
                <w:color w:val="auto"/>
                <w:highlight w:val="yellow"/>
                <w:lang w:val="lv-LV"/>
              </w:rPr>
            </w:pPr>
          </w:p>
        </w:tc>
        <w:tc>
          <w:tcPr>
            <w:tcW w:w="1116" w:type="dxa"/>
          </w:tcPr>
          <w:p w14:paraId="59579E82" w14:textId="77777777" w:rsidR="00C13973" w:rsidRPr="00126575" w:rsidRDefault="00C13973" w:rsidP="00C13973">
            <w:pPr>
              <w:spacing w:line="240" w:lineRule="auto"/>
              <w:jc w:val="both"/>
              <w:rPr>
                <w:rFonts w:eastAsia="Calibri" w:cstheme="minorHAnsi"/>
                <w:color w:val="auto"/>
                <w:highlight w:val="yellow"/>
                <w:lang w:val="lv-LV"/>
              </w:rPr>
            </w:pPr>
          </w:p>
        </w:tc>
      </w:tr>
      <w:tr w:rsidR="001647A6" w:rsidRPr="00126575" w14:paraId="3A356CB6" w14:textId="77777777" w:rsidTr="004071A9">
        <w:tc>
          <w:tcPr>
            <w:tcW w:w="1980" w:type="dxa"/>
          </w:tcPr>
          <w:p w14:paraId="1C3D5898" w14:textId="6CA3870E" w:rsidR="00C13973" w:rsidRPr="00126575" w:rsidRDefault="00C13973" w:rsidP="00C13973">
            <w:pPr>
              <w:spacing w:line="240" w:lineRule="auto"/>
              <w:jc w:val="both"/>
              <w:rPr>
                <w:rFonts w:eastAsia="Calibri" w:cstheme="minorHAnsi"/>
                <w:color w:val="auto"/>
              </w:rPr>
            </w:pPr>
            <w:proofErr w:type="spellStart"/>
            <w:r w:rsidRPr="00126575">
              <w:rPr>
                <w:rFonts w:eastAsia="Calibri" w:cstheme="minorHAnsi"/>
                <w:color w:val="auto"/>
              </w:rPr>
              <w:t>Personu</w:t>
            </w:r>
            <w:proofErr w:type="spellEnd"/>
            <w:r w:rsidRPr="00126575">
              <w:rPr>
                <w:rFonts w:eastAsia="Calibri" w:cstheme="minorHAnsi"/>
                <w:color w:val="auto"/>
              </w:rPr>
              <w:t xml:space="preserve"> </w:t>
            </w:r>
            <w:proofErr w:type="spellStart"/>
            <w:r w:rsidRPr="00126575">
              <w:rPr>
                <w:rFonts w:eastAsia="Calibri" w:cstheme="minorHAnsi"/>
                <w:color w:val="auto"/>
              </w:rPr>
              <w:t>vecuma</w:t>
            </w:r>
            <w:proofErr w:type="spellEnd"/>
            <w:r w:rsidRPr="00126575">
              <w:rPr>
                <w:rFonts w:eastAsia="Calibri" w:cstheme="minorHAnsi"/>
                <w:color w:val="auto"/>
              </w:rPr>
              <w:t xml:space="preserve"> </w:t>
            </w:r>
            <w:proofErr w:type="spellStart"/>
            <w:r w:rsidRPr="00126575">
              <w:rPr>
                <w:rFonts w:eastAsia="Calibri" w:cstheme="minorHAnsi"/>
                <w:color w:val="auto"/>
              </w:rPr>
              <w:t>grupā</w:t>
            </w:r>
            <w:proofErr w:type="spellEnd"/>
            <w:r w:rsidRPr="00126575">
              <w:rPr>
                <w:rFonts w:eastAsia="Calibri" w:cstheme="minorHAnsi"/>
                <w:color w:val="auto"/>
              </w:rPr>
              <w:t xml:space="preserve"> 60+ </w:t>
            </w:r>
            <w:proofErr w:type="spellStart"/>
            <w:r w:rsidRPr="00126575">
              <w:rPr>
                <w:rFonts w:eastAsia="Calibri" w:cstheme="minorHAnsi"/>
                <w:color w:val="auto"/>
              </w:rPr>
              <w:t>skaits</w:t>
            </w:r>
            <w:proofErr w:type="spellEnd"/>
            <w:r w:rsidRPr="00126575">
              <w:rPr>
                <w:rFonts w:eastAsia="Calibri" w:cstheme="minorHAnsi"/>
                <w:color w:val="auto"/>
              </w:rPr>
              <w:t xml:space="preserve">, </w:t>
            </w:r>
            <w:proofErr w:type="spellStart"/>
            <w:r w:rsidRPr="00126575">
              <w:rPr>
                <w:rFonts w:eastAsia="Calibri" w:cstheme="minorHAnsi"/>
                <w:color w:val="auto"/>
              </w:rPr>
              <w:t>kuras</w:t>
            </w:r>
            <w:proofErr w:type="spellEnd"/>
            <w:r w:rsidRPr="00126575">
              <w:rPr>
                <w:rFonts w:eastAsia="Calibri" w:cstheme="minorHAnsi"/>
                <w:color w:val="auto"/>
              </w:rPr>
              <w:t xml:space="preserve"> </w:t>
            </w:r>
            <w:proofErr w:type="spellStart"/>
            <w:r w:rsidRPr="00126575">
              <w:rPr>
                <w:rFonts w:eastAsia="Calibri" w:cstheme="minorHAnsi"/>
                <w:color w:val="auto"/>
              </w:rPr>
              <w:t>uzlabojušas</w:t>
            </w:r>
            <w:proofErr w:type="spellEnd"/>
            <w:r w:rsidRPr="00126575">
              <w:rPr>
                <w:rFonts w:eastAsia="Calibri" w:cstheme="minorHAnsi"/>
                <w:color w:val="auto"/>
              </w:rPr>
              <w:t xml:space="preserve"> </w:t>
            </w:r>
            <w:proofErr w:type="spellStart"/>
            <w:r w:rsidRPr="00126575">
              <w:rPr>
                <w:rFonts w:eastAsia="Calibri" w:cstheme="minorHAnsi"/>
                <w:color w:val="auto"/>
              </w:rPr>
              <w:t>savas</w:t>
            </w:r>
            <w:proofErr w:type="spellEnd"/>
            <w:r w:rsidRPr="00126575">
              <w:rPr>
                <w:rFonts w:eastAsia="Calibri" w:cstheme="minorHAnsi"/>
                <w:color w:val="auto"/>
              </w:rPr>
              <w:t xml:space="preserve"> </w:t>
            </w:r>
            <w:proofErr w:type="spellStart"/>
            <w:r w:rsidRPr="00126575">
              <w:rPr>
                <w:rFonts w:eastAsia="Calibri" w:cstheme="minorHAnsi"/>
                <w:color w:val="auto"/>
              </w:rPr>
              <w:t>digitālās</w:t>
            </w:r>
            <w:proofErr w:type="spellEnd"/>
            <w:r w:rsidRPr="00126575">
              <w:rPr>
                <w:rFonts w:eastAsia="Calibri" w:cstheme="minorHAnsi"/>
                <w:color w:val="auto"/>
              </w:rPr>
              <w:t xml:space="preserve"> </w:t>
            </w:r>
            <w:proofErr w:type="spellStart"/>
            <w:r w:rsidRPr="00126575">
              <w:rPr>
                <w:rFonts w:eastAsia="Calibri" w:cstheme="minorHAnsi"/>
                <w:color w:val="auto"/>
              </w:rPr>
              <w:t>prasmes</w:t>
            </w:r>
            <w:proofErr w:type="spellEnd"/>
          </w:p>
        </w:tc>
        <w:tc>
          <w:tcPr>
            <w:tcW w:w="992" w:type="dxa"/>
          </w:tcPr>
          <w:p w14:paraId="787C73E4" w14:textId="77777777" w:rsidR="00C13973" w:rsidRPr="00126575" w:rsidRDefault="00C13973" w:rsidP="00C13973">
            <w:pPr>
              <w:spacing w:line="240" w:lineRule="auto"/>
              <w:jc w:val="both"/>
              <w:rPr>
                <w:rFonts w:eastAsia="Calibri" w:cstheme="minorHAnsi"/>
                <w:color w:val="auto"/>
                <w:highlight w:val="yellow"/>
              </w:rPr>
            </w:pPr>
          </w:p>
        </w:tc>
        <w:tc>
          <w:tcPr>
            <w:tcW w:w="1134" w:type="dxa"/>
          </w:tcPr>
          <w:p w14:paraId="5976E644" w14:textId="77777777" w:rsidR="00C13973" w:rsidRPr="00126575" w:rsidRDefault="00C13973" w:rsidP="00C13973">
            <w:pPr>
              <w:spacing w:line="240" w:lineRule="auto"/>
              <w:jc w:val="both"/>
              <w:rPr>
                <w:rFonts w:eastAsia="Calibri" w:cstheme="minorHAnsi"/>
                <w:color w:val="auto"/>
                <w:highlight w:val="yellow"/>
              </w:rPr>
            </w:pPr>
          </w:p>
        </w:tc>
        <w:tc>
          <w:tcPr>
            <w:tcW w:w="992" w:type="dxa"/>
          </w:tcPr>
          <w:p w14:paraId="416CA308" w14:textId="77777777" w:rsidR="00C13973" w:rsidRPr="00126575" w:rsidRDefault="00C13973" w:rsidP="00C13973">
            <w:pPr>
              <w:spacing w:line="240" w:lineRule="auto"/>
              <w:jc w:val="both"/>
              <w:rPr>
                <w:rFonts w:eastAsia="Calibri" w:cstheme="minorHAnsi"/>
                <w:color w:val="auto"/>
                <w:highlight w:val="yellow"/>
              </w:rPr>
            </w:pPr>
          </w:p>
        </w:tc>
        <w:tc>
          <w:tcPr>
            <w:tcW w:w="1134" w:type="dxa"/>
          </w:tcPr>
          <w:p w14:paraId="7FB74C0F" w14:textId="77777777" w:rsidR="00C13973" w:rsidRPr="00126575" w:rsidRDefault="00C13973" w:rsidP="00C13973">
            <w:pPr>
              <w:spacing w:line="240" w:lineRule="auto"/>
              <w:jc w:val="both"/>
              <w:rPr>
                <w:rFonts w:eastAsia="Calibri" w:cstheme="minorHAnsi"/>
                <w:color w:val="auto"/>
                <w:highlight w:val="yellow"/>
              </w:rPr>
            </w:pPr>
          </w:p>
        </w:tc>
        <w:tc>
          <w:tcPr>
            <w:tcW w:w="948" w:type="dxa"/>
          </w:tcPr>
          <w:p w14:paraId="35EDD9B4" w14:textId="77777777" w:rsidR="00C13973" w:rsidRPr="00126575" w:rsidRDefault="00C13973" w:rsidP="00C13973">
            <w:pPr>
              <w:spacing w:line="240" w:lineRule="auto"/>
              <w:jc w:val="both"/>
              <w:rPr>
                <w:rFonts w:eastAsia="Calibri" w:cstheme="minorHAnsi"/>
                <w:color w:val="auto"/>
                <w:highlight w:val="yellow"/>
              </w:rPr>
            </w:pPr>
          </w:p>
        </w:tc>
        <w:tc>
          <w:tcPr>
            <w:tcW w:w="1116" w:type="dxa"/>
          </w:tcPr>
          <w:p w14:paraId="00C5AAC8" w14:textId="77777777" w:rsidR="00C13973" w:rsidRPr="00126575" w:rsidRDefault="00C13973" w:rsidP="00C13973">
            <w:pPr>
              <w:spacing w:line="240" w:lineRule="auto"/>
              <w:jc w:val="both"/>
              <w:rPr>
                <w:rFonts w:eastAsia="Calibri" w:cstheme="minorHAnsi"/>
                <w:color w:val="auto"/>
                <w:highlight w:val="yellow"/>
              </w:rPr>
            </w:pPr>
          </w:p>
        </w:tc>
      </w:tr>
      <w:tr w:rsidR="001647A6" w:rsidRPr="00126575" w14:paraId="5626A88E" w14:textId="77777777" w:rsidTr="004071A9">
        <w:trPr>
          <w:trHeight w:val="429"/>
        </w:trPr>
        <w:tc>
          <w:tcPr>
            <w:tcW w:w="1980" w:type="dxa"/>
          </w:tcPr>
          <w:p w14:paraId="2E57F2D8" w14:textId="240D2D83" w:rsidR="00C13973" w:rsidRPr="00126575" w:rsidRDefault="00C13973" w:rsidP="00C13973">
            <w:pPr>
              <w:spacing w:line="240" w:lineRule="auto"/>
              <w:jc w:val="both"/>
              <w:rPr>
                <w:rFonts w:eastAsia="Calibri" w:cstheme="minorHAnsi"/>
                <w:color w:val="auto"/>
              </w:rPr>
            </w:pPr>
            <w:proofErr w:type="spellStart"/>
            <w:r w:rsidRPr="00126575">
              <w:rPr>
                <w:rFonts w:eastAsia="Calibri" w:cstheme="minorHAnsi"/>
                <w:color w:val="auto"/>
              </w:rPr>
              <w:t>u.c.</w:t>
            </w:r>
            <w:proofErr w:type="spellEnd"/>
          </w:p>
        </w:tc>
        <w:tc>
          <w:tcPr>
            <w:tcW w:w="992" w:type="dxa"/>
          </w:tcPr>
          <w:p w14:paraId="7F0C21EE" w14:textId="77777777" w:rsidR="00C13973" w:rsidRPr="00126575" w:rsidRDefault="00C13973" w:rsidP="00C13973">
            <w:pPr>
              <w:spacing w:line="240" w:lineRule="auto"/>
              <w:jc w:val="both"/>
              <w:rPr>
                <w:rFonts w:eastAsia="Calibri" w:cstheme="minorHAnsi"/>
                <w:color w:val="auto"/>
                <w:highlight w:val="yellow"/>
              </w:rPr>
            </w:pPr>
          </w:p>
        </w:tc>
        <w:tc>
          <w:tcPr>
            <w:tcW w:w="1134" w:type="dxa"/>
          </w:tcPr>
          <w:p w14:paraId="0F7EA305" w14:textId="77777777" w:rsidR="00C13973" w:rsidRPr="00126575" w:rsidRDefault="00C13973" w:rsidP="00C13973">
            <w:pPr>
              <w:spacing w:line="240" w:lineRule="auto"/>
              <w:jc w:val="both"/>
              <w:rPr>
                <w:rFonts w:eastAsia="Calibri" w:cstheme="minorHAnsi"/>
                <w:color w:val="auto"/>
                <w:highlight w:val="yellow"/>
              </w:rPr>
            </w:pPr>
          </w:p>
        </w:tc>
        <w:tc>
          <w:tcPr>
            <w:tcW w:w="992" w:type="dxa"/>
          </w:tcPr>
          <w:p w14:paraId="0840BE87" w14:textId="77777777" w:rsidR="00C13973" w:rsidRPr="00126575" w:rsidRDefault="00C13973" w:rsidP="00C13973">
            <w:pPr>
              <w:spacing w:line="240" w:lineRule="auto"/>
              <w:jc w:val="both"/>
              <w:rPr>
                <w:rFonts w:eastAsia="Calibri" w:cstheme="minorHAnsi"/>
                <w:color w:val="auto"/>
                <w:highlight w:val="yellow"/>
              </w:rPr>
            </w:pPr>
          </w:p>
        </w:tc>
        <w:tc>
          <w:tcPr>
            <w:tcW w:w="1134" w:type="dxa"/>
          </w:tcPr>
          <w:p w14:paraId="36D9EE00" w14:textId="77777777" w:rsidR="00C13973" w:rsidRPr="00126575" w:rsidRDefault="00C13973" w:rsidP="00C13973">
            <w:pPr>
              <w:spacing w:line="240" w:lineRule="auto"/>
              <w:jc w:val="both"/>
              <w:rPr>
                <w:rFonts w:eastAsia="Calibri" w:cstheme="minorHAnsi"/>
                <w:color w:val="auto"/>
                <w:highlight w:val="yellow"/>
              </w:rPr>
            </w:pPr>
          </w:p>
        </w:tc>
        <w:tc>
          <w:tcPr>
            <w:tcW w:w="948" w:type="dxa"/>
          </w:tcPr>
          <w:p w14:paraId="618C4F3D" w14:textId="77777777" w:rsidR="00C13973" w:rsidRPr="00126575" w:rsidRDefault="00C13973" w:rsidP="00C13973">
            <w:pPr>
              <w:spacing w:line="240" w:lineRule="auto"/>
              <w:jc w:val="both"/>
              <w:rPr>
                <w:rFonts w:eastAsia="Calibri" w:cstheme="minorHAnsi"/>
                <w:color w:val="auto"/>
                <w:highlight w:val="yellow"/>
              </w:rPr>
            </w:pPr>
          </w:p>
        </w:tc>
        <w:tc>
          <w:tcPr>
            <w:tcW w:w="1116" w:type="dxa"/>
          </w:tcPr>
          <w:p w14:paraId="5EC8BDCF" w14:textId="77777777" w:rsidR="00C13973" w:rsidRPr="00126575" w:rsidRDefault="00C13973" w:rsidP="00C13973">
            <w:pPr>
              <w:spacing w:line="240" w:lineRule="auto"/>
              <w:jc w:val="both"/>
              <w:rPr>
                <w:rFonts w:eastAsia="Calibri" w:cstheme="minorHAnsi"/>
                <w:color w:val="auto"/>
                <w:highlight w:val="yellow"/>
              </w:rPr>
            </w:pPr>
          </w:p>
        </w:tc>
      </w:tr>
      <w:tr w:rsidR="00C13973" w:rsidRPr="00126575" w14:paraId="08D454E8" w14:textId="77777777" w:rsidTr="00AA7FA8">
        <w:tc>
          <w:tcPr>
            <w:tcW w:w="8296" w:type="dxa"/>
            <w:gridSpan w:val="7"/>
          </w:tcPr>
          <w:p w14:paraId="07CAC42B" w14:textId="213F4227" w:rsidR="00C13973" w:rsidRPr="00126575" w:rsidRDefault="00C13973" w:rsidP="00C13973">
            <w:pPr>
              <w:spacing w:line="240" w:lineRule="auto"/>
              <w:jc w:val="both"/>
              <w:rPr>
                <w:rFonts w:eastAsia="Calibri" w:cstheme="minorHAnsi"/>
                <w:b/>
                <w:color w:val="auto"/>
                <w:highlight w:val="yellow"/>
                <w:lang w:val="lv-LV"/>
              </w:rPr>
            </w:pPr>
            <w:r w:rsidRPr="00126575">
              <w:rPr>
                <w:rFonts w:eastAsia="Calibri" w:cstheme="minorHAnsi"/>
                <w:b/>
                <w:color w:val="auto"/>
                <w:lang w:val="lv-LV"/>
              </w:rPr>
              <w:t>EU: Nabadzības vai sociālās atstumtības riskam pakļauto cilvēku skaits jāsamazina vismaz par 15 miljoniem (III)</w:t>
            </w:r>
          </w:p>
        </w:tc>
      </w:tr>
      <w:tr w:rsidR="00C61078" w:rsidRPr="00126575" w14:paraId="79CEF555" w14:textId="77777777" w:rsidTr="00AA7FA8">
        <w:tc>
          <w:tcPr>
            <w:tcW w:w="8296" w:type="dxa"/>
            <w:gridSpan w:val="7"/>
          </w:tcPr>
          <w:p w14:paraId="719EF2A1" w14:textId="4EEE50C3" w:rsidR="00C13973" w:rsidRPr="00126575" w:rsidRDefault="00C13973" w:rsidP="00C13973">
            <w:pPr>
              <w:spacing w:line="240" w:lineRule="auto"/>
              <w:jc w:val="both"/>
              <w:rPr>
                <w:rFonts w:eastAsia="Calibri" w:cstheme="minorHAnsi"/>
                <w:color w:val="auto"/>
              </w:rPr>
            </w:pPr>
            <w:r w:rsidRPr="00126575">
              <w:rPr>
                <w:rFonts w:eastAsia="Calibri" w:cstheme="minorHAnsi"/>
                <w:b/>
                <w:color w:val="auto"/>
                <w:lang w:val="lv-LV"/>
              </w:rPr>
              <w:t xml:space="preserve">LV : </w:t>
            </w:r>
            <w:r w:rsidRPr="00126575">
              <w:rPr>
                <w:rFonts w:eastAsia="Calibri" w:cstheme="minorHAnsi"/>
                <w:b/>
                <w:color w:val="auto"/>
                <w:highlight w:val="yellow"/>
                <w:lang w:val="lv-LV"/>
              </w:rPr>
              <w:t>tiks  noteikts  nacionālajos plānošanas dokumentos 2021.gada 2.pusē</w:t>
            </w:r>
          </w:p>
        </w:tc>
      </w:tr>
      <w:tr w:rsidR="001647A6" w:rsidRPr="00126575" w14:paraId="4C694E70" w14:textId="77777777" w:rsidTr="004071A9">
        <w:tc>
          <w:tcPr>
            <w:tcW w:w="1980" w:type="dxa"/>
          </w:tcPr>
          <w:p w14:paraId="5322A078" w14:textId="0812E203" w:rsidR="00C13973" w:rsidRPr="00126575" w:rsidRDefault="00C61078" w:rsidP="00C61078">
            <w:pPr>
              <w:spacing w:line="240" w:lineRule="auto"/>
              <w:jc w:val="both"/>
              <w:rPr>
                <w:rFonts w:eastAsia="Calibri" w:cstheme="minorHAnsi"/>
                <w:color w:val="auto"/>
                <w:lang w:val="lv-LV"/>
              </w:rPr>
            </w:pPr>
            <w:r w:rsidRPr="00126575">
              <w:rPr>
                <w:rFonts w:eastAsia="Calibri" w:cstheme="minorHAnsi"/>
                <w:color w:val="auto"/>
                <w:lang w:val="lv-LV"/>
              </w:rPr>
              <w:t xml:space="preserve">Personu ar invaliditāti skaits, kuras saņēmušas </w:t>
            </w:r>
            <w:r w:rsidR="001647A6" w:rsidRPr="00126575">
              <w:rPr>
                <w:rFonts w:eastAsia="Calibri" w:cstheme="minorHAnsi"/>
                <w:color w:val="auto"/>
                <w:lang w:val="lv-LV"/>
              </w:rPr>
              <w:t xml:space="preserve">atbalstu </w:t>
            </w:r>
            <w:r w:rsidRPr="00126575">
              <w:rPr>
                <w:rFonts w:eastAsia="Calibri" w:cstheme="minorHAnsi"/>
                <w:color w:val="auto"/>
                <w:lang w:val="lv-LV"/>
              </w:rPr>
              <w:t>mājokļa vides pieejamības nodrošināšanai un ir nodarbinātas</w:t>
            </w:r>
            <w:r w:rsidR="001647A6" w:rsidRPr="00126575">
              <w:rPr>
                <w:rFonts w:eastAsia="Calibri" w:cstheme="minorHAnsi"/>
                <w:color w:val="auto"/>
                <w:lang w:val="lv-LV"/>
              </w:rPr>
              <w:t xml:space="preserve"> </w:t>
            </w:r>
          </w:p>
        </w:tc>
        <w:tc>
          <w:tcPr>
            <w:tcW w:w="992" w:type="dxa"/>
          </w:tcPr>
          <w:p w14:paraId="7272F342" w14:textId="77777777" w:rsidR="00C13973" w:rsidRPr="00126575" w:rsidRDefault="00C13973" w:rsidP="00C13973">
            <w:pPr>
              <w:spacing w:line="240" w:lineRule="auto"/>
              <w:jc w:val="both"/>
              <w:rPr>
                <w:rFonts w:eastAsia="Calibri" w:cstheme="minorHAnsi"/>
                <w:color w:val="auto"/>
                <w:highlight w:val="yellow"/>
                <w:lang w:val="lv-LV"/>
              </w:rPr>
            </w:pPr>
          </w:p>
        </w:tc>
        <w:tc>
          <w:tcPr>
            <w:tcW w:w="1134" w:type="dxa"/>
          </w:tcPr>
          <w:p w14:paraId="3EEB18BF" w14:textId="77777777" w:rsidR="00C13973" w:rsidRPr="00126575" w:rsidRDefault="00C13973" w:rsidP="00C13973">
            <w:pPr>
              <w:spacing w:line="240" w:lineRule="auto"/>
              <w:jc w:val="both"/>
              <w:rPr>
                <w:rFonts w:eastAsia="Calibri" w:cstheme="minorHAnsi"/>
                <w:color w:val="auto"/>
                <w:highlight w:val="yellow"/>
                <w:lang w:val="lv-LV"/>
              </w:rPr>
            </w:pPr>
          </w:p>
        </w:tc>
        <w:tc>
          <w:tcPr>
            <w:tcW w:w="992" w:type="dxa"/>
          </w:tcPr>
          <w:p w14:paraId="5C213545" w14:textId="77777777" w:rsidR="00C13973" w:rsidRPr="00126575" w:rsidRDefault="00C13973" w:rsidP="00C13973">
            <w:pPr>
              <w:spacing w:line="240" w:lineRule="auto"/>
              <w:jc w:val="both"/>
              <w:rPr>
                <w:rFonts w:eastAsia="Calibri" w:cstheme="minorHAnsi"/>
                <w:color w:val="auto"/>
                <w:highlight w:val="yellow"/>
                <w:lang w:val="lv-LV"/>
              </w:rPr>
            </w:pPr>
          </w:p>
        </w:tc>
        <w:tc>
          <w:tcPr>
            <w:tcW w:w="1134" w:type="dxa"/>
          </w:tcPr>
          <w:p w14:paraId="010588C3" w14:textId="77777777" w:rsidR="00C13973" w:rsidRPr="00126575" w:rsidRDefault="00C13973" w:rsidP="00C13973">
            <w:pPr>
              <w:spacing w:line="240" w:lineRule="auto"/>
              <w:jc w:val="both"/>
              <w:rPr>
                <w:rFonts w:eastAsia="Calibri" w:cstheme="minorHAnsi"/>
                <w:color w:val="auto"/>
                <w:highlight w:val="yellow"/>
                <w:lang w:val="lv-LV"/>
              </w:rPr>
            </w:pPr>
          </w:p>
        </w:tc>
        <w:tc>
          <w:tcPr>
            <w:tcW w:w="948" w:type="dxa"/>
          </w:tcPr>
          <w:p w14:paraId="4C5C5B82" w14:textId="77777777" w:rsidR="00C13973" w:rsidRPr="00126575" w:rsidRDefault="00C13973" w:rsidP="00C13973">
            <w:pPr>
              <w:spacing w:line="240" w:lineRule="auto"/>
              <w:jc w:val="both"/>
              <w:rPr>
                <w:rFonts w:eastAsia="Calibri" w:cstheme="minorHAnsi"/>
                <w:color w:val="auto"/>
                <w:highlight w:val="yellow"/>
                <w:lang w:val="lv-LV"/>
              </w:rPr>
            </w:pPr>
          </w:p>
        </w:tc>
        <w:tc>
          <w:tcPr>
            <w:tcW w:w="1116" w:type="dxa"/>
          </w:tcPr>
          <w:p w14:paraId="0E2F6CB0" w14:textId="77777777" w:rsidR="00C13973" w:rsidRPr="00126575" w:rsidRDefault="00C13973" w:rsidP="00C13973">
            <w:pPr>
              <w:spacing w:line="240" w:lineRule="auto"/>
              <w:jc w:val="both"/>
              <w:rPr>
                <w:rFonts w:eastAsia="Calibri" w:cstheme="minorHAnsi"/>
                <w:color w:val="auto"/>
                <w:highlight w:val="yellow"/>
                <w:lang w:val="lv-LV"/>
              </w:rPr>
            </w:pPr>
          </w:p>
        </w:tc>
      </w:tr>
      <w:tr w:rsidR="001647A6" w:rsidRPr="00126575" w14:paraId="0938ACAC" w14:textId="77777777" w:rsidTr="004071A9">
        <w:tc>
          <w:tcPr>
            <w:tcW w:w="1980" w:type="dxa"/>
          </w:tcPr>
          <w:p w14:paraId="101B5228" w14:textId="1BDDCA27" w:rsidR="00C61078" w:rsidRPr="00126575" w:rsidRDefault="00C61078" w:rsidP="00C13973">
            <w:pPr>
              <w:spacing w:line="240" w:lineRule="auto"/>
              <w:jc w:val="both"/>
              <w:rPr>
                <w:rFonts w:eastAsia="Calibri" w:cstheme="minorHAnsi"/>
                <w:lang w:val="lv-LV"/>
              </w:rPr>
            </w:pPr>
            <w:r w:rsidRPr="00126575">
              <w:rPr>
                <w:rFonts w:eastAsia="Calibri" w:cstheme="minorHAnsi"/>
                <w:lang w:val="lv-LV"/>
              </w:rPr>
              <w:t xml:space="preserve">Ēku skaits, kurās nodrošinot vides pieejamību, ir veicināta </w:t>
            </w:r>
            <w:r w:rsidR="001647A6" w:rsidRPr="00126575">
              <w:rPr>
                <w:rFonts w:eastAsia="Calibri" w:cstheme="minorHAnsi"/>
                <w:lang w:val="lv-LV"/>
              </w:rPr>
              <w:t xml:space="preserve">sociālās atstumtības pakļauto grupu </w:t>
            </w:r>
            <w:r w:rsidRPr="00126575">
              <w:rPr>
                <w:rFonts w:eastAsia="Calibri" w:cstheme="minorHAnsi"/>
                <w:lang w:val="lv-LV"/>
              </w:rPr>
              <w:t>piekļuve sociālajiem un valsts pakalpojumiem</w:t>
            </w:r>
          </w:p>
        </w:tc>
        <w:tc>
          <w:tcPr>
            <w:tcW w:w="992" w:type="dxa"/>
          </w:tcPr>
          <w:p w14:paraId="032B7917" w14:textId="77777777" w:rsidR="00C61078" w:rsidRPr="00126575" w:rsidRDefault="00C61078" w:rsidP="00C13973">
            <w:pPr>
              <w:spacing w:line="240" w:lineRule="auto"/>
              <w:jc w:val="both"/>
              <w:rPr>
                <w:rFonts w:eastAsia="Calibri" w:cstheme="minorHAnsi"/>
                <w:highlight w:val="yellow"/>
                <w:lang w:val="lv-LV"/>
              </w:rPr>
            </w:pPr>
          </w:p>
        </w:tc>
        <w:tc>
          <w:tcPr>
            <w:tcW w:w="1134" w:type="dxa"/>
          </w:tcPr>
          <w:p w14:paraId="35D10F71" w14:textId="77777777" w:rsidR="00C61078" w:rsidRPr="00126575" w:rsidRDefault="00C61078" w:rsidP="00C13973">
            <w:pPr>
              <w:spacing w:line="240" w:lineRule="auto"/>
              <w:jc w:val="both"/>
              <w:rPr>
                <w:rFonts w:eastAsia="Calibri" w:cstheme="minorHAnsi"/>
                <w:highlight w:val="yellow"/>
                <w:lang w:val="lv-LV"/>
              </w:rPr>
            </w:pPr>
          </w:p>
        </w:tc>
        <w:tc>
          <w:tcPr>
            <w:tcW w:w="992" w:type="dxa"/>
          </w:tcPr>
          <w:p w14:paraId="304A42B6" w14:textId="77777777" w:rsidR="00C61078" w:rsidRPr="00126575" w:rsidRDefault="00C61078" w:rsidP="00C13973">
            <w:pPr>
              <w:spacing w:line="240" w:lineRule="auto"/>
              <w:jc w:val="both"/>
              <w:rPr>
                <w:rFonts w:eastAsia="Calibri" w:cstheme="minorHAnsi"/>
                <w:highlight w:val="yellow"/>
                <w:lang w:val="lv-LV"/>
              </w:rPr>
            </w:pPr>
          </w:p>
        </w:tc>
        <w:tc>
          <w:tcPr>
            <w:tcW w:w="1134" w:type="dxa"/>
          </w:tcPr>
          <w:p w14:paraId="2BEE16BC" w14:textId="77777777" w:rsidR="00C61078" w:rsidRPr="00126575" w:rsidRDefault="00C61078" w:rsidP="00C13973">
            <w:pPr>
              <w:spacing w:line="240" w:lineRule="auto"/>
              <w:jc w:val="both"/>
              <w:rPr>
                <w:rFonts w:eastAsia="Calibri" w:cstheme="minorHAnsi"/>
                <w:highlight w:val="yellow"/>
                <w:lang w:val="lv-LV"/>
              </w:rPr>
            </w:pPr>
          </w:p>
        </w:tc>
        <w:tc>
          <w:tcPr>
            <w:tcW w:w="948" w:type="dxa"/>
          </w:tcPr>
          <w:p w14:paraId="67EB033C" w14:textId="77777777" w:rsidR="00C61078" w:rsidRPr="00126575" w:rsidRDefault="00C61078" w:rsidP="00C13973">
            <w:pPr>
              <w:spacing w:line="240" w:lineRule="auto"/>
              <w:jc w:val="both"/>
              <w:rPr>
                <w:rFonts w:eastAsia="Calibri" w:cstheme="minorHAnsi"/>
                <w:highlight w:val="yellow"/>
                <w:lang w:val="lv-LV"/>
              </w:rPr>
            </w:pPr>
          </w:p>
        </w:tc>
        <w:tc>
          <w:tcPr>
            <w:tcW w:w="1116" w:type="dxa"/>
          </w:tcPr>
          <w:p w14:paraId="3DE805F0" w14:textId="77777777" w:rsidR="00C61078" w:rsidRPr="00126575" w:rsidRDefault="00C61078" w:rsidP="00C13973">
            <w:pPr>
              <w:spacing w:line="240" w:lineRule="auto"/>
              <w:jc w:val="both"/>
              <w:rPr>
                <w:rFonts w:eastAsia="Calibri" w:cstheme="minorHAnsi"/>
                <w:highlight w:val="yellow"/>
                <w:lang w:val="lv-LV"/>
              </w:rPr>
            </w:pPr>
          </w:p>
        </w:tc>
      </w:tr>
      <w:tr w:rsidR="004071A9" w:rsidRPr="00126575" w14:paraId="6394A052" w14:textId="77777777" w:rsidTr="004071A9">
        <w:tc>
          <w:tcPr>
            <w:tcW w:w="1980" w:type="dxa"/>
          </w:tcPr>
          <w:p w14:paraId="3B1824B6" w14:textId="01697F48" w:rsidR="00C61078" w:rsidRPr="00126575" w:rsidRDefault="00C61078" w:rsidP="00C13973">
            <w:pPr>
              <w:spacing w:line="240" w:lineRule="auto"/>
              <w:jc w:val="both"/>
              <w:rPr>
                <w:rFonts w:eastAsia="Calibri" w:cstheme="minorHAnsi"/>
              </w:rPr>
            </w:pPr>
            <w:proofErr w:type="spellStart"/>
            <w:r w:rsidRPr="00126575">
              <w:rPr>
                <w:rFonts w:eastAsia="Calibri" w:cstheme="minorHAnsi"/>
              </w:rPr>
              <w:t>u.c.</w:t>
            </w:r>
            <w:proofErr w:type="spellEnd"/>
            <w:r w:rsidRPr="00126575">
              <w:rPr>
                <w:rFonts w:eastAsia="Calibri" w:cstheme="minorHAnsi"/>
              </w:rPr>
              <w:t xml:space="preserve"> </w:t>
            </w:r>
          </w:p>
        </w:tc>
        <w:tc>
          <w:tcPr>
            <w:tcW w:w="992" w:type="dxa"/>
          </w:tcPr>
          <w:p w14:paraId="28453B27" w14:textId="77777777" w:rsidR="00C61078" w:rsidRPr="00126575" w:rsidRDefault="00C61078" w:rsidP="00C13973">
            <w:pPr>
              <w:spacing w:line="240" w:lineRule="auto"/>
              <w:jc w:val="both"/>
              <w:rPr>
                <w:rFonts w:eastAsia="Calibri" w:cstheme="minorHAnsi"/>
                <w:highlight w:val="yellow"/>
              </w:rPr>
            </w:pPr>
          </w:p>
        </w:tc>
        <w:tc>
          <w:tcPr>
            <w:tcW w:w="1134" w:type="dxa"/>
          </w:tcPr>
          <w:p w14:paraId="02FB0344" w14:textId="77777777" w:rsidR="00C61078" w:rsidRPr="00126575" w:rsidRDefault="00C61078" w:rsidP="00C13973">
            <w:pPr>
              <w:spacing w:line="240" w:lineRule="auto"/>
              <w:jc w:val="both"/>
              <w:rPr>
                <w:rFonts w:eastAsia="Calibri" w:cstheme="minorHAnsi"/>
                <w:highlight w:val="yellow"/>
              </w:rPr>
            </w:pPr>
          </w:p>
        </w:tc>
        <w:tc>
          <w:tcPr>
            <w:tcW w:w="992" w:type="dxa"/>
          </w:tcPr>
          <w:p w14:paraId="72B8EEBD" w14:textId="77777777" w:rsidR="00C61078" w:rsidRPr="00126575" w:rsidRDefault="00C61078" w:rsidP="00C13973">
            <w:pPr>
              <w:spacing w:line="240" w:lineRule="auto"/>
              <w:jc w:val="both"/>
              <w:rPr>
                <w:rFonts w:eastAsia="Calibri" w:cstheme="minorHAnsi"/>
                <w:highlight w:val="yellow"/>
              </w:rPr>
            </w:pPr>
          </w:p>
        </w:tc>
        <w:tc>
          <w:tcPr>
            <w:tcW w:w="1134" w:type="dxa"/>
          </w:tcPr>
          <w:p w14:paraId="3BABBADB" w14:textId="77777777" w:rsidR="00C61078" w:rsidRPr="00126575" w:rsidRDefault="00C61078" w:rsidP="00C13973">
            <w:pPr>
              <w:spacing w:line="240" w:lineRule="auto"/>
              <w:jc w:val="both"/>
              <w:rPr>
                <w:rFonts w:eastAsia="Calibri" w:cstheme="minorHAnsi"/>
                <w:highlight w:val="yellow"/>
              </w:rPr>
            </w:pPr>
          </w:p>
        </w:tc>
        <w:tc>
          <w:tcPr>
            <w:tcW w:w="948" w:type="dxa"/>
          </w:tcPr>
          <w:p w14:paraId="462C2738" w14:textId="77777777" w:rsidR="00C61078" w:rsidRPr="00126575" w:rsidRDefault="00C61078" w:rsidP="00C13973">
            <w:pPr>
              <w:spacing w:line="240" w:lineRule="auto"/>
              <w:jc w:val="both"/>
              <w:rPr>
                <w:rFonts w:eastAsia="Calibri" w:cstheme="minorHAnsi"/>
                <w:highlight w:val="yellow"/>
              </w:rPr>
            </w:pPr>
          </w:p>
        </w:tc>
        <w:tc>
          <w:tcPr>
            <w:tcW w:w="1116" w:type="dxa"/>
          </w:tcPr>
          <w:p w14:paraId="26E96A02" w14:textId="77777777" w:rsidR="00C61078" w:rsidRPr="00126575" w:rsidRDefault="00C61078" w:rsidP="00C13973">
            <w:pPr>
              <w:spacing w:line="240" w:lineRule="auto"/>
              <w:jc w:val="both"/>
              <w:rPr>
                <w:rFonts w:eastAsia="Calibri" w:cstheme="minorHAnsi"/>
                <w:highlight w:val="yellow"/>
              </w:rPr>
            </w:pPr>
          </w:p>
        </w:tc>
      </w:tr>
    </w:tbl>
    <w:p w14:paraId="66A1973B" w14:textId="77777777" w:rsidR="001A5B7E" w:rsidRDefault="001A5B7E" w:rsidP="007E36D5">
      <w:pPr>
        <w:spacing w:after="0" w:line="240" w:lineRule="auto"/>
        <w:jc w:val="both"/>
        <w:rPr>
          <w:rFonts w:ascii="Calibri" w:eastAsia="Calibri" w:hAnsi="Calibri" w:cs="Calibri"/>
          <w:color w:val="FF0000"/>
          <w:highlight w:val="yellow"/>
        </w:rPr>
      </w:pPr>
    </w:p>
    <w:p w14:paraId="1C64D328" w14:textId="2C89525C" w:rsidR="007E36D5" w:rsidRDefault="007E36D5" w:rsidP="007E36D5">
      <w:pPr>
        <w:spacing w:after="0" w:line="240" w:lineRule="auto"/>
        <w:jc w:val="both"/>
        <w:rPr>
          <w:rFonts w:ascii="Calibri" w:eastAsia="Calibri" w:hAnsi="Calibri" w:cs="Calibri"/>
          <w:color w:val="FF0000"/>
          <w:highlight w:val="yellow"/>
        </w:rPr>
      </w:pPr>
    </w:p>
    <w:p w14:paraId="0D6B4AF1" w14:textId="77777777" w:rsidR="007E36D5" w:rsidRDefault="007E36D5" w:rsidP="008A41D9">
      <w:pPr>
        <w:spacing w:after="0" w:line="240" w:lineRule="auto"/>
        <w:jc w:val="both"/>
        <w:rPr>
          <w:rFonts w:ascii="Calibri" w:eastAsia="Calibri" w:hAnsi="Calibri" w:cs="Calibri"/>
          <w:color w:val="FF0000"/>
        </w:rPr>
      </w:pPr>
    </w:p>
    <w:p w14:paraId="776CF124" w14:textId="77777777" w:rsidR="007B4326" w:rsidRPr="007B4326" w:rsidRDefault="007B4326" w:rsidP="007B4326">
      <w:pPr>
        <w:spacing w:after="120" w:line="264" w:lineRule="auto"/>
        <w:rPr>
          <w:rFonts w:ascii="Franklin Gothic Book" w:eastAsia="HGGothicE" w:hAnsi="Franklin Gothic Book" w:cs="Times New Roman"/>
          <w:color w:val="000000"/>
          <w:sz w:val="24"/>
          <w:szCs w:val="20"/>
          <w:lang w:eastAsia="ja-JP"/>
        </w:rPr>
      </w:pPr>
    </w:p>
    <w:p w14:paraId="02500440" w14:textId="77777777" w:rsidR="004071A9" w:rsidRDefault="004071A9" w:rsidP="007B4326">
      <w:pPr>
        <w:keepNext/>
        <w:keepLines/>
        <w:spacing w:after="120" w:line="264" w:lineRule="auto"/>
        <w:outlineLvl w:val="0"/>
        <w:rPr>
          <w:rFonts w:eastAsia="HGSoeiKakugothicUB" w:cstheme="minorHAnsi"/>
          <w:b/>
          <w:color w:val="2683C6"/>
          <w:sz w:val="28"/>
          <w:szCs w:val="28"/>
          <w:lang w:eastAsia="ja-JP"/>
        </w:rPr>
      </w:pPr>
    </w:p>
    <w:p w14:paraId="204F9F65" w14:textId="6D566A55" w:rsidR="004071A9" w:rsidRPr="004071A9" w:rsidRDefault="004071A9" w:rsidP="004071A9">
      <w:pPr>
        <w:keepNext/>
        <w:keepLines/>
        <w:spacing w:after="120" w:line="264" w:lineRule="auto"/>
        <w:jc w:val="center"/>
        <w:outlineLvl w:val="0"/>
        <w:rPr>
          <w:rFonts w:eastAsia="HGSoeiKakugothicUB" w:cstheme="minorHAnsi"/>
          <w:b/>
          <w:color w:val="2683C6"/>
          <w:sz w:val="36"/>
          <w:szCs w:val="36"/>
          <w:lang w:eastAsia="ja-JP"/>
        </w:rPr>
      </w:pPr>
      <w:r w:rsidRPr="004071A9">
        <w:rPr>
          <w:rFonts w:eastAsia="HGSoeiKakugothicUB" w:cstheme="minorHAnsi"/>
          <w:b/>
          <w:color w:val="2683C6"/>
          <w:sz w:val="36"/>
          <w:szCs w:val="36"/>
          <w:lang w:eastAsia="ja-JP"/>
        </w:rPr>
        <w:t>Informācijas avoti</w:t>
      </w:r>
    </w:p>
    <w:p w14:paraId="5FE600C1" w14:textId="77777777" w:rsidR="004071A9" w:rsidRDefault="004071A9" w:rsidP="007B4326">
      <w:pPr>
        <w:keepNext/>
        <w:keepLines/>
        <w:spacing w:after="120" w:line="264" w:lineRule="auto"/>
        <w:outlineLvl w:val="0"/>
        <w:rPr>
          <w:rFonts w:eastAsia="HGSoeiKakugothicUB" w:cstheme="minorHAnsi"/>
          <w:b/>
          <w:color w:val="2683C6"/>
          <w:sz w:val="28"/>
          <w:szCs w:val="28"/>
          <w:lang w:eastAsia="ja-JP"/>
        </w:rPr>
      </w:pPr>
    </w:p>
    <w:p w14:paraId="296BF0EF" w14:textId="29A2A6CE" w:rsidR="007B4326" w:rsidRPr="00126575" w:rsidRDefault="007B4326" w:rsidP="007B4326">
      <w:pPr>
        <w:keepNext/>
        <w:keepLines/>
        <w:spacing w:after="120" w:line="264" w:lineRule="auto"/>
        <w:outlineLvl w:val="0"/>
        <w:rPr>
          <w:rFonts w:eastAsia="HGSoeiKakugothicUB" w:cstheme="minorHAnsi"/>
          <w:b/>
          <w:color w:val="2683C6"/>
          <w:sz w:val="28"/>
          <w:szCs w:val="28"/>
          <w:lang w:eastAsia="ja-JP"/>
        </w:rPr>
      </w:pPr>
      <w:r w:rsidRPr="00126575">
        <w:rPr>
          <w:rFonts w:eastAsia="HGSoeiKakugothicUB" w:cstheme="minorHAnsi"/>
          <w:b/>
          <w:color w:val="2683C6"/>
          <w:sz w:val="28"/>
          <w:szCs w:val="28"/>
          <w:lang w:eastAsia="ja-JP"/>
        </w:rPr>
        <w:t xml:space="preserve">Informācija par vienlīdzīgām iespējām, iekļaušanu un </w:t>
      </w:r>
      <w:proofErr w:type="spellStart"/>
      <w:r w:rsidRPr="00126575">
        <w:rPr>
          <w:rFonts w:eastAsia="HGSoeiKakugothicUB" w:cstheme="minorHAnsi"/>
          <w:b/>
          <w:color w:val="2683C6"/>
          <w:sz w:val="28"/>
          <w:szCs w:val="28"/>
          <w:lang w:eastAsia="ja-JP"/>
        </w:rPr>
        <w:t>nediskrimināciju</w:t>
      </w:r>
      <w:proofErr w:type="spellEnd"/>
      <w:r w:rsidRPr="00126575">
        <w:rPr>
          <w:rFonts w:eastAsia="HGSoeiKakugothicUB" w:cstheme="minorHAnsi"/>
          <w:b/>
          <w:color w:val="2683C6"/>
          <w:sz w:val="28"/>
          <w:szCs w:val="28"/>
          <w:lang w:eastAsia="ja-JP"/>
        </w:rPr>
        <w:t>:</w:t>
      </w:r>
    </w:p>
    <w:p w14:paraId="2D06C83B" w14:textId="77777777" w:rsidR="007B4326" w:rsidRPr="00126575" w:rsidRDefault="00DA279E" w:rsidP="007B4326">
      <w:pPr>
        <w:keepNext/>
        <w:keepLines/>
        <w:spacing w:after="120" w:line="264" w:lineRule="auto"/>
        <w:outlineLvl w:val="0"/>
        <w:rPr>
          <w:rFonts w:eastAsia="HGSoeiKakugothicUB" w:cstheme="minorHAnsi"/>
          <w:color w:val="134163"/>
          <w:sz w:val="24"/>
          <w:szCs w:val="24"/>
          <w:lang w:eastAsia="ja-JP"/>
        </w:rPr>
      </w:pPr>
      <w:hyperlink r:id="rId9" w:history="1">
        <w:r w:rsidR="007B4326" w:rsidRPr="00126575">
          <w:rPr>
            <w:rFonts w:eastAsia="HGSoeiKakugothicUB" w:cstheme="minorHAnsi"/>
            <w:color w:val="134163"/>
            <w:sz w:val="24"/>
            <w:szCs w:val="24"/>
            <w:u w:val="single"/>
            <w:lang w:eastAsia="ja-JP"/>
          </w:rPr>
          <w:t>https://www.lm.gov.lv/lv/horizontalais-princips-vienlidzigas-iespejas</w:t>
        </w:r>
      </w:hyperlink>
    </w:p>
    <w:p w14:paraId="00FB2CC3" w14:textId="2F144909" w:rsidR="007B4326" w:rsidRPr="00126575" w:rsidRDefault="007B4326" w:rsidP="007B4326">
      <w:pPr>
        <w:spacing w:after="120" w:line="276" w:lineRule="auto"/>
        <w:rPr>
          <w:rFonts w:eastAsia="HGGothicE" w:cstheme="minorHAnsi"/>
          <w:sz w:val="24"/>
          <w:szCs w:val="20"/>
          <w:lang w:eastAsia="ja-JP"/>
        </w:rPr>
      </w:pPr>
    </w:p>
    <w:p w14:paraId="3842AD18" w14:textId="64D323E1" w:rsidR="001647A6" w:rsidRPr="00126575" w:rsidRDefault="001647A6" w:rsidP="007B4326">
      <w:pPr>
        <w:spacing w:after="120" w:line="276" w:lineRule="auto"/>
        <w:rPr>
          <w:rFonts w:eastAsia="HGGothicE" w:cstheme="minorHAnsi"/>
          <w:b/>
          <w:color w:val="1F4E79" w:themeColor="accent5" w:themeShade="80"/>
          <w:sz w:val="28"/>
          <w:szCs w:val="28"/>
          <w:lang w:eastAsia="ja-JP"/>
        </w:rPr>
      </w:pPr>
      <w:r w:rsidRPr="00126575">
        <w:rPr>
          <w:rFonts w:eastAsia="HGGothicE" w:cstheme="minorHAnsi"/>
          <w:b/>
          <w:color w:val="2E74B5" w:themeColor="accent5" w:themeShade="BF"/>
          <w:sz w:val="28"/>
          <w:szCs w:val="28"/>
          <w:lang w:eastAsia="ja-JP"/>
        </w:rPr>
        <w:t xml:space="preserve">Informācija par dzimumu līdztiesību: </w:t>
      </w:r>
    </w:p>
    <w:p w14:paraId="0679283D" w14:textId="5AD223A3" w:rsidR="001647A6" w:rsidRPr="00126575" w:rsidRDefault="00DA279E" w:rsidP="007B4326">
      <w:pPr>
        <w:spacing w:after="120" w:line="276" w:lineRule="auto"/>
        <w:rPr>
          <w:rFonts w:eastAsia="HGGothicE" w:cstheme="minorHAnsi"/>
          <w:sz w:val="24"/>
          <w:szCs w:val="20"/>
          <w:lang w:eastAsia="ja-JP"/>
        </w:rPr>
      </w:pPr>
      <w:hyperlink r:id="rId10" w:history="1">
        <w:r w:rsidR="001647A6" w:rsidRPr="00126575">
          <w:rPr>
            <w:rStyle w:val="Hyperlink"/>
            <w:rFonts w:eastAsia="HGGothicE" w:cstheme="minorHAnsi"/>
            <w:color w:val="1F4E79" w:themeColor="accent5" w:themeShade="80"/>
            <w:sz w:val="24"/>
            <w:szCs w:val="20"/>
            <w:lang w:eastAsia="ja-JP"/>
          </w:rPr>
          <w:t>https://www.lm.gov.lv/lv/dzimumu-lidztiesiba-1</w:t>
        </w:r>
      </w:hyperlink>
      <w:r w:rsidR="001647A6" w:rsidRPr="00126575">
        <w:rPr>
          <w:rFonts w:eastAsia="HGGothicE" w:cstheme="minorHAnsi"/>
          <w:sz w:val="24"/>
          <w:szCs w:val="20"/>
          <w:lang w:eastAsia="ja-JP"/>
        </w:rPr>
        <w:t xml:space="preserve"> </w:t>
      </w:r>
    </w:p>
    <w:p w14:paraId="0FA10226" w14:textId="4AAE06F8" w:rsidR="001647A6" w:rsidRPr="00126575" w:rsidRDefault="001647A6" w:rsidP="007B4326">
      <w:pPr>
        <w:spacing w:after="120" w:line="276" w:lineRule="auto"/>
        <w:rPr>
          <w:rFonts w:eastAsia="HGGothicE" w:cstheme="minorHAnsi"/>
          <w:sz w:val="24"/>
          <w:szCs w:val="20"/>
          <w:lang w:eastAsia="ja-JP"/>
        </w:rPr>
      </w:pPr>
    </w:p>
    <w:p w14:paraId="114E415F" w14:textId="2FE0CB51" w:rsidR="001647A6" w:rsidRPr="00126575" w:rsidRDefault="00D944C0" w:rsidP="007B4326">
      <w:pPr>
        <w:spacing w:after="120" w:line="276" w:lineRule="auto"/>
        <w:rPr>
          <w:rFonts w:eastAsia="HGGothicE" w:cstheme="minorHAnsi"/>
          <w:b/>
          <w:color w:val="2E74B5" w:themeColor="accent5" w:themeShade="BF"/>
          <w:sz w:val="28"/>
          <w:szCs w:val="28"/>
          <w:lang w:eastAsia="ja-JP"/>
        </w:rPr>
      </w:pPr>
      <w:r w:rsidRPr="00126575">
        <w:rPr>
          <w:rFonts w:eastAsia="HGGothicE" w:cstheme="minorHAnsi"/>
          <w:b/>
          <w:color w:val="2E74B5" w:themeColor="accent5" w:themeShade="BF"/>
          <w:sz w:val="28"/>
          <w:szCs w:val="28"/>
          <w:lang w:eastAsia="ja-JP"/>
        </w:rPr>
        <w:t xml:space="preserve">Informācija par </w:t>
      </w:r>
      <w:proofErr w:type="spellStart"/>
      <w:r w:rsidRPr="00126575">
        <w:rPr>
          <w:rFonts w:eastAsia="HGGothicE" w:cstheme="minorHAnsi"/>
          <w:b/>
          <w:color w:val="2E74B5" w:themeColor="accent5" w:themeShade="BF"/>
          <w:sz w:val="28"/>
          <w:szCs w:val="28"/>
          <w:lang w:eastAsia="ja-JP"/>
        </w:rPr>
        <w:t>Covid</w:t>
      </w:r>
      <w:proofErr w:type="spellEnd"/>
      <w:r w:rsidRPr="00126575">
        <w:rPr>
          <w:rFonts w:eastAsia="HGGothicE" w:cstheme="minorHAnsi"/>
          <w:b/>
          <w:color w:val="2E74B5" w:themeColor="accent5" w:themeShade="BF"/>
          <w:sz w:val="28"/>
          <w:szCs w:val="28"/>
          <w:lang w:eastAsia="ja-JP"/>
        </w:rPr>
        <w:t xml:space="preserve"> – 19 krīzes ietekmi uz personu ar invaliditāti tiesībām un iekļaušanu</w:t>
      </w:r>
    </w:p>
    <w:p w14:paraId="5DE4AFFA" w14:textId="7121981C" w:rsidR="00D67E23" w:rsidRPr="00126575" w:rsidRDefault="00DA279E" w:rsidP="00D67E23">
      <w:pPr>
        <w:spacing w:after="120" w:line="276" w:lineRule="auto"/>
        <w:rPr>
          <w:rFonts w:eastAsia="HGGothicE" w:cstheme="minorHAnsi"/>
          <w:color w:val="2E74B5" w:themeColor="accent5" w:themeShade="BF"/>
          <w:sz w:val="24"/>
          <w:szCs w:val="24"/>
          <w:lang w:eastAsia="ja-JP"/>
        </w:rPr>
      </w:pPr>
      <w:hyperlink r:id="rId11" w:history="1">
        <w:r w:rsidR="00D67E23" w:rsidRPr="00126575">
          <w:rPr>
            <w:rStyle w:val="Hyperlink"/>
            <w:rFonts w:eastAsia="HGGothicE" w:cstheme="minorHAnsi"/>
            <w:color w:val="034990" w:themeColor="hyperlink" w:themeShade="BF"/>
            <w:sz w:val="24"/>
            <w:szCs w:val="24"/>
            <w:lang w:eastAsia="ja-JP"/>
          </w:rPr>
          <w:t>https://www.edf-feph.org</w:t>
        </w:r>
      </w:hyperlink>
      <w:r w:rsidR="00D67E23" w:rsidRPr="00126575">
        <w:rPr>
          <w:rFonts w:eastAsia="HGGothicE" w:cstheme="minorHAnsi"/>
          <w:color w:val="2E74B5" w:themeColor="accent5" w:themeShade="BF"/>
          <w:sz w:val="24"/>
          <w:szCs w:val="24"/>
          <w:lang w:eastAsia="ja-JP"/>
        </w:rPr>
        <w:t xml:space="preserve"> </w:t>
      </w:r>
    </w:p>
    <w:p w14:paraId="4ED3D161" w14:textId="1637A8A4" w:rsidR="001647A6" w:rsidRPr="00126575" w:rsidRDefault="00DA279E" w:rsidP="007B4326">
      <w:pPr>
        <w:spacing w:after="120" w:line="276" w:lineRule="auto"/>
        <w:rPr>
          <w:rFonts w:eastAsia="HGGothicE" w:cstheme="minorHAnsi"/>
          <w:color w:val="1F4E79" w:themeColor="accent5" w:themeShade="80"/>
          <w:sz w:val="24"/>
          <w:szCs w:val="20"/>
          <w:lang w:eastAsia="ja-JP"/>
        </w:rPr>
      </w:pPr>
      <w:hyperlink r:id="rId12" w:history="1">
        <w:r w:rsidR="00D944C0" w:rsidRPr="00126575">
          <w:rPr>
            <w:rStyle w:val="Hyperlink"/>
            <w:rFonts w:eastAsia="HGGothicE" w:cstheme="minorHAnsi"/>
            <w:color w:val="1F4E79" w:themeColor="accent5" w:themeShade="80"/>
            <w:sz w:val="24"/>
            <w:szCs w:val="20"/>
            <w:lang w:eastAsia="ja-JP"/>
          </w:rPr>
          <w:t>https://bridgingthegap-project.eu/the-impact-of-covid-19-on-people-with-disabilities/</w:t>
        </w:r>
      </w:hyperlink>
      <w:r w:rsidR="00D944C0" w:rsidRPr="00126575">
        <w:rPr>
          <w:rFonts w:eastAsia="HGGothicE" w:cstheme="minorHAnsi"/>
          <w:color w:val="1F4E79" w:themeColor="accent5" w:themeShade="80"/>
          <w:sz w:val="24"/>
          <w:szCs w:val="20"/>
          <w:lang w:eastAsia="ja-JP"/>
        </w:rPr>
        <w:t xml:space="preserve"> </w:t>
      </w:r>
    </w:p>
    <w:p w14:paraId="3ED3183C" w14:textId="6402DA2F" w:rsidR="00D944C0" w:rsidRPr="00126575" w:rsidRDefault="00DA279E" w:rsidP="007B4326">
      <w:pPr>
        <w:spacing w:after="120" w:line="276" w:lineRule="auto"/>
        <w:rPr>
          <w:rFonts w:eastAsia="HGGothicE" w:cstheme="minorHAnsi"/>
          <w:color w:val="1F4E79" w:themeColor="accent5" w:themeShade="80"/>
          <w:sz w:val="24"/>
          <w:szCs w:val="20"/>
          <w:lang w:eastAsia="ja-JP"/>
        </w:rPr>
      </w:pPr>
      <w:hyperlink r:id="rId13" w:history="1">
        <w:r w:rsidR="008E38C8" w:rsidRPr="00126575">
          <w:rPr>
            <w:rStyle w:val="Hyperlink"/>
            <w:rFonts w:eastAsia="HGGothicE" w:cstheme="minorHAnsi"/>
            <w:color w:val="1F4E79" w:themeColor="accent5" w:themeShade="80"/>
            <w:sz w:val="24"/>
            <w:szCs w:val="20"/>
            <w:lang w:eastAsia="ja-JP"/>
          </w:rPr>
          <w:t>https://wid.org/2020/03/12/recommendations-for-immediate-covid-19-action/</w:t>
        </w:r>
      </w:hyperlink>
      <w:r w:rsidR="008E38C8" w:rsidRPr="00126575">
        <w:rPr>
          <w:rFonts w:eastAsia="HGGothicE" w:cstheme="minorHAnsi"/>
          <w:color w:val="1F4E79" w:themeColor="accent5" w:themeShade="80"/>
          <w:sz w:val="24"/>
          <w:szCs w:val="20"/>
          <w:lang w:eastAsia="ja-JP"/>
        </w:rPr>
        <w:t xml:space="preserve"> </w:t>
      </w:r>
    </w:p>
    <w:p w14:paraId="1CB422A2" w14:textId="77777777" w:rsidR="00D944C0" w:rsidRPr="00126575" w:rsidRDefault="00D944C0" w:rsidP="007B4326">
      <w:pPr>
        <w:spacing w:after="120" w:line="276" w:lineRule="auto"/>
        <w:rPr>
          <w:rFonts w:eastAsia="HGGothicE" w:cstheme="minorHAnsi"/>
          <w:sz w:val="24"/>
          <w:szCs w:val="20"/>
          <w:lang w:eastAsia="ja-JP"/>
        </w:rPr>
      </w:pPr>
    </w:p>
    <w:p w14:paraId="3EF0E7DE" w14:textId="77777777" w:rsidR="007B4326" w:rsidRPr="00126575" w:rsidRDefault="007B4326" w:rsidP="007B4326">
      <w:pPr>
        <w:spacing w:after="120" w:line="276" w:lineRule="auto"/>
        <w:rPr>
          <w:rFonts w:eastAsia="HGGothicE" w:cstheme="minorHAnsi"/>
          <w:b/>
          <w:color w:val="1481AB"/>
          <w:sz w:val="28"/>
          <w:szCs w:val="28"/>
          <w:lang w:eastAsia="ja-JP"/>
        </w:rPr>
      </w:pPr>
      <w:r w:rsidRPr="00126575">
        <w:rPr>
          <w:rFonts w:eastAsia="HGGothicE" w:cstheme="minorHAnsi"/>
          <w:b/>
          <w:color w:val="1481AB"/>
          <w:sz w:val="28"/>
          <w:szCs w:val="28"/>
          <w:lang w:eastAsia="ja-JP"/>
        </w:rPr>
        <w:t xml:space="preserve">Saziņai: </w:t>
      </w:r>
    </w:p>
    <w:p w14:paraId="3AFC14DF" w14:textId="77777777" w:rsidR="007B4326" w:rsidRPr="00126575" w:rsidRDefault="007B4326" w:rsidP="007B4326">
      <w:pPr>
        <w:spacing w:after="120" w:line="276" w:lineRule="auto"/>
        <w:rPr>
          <w:rFonts w:eastAsia="HGGothicE" w:cstheme="minorHAnsi"/>
          <w:sz w:val="24"/>
          <w:szCs w:val="20"/>
          <w:lang w:eastAsia="ja-JP"/>
        </w:rPr>
      </w:pPr>
      <w:r w:rsidRPr="00126575">
        <w:rPr>
          <w:rFonts w:eastAsia="HGGothicE" w:cstheme="minorHAnsi"/>
          <w:sz w:val="24"/>
          <w:szCs w:val="20"/>
          <w:lang w:eastAsia="ja-JP"/>
        </w:rPr>
        <w:t>Inese Vilcāne</w:t>
      </w:r>
    </w:p>
    <w:p w14:paraId="73B984F4" w14:textId="77777777" w:rsidR="007B4326" w:rsidRPr="00126575" w:rsidRDefault="007B4326" w:rsidP="007B4326">
      <w:pPr>
        <w:spacing w:after="120" w:line="276" w:lineRule="auto"/>
        <w:rPr>
          <w:rFonts w:eastAsia="HGGothicE" w:cstheme="minorHAnsi"/>
          <w:sz w:val="24"/>
          <w:szCs w:val="20"/>
          <w:lang w:eastAsia="ja-JP"/>
        </w:rPr>
      </w:pPr>
      <w:r w:rsidRPr="00126575">
        <w:rPr>
          <w:rFonts w:eastAsia="HGGothicE" w:cstheme="minorHAnsi"/>
          <w:sz w:val="24"/>
          <w:szCs w:val="20"/>
          <w:lang w:eastAsia="ja-JP"/>
        </w:rPr>
        <w:t>Labklājības ministrija</w:t>
      </w:r>
    </w:p>
    <w:p w14:paraId="2F2E6B98" w14:textId="77777777" w:rsidR="007B4326" w:rsidRPr="00126575" w:rsidRDefault="007B4326" w:rsidP="007B4326">
      <w:pPr>
        <w:spacing w:after="120" w:line="276" w:lineRule="auto"/>
        <w:rPr>
          <w:rFonts w:eastAsia="HGGothicE" w:cstheme="minorHAnsi"/>
          <w:sz w:val="24"/>
          <w:szCs w:val="20"/>
          <w:lang w:eastAsia="ja-JP"/>
        </w:rPr>
      </w:pPr>
      <w:r w:rsidRPr="00126575">
        <w:rPr>
          <w:rFonts w:eastAsia="HGGothicE" w:cstheme="minorHAnsi"/>
          <w:sz w:val="24"/>
          <w:szCs w:val="20"/>
          <w:lang w:eastAsia="ja-JP"/>
        </w:rPr>
        <w:t>Sociālās iekļaušanas politikas departaments</w:t>
      </w:r>
    </w:p>
    <w:p w14:paraId="22E26FE0" w14:textId="68AD5E69" w:rsidR="007B4326" w:rsidRPr="00126575" w:rsidRDefault="007B4326" w:rsidP="007B4326">
      <w:pPr>
        <w:spacing w:after="120" w:line="276" w:lineRule="auto"/>
        <w:rPr>
          <w:rFonts w:eastAsia="HGGothicE" w:cstheme="minorHAnsi"/>
          <w:sz w:val="24"/>
          <w:szCs w:val="20"/>
          <w:lang w:eastAsia="ja-JP"/>
        </w:rPr>
      </w:pPr>
      <w:r w:rsidRPr="00126575">
        <w:rPr>
          <w:rFonts w:eastAsia="HGGothicE" w:cstheme="minorHAnsi"/>
          <w:sz w:val="24"/>
          <w:szCs w:val="20"/>
          <w:lang w:eastAsia="ja-JP"/>
        </w:rPr>
        <w:t>Vecāk</w:t>
      </w:r>
      <w:r w:rsidR="00D944C0" w:rsidRPr="00126575">
        <w:rPr>
          <w:rFonts w:eastAsia="HGGothicE" w:cstheme="minorHAnsi"/>
          <w:sz w:val="24"/>
          <w:szCs w:val="20"/>
          <w:lang w:eastAsia="ja-JP"/>
        </w:rPr>
        <w:t>ā</w:t>
      </w:r>
      <w:r w:rsidRPr="00126575">
        <w:rPr>
          <w:rFonts w:eastAsia="HGGothicE" w:cstheme="minorHAnsi"/>
          <w:sz w:val="24"/>
          <w:szCs w:val="20"/>
          <w:lang w:eastAsia="ja-JP"/>
        </w:rPr>
        <w:t xml:space="preserve"> ekspert</w:t>
      </w:r>
      <w:r w:rsidR="00C13973" w:rsidRPr="00126575">
        <w:rPr>
          <w:rFonts w:eastAsia="HGGothicE" w:cstheme="minorHAnsi"/>
          <w:sz w:val="24"/>
          <w:szCs w:val="20"/>
          <w:lang w:eastAsia="ja-JP"/>
        </w:rPr>
        <w:t>e</w:t>
      </w:r>
      <w:r w:rsidRPr="00126575">
        <w:rPr>
          <w:rFonts w:eastAsia="HGGothicE" w:cstheme="minorHAnsi"/>
          <w:sz w:val="24"/>
          <w:szCs w:val="20"/>
          <w:lang w:eastAsia="ja-JP"/>
        </w:rPr>
        <w:t xml:space="preserve"> vienlīdzīgu iespēju jautājumos</w:t>
      </w:r>
    </w:p>
    <w:p w14:paraId="63EAAD0E" w14:textId="77777777" w:rsidR="007B4326" w:rsidRPr="007B4326" w:rsidRDefault="007B4326" w:rsidP="007B4326">
      <w:pPr>
        <w:spacing w:after="120" w:line="276" w:lineRule="auto"/>
        <w:rPr>
          <w:rFonts w:ascii="Franklin Gothic Book" w:eastAsia="HGGothicE" w:hAnsi="Franklin Gothic Book" w:cs="Times New Roman"/>
          <w:sz w:val="24"/>
          <w:szCs w:val="20"/>
          <w:lang w:eastAsia="ja-JP"/>
        </w:rPr>
      </w:pPr>
      <w:r w:rsidRPr="007B4326">
        <w:rPr>
          <w:rFonts w:ascii="Franklin Gothic Book" w:eastAsia="HGGothicE" w:hAnsi="Franklin Gothic Book" w:cs="Times New Roman"/>
          <w:sz w:val="24"/>
          <w:szCs w:val="20"/>
          <w:lang w:eastAsia="ja-JP"/>
        </w:rPr>
        <w:t xml:space="preserve">Tālr. + 371 64331836 </w:t>
      </w:r>
    </w:p>
    <w:p w14:paraId="39D21FF9" w14:textId="70B5E7A2" w:rsidR="00AA2EF9" w:rsidRDefault="00DA279E" w:rsidP="00ED3F7C">
      <w:pPr>
        <w:spacing w:after="120" w:line="276" w:lineRule="auto"/>
      </w:pPr>
      <w:hyperlink r:id="rId14" w:history="1">
        <w:r w:rsidR="007B4326" w:rsidRPr="007B4326">
          <w:rPr>
            <w:rFonts w:ascii="Franklin Gothic Book" w:eastAsia="HGGothicE" w:hAnsi="Franklin Gothic Book" w:cs="Times New Roman"/>
            <w:color w:val="0000FF"/>
            <w:sz w:val="24"/>
            <w:szCs w:val="20"/>
            <w:u w:val="single"/>
            <w:lang w:eastAsia="ja-JP"/>
            <w14:textFill>
              <w14:solidFill>
                <w14:srgbClr w14:val="0000FF">
                  <w14:lumMod w14:val="50000"/>
                </w14:srgbClr>
              </w14:solidFill>
            </w14:textFill>
          </w:rPr>
          <w:t>Inese.Vilcane@lm.gov.lv</w:t>
        </w:r>
      </w:hyperlink>
      <w:r w:rsidR="007B4326" w:rsidRPr="007B4326">
        <w:rPr>
          <w:rFonts w:ascii="Franklin Gothic Book" w:eastAsia="HGGothicE" w:hAnsi="Franklin Gothic Book" w:cs="Times New Roman"/>
          <w:color w:val="134163"/>
          <w:sz w:val="24"/>
          <w:szCs w:val="20"/>
          <w:lang w:eastAsia="ja-JP"/>
        </w:rPr>
        <w:t xml:space="preserve"> </w:t>
      </w:r>
    </w:p>
    <w:sectPr w:rsidR="00AA2EF9">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8186" w14:textId="77777777" w:rsidR="00315AC8" w:rsidRDefault="00315AC8" w:rsidP="00315AC8">
      <w:pPr>
        <w:spacing w:after="0" w:line="240" w:lineRule="auto"/>
      </w:pPr>
      <w:r>
        <w:separator/>
      </w:r>
    </w:p>
  </w:endnote>
  <w:endnote w:type="continuationSeparator" w:id="0">
    <w:p w14:paraId="599EC15F" w14:textId="77777777" w:rsidR="00315AC8" w:rsidRDefault="00315AC8" w:rsidP="0031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BA"/>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GothicE">
    <w:charset w:val="80"/>
    <w:family w:val="modern"/>
    <w:pitch w:val="fixed"/>
    <w:sig w:usb0="E00002FF" w:usb1="2AC7EDFE" w:usb2="00000012" w:usb3="00000000" w:csb0="0002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GSoeiKakugothicUB">
    <w:charset w:val="80"/>
    <w:family w:val="modern"/>
    <w:pitch w:val="fixed"/>
    <w:sig w:usb0="E00002FF" w:usb1="2AC7EDFE" w:usb2="00000012"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618726"/>
      <w:docPartObj>
        <w:docPartGallery w:val="Page Numbers (Bottom of Page)"/>
        <w:docPartUnique/>
      </w:docPartObj>
    </w:sdtPr>
    <w:sdtEndPr>
      <w:rPr>
        <w:noProof/>
      </w:rPr>
    </w:sdtEndPr>
    <w:sdtContent>
      <w:p w14:paraId="64D05DDF" w14:textId="39B7C5F6" w:rsidR="003C1BCF" w:rsidRDefault="003C1B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7E9F23" w14:textId="77777777" w:rsidR="003C1BCF" w:rsidRDefault="003C1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447C9" w14:textId="77777777" w:rsidR="00315AC8" w:rsidRDefault="00315AC8" w:rsidP="00315AC8">
      <w:pPr>
        <w:spacing w:after="0" w:line="240" w:lineRule="auto"/>
      </w:pPr>
      <w:r>
        <w:separator/>
      </w:r>
    </w:p>
  </w:footnote>
  <w:footnote w:type="continuationSeparator" w:id="0">
    <w:p w14:paraId="01D9465C" w14:textId="77777777" w:rsidR="00315AC8" w:rsidRDefault="00315AC8" w:rsidP="00315AC8">
      <w:pPr>
        <w:spacing w:after="0" w:line="240" w:lineRule="auto"/>
      </w:pPr>
      <w:r>
        <w:continuationSeparator/>
      </w:r>
    </w:p>
  </w:footnote>
  <w:footnote w:id="1">
    <w:p w14:paraId="2F5BE8A7" w14:textId="41CE7FE6" w:rsidR="001C1AAC" w:rsidRPr="001C1AAC" w:rsidRDefault="001C1AAC">
      <w:pPr>
        <w:pStyle w:val="FootnoteText"/>
        <w:rPr>
          <w:lang w:val="en-GB"/>
        </w:rPr>
      </w:pPr>
      <w:r>
        <w:rPr>
          <w:rStyle w:val="FootnoteReference"/>
        </w:rPr>
        <w:footnoteRef/>
      </w:r>
      <w:r>
        <w:t xml:space="preserve"> </w:t>
      </w:r>
      <w:r w:rsidRPr="001C1AAC">
        <w:t xml:space="preserve">Rīgas Stradiņa Universitātes, Vidzemes augstskolas un Rēzeknes tehnoloģiju akadēmijas Ziņojums par dažādu sociāli demogrāfisko grupu darba un privātās dzīves saskaņošanas iespējām Covid-19 izplatības mazināšanai noteikto ierobežojumu periodā (2020); </w:t>
      </w:r>
      <w:hyperlink r:id="rId1" w:history="1">
        <w:r w:rsidRPr="00FF5778">
          <w:rPr>
            <w:rStyle w:val="Hyperlink"/>
          </w:rPr>
          <w:t>http://stradavesels.lv/Uploads/2021/01/05/29_zinojums_final_c.pdf</w:t>
        </w:r>
      </w:hyperlink>
      <w:r>
        <w:t xml:space="preserve"> </w:t>
      </w:r>
    </w:p>
  </w:footnote>
  <w:footnote w:id="2">
    <w:p w14:paraId="1F5DA0C8" w14:textId="01A53FD6" w:rsidR="00315AC8" w:rsidRPr="00315AC8" w:rsidRDefault="00315AC8">
      <w:pPr>
        <w:pStyle w:val="FootnoteText"/>
        <w:rPr>
          <w:lang w:val="en-GB"/>
        </w:rPr>
      </w:pPr>
      <w:r>
        <w:rPr>
          <w:rStyle w:val="FootnoteReference"/>
        </w:rPr>
        <w:footnoteRef/>
      </w:r>
      <w:r>
        <w:t xml:space="preserve"> </w:t>
      </w:r>
      <w:hyperlink r:id="rId2" w:history="1">
        <w:r w:rsidR="001C1AAC" w:rsidRPr="00FF5778">
          <w:rPr>
            <w:rStyle w:val="Hyperlink"/>
          </w:rPr>
          <w:t>https://www.un.org/sustainabledevelopment/sustainable-development-goals/</w:t>
        </w:r>
      </w:hyperlink>
      <w:r w:rsidR="001C1AA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EFA"/>
    <w:multiLevelType w:val="hybridMultilevel"/>
    <w:tmpl w:val="E28A43F0"/>
    <w:lvl w:ilvl="0" w:tplc="CA6C32C4">
      <w:start w:val="2020"/>
      <w:numFmt w:val="bullet"/>
      <w:lvlText w:val="-"/>
      <w:lvlJc w:val="left"/>
      <w:pPr>
        <w:ind w:left="720" w:hanging="360"/>
      </w:pPr>
      <w:rPr>
        <w:rFonts w:ascii="Franklin Gothic Book" w:eastAsiaTheme="minorEastAsia" w:hAnsi="Franklin Gothic Book"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FC5926"/>
    <w:multiLevelType w:val="hybridMultilevel"/>
    <w:tmpl w:val="F25C48AC"/>
    <w:lvl w:ilvl="0" w:tplc="8AFC532A">
      <w:start w:val="1"/>
      <w:numFmt w:val="decimal"/>
      <w:lvlText w:val="%1."/>
      <w:lvlJc w:val="left"/>
      <w:pPr>
        <w:ind w:left="720" w:hanging="360"/>
      </w:pPr>
      <w:rPr>
        <w:rFonts w:hint="default"/>
        <w:b/>
        <w:color w:val="13416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B0421B"/>
    <w:multiLevelType w:val="hybridMultilevel"/>
    <w:tmpl w:val="A274C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2652FE"/>
    <w:multiLevelType w:val="hybridMultilevel"/>
    <w:tmpl w:val="EC1221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D84C6E"/>
    <w:multiLevelType w:val="hybridMultilevel"/>
    <w:tmpl w:val="CB2034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D75E18"/>
    <w:multiLevelType w:val="hybridMultilevel"/>
    <w:tmpl w:val="43E654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285D1F"/>
    <w:multiLevelType w:val="hybridMultilevel"/>
    <w:tmpl w:val="F5F458DC"/>
    <w:lvl w:ilvl="0" w:tplc="CBAE791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866435"/>
    <w:multiLevelType w:val="hybridMultilevel"/>
    <w:tmpl w:val="F4A64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0536F5"/>
    <w:multiLevelType w:val="hybridMultilevel"/>
    <w:tmpl w:val="5992C53C"/>
    <w:lvl w:ilvl="0" w:tplc="57C20698">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3CD21EE"/>
    <w:multiLevelType w:val="hybridMultilevel"/>
    <w:tmpl w:val="058AFA9C"/>
    <w:lvl w:ilvl="0" w:tplc="4BEAA44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6C1621D"/>
    <w:multiLevelType w:val="hybridMultilevel"/>
    <w:tmpl w:val="2EFE316E"/>
    <w:lvl w:ilvl="0" w:tplc="04260005">
      <w:start w:val="1"/>
      <w:numFmt w:val="bullet"/>
      <w:lvlText w:val=""/>
      <w:lvlJc w:val="left"/>
      <w:pPr>
        <w:ind w:left="720" w:hanging="360"/>
      </w:pPr>
      <w:rPr>
        <w:rFonts w:ascii="Wingdings" w:hAnsi="Wingdings" w:hint="default"/>
      </w:rPr>
    </w:lvl>
    <w:lvl w:ilvl="1" w:tplc="8158B0DA">
      <w:numFmt w:val="bullet"/>
      <w:lvlText w:val="-"/>
      <w:lvlJc w:val="left"/>
      <w:pPr>
        <w:ind w:left="1440" w:hanging="360"/>
      </w:pPr>
      <w:rPr>
        <w:rFonts w:ascii="Calibri" w:eastAsiaTheme="minorHAnsi" w:hAnsi="Calibri" w:cs="Calibri" w:hint="default"/>
      </w:rPr>
    </w:lvl>
    <w:lvl w:ilvl="2" w:tplc="CF32370C">
      <w:numFmt w:val="bullet"/>
      <w:lvlText w:val=""/>
      <w:lvlJc w:val="left"/>
      <w:pPr>
        <w:ind w:left="2160" w:hanging="360"/>
      </w:pPr>
      <w:rPr>
        <w:rFonts w:ascii="Calibri" w:eastAsiaTheme="minorHAnsi" w:hAnsi="Calibri" w:cs="Calibri" w:hint="default"/>
        <w:color w:val="auto"/>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50D7D2E"/>
    <w:multiLevelType w:val="hybridMultilevel"/>
    <w:tmpl w:val="48901E8A"/>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6F5E3932"/>
    <w:multiLevelType w:val="hybridMultilevel"/>
    <w:tmpl w:val="8A6E2C2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1B32F6E"/>
    <w:multiLevelType w:val="hybridMultilevel"/>
    <w:tmpl w:val="3DDEF8C4"/>
    <w:lvl w:ilvl="0" w:tplc="04F0E0DE">
      <w:start w:val="2020"/>
      <w:numFmt w:val="bullet"/>
      <w:lvlText w:val="-"/>
      <w:lvlJc w:val="left"/>
      <w:pPr>
        <w:ind w:left="720" w:hanging="360"/>
      </w:pPr>
      <w:rPr>
        <w:rFonts w:ascii="Franklin Gothic Book" w:eastAsiaTheme="minorEastAsia" w:hAnsi="Franklin Gothic Book"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0"/>
  </w:num>
  <w:num w:numId="5">
    <w:abstractNumId w:val="1"/>
  </w:num>
  <w:num w:numId="6">
    <w:abstractNumId w:val="9"/>
  </w:num>
  <w:num w:numId="7">
    <w:abstractNumId w:val="3"/>
  </w:num>
  <w:num w:numId="8">
    <w:abstractNumId w:val="6"/>
  </w:num>
  <w:num w:numId="9">
    <w:abstractNumId w:val="10"/>
  </w:num>
  <w:num w:numId="10">
    <w:abstractNumId w:val="4"/>
  </w:num>
  <w:num w:numId="11">
    <w:abstractNumId w:val="11"/>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F9"/>
    <w:rsid w:val="000869E6"/>
    <w:rsid w:val="00126015"/>
    <w:rsid w:val="00126575"/>
    <w:rsid w:val="001647A6"/>
    <w:rsid w:val="00193EB1"/>
    <w:rsid w:val="0019529C"/>
    <w:rsid w:val="001A5B7E"/>
    <w:rsid w:val="001C1AAC"/>
    <w:rsid w:val="00225848"/>
    <w:rsid w:val="00257219"/>
    <w:rsid w:val="002969DD"/>
    <w:rsid w:val="00315AC8"/>
    <w:rsid w:val="00383442"/>
    <w:rsid w:val="003C1BCF"/>
    <w:rsid w:val="003D3AE1"/>
    <w:rsid w:val="004071A9"/>
    <w:rsid w:val="00415CCC"/>
    <w:rsid w:val="0047131A"/>
    <w:rsid w:val="004A5D62"/>
    <w:rsid w:val="004B3D90"/>
    <w:rsid w:val="00573B9E"/>
    <w:rsid w:val="005F5A8B"/>
    <w:rsid w:val="00610F40"/>
    <w:rsid w:val="0067790D"/>
    <w:rsid w:val="00683348"/>
    <w:rsid w:val="00692A7C"/>
    <w:rsid w:val="006A0F66"/>
    <w:rsid w:val="006B4A31"/>
    <w:rsid w:val="007271EE"/>
    <w:rsid w:val="007B4326"/>
    <w:rsid w:val="007E36D5"/>
    <w:rsid w:val="00822FD7"/>
    <w:rsid w:val="008858CF"/>
    <w:rsid w:val="008A41D9"/>
    <w:rsid w:val="008E38C8"/>
    <w:rsid w:val="00997A3C"/>
    <w:rsid w:val="009C3D25"/>
    <w:rsid w:val="00A502EE"/>
    <w:rsid w:val="00A5748E"/>
    <w:rsid w:val="00A62D1B"/>
    <w:rsid w:val="00A76D67"/>
    <w:rsid w:val="00AA2EF9"/>
    <w:rsid w:val="00AC423C"/>
    <w:rsid w:val="00AD701A"/>
    <w:rsid w:val="00AF1941"/>
    <w:rsid w:val="00B233EA"/>
    <w:rsid w:val="00B45403"/>
    <w:rsid w:val="00B53DA2"/>
    <w:rsid w:val="00B73A4B"/>
    <w:rsid w:val="00BD0C9B"/>
    <w:rsid w:val="00BF4FE7"/>
    <w:rsid w:val="00C13973"/>
    <w:rsid w:val="00C61078"/>
    <w:rsid w:val="00C7231F"/>
    <w:rsid w:val="00C87894"/>
    <w:rsid w:val="00D27326"/>
    <w:rsid w:val="00D67E23"/>
    <w:rsid w:val="00D944C0"/>
    <w:rsid w:val="00DA279E"/>
    <w:rsid w:val="00DB53AD"/>
    <w:rsid w:val="00DC06B6"/>
    <w:rsid w:val="00DF758C"/>
    <w:rsid w:val="00E42E99"/>
    <w:rsid w:val="00E522A1"/>
    <w:rsid w:val="00E60079"/>
    <w:rsid w:val="00EC4A0F"/>
    <w:rsid w:val="00ED3F7C"/>
    <w:rsid w:val="00FD4913"/>
    <w:rsid w:val="00FE34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99B5"/>
  <w15:chartTrackingRefBased/>
  <w15:docId w15:val="{CF434523-FC0F-4E24-9A75-840E722E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26"/>
    <w:pPr>
      <w:ind w:left="720"/>
      <w:contextualSpacing/>
    </w:pPr>
  </w:style>
  <w:style w:type="table" w:styleId="TableGrid">
    <w:name w:val="Table Grid"/>
    <w:basedOn w:val="TableNormal"/>
    <w:uiPriority w:val="39"/>
    <w:rsid w:val="007B4326"/>
    <w:pPr>
      <w:spacing w:after="0" w:line="264" w:lineRule="auto"/>
    </w:pPr>
    <w:rPr>
      <w:rFonts w:eastAsia="HGGothicE"/>
      <w:color w:val="0D0D0D"/>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01A"/>
    <w:rPr>
      <w:sz w:val="16"/>
      <w:szCs w:val="16"/>
    </w:rPr>
  </w:style>
  <w:style w:type="paragraph" w:styleId="CommentText">
    <w:name w:val="annotation text"/>
    <w:basedOn w:val="Normal"/>
    <w:link w:val="CommentTextChar"/>
    <w:uiPriority w:val="99"/>
    <w:semiHidden/>
    <w:unhideWhenUsed/>
    <w:rsid w:val="00AD701A"/>
    <w:pPr>
      <w:spacing w:line="240" w:lineRule="auto"/>
    </w:pPr>
    <w:rPr>
      <w:sz w:val="20"/>
      <w:szCs w:val="20"/>
    </w:rPr>
  </w:style>
  <w:style w:type="character" w:customStyle="1" w:styleId="CommentTextChar">
    <w:name w:val="Comment Text Char"/>
    <w:basedOn w:val="DefaultParagraphFont"/>
    <w:link w:val="CommentText"/>
    <w:uiPriority w:val="99"/>
    <w:semiHidden/>
    <w:rsid w:val="00AD701A"/>
    <w:rPr>
      <w:sz w:val="20"/>
      <w:szCs w:val="20"/>
    </w:rPr>
  </w:style>
  <w:style w:type="paragraph" w:styleId="CommentSubject">
    <w:name w:val="annotation subject"/>
    <w:basedOn w:val="CommentText"/>
    <w:next w:val="CommentText"/>
    <w:link w:val="CommentSubjectChar"/>
    <w:uiPriority w:val="99"/>
    <w:semiHidden/>
    <w:unhideWhenUsed/>
    <w:rsid w:val="00AD701A"/>
    <w:rPr>
      <w:b/>
      <w:bCs/>
    </w:rPr>
  </w:style>
  <w:style w:type="character" w:customStyle="1" w:styleId="CommentSubjectChar">
    <w:name w:val="Comment Subject Char"/>
    <w:basedOn w:val="CommentTextChar"/>
    <w:link w:val="CommentSubject"/>
    <w:uiPriority w:val="99"/>
    <w:semiHidden/>
    <w:rsid w:val="00AD701A"/>
    <w:rPr>
      <w:b/>
      <w:bCs/>
      <w:sz w:val="20"/>
      <w:szCs w:val="20"/>
    </w:rPr>
  </w:style>
  <w:style w:type="paragraph" w:styleId="BalloonText">
    <w:name w:val="Balloon Text"/>
    <w:basedOn w:val="Normal"/>
    <w:link w:val="BalloonTextChar"/>
    <w:uiPriority w:val="99"/>
    <w:semiHidden/>
    <w:unhideWhenUsed/>
    <w:rsid w:val="00AD7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1A"/>
    <w:rPr>
      <w:rFonts w:ascii="Segoe UI" w:hAnsi="Segoe UI" w:cs="Segoe UI"/>
      <w:sz w:val="18"/>
      <w:szCs w:val="18"/>
    </w:rPr>
  </w:style>
  <w:style w:type="paragraph" w:styleId="FootnoteText">
    <w:name w:val="footnote text"/>
    <w:basedOn w:val="Normal"/>
    <w:link w:val="FootnoteTextChar"/>
    <w:uiPriority w:val="99"/>
    <w:semiHidden/>
    <w:unhideWhenUsed/>
    <w:rsid w:val="00315A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AC8"/>
    <w:rPr>
      <w:sz w:val="20"/>
      <w:szCs w:val="20"/>
    </w:rPr>
  </w:style>
  <w:style w:type="character" w:styleId="FootnoteReference">
    <w:name w:val="footnote reference"/>
    <w:basedOn w:val="DefaultParagraphFont"/>
    <w:uiPriority w:val="99"/>
    <w:semiHidden/>
    <w:unhideWhenUsed/>
    <w:rsid w:val="00315AC8"/>
    <w:rPr>
      <w:vertAlign w:val="superscript"/>
    </w:rPr>
  </w:style>
  <w:style w:type="character" w:styleId="Hyperlink">
    <w:name w:val="Hyperlink"/>
    <w:basedOn w:val="DefaultParagraphFont"/>
    <w:uiPriority w:val="99"/>
    <w:unhideWhenUsed/>
    <w:rsid w:val="00383442"/>
    <w:rPr>
      <w:color w:val="0563C1" w:themeColor="hyperlink"/>
      <w:u w:val="single"/>
    </w:rPr>
  </w:style>
  <w:style w:type="character" w:styleId="UnresolvedMention">
    <w:name w:val="Unresolved Mention"/>
    <w:basedOn w:val="DefaultParagraphFont"/>
    <w:uiPriority w:val="99"/>
    <w:semiHidden/>
    <w:unhideWhenUsed/>
    <w:rsid w:val="00383442"/>
    <w:rPr>
      <w:color w:val="605E5C"/>
      <w:shd w:val="clear" w:color="auto" w:fill="E1DFDD"/>
    </w:rPr>
  </w:style>
  <w:style w:type="character" w:styleId="FollowedHyperlink">
    <w:name w:val="FollowedHyperlink"/>
    <w:basedOn w:val="DefaultParagraphFont"/>
    <w:uiPriority w:val="99"/>
    <w:semiHidden/>
    <w:unhideWhenUsed/>
    <w:rsid w:val="00383442"/>
    <w:rPr>
      <w:color w:val="954F72" w:themeColor="followedHyperlink"/>
      <w:u w:val="single"/>
    </w:rPr>
  </w:style>
  <w:style w:type="paragraph" w:styleId="Header">
    <w:name w:val="header"/>
    <w:basedOn w:val="Normal"/>
    <w:link w:val="HeaderChar"/>
    <w:uiPriority w:val="99"/>
    <w:unhideWhenUsed/>
    <w:rsid w:val="003C1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BCF"/>
  </w:style>
  <w:style w:type="paragraph" w:styleId="Footer">
    <w:name w:val="footer"/>
    <w:basedOn w:val="Normal"/>
    <w:link w:val="FooterChar"/>
    <w:uiPriority w:val="99"/>
    <w:unhideWhenUsed/>
    <w:rsid w:val="003C1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d.org/2020/03/12/recommendations-for-immediate-covid-19-a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idgingthegap-project.eu/the-impact-of-covid-19-on-people-with-disabil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m.gov.lv/lv/dzimumu-lidztiesiba-1" TargetMode="External"/><Relationship Id="rId4" Type="http://schemas.openxmlformats.org/officeDocument/2006/relationships/settings" Target="settings.xml"/><Relationship Id="rId9" Type="http://schemas.openxmlformats.org/officeDocument/2006/relationships/hyperlink" Target="https://www.lm.gov.lv/lv/horizontalais-princips-vienlidzigas-iespejas" TargetMode="External"/><Relationship Id="rId14" Type="http://schemas.openxmlformats.org/officeDocument/2006/relationships/hyperlink" Target="mailto:Inese.Vilcane@l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rg/sustainabledevelopment/sustainable-development-goals/" TargetMode="External"/><Relationship Id="rId1" Type="http://schemas.openxmlformats.org/officeDocument/2006/relationships/hyperlink" Target="http://stradavesels.lv/Uploads/2021/01/05/29_zinojums_final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91AA-46C7-4FB6-B42D-22FF72AA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8872</Words>
  <Characters>5058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Vilcane</dc:creator>
  <cp:keywords/>
  <dc:description/>
  <cp:lastModifiedBy>Inese Vilcāne</cp:lastModifiedBy>
  <cp:revision>2</cp:revision>
  <dcterms:created xsi:type="dcterms:W3CDTF">2021-06-15T11:48:00Z</dcterms:created>
  <dcterms:modified xsi:type="dcterms:W3CDTF">2021-06-15T11:48:00Z</dcterms:modified>
</cp:coreProperties>
</file>