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46C2A" w14:textId="77777777" w:rsidR="00157881" w:rsidRDefault="00157881" w:rsidP="00157881">
      <w:pPr>
        <w:ind w:right="-109"/>
        <w:jc w:val="center"/>
      </w:pPr>
    </w:p>
    <w:p w14:paraId="41DA35A6" w14:textId="77777777" w:rsidR="00157881" w:rsidRDefault="00157881" w:rsidP="00157881">
      <w:pPr>
        <w:ind w:right="-109"/>
        <w:jc w:val="center"/>
      </w:pPr>
    </w:p>
    <w:p w14:paraId="67ACC512" w14:textId="77777777" w:rsidR="00157881" w:rsidRDefault="00157881" w:rsidP="00157881">
      <w:pPr>
        <w:ind w:right="-109"/>
        <w:jc w:val="center"/>
      </w:pPr>
    </w:p>
    <w:p w14:paraId="31C87410" w14:textId="77777777" w:rsidR="00157881" w:rsidRDefault="00157881" w:rsidP="00157881">
      <w:pPr>
        <w:ind w:right="-109"/>
        <w:jc w:val="center"/>
      </w:pPr>
    </w:p>
    <w:p w14:paraId="4EB58185" w14:textId="77777777" w:rsidR="00157881" w:rsidRDefault="00157881" w:rsidP="00157881">
      <w:pPr>
        <w:ind w:right="-109"/>
        <w:jc w:val="center"/>
      </w:pPr>
    </w:p>
    <w:p w14:paraId="5D87D6EE" w14:textId="7ACC6D61" w:rsidR="00157881" w:rsidRDefault="00157881" w:rsidP="00157881">
      <w:pPr>
        <w:ind w:right="-109"/>
        <w:jc w:val="center"/>
      </w:pPr>
    </w:p>
    <w:p w14:paraId="0F8D2657" w14:textId="2FC0E43E" w:rsidR="00157881" w:rsidRDefault="00157881" w:rsidP="00157881">
      <w:pPr>
        <w:ind w:right="-109"/>
        <w:jc w:val="center"/>
      </w:pPr>
    </w:p>
    <w:p w14:paraId="1600F358" w14:textId="3D84421F" w:rsidR="00157881" w:rsidRDefault="00157881" w:rsidP="00157881">
      <w:pPr>
        <w:ind w:right="-109"/>
        <w:jc w:val="center"/>
      </w:pPr>
    </w:p>
    <w:p w14:paraId="15E98039" w14:textId="77777777" w:rsidR="00157881" w:rsidRDefault="00157881" w:rsidP="00157881">
      <w:pPr>
        <w:ind w:right="-109"/>
        <w:jc w:val="center"/>
      </w:pPr>
    </w:p>
    <w:p w14:paraId="12291352" w14:textId="77777777" w:rsidR="00157881" w:rsidRDefault="00157881" w:rsidP="00157881">
      <w:pPr>
        <w:ind w:right="-109"/>
        <w:jc w:val="center"/>
      </w:pPr>
    </w:p>
    <w:p w14:paraId="6B5052C0" w14:textId="77777777" w:rsidR="00157881" w:rsidRDefault="00157881" w:rsidP="00157881">
      <w:pPr>
        <w:ind w:right="-109"/>
        <w:jc w:val="center"/>
      </w:pPr>
    </w:p>
    <w:p w14:paraId="691996AE" w14:textId="77777777" w:rsidR="00157881" w:rsidRDefault="00157881" w:rsidP="00157881">
      <w:pPr>
        <w:ind w:right="-109"/>
        <w:jc w:val="center"/>
      </w:pPr>
    </w:p>
    <w:p w14:paraId="139CF33B" w14:textId="77777777" w:rsidR="00157881" w:rsidRDefault="00157881" w:rsidP="00157881">
      <w:pPr>
        <w:ind w:right="-109"/>
        <w:jc w:val="center"/>
      </w:pPr>
    </w:p>
    <w:p w14:paraId="3A59A433" w14:textId="77777777" w:rsidR="00157881" w:rsidRDefault="00157881" w:rsidP="00157881">
      <w:pPr>
        <w:ind w:right="-109"/>
        <w:jc w:val="center"/>
      </w:pPr>
    </w:p>
    <w:p w14:paraId="579F4758" w14:textId="77777777" w:rsidR="00157881" w:rsidRDefault="00157881" w:rsidP="00157881">
      <w:pPr>
        <w:ind w:right="-109"/>
        <w:jc w:val="center"/>
      </w:pPr>
    </w:p>
    <w:p w14:paraId="2F1767DD" w14:textId="77777777" w:rsidR="00157881" w:rsidRDefault="00157881" w:rsidP="00157881">
      <w:pPr>
        <w:ind w:right="-109"/>
        <w:jc w:val="center"/>
      </w:pPr>
    </w:p>
    <w:p w14:paraId="62622973" w14:textId="77777777" w:rsidR="00157881" w:rsidRDefault="00157881" w:rsidP="00157881">
      <w:pPr>
        <w:ind w:right="-109"/>
        <w:jc w:val="center"/>
      </w:pPr>
    </w:p>
    <w:p w14:paraId="6DB6D667" w14:textId="12A96746" w:rsidR="0085622A" w:rsidRPr="00593A9C" w:rsidRDefault="00962C57" w:rsidP="00593A9C">
      <w:pPr>
        <w:spacing w:line="360" w:lineRule="auto"/>
        <w:ind w:right="-109"/>
        <w:jc w:val="center"/>
        <w:rPr>
          <w:b/>
          <w:sz w:val="32"/>
          <w:szCs w:val="32"/>
        </w:rPr>
      </w:pPr>
      <w:r>
        <w:rPr>
          <w:b/>
          <w:sz w:val="32"/>
          <w:szCs w:val="32"/>
        </w:rPr>
        <w:t>Z</w:t>
      </w:r>
      <w:r w:rsidR="003A674F" w:rsidRPr="00593A9C">
        <w:rPr>
          <w:b/>
          <w:sz w:val="32"/>
          <w:szCs w:val="32"/>
        </w:rPr>
        <w:t>iņojums</w:t>
      </w:r>
    </w:p>
    <w:p w14:paraId="1A4C0F47" w14:textId="733CA23B" w:rsidR="0085622A" w:rsidRPr="00593A9C" w:rsidRDefault="00593A9C">
      <w:pPr>
        <w:ind w:right="-109"/>
        <w:jc w:val="center"/>
        <w:rPr>
          <w:b/>
          <w:sz w:val="32"/>
          <w:szCs w:val="32"/>
        </w:rPr>
      </w:pPr>
      <w:r w:rsidRPr="00593A9C">
        <w:rPr>
          <w:b/>
          <w:sz w:val="32"/>
          <w:szCs w:val="32"/>
        </w:rPr>
        <w:t>“</w:t>
      </w:r>
      <w:r w:rsidR="003A674F" w:rsidRPr="00593A9C">
        <w:rPr>
          <w:b/>
          <w:sz w:val="32"/>
          <w:szCs w:val="32"/>
        </w:rPr>
        <w:t>Par minimālās darba algas situāciju 202</w:t>
      </w:r>
      <w:r w:rsidR="00F13585" w:rsidRPr="00593A9C">
        <w:rPr>
          <w:b/>
          <w:sz w:val="32"/>
          <w:szCs w:val="32"/>
        </w:rPr>
        <w:t>3</w:t>
      </w:r>
      <w:r w:rsidR="003A674F" w:rsidRPr="00593A9C">
        <w:rPr>
          <w:b/>
          <w:sz w:val="32"/>
          <w:szCs w:val="32"/>
        </w:rPr>
        <w:t>.gadā</w:t>
      </w:r>
      <w:r>
        <w:rPr>
          <w:b/>
          <w:sz w:val="32"/>
          <w:szCs w:val="32"/>
        </w:rPr>
        <w:t>”</w:t>
      </w:r>
    </w:p>
    <w:p w14:paraId="33E34968" w14:textId="77777777" w:rsidR="00157881" w:rsidRDefault="00157881" w:rsidP="00157881">
      <w:pPr>
        <w:pStyle w:val="Footer"/>
        <w:rPr>
          <w:b/>
        </w:rPr>
      </w:pPr>
    </w:p>
    <w:p w14:paraId="2ADCB102" w14:textId="77777777" w:rsidR="00157881" w:rsidRDefault="00157881" w:rsidP="00157881">
      <w:pPr>
        <w:pStyle w:val="Footer"/>
      </w:pPr>
    </w:p>
    <w:p w14:paraId="06B25CAA" w14:textId="77777777" w:rsidR="00157881" w:rsidRDefault="00157881" w:rsidP="00157881">
      <w:pPr>
        <w:pStyle w:val="Footer"/>
      </w:pPr>
    </w:p>
    <w:p w14:paraId="3505F693" w14:textId="77777777" w:rsidR="00157881" w:rsidRDefault="00157881" w:rsidP="00157881">
      <w:pPr>
        <w:pStyle w:val="Footer"/>
      </w:pPr>
    </w:p>
    <w:p w14:paraId="369C3D63" w14:textId="77777777" w:rsidR="00157881" w:rsidRDefault="00157881" w:rsidP="00157881">
      <w:pPr>
        <w:pStyle w:val="Footer"/>
      </w:pPr>
    </w:p>
    <w:p w14:paraId="49F24AA6" w14:textId="77777777" w:rsidR="00157881" w:rsidRDefault="00157881" w:rsidP="00157881">
      <w:pPr>
        <w:pStyle w:val="Footer"/>
      </w:pPr>
    </w:p>
    <w:p w14:paraId="3940B218" w14:textId="77777777" w:rsidR="00157881" w:rsidRDefault="00157881" w:rsidP="00157881">
      <w:pPr>
        <w:pStyle w:val="Footer"/>
      </w:pPr>
    </w:p>
    <w:p w14:paraId="6579F46A" w14:textId="77777777" w:rsidR="00157881" w:rsidRDefault="00157881" w:rsidP="00157881">
      <w:pPr>
        <w:pStyle w:val="Footer"/>
      </w:pPr>
    </w:p>
    <w:p w14:paraId="7C064B9B" w14:textId="77777777" w:rsidR="00157881" w:rsidRDefault="00157881" w:rsidP="00157881">
      <w:pPr>
        <w:pStyle w:val="Footer"/>
      </w:pPr>
    </w:p>
    <w:p w14:paraId="5121A056" w14:textId="77777777" w:rsidR="00157881" w:rsidRDefault="00157881" w:rsidP="00157881">
      <w:pPr>
        <w:pStyle w:val="Footer"/>
      </w:pPr>
    </w:p>
    <w:p w14:paraId="2D48D16E" w14:textId="77777777" w:rsidR="00157881" w:rsidRDefault="00157881" w:rsidP="00157881">
      <w:pPr>
        <w:pStyle w:val="Footer"/>
      </w:pPr>
    </w:p>
    <w:p w14:paraId="0CD0FC55" w14:textId="77777777" w:rsidR="00157881" w:rsidRDefault="00157881" w:rsidP="00157881">
      <w:pPr>
        <w:pStyle w:val="Footer"/>
      </w:pPr>
    </w:p>
    <w:p w14:paraId="188A1BB1" w14:textId="77777777" w:rsidR="00157881" w:rsidRDefault="00157881" w:rsidP="00157881">
      <w:pPr>
        <w:pStyle w:val="Footer"/>
      </w:pPr>
    </w:p>
    <w:p w14:paraId="29167949" w14:textId="77777777" w:rsidR="00157881" w:rsidRDefault="00157881" w:rsidP="00157881">
      <w:pPr>
        <w:pStyle w:val="Footer"/>
      </w:pPr>
    </w:p>
    <w:p w14:paraId="1C029A9B" w14:textId="77777777" w:rsidR="00157881" w:rsidRDefault="00157881" w:rsidP="00157881">
      <w:pPr>
        <w:pStyle w:val="Footer"/>
      </w:pPr>
    </w:p>
    <w:p w14:paraId="1CA44DE0" w14:textId="77777777" w:rsidR="00157881" w:rsidRDefault="00157881" w:rsidP="00157881">
      <w:pPr>
        <w:pStyle w:val="Footer"/>
      </w:pPr>
    </w:p>
    <w:p w14:paraId="16D0BBA7" w14:textId="77777777" w:rsidR="00157881" w:rsidRDefault="00157881" w:rsidP="00157881">
      <w:pPr>
        <w:pStyle w:val="Footer"/>
      </w:pPr>
    </w:p>
    <w:p w14:paraId="1D3780E1" w14:textId="77777777" w:rsidR="00157881" w:rsidRDefault="00157881" w:rsidP="00157881">
      <w:pPr>
        <w:pStyle w:val="Footer"/>
      </w:pPr>
    </w:p>
    <w:p w14:paraId="4B17F56F" w14:textId="77777777" w:rsidR="00157881" w:rsidRDefault="00157881" w:rsidP="00157881">
      <w:pPr>
        <w:pStyle w:val="Footer"/>
      </w:pPr>
    </w:p>
    <w:p w14:paraId="4620C316" w14:textId="77777777" w:rsidR="00157881" w:rsidRDefault="00157881" w:rsidP="00157881">
      <w:pPr>
        <w:pStyle w:val="Footer"/>
      </w:pPr>
    </w:p>
    <w:p w14:paraId="101061E2" w14:textId="77777777" w:rsidR="00157881" w:rsidRDefault="00157881" w:rsidP="00157881">
      <w:pPr>
        <w:pStyle w:val="Footer"/>
      </w:pPr>
    </w:p>
    <w:p w14:paraId="7B992C91" w14:textId="77777777" w:rsidR="00157881" w:rsidRDefault="00157881" w:rsidP="00157881">
      <w:pPr>
        <w:pStyle w:val="Footer"/>
      </w:pPr>
    </w:p>
    <w:p w14:paraId="1366E4A5" w14:textId="77777777" w:rsidR="00157881" w:rsidRDefault="00157881" w:rsidP="00157881">
      <w:pPr>
        <w:pStyle w:val="Footer"/>
      </w:pPr>
    </w:p>
    <w:p w14:paraId="52E3E458" w14:textId="77777777" w:rsidR="00157881" w:rsidRDefault="00157881" w:rsidP="00157881">
      <w:pPr>
        <w:pStyle w:val="Footer"/>
      </w:pPr>
    </w:p>
    <w:p w14:paraId="44D0F67D" w14:textId="77777777" w:rsidR="00157881" w:rsidRDefault="00157881" w:rsidP="00157881">
      <w:pPr>
        <w:pStyle w:val="Footer"/>
      </w:pPr>
    </w:p>
    <w:p w14:paraId="7B238986" w14:textId="77777777" w:rsidR="00157881" w:rsidRDefault="00157881" w:rsidP="00157881">
      <w:pPr>
        <w:pStyle w:val="Footer"/>
      </w:pPr>
    </w:p>
    <w:p w14:paraId="02B1F3C8" w14:textId="77777777" w:rsidR="00157881" w:rsidRDefault="00157881" w:rsidP="00157881">
      <w:pPr>
        <w:pStyle w:val="Footer"/>
      </w:pPr>
    </w:p>
    <w:p w14:paraId="1A2AD1AD" w14:textId="77777777" w:rsidR="00157881" w:rsidRDefault="00157881" w:rsidP="00157881">
      <w:pPr>
        <w:pStyle w:val="Footer"/>
      </w:pPr>
    </w:p>
    <w:p w14:paraId="4B84728C" w14:textId="77777777" w:rsidR="00157881" w:rsidRDefault="00157881" w:rsidP="00157881">
      <w:pPr>
        <w:pStyle w:val="Footer"/>
      </w:pPr>
    </w:p>
    <w:p w14:paraId="1DBDA2F1" w14:textId="77777777" w:rsidR="00157881" w:rsidRDefault="00157881" w:rsidP="00157881">
      <w:pPr>
        <w:pStyle w:val="Footer"/>
      </w:pPr>
    </w:p>
    <w:p w14:paraId="5FA3AF0F" w14:textId="7D72BF7E" w:rsidR="00157881" w:rsidRDefault="00157881" w:rsidP="004B54C2">
      <w:pPr>
        <w:pStyle w:val="Footer"/>
        <w:jc w:val="center"/>
      </w:pPr>
      <w:r w:rsidRPr="00157881">
        <w:t>Rīgā, 2023</w:t>
      </w:r>
    </w:p>
    <w:sdt>
      <w:sdtPr>
        <w:rPr>
          <w:rFonts w:ascii="Times New Roman" w:eastAsia="Times New Roman" w:hAnsi="Times New Roman" w:cs="Times New Roman"/>
          <w:color w:val="auto"/>
          <w:sz w:val="24"/>
          <w:szCs w:val="24"/>
          <w:lang w:val="lv-LV" w:eastAsia="lv-LV"/>
        </w:rPr>
        <w:id w:val="-571280139"/>
        <w:docPartObj>
          <w:docPartGallery w:val="Table of Contents"/>
          <w:docPartUnique/>
        </w:docPartObj>
      </w:sdtPr>
      <w:sdtEndPr>
        <w:rPr>
          <w:b/>
          <w:bCs/>
          <w:noProof/>
        </w:rPr>
      </w:sdtEndPr>
      <w:sdtContent>
        <w:p w14:paraId="47A2E1F0" w14:textId="0EB93E24" w:rsidR="004B54C2" w:rsidRPr="004B54C2" w:rsidRDefault="004B54C2">
          <w:pPr>
            <w:pStyle w:val="TOCHeading"/>
            <w:rPr>
              <w:rFonts w:ascii="Times New Roman" w:hAnsi="Times New Roman" w:cs="Times New Roman"/>
              <w:b/>
              <w:color w:val="000000" w:themeColor="text1"/>
              <w:sz w:val="24"/>
              <w:szCs w:val="24"/>
            </w:rPr>
          </w:pPr>
          <w:r w:rsidRPr="0026216B">
            <w:rPr>
              <w:rFonts w:ascii="Times New Roman" w:hAnsi="Times New Roman" w:cs="Times New Roman"/>
              <w:b/>
              <w:color w:val="000000" w:themeColor="text1"/>
              <w:sz w:val="24"/>
              <w:szCs w:val="24"/>
              <w:lang w:val="lv-LV"/>
            </w:rPr>
            <w:t>Saturs</w:t>
          </w:r>
        </w:p>
        <w:p w14:paraId="5D1F32BC" w14:textId="7E2CAE0B" w:rsidR="008E2286" w:rsidRDefault="004B54C2">
          <w:pPr>
            <w:pStyle w:val="TOC1"/>
            <w:tabs>
              <w:tab w:val="right" w:leader="dot" w:pos="90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8720946" w:history="1">
            <w:r w:rsidR="008E2286" w:rsidRPr="00311E40">
              <w:rPr>
                <w:rStyle w:val="Hyperlink"/>
                <w:noProof/>
              </w:rPr>
              <w:t>1. Minimālās darba algas būtība</w:t>
            </w:r>
            <w:r w:rsidR="008E2286">
              <w:rPr>
                <w:noProof/>
                <w:webHidden/>
              </w:rPr>
              <w:tab/>
            </w:r>
            <w:r w:rsidR="008E2286">
              <w:rPr>
                <w:noProof/>
                <w:webHidden/>
              </w:rPr>
              <w:fldChar w:fldCharType="begin"/>
            </w:r>
            <w:r w:rsidR="008E2286">
              <w:rPr>
                <w:noProof/>
                <w:webHidden/>
              </w:rPr>
              <w:instrText xml:space="preserve"> PAGEREF _Toc148720946 \h </w:instrText>
            </w:r>
            <w:r w:rsidR="008E2286">
              <w:rPr>
                <w:noProof/>
                <w:webHidden/>
              </w:rPr>
            </w:r>
            <w:r w:rsidR="008E2286">
              <w:rPr>
                <w:noProof/>
                <w:webHidden/>
              </w:rPr>
              <w:fldChar w:fldCharType="separate"/>
            </w:r>
            <w:r w:rsidR="008E2286">
              <w:rPr>
                <w:noProof/>
                <w:webHidden/>
              </w:rPr>
              <w:t>3</w:t>
            </w:r>
            <w:r w:rsidR="008E2286">
              <w:rPr>
                <w:noProof/>
                <w:webHidden/>
              </w:rPr>
              <w:fldChar w:fldCharType="end"/>
            </w:r>
          </w:hyperlink>
        </w:p>
        <w:p w14:paraId="10EA35AF" w14:textId="61DD7EDC"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47" w:history="1">
            <w:r w:rsidR="008E2286" w:rsidRPr="00311E40">
              <w:rPr>
                <w:rStyle w:val="Hyperlink"/>
                <w:noProof/>
              </w:rPr>
              <w:t>2. Minimālās darba algas regulējums</w:t>
            </w:r>
            <w:r w:rsidR="008E2286">
              <w:rPr>
                <w:noProof/>
                <w:webHidden/>
              </w:rPr>
              <w:tab/>
            </w:r>
            <w:r w:rsidR="008E2286">
              <w:rPr>
                <w:noProof/>
                <w:webHidden/>
              </w:rPr>
              <w:fldChar w:fldCharType="begin"/>
            </w:r>
            <w:r w:rsidR="008E2286">
              <w:rPr>
                <w:noProof/>
                <w:webHidden/>
              </w:rPr>
              <w:instrText xml:space="preserve"> PAGEREF _Toc148720947 \h </w:instrText>
            </w:r>
            <w:r w:rsidR="008E2286">
              <w:rPr>
                <w:noProof/>
                <w:webHidden/>
              </w:rPr>
            </w:r>
            <w:r w:rsidR="008E2286">
              <w:rPr>
                <w:noProof/>
                <w:webHidden/>
              </w:rPr>
              <w:fldChar w:fldCharType="separate"/>
            </w:r>
            <w:r w:rsidR="008E2286">
              <w:rPr>
                <w:noProof/>
                <w:webHidden/>
              </w:rPr>
              <w:t>3</w:t>
            </w:r>
            <w:r w:rsidR="008E2286">
              <w:rPr>
                <w:noProof/>
                <w:webHidden/>
              </w:rPr>
              <w:fldChar w:fldCharType="end"/>
            </w:r>
          </w:hyperlink>
        </w:p>
        <w:p w14:paraId="041A36D2" w14:textId="288D718F"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48" w:history="1">
            <w:r w:rsidR="008E2286" w:rsidRPr="00311E40">
              <w:rPr>
                <w:rStyle w:val="Hyperlink"/>
                <w:noProof/>
              </w:rPr>
              <w:t>2.1. Sociālās aizsardzības un darba tirgus politikas pamatnostādnes 2021.-2027. gadam</w:t>
            </w:r>
            <w:r w:rsidR="008E2286">
              <w:rPr>
                <w:noProof/>
                <w:webHidden/>
              </w:rPr>
              <w:tab/>
            </w:r>
            <w:r w:rsidR="008E2286">
              <w:rPr>
                <w:noProof/>
                <w:webHidden/>
              </w:rPr>
              <w:fldChar w:fldCharType="begin"/>
            </w:r>
            <w:r w:rsidR="008E2286">
              <w:rPr>
                <w:noProof/>
                <w:webHidden/>
              </w:rPr>
              <w:instrText xml:space="preserve"> PAGEREF _Toc148720948 \h </w:instrText>
            </w:r>
            <w:r w:rsidR="008E2286">
              <w:rPr>
                <w:noProof/>
                <w:webHidden/>
              </w:rPr>
            </w:r>
            <w:r w:rsidR="008E2286">
              <w:rPr>
                <w:noProof/>
                <w:webHidden/>
              </w:rPr>
              <w:fldChar w:fldCharType="separate"/>
            </w:r>
            <w:r w:rsidR="008E2286">
              <w:rPr>
                <w:noProof/>
                <w:webHidden/>
              </w:rPr>
              <w:t>3</w:t>
            </w:r>
            <w:r w:rsidR="008E2286">
              <w:rPr>
                <w:noProof/>
                <w:webHidden/>
              </w:rPr>
              <w:fldChar w:fldCharType="end"/>
            </w:r>
          </w:hyperlink>
        </w:p>
        <w:p w14:paraId="7CB5CB43" w14:textId="37510973"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49" w:history="1">
            <w:r w:rsidR="008E2286" w:rsidRPr="00311E40">
              <w:rPr>
                <w:rStyle w:val="Hyperlink"/>
                <w:noProof/>
              </w:rPr>
              <w:t>2.2. Darba likums un MK regulējums</w:t>
            </w:r>
            <w:r w:rsidR="008E2286">
              <w:rPr>
                <w:noProof/>
                <w:webHidden/>
              </w:rPr>
              <w:tab/>
            </w:r>
            <w:r w:rsidR="008E2286">
              <w:rPr>
                <w:noProof/>
                <w:webHidden/>
              </w:rPr>
              <w:fldChar w:fldCharType="begin"/>
            </w:r>
            <w:r w:rsidR="008E2286">
              <w:rPr>
                <w:noProof/>
                <w:webHidden/>
              </w:rPr>
              <w:instrText xml:space="preserve"> PAGEREF _Toc148720949 \h </w:instrText>
            </w:r>
            <w:r w:rsidR="008E2286">
              <w:rPr>
                <w:noProof/>
                <w:webHidden/>
              </w:rPr>
            </w:r>
            <w:r w:rsidR="008E2286">
              <w:rPr>
                <w:noProof/>
                <w:webHidden/>
              </w:rPr>
              <w:fldChar w:fldCharType="separate"/>
            </w:r>
            <w:r w:rsidR="008E2286">
              <w:rPr>
                <w:noProof/>
                <w:webHidden/>
              </w:rPr>
              <w:t>3</w:t>
            </w:r>
            <w:r w:rsidR="008E2286">
              <w:rPr>
                <w:noProof/>
                <w:webHidden/>
              </w:rPr>
              <w:fldChar w:fldCharType="end"/>
            </w:r>
          </w:hyperlink>
        </w:p>
        <w:p w14:paraId="6543B349" w14:textId="403D07F8"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50" w:history="1">
            <w:r w:rsidR="008E2286" w:rsidRPr="00311E40">
              <w:rPr>
                <w:rStyle w:val="Hyperlink"/>
                <w:noProof/>
              </w:rPr>
              <w:t>2.3. Darba koplīgumi</w:t>
            </w:r>
            <w:r w:rsidR="008E2286">
              <w:rPr>
                <w:noProof/>
                <w:webHidden/>
              </w:rPr>
              <w:tab/>
            </w:r>
            <w:r w:rsidR="008E2286">
              <w:rPr>
                <w:noProof/>
                <w:webHidden/>
              </w:rPr>
              <w:fldChar w:fldCharType="begin"/>
            </w:r>
            <w:r w:rsidR="008E2286">
              <w:rPr>
                <w:noProof/>
                <w:webHidden/>
              </w:rPr>
              <w:instrText xml:space="preserve"> PAGEREF _Toc148720950 \h </w:instrText>
            </w:r>
            <w:r w:rsidR="008E2286">
              <w:rPr>
                <w:noProof/>
                <w:webHidden/>
              </w:rPr>
            </w:r>
            <w:r w:rsidR="008E2286">
              <w:rPr>
                <w:noProof/>
                <w:webHidden/>
              </w:rPr>
              <w:fldChar w:fldCharType="separate"/>
            </w:r>
            <w:r w:rsidR="008E2286">
              <w:rPr>
                <w:noProof/>
                <w:webHidden/>
              </w:rPr>
              <w:t>4</w:t>
            </w:r>
            <w:r w:rsidR="008E2286">
              <w:rPr>
                <w:noProof/>
                <w:webHidden/>
              </w:rPr>
              <w:fldChar w:fldCharType="end"/>
            </w:r>
          </w:hyperlink>
        </w:p>
        <w:p w14:paraId="7141F1BA" w14:textId="2E503379"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51" w:history="1">
            <w:r w:rsidR="008E2286" w:rsidRPr="00311E40">
              <w:rPr>
                <w:rStyle w:val="Hyperlink"/>
                <w:noProof/>
              </w:rPr>
              <w:t>2.4. Direktīva par minimālajām algām Eiropas Savienībā</w:t>
            </w:r>
            <w:r w:rsidR="008E2286">
              <w:rPr>
                <w:noProof/>
                <w:webHidden/>
              </w:rPr>
              <w:tab/>
            </w:r>
            <w:r w:rsidR="008E2286">
              <w:rPr>
                <w:noProof/>
                <w:webHidden/>
              </w:rPr>
              <w:fldChar w:fldCharType="begin"/>
            </w:r>
            <w:r w:rsidR="008E2286">
              <w:rPr>
                <w:noProof/>
                <w:webHidden/>
              </w:rPr>
              <w:instrText xml:space="preserve"> PAGEREF _Toc148720951 \h </w:instrText>
            </w:r>
            <w:r w:rsidR="008E2286">
              <w:rPr>
                <w:noProof/>
                <w:webHidden/>
              </w:rPr>
            </w:r>
            <w:r w:rsidR="008E2286">
              <w:rPr>
                <w:noProof/>
                <w:webHidden/>
              </w:rPr>
              <w:fldChar w:fldCharType="separate"/>
            </w:r>
            <w:r w:rsidR="008E2286">
              <w:rPr>
                <w:noProof/>
                <w:webHidden/>
              </w:rPr>
              <w:t>5</w:t>
            </w:r>
            <w:r w:rsidR="008E2286">
              <w:rPr>
                <w:noProof/>
                <w:webHidden/>
              </w:rPr>
              <w:fldChar w:fldCharType="end"/>
            </w:r>
          </w:hyperlink>
        </w:p>
        <w:p w14:paraId="09E3503B" w14:textId="70A9061B"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52" w:history="1">
            <w:r w:rsidR="008E2286" w:rsidRPr="00311E40">
              <w:rPr>
                <w:rStyle w:val="Hyperlink"/>
                <w:noProof/>
              </w:rPr>
              <w:t>3. Minimālā darba alga Baltijas valstīs un ES</w:t>
            </w:r>
            <w:r w:rsidR="008E2286">
              <w:rPr>
                <w:noProof/>
                <w:webHidden/>
              </w:rPr>
              <w:tab/>
            </w:r>
            <w:r w:rsidR="008E2286">
              <w:rPr>
                <w:noProof/>
                <w:webHidden/>
              </w:rPr>
              <w:fldChar w:fldCharType="begin"/>
            </w:r>
            <w:r w:rsidR="008E2286">
              <w:rPr>
                <w:noProof/>
                <w:webHidden/>
              </w:rPr>
              <w:instrText xml:space="preserve"> PAGEREF _Toc148720952 \h </w:instrText>
            </w:r>
            <w:r w:rsidR="008E2286">
              <w:rPr>
                <w:noProof/>
                <w:webHidden/>
              </w:rPr>
            </w:r>
            <w:r w:rsidR="008E2286">
              <w:rPr>
                <w:noProof/>
                <w:webHidden/>
              </w:rPr>
              <w:fldChar w:fldCharType="separate"/>
            </w:r>
            <w:r w:rsidR="008E2286">
              <w:rPr>
                <w:noProof/>
                <w:webHidden/>
              </w:rPr>
              <w:t>6</w:t>
            </w:r>
            <w:r w:rsidR="008E2286">
              <w:rPr>
                <w:noProof/>
                <w:webHidden/>
              </w:rPr>
              <w:fldChar w:fldCharType="end"/>
            </w:r>
          </w:hyperlink>
        </w:p>
        <w:p w14:paraId="70898B06" w14:textId="2AC7EE3C"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53" w:history="1">
            <w:r w:rsidR="008E2286" w:rsidRPr="00311E40">
              <w:rPr>
                <w:rStyle w:val="Hyperlink"/>
                <w:noProof/>
              </w:rPr>
              <w:t>3.1. Minimālā darba alga Baltijas valstīs</w:t>
            </w:r>
            <w:r w:rsidR="008E2286">
              <w:rPr>
                <w:noProof/>
                <w:webHidden/>
              </w:rPr>
              <w:tab/>
            </w:r>
            <w:r w:rsidR="008E2286">
              <w:rPr>
                <w:noProof/>
                <w:webHidden/>
              </w:rPr>
              <w:fldChar w:fldCharType="begin"/>
            </w:r>
            <w:r w:rsidR="008E2286">
              <w:rPr>
                <w:noProof/>
                <w:webHidden/>
              </w:rPr>
              <w:instrText xml:space="preserve"> PAGEREF _Toc148720953 \h </w:instrText>
            </w:r>
            <w:r w:rsidR="008E2286">
              <w:rPr>
                <w:noProof/>
                <w:webHidden/>
              </w:rPr>
            </w:r>
            <w:r w:rsidR="008E2286">
              <w:rPr>
                <w:noProof/>
                <w:webHidden/>
              </w:rPr>
              <w:fldChar w:fldCharType="separate"/>
            </w:r>
            <w:r w:rsidR="008E2286">
              <w:rPr>
                <w:noProof/>
                <w:webHidden/>
              </w:rPr>
              <w:t>6</w:t>
            </w:r>
            <w:r w:rsidR="008E2286">
              <w:rPr>
                <w:noProof/>
                <w:webHidden/>
              </w:rPr>
              <w:fldChar w:fldCharType="end"/>
            </w:r>
          </w:hyperlink>
        </w:p>
        <w:p w14:paraId="67A749BB" w14:textId="4CDB51D0"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54" w:history="1">
            <w:r w:rsidR="008E2286" w:rsidRPr="00311E40">
              <w:rPr>
                <w:rStyle w:val="Hyperlink"/>
                <w:noProof/>
              </w:rPr>
              <w:t>3.2. Minimālā darba alga ES valstīs</w:t>
            </w:r>
            <w:r w:rsidR="008E2286">
              <w:rPr>
                <w:noProof/>
                <w:webHidden/>
              </w:rPr>
              <w:tab/>
            </w:r>
            <w:r w:rsidR="008E2286">
              <w:rPr>
                <w:noProof/>
                <w:webHidden/>
              </w:rPr>
              <w:fldChar w:fldCharType="begin"/>
            </w:r>
            <w:r w:rsidR="008E2286">
              <w:rPr>
                <w:noProof/>
                <w:webHidden/>
              </w:rPr>
              <w:instrText xml:space="preserve"> PAGEREF _Toc148720954 \h </w:instrText>
            </w:r>
            <w:r w:rsidR="008E2286">
              <w:rPr>
                <w:noProof/>
                <w:webHidden/>
              </w:rPr>
            </w:r>
            <w:r w:rsidR="008E2286">
              <w:rPr>
                <w:noProof/>
                <w:webHidden/>
              </w:rPr>
              <w:fldChar w:fldCharType="separate"/>
            </w:r>
            <w:r w:rsidR="008E2286">
              <w:rPr>
                <w:noProof/>
                <w:webHidden/>
              </w:rPr>
              <w:t>7</w:t>
            </w:r>
            <w:r w:rsidR="008E2286">
              <w:rPr>
                <w:noProof/>
                <w:webHidden/>
              </w:rPr>
              <w:fldChar w:fldCharType="end"/>
            </w:r>
          </w:hyperlink>
        </w:p>
        <w:p w14:paraId="17C48226" w14:textId="1872C114"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55" w:history="1">
            <w:r w:rsidR="008E2286" w:rsidRPr="00311E40">
              <w:rPr>
                <w:rStyle w:val="Hyperlink"/>
                <w:noProof/>
              </w:rPr>
              <w:t>4. Minimālās algas saņēmēju skaits</w:t>
            </w:r>
            <w:r w:rsidR="008E2286">
              <w:rPr>
                <w:noProof/>
                <w:webHidden/>
              </w:rPr>
              <w:tab/>
            </w:r>
            <w:r w:rsidR="008E2286">
              <w:rPr>
                <w:noProof/>
                <w:webHidden/>
              </w:rPr>
              <w:fldChar w:fldCharType="begin"/>
            </w:r>
            <w:r w:rsidR="008E2286">
              <w:rPr>
                <w:noProof/>
                <w:webHidden/>
              </w:rPr>
              <w:instrText xml:space="preserve"> PAGEREF _Toc148720955 \h </w:instrText>
            </w:r>
            <w:r w:rsidR="008E2286">
              <w:rPr>
                <w:noProof/>
                <w:webHidden/>
              </w:rPr>
            </w:r>
            <w:r w:rsidR="008E2286">
              <w:rPr>
                <w:noProof/>
                <w:webHidden/>
              </w:rPr>
              <w:fldChar w:fldCharType="separate"/>
            </w:r>
            <w:r w:rsidR="008E2286">
              <w:rPr>
                <w:noProof/>
                <w:webHidden/>
              </w:rPr>
              <w:t>8</w:t>
            </w:r>
            <w:r w:rsidR="008E2286">
              <w:rPr>
                <w:noProof/>
                <w:webHidden/>
              </w:rPr>
              <w:fldChar w:fldCharType="end"/>
            </w:r>
          </w:hyperlink>
        </w:p>
        <w:p w14:paraId="68C19EE7" w14:textId="55CD76FC"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56" w:history="1">
            <w:r w:rsidR="008E2286" w:rsidRPr="00311E40">
              <w:rPr>
                <w:rStyle w:val="Hyperlink"/>
                <w:noProof/>
              </w:rPr>
              <w:t>5. Minimālā darba alga salīdzinājumā ar vidējo algu</w:t>
            </w:r>
            <w:r w:rsidR="008E2286">
              <w:rPr>
                <w:noProof/>
                <w:webHidden/>
              </w:rPr>
              <w:tab/>
            </w:r>
            <w:r w:rsidR="008E2286">
              <w:rPr>
                <w:noProof/>
                <w:webHidden/>
              </w:rPr>
              <w:fldChar w:fldCharType="begin"/>
            </w:r>
            <w:r w:rsidR="008E2286">
              <w:rPr>
                <w:noProof/>
                <w:webHidden/>
              </w:rPr>
              <w:instrText xml:space="preserve"> PAGEREF _Toc148720956 \h </w:instrText>
            </w:r>
            <w:r w:rsidR="008E2286">
              <w:rPr>
                <w:noProof/>
                <w:webHidden/>
              </w:rPr>
            </w:r>
            <w:r w:rsidR="008E2286">
              <w:rPr>
                <w:noProof/>
                <w:webHidden/>
              </w:rPr>
              <w:fldChar w:fldCharType="separate"/>
            </w:r>
            <w:r w:rsidR="008E2286">
              <w:rPr>
                <w:noProof/>
                <w:webHidden/>
              </w:rPr>
              <w:t>9</w:t>
            </w:r>
            <w:r w:rsidR="008E2286">
              <w:rPr>
                <w:noProof/>
                <w:webHidden/>
              </w:rPr>
              <w:fldChar w:fldCharType="end"/>
            </w:r>
          </w:hyperlink>
        </w:p>
        <w:p w14:paraId="66F9FF79" w14:textId="7FBDAB3E"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57" w:history="1">
            <w:r w:rsidR="008E2286" w:rsidRPr="00311E40">
              <w:rPr>
                <w:rStyle w:val="Hyperlink"/>
                <w:noProof/>
              </w:rPr>
              <w:t>6. Minimālā alga un reģistrētais bezdarbs</w:t>
            </w:r>
            <w:r w:rsidR="008E2286">
              <w:rPr>
                <w:noProof/>
                <w:webHidden/>
              </w:rPr>
              <w:tab/>
            </w:r>
            <w:r w:rsidR="008E2286">
              <w:rPr>
                <w:noProof/>
                <w:webHidden/>
              </w:rPr>
              <w:fldChar w:fldCharType="begin"/>
            </w:r>
            <w:r w:rsidR="008E2286">
              <w:rPr>
                <w:noProof/>
                <w:webHidden/>
              </w:rPr>
              <w:instrText xml:space="preserve"> PAGEREF _Toc148720957 \h </w:instrText>
            </w:r>
            <w:r w:rsidR="008E2286">
              <w:rPr>
                <w:noProof/>
                <w:webHidden/>
              </w:rPr>
            </w:r>
            <w:r w:rsidR="008E2286">
              <w:rPr>
                <w:noProof/>
                <w:webHidden/>
              </w:rPr>
              <w:fldChar w:fldCharType="separate"/>
            </w:r>
            <w:r w:rsidR="008E2286">
              <w:rPr>
                <w:noProof/>
                <w:webHidden/>
              </w:rPr>
              <w:t>11</w:t>
            </w:r>
            <w:r w:rsidR="008E2286">
              <w:rPr>
                <w:noProof/>
                <w:webHidden/>
              </w:rPr>
              <w:fldChar w:fldCharType="end"/>
            </w:r>
          </w:hyperlink>
        </w:p>
        <w:p w14:paraId="1FCAB2F4" w14:textId="5F5A4472"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58" w:history="1">
            <w:r w:rsidR="008E2286" w:rsidRPr="00311E40">
              <w:rPr>
                <w:rStyle w:val="Hyperlink"/>
                <w:noProof/>
              </w:rPr>
              <w:t>7. Ekonomikas attīstības tendences (EM informācija)</w:t>
            </w:r>
            <w:r w:rsidR="008E2286">
              <w:rPr>
                <w:noProof/>
                <w:webHidden/>
              </w:rPr>
              <w:tab/>
            </w:r>
            <w:r w:rsidR="008E2286">
              <w:rPr>
                <w:noProof/>
                <w:webHidden/>
              </w:rPr>
              <w:fldChar w:fldCharType="begin"/>
            </w:r>
            <w:r w:rsidR="008E2286">
              <w:rPr>
                <w:noProof/>
                <w:webHidden/>
              </w:rPr>
              <w:instrText xml:space="preserve"> PAGEREF _Toc148720958 \h </w:instrText>
            </w:r>
            <w:r w:rsidR="008E2286">
              <w:rPr>
                <w:noProof/>
                <w:webHidden/>
              </w:rPr>
            </w:r>
            <w:r w:rsidR="008E2286">
              <w:rPr>
                <w:noProof/>
                <w:webHidden/>
              </w:rPr>
              <w:fldChar w:fldCharType="separate"/>
            </w:r>
            <w:r w:rsidR="008E2286">
              <w:rPr>
                <w:noProof/>
                <w:webHidden/>
              </w:rPr>
              <w:t>12</w:t>
            </w:r>
            <w:r w:rsidR="008E2286">
              <w:rPr>
                <w:noProof/>
                <w:webHidden/>
              </w:rPr>
              <w:fldChar w:fldCharType="end"/>
            </w:r>
          </w:hyperlink>
        </w:p>
        <w:p w14:paraId="3E4006FE" w14:textId="1646E723"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59" w:history="1">
            <w:r w:rsidR="008E2286" w:rsidRPr="00311E40">
              <w:rPr>
                <w:rStyle w:val="Hyperlink"/>
                <w:noProof/>
              </w:rPr>
              <w:t>8. Makroekonomiskās prognozes</w:t>
            </w:r>
            <w:r w:rsidR="008E2286">
              <w:rPr>
                <w:noProof/>
                <w:webHidden/>
              </w:rPr>
              <w:tab/>
            </w:r>
            <w:r w:rsidR="008E2286">
              <w:rPr>
                <w:noProof/>
                <w:webHidden/>
              </w:rPr>
              <w:fldChar w:fldCharType="begin"/>
            </w:r>
            <w:r w:rsidR="008E2286">
              <w:rPr>
                <w:noProof/>
                <w:webHidden/>
              </w:rPr>
              <w:instrText xml:space="preserve"> PAGEREF _Toc148720959 \h </w:instrText>
            </w:r>
            <w:r w:rsidR="008E2286">
              <w:rPr>
                <w:noProof/>
                <w:webHidden/>
              </w:rPr>
            </w:r>
            <w:r w:rsidR="008E2286">
              <w:rPr>
                <w:noProof/>
                <w:webHidden/>
              </w:rPr>
              <w:fldChar w:fldCharType="separate"/>
            </w:r>
            <w:r w:rsidR="008E2286">
              <w:rPr>
                <w:noProof/>
                <w:webHidden/>
              </w:rPr>
              <w:t>15</w:t>
            </w:r>
            <w:r w:rsidR="008E2286">
              <w:rPr>
                <w:noProof/>
                <w:webHidden/>
              </w:rPr>
              <w:fldChar w:fldCharType="end"/>
            </w:r>
          </w:hyperlink>
        </w:p>
        <w:p w14:paraId="39591BA3" w14:textId="6351CCCA"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60" w:history="1">
            <w:r w:rsidR="008E2286" w:rsidRPr="00311E40">
              <w:rPr>
                <w:rStyle w:val="Hyperlink"/>
                <w:noProof/>
              </w:rPr>
              <w:t>8.1. Darba samaksas rādītāju prognozes</w:t>
            </w:r>
            <w:r w:rsidR="008E2286">
              <w:rPr>
                <w:noProof/>
                <w:webHidden/>
              </w:rPr>
              <w:tab/>
            </w:r>
            <w:r w:rsidR="008E2286">
              <w:rPr>
                <w:noProof/>
                <w:webHidden/>
              </w:rPr>
              <w:fldChar w:fldCharType="begin"/>
            </w:r>
            <w:r w:rsidR="008E2286">
              <w:rPr>
                <w:noProof/>
                <w:webHidden/>
              </w:rPr>
              <w:instrText xml:space="preserve"> PAGEREF _Toc148720960 \h </w:instrText>
            </w:r>
            <w:r w:rsidR="008E2286">
              <w:rPr>
                <w:noProof/>
                <w:webHidden/>
              </w:rPr>
            </w:r>
            <w:r w:rsidR="008E2286">
              <w:rPr>
                <w:noProof/>
                <w:webHidden/>
              </w:rPr>
              <w:fldChar w:fldCharType="separate"/>
            </w:r>
            <w:r w:rsidR="008E2286">
              <w:rPr>
                <w:noProof/>
                <w:webHidden/>
              </w:rPr>
              <w:t>15</w:t>
            </w:r>
            <w:r w:rsidR="008E2286">
              <w:rPr>
                <w:noProof/>
                <w:webHidden/>
              </w:rPr>
              <w:fldChar w:fldCharType="end"/>
            </w:r>
          </w:hyperlink>
        </w:p>
        <w:p w14:paraId="2A85FC21" w14:textId="17F612A4"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61" w:history="1">
            <w:r w:rsidR="008E2286" w:rsidRPr="00311E40">
              <w:rPr>
                <w:rStyle w:val="Hyperlink"/>
                <w:noProof/>
              </w:rPr>
              <w:t>8.2. Inflācijas prognozes</w:t>
            </w:r>
            <w:r w:rsidR="008E2286">
              <w:rPr>
                <w:noProof/>
                <w:webHidden/>
              </w:rPr>
              <w:tab/>
            </w:r>
            <w:r w:rsidR="008E2286">
              <w:rPr>
                <w:noProof/>
                <w:webHidden/>
              </w:rPr>
              <w:fldChar w:fldCharType="begin"/>
            </w:r>
            <w:r w:rsidR="008E2286">
              <w:rPr>
                <w:noProof/>
                <w:webHidden/>
              </w:rPr>
              <w:instrText xml:space="preserve"> PAGEREF _Toc148720961 \h </w:instrText>
            </w:r>
            <w:r w:rsidR="008E2286">
              <w:rPr>
                <w:noProof/>
                <w:webHidden/>
              </w:rPr>
            </w:r>
            <w:r w:rsidR="008E2286">
              <w:rPr>
                <w:noProof/>
                <w:webHidden/>
              </w:rPr>
              <w:fldChar w:fldCharType="separate"/>
            </w:r>
            <w:r w:rsidR="008E2286">
              <w:rPr>
                <w:noProof/>
                <w:webHidden/>
              </w:rPr>
              <w:t>16</w:t>
            </w:r>
            <w:r w:rsidR="008E2286">
              <w:rPr>
                <w:noProof/>
                <w:webHidden/>
              </w:rPr>
              <w:fldChar w:fldCharType="end"/>
            </w:r>
          </w:hyperlink>
        </w:p>
        <w:p w14:paraId="71265580" w14:textId="0BBD47A2"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62" w:history="1">
            <w:r w:rsidR="008E2286" w:rsidRPr="00311E40">
              <w:rPr>
                <w:rStyle w:val="Hyperlink"/>
                <w:noProof/>
              </w:rPr>
              <w:t>8.3. Makroekonomisko rādītāju prognozes</w:t>
            </w:r>
            <w:r w:rsidR="008E2286">
              <w:rPr>
                <w:noProof/>
                <w:webHidden/>
              </w:rPr>
              <w:tab/>
            </w:r>
            <w:r w:rsidR="008E2286">
              <w:rPr>
                <w:noProof/>
                <w:webHidden/>
              </w:rPr>
              <w:fldChar w:fldCharType="begin"/>
            </w:r>
            <w:r w:rsidR="008E2286">
              <w:rPr>
                <w:noProof/>
                <w:webHidden/>
              </w:rPr>
              <w:instrText xml:space="preserve"> PAGEREF _Toc148720962 \h </w:instrText>
            </w:r>
            <w:r w:rsidR="008E2286">
              <w:rPr>
                <w:noProof/>
                <w:webHidden/>
              </w:rPr>
            </w:r>
            <w:r w:rsidR="008E2286">
              <w:rPr>
                <w:noProof/>
                <w:webHidden/>
              </w:rPr>
              <w:fldChar w:fldCharType="separate"/>
            </w:r>
            <w:r w:rsidR="008E2286">
              <w:rPr>
                <w:noProof/>
                <w:webHidden/>
              </w:rPr>
              <w:t>17</w:t>
            </w:r>
            <w:r w:rsidR="008E2286">
              <w:rPr>
                <w:noProof/>
                <w:webHidden/>
              </w:rPr>
              <w:fldChar w:fldCharType="end"/>
            </w:r>
          </w:hyperlink>
        </w:p>
        <w:p w14:paraId="66AB15B2" w14:textId="433103EA"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63" w:history="1">
            <w:r w:rsidR="008E2286" w:rsidRPr="00311E40">
              <w:rPr>
                <w:rStyle w:val="Hyperlink"/>
                <w:noProof/>
              </w:rPr>
              <w:t>8.4. Latvijas Bankas vērtējums</w:t>
            </w:r>
            <w:r w:rsidR="008E2286">
              <w:rPr>
                <w:noProof/>
                <w:webHidden/>
              </w:rPr>
              <w:tab/>
            </w:r>
            <w:r w:rsidR="008E2286">
              <w:rPr>
                <w:noProof/>
                <w:webHidden/>
              </w:rPr>
              <w:fldChar w:fldCharType="begin"/>
            </w:r>
            <w:r w:rsidR="008E2286">
              <w:rPr>
                <w:noProof/>
                <w:webHidden/>
              </w:rPr>
              <w:instrText xml:space="preserve"> PAGEREF _Toc148720963 \h </w:instrText>
            </w:r>
            <w:r w:rsidR="008E2286">
              <w:rPr>
                <w:noProof/>
                <w:webHidden/>
              </w:rPr>
            </w:r>
            <w:r w:rsidR="008E2286">
              <w:rPr>
                <w:noProof/>
                <w:webHidden/>
              </w:rPr>
              <w:fldChar w:fldCharType="separate"/>
            </w:r>
            <w:r w:rsidR="008E2286">
              <w:rPr>
                <w:noProof/>
                <w:webHidden/>
              </w:rPr>
              <w:t>17</w:t>
            </w:r>
            <w:r w:rsidR="008E2286">
              <w:rPr>
                <w:noProof/>
                <w:webHidden/>
              </w:rPr>
              <w:fldChar w:fldCharType="end"/>
            </w:r>
          </w:hyperlink>
        </w:p>
        <w:p w14:paraId="4C6C33CA" w14:textId="0BA5DE8E" w:rsidR="008E2286" w:rsidRDefault="00CC4F9C">
          <w:pPr>
            <w:pStyle w:val="TOC2"/>
            <w:tabs>
              <w:tab w:val="right" w:leader="dot" w:pos="9061"/>
            </w:tabs>
            <w:rPr>
              <w:rFonts w:asciiTheme="minorHAnsi" w:eastAsiaTheme="minorEastAsia" w:hAnsiTheme="minorHAnsi" w:cstheme="minorBidi"/>
              <w:noProof/>
              <w:sz w:val="22"/>
              <w:szCs w:val="22"/>
            </w:rPr>
          </w:pPr>
          <w:hyperlink w:anchor="_Toc148720964" w:history="1">
            <w:r w:rsidR="008E2286" w:rsidRPr="00311E40">
              <w:rPr>
                <w:rStyle w:val="Hyperlink"/>
                <w:noProof/>
              </w:rPr>
              <w:t>8.5. Ietekme uz valsts un pašvaldību budžetiem</w:t>
            </w:r>
            <w:r w:rsidR="008E2286">
              <w:rPr>
                <w:noProof/>
                <w:webHidden/>
              </w:rPr>
              <w:tab/>
            </w:r>
            <w:r w:rsidR="008E2286">
              <w:rPr>
                <w:noProof/>
                <w:webHidden/>
              </w:rPr>
              <w:fldChar w:fldCharType="begin"/>
            </w:r>
            <w:r w:rsidR="008E2286">
              <w:rPr>
                <w:noProof/>
                <w:webHidden/>
              </w:rPr>
              <w:instrText xml:space="preserve"> PAGEREF _Toc148720964 \h </w:instrText>
            </w:r>
            <w:r w:rsidR="008E2286">
              <w:rPr>
                <w:noProof/>
                <w:webHidden/>
              </w:rPr>
            </w:r>
            <w:r w:rsidR="008E2286">
              <w:rPr>
                <w:noProof/>
                <w:webHidden/>
              </w:rPr>
              <w:fldChar w:fldCharType="separate"/>
            </w:r>
            <w:r w:rsidR="008E2286">
              <w:rPr>
                <w:noProof/>
                <w:webHidden/>
              </w:rPr>
              <w:t>18</w:t>
            </w:r>
            <w:r w:rsidR="008E2286">
              <w:rPr>
                <w:noProof/>
                <w:webHidden/>
              </w:rPr>
              <w:fldChar w:fldCharType="end"/>
            </w:r>
          </w:hyperlink>
        </w:p>
        <w:p w14:paraId="6E0BBC53" w14:textId="60B86258"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65" w:history="1">
            <w:r w:rsidR="008E2286" w:rsidRPr="00311E40">
              <w:rPr>
                <w:rStyle w:val="Hyperlink"/>
                <w:noProof/>
              </w:rPr>
              <w:t>9. Minimāla alga un ienākumi mājsaimniecībām</w:t>
            </w:r>
            <w:r w:rsidR="008E2286">
              <w:rPr>
                <w:noProof/>
                <w:webHidden/>
              </w:rPr>
              <w:tab/>
            </w:r>
            <w:r w:rsidR="008E2286">
              <w:rPr>
                <w:noProof/>
                <w:webHidden/>
              </w:rPr>
              <w:fldChar w:fldCharType="begin"/>
            </w:r>
            <w:r w:rsidR="008E2286">
              <w:rPr>
                <w:noProof/>
                <w:webHidden/>
              </w:rPr>
              <w:instrText xml:space="preserve"> PAGEREF _Toc148720965 \h </w:instrText>
            </w:r>
            <w:r w:rsidR="008E2286">
              <w:rPr>
                <w:noProof/>
                <w:webHidden/>
              </w:rPr>
            </w:r>
            <w:r w:rsidR="008E2286">
              <w:rPr>
                <w:noProof/>
                <w:webHidden/>
              </w:rPr>
              <w:fldChar w:fldCharType="separate"/>
            </w:r>
            <w:r w:rsidR="008E2286">
              <w:rPr>
                <w:noProof/>
                <w:webHidden/>
              </w:rPr>
              <w:t>19</w:t>
            </w:r>
            <w:r w:rsidR="008E2286">
              <w:rPr>
                <w:noProof/>
                <w:webHidden/>
              </w:rPr>
              <w:fldChar w:fldCharType="end"/>
            </w:r>
          </w:hyperlink>
        </w:p>
        <w:p w14:paraId="5344A43A" w14:textId="64388692"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66" w:history="1">
            <w:r w:rsidR="008E2286" w:rsidRPr="00311E40">
              <w:rPr>
                <w:rStyle w:val="Hyperlink"/>
                <w:noProof/>
              </w:rPr>
              <w:t>10. Kopsavilkums un secinājumi</w:t>
            </w:r>
            <w:r w:rsidR="008E2286">
              <w:rPr>
                <w:noProof/>
                <w:webHidden/>
              </w:rPr>
              <w:tab/>
            </w:r>
            <w:r w:rsidR="008E2286">
              <w:rPr>
                <w:noProof/>
                <w:webHidden/>
              </w:rPr>
              <w:fldChar w:fldCharType="begin"/>
            </w:r>
            <w:r w:rsidR="008E2286">
              <w:rPr>
                <w:noProof/>
                <w:webHidden/>
              </w:rPr>
              <w:instrText xml:space="preserve"> PAGEREF _Toc148720966 \h </w:instrText>
            </w:r>
            <w:r w:rsidR="008E2286">
              <w:rPr>
                <w:noProof/>
                <w:webHidden/>
              </w:rPr>
            </w:r>
            <w:r w:rsidR="008E2286">
              <w:rPr>
                <w:noProof/>
                <w:webHidden/>
              </w:rPr>
              <w:fldChar w:fldCharType="separate"/>
            </w:r>
            <w:r w:rsidR="008E2286">
              <w:rPr>
                <w:noProof/>
                <w:webHidden/>
              </w:rPr>
              <w:t>21</w:t>
            </w:r>
            <w:r w:rsidR="008E2286">
              <w:rPr>
                <w:noProof/>
                <w:webHidden/>
              </w:rPr>
              <w:fldChar w:fldCharType="end"/>
            </w:r>
          </w:hyperlink>
        </w:p>
        <w:p w14:paraId="0B5D2A74" w14:textId="776A920D" w:rsidR="008E2286" w:rsidRDefault="00CC4F9C">
          <w:pPr>
            <w:pStyle w:val="TOC1"/>
            <w:tabs>
              <w:tab w:val="right" w:leader="dot" w:pos="9061"/>
            </w:tabs>
            <w:rPr>
              <w:rFonts w:asciiTheme="minorHAnsi" w:eastAsiaTheme="minorEastAsia" w:hAnsiTheme="minorHAnsi" w:cstheme="minorBidi"/>
              <w:noProof/>
              <w:sz w:val="22"/>
              <w:szCs w:val="22"/>
            </w:rPr>
          </w:pPr>
          <w:hyperlink w:anchor="_Toc148720967" w:history="1">
            <w:r w:rsidR="008E2286" w:rsidRPr="00311E40">
              <w:rPr>
                <w:rStyle w:val="Hyperlink"/>
                <w:noProof/>
              </w:rPr>
              <w:t>Noderīgas saites:</w:t>
            </w:r>
            <w:r w:rsidR="008E2286">
              <w:rPr>
                <w:noProof/>
                <w:webHidden/>
              </w:rPr>
              <w:tab/>
            </w:r>
            <w:r w:rsidR="008E2286">
              <w:rPr>
                <w:noProof/>
                <w:webHidden/>
              </w:rPr>
              <w:fldChar w:fldCharType="begin"/>
            </w:r>
            <w:r w:rsidR="008E2286">
              <w:rPr>
                <w:noProof/>
                <w:webHidden/>
              </w:rPr>
              <w:instrText xml:space="preserve"> PAGEREF _Toc148720967 \h </w:instrText>
            </w:r>
            <w:r w:rsidR="008E2286">
              <w:rPr>
                <w:noProof/>
                <w:webHidden/>
              </w:rPr>
            </w:r>
            <w:r w:rsidR="008E2286">
              <w:rPr>
                <w:noProof/>
                <w:webHidden/>
              </w:rPr>
              <w:fldChar w:fldCharType="separate"/>
            </w:r>
            <w:r w:rsidR="008E2286">
              <w:rPr>
                <w:noProof/>
                <w:webHidden/>
              </w:rPr>
              <w:t>22</w:t>
            </w:r>
            <w:r w:rsidR="008E2286">
              <w:rPr>
                <w:noProof/>
                <w:webHidden/>
              </w:rPr>
              <w:fldChar w:fldCharType="end"/>
            </w:r>
          </w:hyperlink>
        </w:p>
        <w:p w14:paraId="4EC29478" w14:textId="72630E0E" w:rsidR="004B54C2" w:rsidRDefault="004B54C2">
          <w:r>
            <w:rPr>
              <w:b/>
              <w:bCs/>
              <w:noProof/>
            </w:rPr>
            <w:fldChar w:fldCharType="end"/>
          </w:r>
        </w:p>
      </w:sdtContent>
    </w:sdt>
    <w:p w14:paraId="362945F3" w14:textId="77777777" w:rsidR="004B54C2" w:rsidRDefault="004B54C2" w:rsidP="004B54C2">
      <w:pPr>
        <w:pStyle w:val="Footer"/>
        <w:jc w:val="both"/>
      </w:pPr>
    </w:p>
    <w:p w14:paraId="3270D179" w14:textId="77777777" w:rsidR="00157881" w:rsidRDefault="00157881">
      <w:pPr>
        <w:ind w:right="-109"/>
      </w:pPr>
    </w:p>
    <w:p w14:paraId="6893FBBC" w14:textId="77777777" w:rsidR="0085622A" w:rsidRDefault="0085622A">
      <w:pPr>
        <w:ind w:right="-109"/>
      </w:pPr>
    </w:p>
    <w:p w14:paraId="660FC51C" w14:textId="77777777" w:rsidR="00593A9C" w:rsidRDefault="00593A9C">
      <w:pPr>
        <w:rPr>
          <w:b/>
          <w:szCs w:val="20"/>
          <w:lang w:eastAsia="en-US"/>
        </w:rPr>
      </w:pPr>
      <w:r>
        <w:br w:type="page"/>
      </w:r>
    </w:p>
    <w:p w14:paraId="102D4985" w14:textId="27E3B7D2" w:rsidR="0085622A" w:rsidRDefault="003A674F" w:rsidP="004B54C2">
      <w:pPr>
        <w:pStyle w:val="Heading1"/>
      </w:pPr>
      <w:bookmarkStart w:id="0" w:name="_Toc148720946"/>
      <w:r>
        <w:lastRenderedPageBreak/>
        <w:t>1. Minimālās darba algas būtība</w:t>
      </w:r>
      <w:bookmarkEnd w:id="0"/>
    </w:p>
    <w:p w14:paraId="346A2E36" w14:textId="77777777" w:rsidR="0085622A" w:rsidRDefault="0085622A">
      <w:pPr>
        <w:pStyle w:val="naisf"/>
        <w:spacing w:before="0" w:beforeAutospacing="0" w:after="0" w:afterAutospacing="0"/>
        <w:jc w:val="both"/>
      </w:pPr>
    </w:p>
    <w:p w14:paraId="687B9E9D" w14:textId="77777777" w:rsidR="0085622A" w:rsidRDefault="003A674F">
      <w:pPr>
        <w:ind w:firstLine="720"/>
        <w:jc w:val="both"/>
      </w:pPr>
      <w:r>
        <w:t xml:space="preserve">Minimālā alga ir paredzēta kā aizsargmehānisms vienkāršo profesiju veicējiem, nosakot zemāko algu, kuru darba devējs var maksāt par darbu. Minimālās algas paaugstināšana veicina mājsaimniecību ienākumu pieaugumu un vienlaikus var motivēt lielāku iesaisti darba tirgū, kā arī ražīguma pieaugumu tautsaimniecībā. Vienlaikus minimālā alga ir viens no instrumentiem strādājošo nabadzības mazināšanai. </w:t>
      </w:r>
    </w:p>
    <w:p w14:paraId="6980D46F" w14:textId="77777777" w:rsidR="0085622A" w:rsidRDefault="003A674F">
      <w:pPr>
        <w:ind w:firstLine="720"/>
        <w:jc w:val="both"/>
      </w:pPr>
      <w:r>
        <w:t>Minimālās algas paaugstināšana var veicināt algu pieaugumu arī citos algu līmeņos. Taču jāņem vērā, ka minimālās algas izmaiņas var radīt algu skalu saspiestību, piemēram, situācijās, kad minimālo algu sāk saņemt arī kvalificētāki darbinieki, tādējādi mazinot prasmju un izglītības nozīmi un nelabvēlīgi ietekmējot ražīgumu. Minimālajai algai var būt arī specifiska ietekme uz konkurētspēju un darba tirgu nozarēs un reģionos atkarībā no tā, kāds ir minimālās algas saņēmēju īpatsvars.</w:t>
      </w:r>
    </w:p>
    <w:p w14:paraId="0E6299A4" w14:textId="77777777" w:rsidR="0085622A" w:rsidRDefault="0085622A">
      <w:pPr>
        <w:pStyle w:val="naiskr"/>
        <w:spacing w:before="0" w:after="0"/>
        <w:jc w:val="both"/>
      </w:pPr>
    </w:p>
    <w:p w14:paraId="40A4D2AD" w14:textId="6A751A24" w:rsidR="009842A5" w:rsidRDefault="003A674F" w:rsidP="001F402C">
      <w:pPr>
        <w:pStyle w:val="Heading1"/>
      </w:pPr>
      <w:bookmarkStart w:id="1" w:name="_Toc148720947"/>
      <w:r>
        <w:t>2. Minimālās darba algas regulējums</w:t>
      </w:r>
      <w:bookmarkEnd w:id="1"/>
    </w:p>
    <w:p w14:paraId="2978C9A5" w14:textId="77777777" w:rsidR="001F402C" w:rsidRPr="001F402C" w:rsidRDefault="001F402C" w:rsidP="001F402C">
      <w:pPr>
        <w:rPr>
          <w:lang w:eastAsia="en-US"/>
        </w:rPr>
      </w:pPr>
    </w:p>
    <w:p w14:paraId="0E331170" w14:textId="77777777" w:rsidR="009842A5" w:rsidRDefault="009842A5" w:rsidP="004B54C2">
      <w:pPr>
        <w:pStyle w:val="Heading2"/>
      </w:pPr>
      <w:bookmarkStart w:id="2" w:name="_Toc148720948"/>
      <w:r>
        <w:t>2.</w:t>
      </w:r>
      <w:r w:rsidR="00B770BE">
        <w:t>1</w:t>
      </w:r>
      <w:r>
        <w:t>. Sociālās aizsardzības un darba tirgus politikas pamatnostādnes 2021.-2027. gadam</w:t>
      </w:r>
      <w:bookmarkEnd w:id="2"/>
    </w:p>
    <w:p w14:paraId="5830C051" w14:textId="77777777" w:rsidR="009842A5" w:rsidRDefault="009842A5" w:rsidP="009842A5">
      <w:pPr>
        <w:pStyle w:val="naiskr"/>
        <w:spacing w:before="0" w:after="0"/>
        <w:jc w:val="both"/>
      </w:pPr>
    </w:p>
    <w:p w14:paraId="24413111" w14:textId="44AF200D" w:rsidR="009842A5" w:rsidRDefault="009842A5" w:rsidP="001F402C">
      <w:pPr>
        <w:pStyle w:val="naiskr"/>
        <w:spacing w:before="0" w:after="0"/>
        <w:ind w:firstLine="720"/>
        <w:jc w:val="both"/>
      </w:pPr>
      <w:r>
        <w:t>Saskaņā ar Ministru kabineta 2021.gada 1.septembra rīkojumu Nr. 616 ir apstiprinātas “Sociālās aizsardzības un darba tirgus politikas pamatnostādnes 2021.-2027. gadam”, kuru 3.rīcības virziena “Iekļaujošs darba tirgus ikvienam un kvalitatīvas darba vietas, atbalstot ilgtermiņa līdzdalību darba tirgū” ietvaros ir paredzēts uzdevums Nr.3.4. “Nodrošināt minimālās darba algas regulāru pārskatīšanu”.</w:t>
      </w:r>
    </w:p>
    <w:p w14:paraId="0D6D7183" w14:textId="77777777" w:rsidR="001F402C" w:rsidRDefault="001F402C" w:rsidP="001F402C">
      <w:pPr>
        <w:pStyle w:val="naiskr"/>
        <w:spacing w:before="0" w:after="0"/>
        <w:ind w:firstLine="720"/>
        <w:jc w:val="both"/>
      </w:pPr>
    </w:p>
    <w:p w14:paraId="74042813" w14:textId="77777777" w:rsidR="009842A5" w:rsidRDefault="009842A5" w:rsidP="001F402C">
      <w:pPr>
        <w:pStyle w:val="Heading2"/>
      </w:pPr>
      <w:bookmarkStart w:id="3" w:name="_Toc148720949"/>
      <w:r>
        <w:t>2.</w:t>
      </w:r>
      <w:r w:rsidR="00B770BE">
        <w:t>2</w:t>
      </w:r>
      <w:r>
        <w:t>. Darba likums un MK regulējums</w:t>
      </w:r>
      <w:bookmarkEnd w:id="3"/>
    </w:p>
    <w:p w14:paraId="5E824501" w14:textId="77777777" w:rsidR="009842A5" w:rsidRDefault="009842A5" w:rsidP="009842A5">
      <w:pPr>
        <w:jc w:val="both"/>
      </w:pPr>
    </w:p>
    <w:p w14:paraId="469E2AFA" w14:textId="77777777" w:rsidR="009842A5" w:rsidRDefault="009842A5" w:rsidP="009842A5">
      <w:pPr>
        <w:ind w:firstLine="720"/>
        <w:jc w:val="both"/>
      </w:pPr>
      <w:r>
        <w:t>Latvijā kopumā pastāv decentralizēta algu noteikšanas sistēma un viens minimālās algas līmenis, kas ir saistošs visiem darba devējiem. Saskaņā ar Darba likuma 61.pantu minimālā darba alga nedrīkst būt mazāka par valsts noteikto minimumu. Minimālās mēneša darba algas noteikšanas un pārskatīšanas kārtību nosaka Ministru kabinets. Tāpat Ministru kabinets nosaka minimālās mēneša darba algas apmēru normālā darba laika ietvaros, kā arī minimālās stundas tarifa likmes aprēķināšanu.</w:t>
      </w:r>
    </w:p>
    <w:p w14:paraId="3CE39D13" w14:textId="77777777" w:rsidR="009842A5" w:rsidRDefault="009842A5" w:rsidP="009842A5">
      <w:pPr>
        <w:ind w:firstLine="720"/>
        <w:jc w:val="both"/>
        <w:rPr>
          <w:color w:val="FF0000"/>
        </w:rPr>
      </w:pPr>
      <w:r>
        <w:t>Minimālā alga</w:t>
      </w:r>
      <w:r>
        <w:rPr>
          <w:b/>
        </w:rPr>
        <w:t xml:space="preserve"> </w:t>
      </w:r>
      <w:r>
        <w:t>ir noteikta Ministru kabineta 2015.gada 24.novembra noteikumos Nr.656 “Noteikumi par minimālās mēneša darba algas apmēru normālā darba laika ietvaros un minimālās stundas tarifa likmes aprēķināšanu”.</w:t>
      </w:r>
    </w:p>
    <w:p w14:paraId="030DBD18" w14:textId="77777777" w:rsidR="009842A5" w:rsidRDefault="009842A5" w:rsidP="009842A5">
      <w:pPr>
        <w:ind w:firstLine="720"/>
        <w:jc w:val="both"/>
      </w:pPr>
      <w:r>
        <w:t>Minimālās mēneša darba algas noteikšanas un pārskatīšanas sistēmu regulē Ministru kabineta 2016.gada 18.augusta noteikumi Nr.563 “Minimālās mēneša darba algas noteikšanas un pārskatīšanas kārtība” (turpmāk – noteikumi Nr.563). Regulējums nosaka, ka Labklājības ministrija (turpmāk – LM) kopīgi ar Finanšu ministriju (turpmāk – FM) un Ekonomikas ministriju (turpmāk - EM) katru gadu izvērtē ekonomisko situāciju valstī un izstrādā priekšlikumu (ziņojumu) par minimālās mēneša darba algas apmēru nākamajā gadā, ņemot vērā virkni rādītāju, kas noteikti noteikumos Nr.563.</w:t>
      </w:r>
    </w:p>
    <w:p w14:paraId="411BF75E" w14:textId="77777777" w:rsidR="009842A5" w:rsidRDefault="009842A5" w:rsidP="009842A5">
      <w:pPr>
        <w:ind w:firstLine="720"/>
        <w:jc w:val="both"/>
      </w:pPr>
      <w:r>
        <w:t>Tāpat regulējums nosaka, ka minimālās mēneša darba algas noteikšanā tiek iesaistīti sociālie partneri – Latvijas Darba devēju konfederācija (turpmāk – LDDK) un Latvijas Brīvo arodbiedrību savienība (turpmāk – LBAS) Nacionālajā trīspusējās sadarbības padomē (turpmāk - NTSP), kas koordinē un organizē trīspusējo sociālo dialogu starp darba devēju organizācijām, valsts institūcijām un arodbiedrībām, lai saskaņotu intereses sociālajos un ekonomiskajos jautājumos. Pēc izskatīšanas NTSP Ministru kabinets pieņem lēmumu par minimālās mēneša darba algas apmēru nākamajam gadam.</w:t>
      </w:r>
    </w:p>
    <w:p w14:paraId="68EDAD16" w14:textId="77777777" w:rsidR="009842A5" w:rsidRDefault="009842A5" w:rsidP="009842A5">
      <w:pPr>
        <w:pStyle w:val="naiskr"/>
        <w:spacing w:before="0" w:after="0"/>
        <w:ind w:firstLine="720"/>
        <w:jc w:val="both"/>
      </w:pPr>
      <w:r>
        <w:t>Sākotnējo priekšlikumu par minimālās algas apmēra saglabāšanu vai paaugstināšanu nākamajam gadam un attiecīgo izmaiņu ieviešanas datumu LM ir jāiesniedz izskatīšanai NTSP Sociālās drošības apakšpadomes sēdē un pēc tam NTSP.</w:t>
      </w:r>
    </w:p>
    <w:p w14:paraId="011610F8" w14:textId="77777777" w:rsidR="00B57B12" w:rsidRDefault="00B57B12" w:rsidP="00B57B12">
      <w:pPr>
        <w:ind w:firstLine="720"/>
        <w:jc w:val="both"/>
      </w:pPr>
      <w:r>
        <w:lastRenderedPageBreak/>
        <w:t xml:space="preserve">Ar grozījumiem Darba likumā, kas tika pieņemti 2022.gada 27.oktobrī un stājās spēkā 2022.gada 25.novembrī, tika noteikts, ka Ministru kabinets Darba likuma 61. panta otrajā daļā minētajos noteikumos nosaka to, ka minimālā mēneša darba alga normālā darba laika ietvaros no 2023.gada 1.janvāra nav mazāka par 620 eiro, savukārt no 2024.gada 1.janvāra nav mazāka par 700 eiro. Attiecīgi Ministru kabinets 2022.gada 13.decembrī apstiprināja grozījumus Ministru kabineta 2015.gada 24.novembra noteikumos Nr. 656 „Noteikumi par minimālās mēneša darba algas apmēru normālā darba laika ietvaros un minimālās stundas tarifa likmes aprēķināšanu”, nosakot, ka minimālā mēneša darba alga normālā darba laika ietvaros no 2023.gada 1.janvāra ir 620 eiro. </w:t>
      </w:r>
    </w:p>
    <w:p w14:paraId="75B7FCA7" w14:textId="60802B57" w:rsidR="009842A5" w:rsidRDefault="00B57B12" w:rsidP="001F402C">
      <w:pPr>
        <w:ind w:firstLine="720"/>
        <w:jc w:val="both"/>
      </w:pPr>
      <w:r>
        <w:t>Diskusijas ar sociālajiem partneriem par minimālās darba algas paaugstināšanas iespējām, sākot ar 2023.gadu, notika NTSP</w:t>
      </w:r>
      <w:r w:rsidR="003A674F">
        <w:t xml:space="preserve"> sēdē </w:t>
      </w:r>
      <w:r>
        <w:t>2022.gada 16.jūnijā</w:t>
      </w:r>
      <w:r w:rsidR="003A674F">
        <w:t>,</w:t>
      </w:r>
      <w:r>
        <w:t xml:space="preserve"> kā arī </w:t>
      </w:r>
      <w:r w:rsidR="003A674F">
        <w:t>NTSP Sociālās drošības apakšpadomes sēdēs 2022.gada 20.aprīlī un 2022.gada 21.septembrī.</w:t>
      </w:r>
    </w:p>
    <w:p w14:paraId="300B830C" w14:textId="77777777" w:rsidR="001F402C" w:rsidRDefault="001F402C" w:rsidP="001F402C">
      <w:pPr>
        <w:ind w:firstLine="720"/>
        <w:jc w:val="both"/>
      </w:pPr>
    </w:p>
    <w:p w14:paraId="5FB4712D" w14:textId="36AB8980" w:rsidR="009842A5" w:rsidRDefault="00063004" w:rsidP="001F402C">
      <w:pPr>
        <w:pStyle w:val="Heading2"/>
      </w:pPr>
      <w:bookmarkStart w:id="4" w:name="_Toc148720950"/>
      <w:r>
        <w:t>2.</w:t>
      </w:r>
      <w:r w:rsidR="00B770BE">
        <w:t>3</w:t>
      </w:r>
      <w:r>
        <w:t>.</w:t>
      </w:r>
      <w:r w:rsidR="009842A5">
        <w:t xml:space="preserve"> Darba koplīgumi</w:t>
      </w:r>
      <w:bookmarkEnd w:id="4"/>
    </w:p>
    <w:p w14:paraId="6DC6D44E" w14:textId="77777777" w:rsidR="001F402C" w:rsidRPr="001F402C" w:rsidRDefault="001F402C" w:rsidP="001F402C"/>
    <w:p w14:paraId="2866B4B3" w14:textId="77777777" w:rsidR="009842A5" w:rsidRDefault="009842A5" w:rsidP="009842A5">
      <w:pPr>
        <w:ind w:firstLine="720"/>
        <w:jc w:val="both"/>
      </w:pPr>
      <w:r>
        <w:t xml:space="preserve">Satversmes 108.pants garantē strādājošo tiesības uz koplīgumu. Darba likums paredz tiesības noslēgt darba koplīgumus uzņēmumā, nozarē vai teritorijā, t.sk. vispārsaistošus koplīgumus nozarē jeb ģenerālvienošanās. </w:t>
      </w:r>
    </w:p>
    <w:p w14:paraId="072EF958" w14:textId="77777777" w:rsidR="009842A5" w:rsidRDefault="009842A5" w:rsidP="009842A5">
      <w:pPr>
        <w:ind w:firstLine="720"/>
        <w:jc w:val="both"/>
      </w:pPr>
      <w:r>
        <w:t>Darba koplīgumā puses vienojas par noteikumiem, kas regulē darba tiesisko attiecību saturu, it īpaši darba samaksas un darba aizsardzības organizāciju, darba tiesisko attiecību nodibināšanu un izbeigšanu, darbinieku kvalifikācijas paaugstināšanu, kā arī darba kārtības, darbinieku sociālās aizsardzības un citus ar darba tiesiskajām attiecībām saistītus jautājumus, un nosaka savstarpējās tiesības un pienākumus.</w:t>
      </w:r>
    </w:p>
    <w:p w14:paraId="30204EEE" w14:textId="77777777" w:rsidR="009842A5" w:rsidRPr="00EB20C8" w:rsidRDefault="009842A5" w:rsidP="009842A5">
      <w:pPr>
        <w:ind w:firstLine="720"/>
        <w:jc w:val="both"/>
        <w:rPr>
          <w:color w:val="000000"/>
        </w:rPr>
      </w:pPr>
      <w:r>
        <w:t xml:space="preserve">Darba koplīgumu uzņēmumā slēdz darba devējs un darbinieku arodbiedrība vai darbinieku pilnvaroti pārstāvji, ja darbinieki nav apvienojušies arodbiedrībā, savukārt koplīgumu nozares līmenī (ģenerālvienošanos) slēdz darba devējs, darba devēju grupa, darba devēju organizācija vai šādu organizāciju apvienība ar darbinieku arodbiedrību vai arodbiedrību apvienību, kura apvieno vislielāko strādājošo skaitu valstī, vai arodbiedrību, kas ietilpst apvienībā, kura apvieno vislielāko strādājošo skaitu valstī, ja ģenerālvienošanās pusēm ir atbilstošs pilnvarojums vai ja tiesības slēgt </w:t>
      </w:r>
      <w:r w:rsidRPr="00EB20C8">
        <w:rPr>
          <w:color w:val="000000"/>
        </w:rPr>
        <w:t>ģenerālvienošanos paredzētas šo apvienību (savienību) statūtos.</w:t>
      </w:r>
    </w:p>
    <w:p w14:paraId="6280CF82" w14:textId="77777777" w:rsidR="009842A5" w:rsidRPr="00EB20C8" w:rsidRDefault="009842A5" w:rsidP="009842A5">
      <w:pPr>
        <w:ind w:firstLine="720"/>
        <w:jc w:val="both"/>
        <w:rPr>
          <w:color w:val="000000"/>
        </w:rPr>
      </w:pPr>
      <w:r w:rsidRPr="00EB20C8">
        <w:rPr>
          <w:color w:val="000000"/>
        </w:rPr>
        <w:t>Noslēgtā darba devēju organizācijas vai darba devēju organizāciju apvienības ģenerālvienošanās ir saistoša šīs organizācijas vai organizāciju apvienības biedriem. Šis noteikums attiecas arī uz darba devēju organizācijas vai darba devēju organizāciju apvienības biedriem, ja attiecīgā darba devēju organizācija vai darba devēju organizāciju apvienība ir pievienojusies jau noslēgtajam darba koplīgumam nozarē vai teritorijā. Darba devēju organizācijas vai darba devēju organizāciju apvienības biedra vēlāka izstāšanās no darba devēju organizācijas vai darba devēju organizāciju apvienības neietekmē koplīguma spēku attiecībā uz šo darba devēju vai darba devēju organizācijas biedru.</w:t>
      </w:r>
    </w:p>
    <w:p w14:paraId="02A5A046" w14:textId="77777777" w:rsidR="009842A5" w:rsidRDefault="009842A5" w:rsidP="009842A5">
      <w:pPr>
        <w:ind w:firstLine="720"/>
        <w:jc w:val="both"/>
      </w:pPr>
      <w:r>
        <w:rPr>
          <w:color w:val="000000"/>
        </w:rPr>
        <w:t>Savukārt gadījumā, j</w:t>
      </w:r>
      <w:r w:rsidRPr="00EB20C8">
        <w:rPr>
          <w:color w:val="000000"/>
        </w:rPr>
        <w:t>a ģenerālvienošanos noslēgušie darba devēji, darba devēju grupa, darba devēju organizācija vai darba devēju organizāciju apvienība, tajā skaitā arī darba devēji, kas pievienojušies jau noslēgtajam darba koplīgumam nozarē vai teritorijā, kādā nozarē atbilstoši Centrālās statistikas pārvaldes datiem nodarbina vairāk nekā 50 procentus darbinieku vai viņu preču apgrozījums vai pakalpojumu apjoms ir vairāk nekā 50 procenti no nozares preču apgrozījuma</w:t>
      </w:r>
      <w:r>
        <w:t xml:space="preserve"> vai pakalpojumu apjoma, tad ģenerālvienošanās ir saistoša visiem attiecīgās nozares darba devējiem un attiecas uz visiem darbiniekiem, kurus nodarbina šie darba devēji. Attiecībā uz minētajiem darba devējiem un darbiniekiem ģenerālvienošanās stājas spēkā ne agrāk kā triju mēnešu laikā no dienas, kad tā publicēta oficiālajā izdevumā "Latvijas Vēstnesis" un tajā nav noteikts cits — vēlāks spēkā stāšanās laiks. Ģenerālvienošanās oficiālajā izdevumā "Latvijas Vēstnesis" publicējama uz pušu kopīga pieteikuma pamata.</w:t>
      </w:r>
    </w:p>
    <w:p w14:paraId="27023C14" w14:textId="77777777" w:rsidR="009842A5" w:rsidRDefault="009842A5" w:rsidP="009842A5">
      <w:pPr>
        <w:ind w:firstLine="720"/>
        <w:jc w:val="both"/>
      </w:pPr>
      <w:r>
        <w:t>Pašreiz Latvijā ir noslēgtas trīs vispā</w:t>
      </w:r>
      <w:r w:rsidR="00F62411">
        <w:t>r</w:t>
      </w:r>
      <w:r>
        <w:t>saistošas ģenerālvienošanās, kas ietver arī citu (augstāku) minimālās algas līmeni.</w:t>
      </w:r>
    </w:p>
    <w:p w14:paraId="1BC789E9" w14:textId="77777777" w:rsidR="009842A5" w:rsidRPr="003F6C9B" w:rsidRDefault="009842A5" w:rsidP="009842A5">
      <w:pPr>
        <w:ind w:firstLine="720"/>
        <w:jc w:val="both"/>
      </w:pPr>
      <w:r w:rsidRPr="003F6C9B">
        <w:lastRenderedPageBreak/>
        <w:t>2019.gada 3.novembrī stājās spēkā ģenerālvienošanās, kas nosaka minimālo algu būvniecības nozarē strādājošajiem. Tā nosaka minimālo bruto algu 780 eiro apmērā un minimālo stundas tarifa likmi - 4,67 eiro visā būvniecības nozarē. Tā nosaka arī iespēju saņemt 5% piemaksu, ja nodarbinātais ir ieguvis profesijai atbilstošu izglītību, tādējādi garantējot 820 eiro minimālo algu.  Ģenerālvienošanās attiecas uz visiem darba devējiem, kas saimniecisko darbību veic būvniecības nozarē, un visiem darbiniekiem, kurus nodarbina minētie darba devēji un kuri atbilst būvniecības nozares ģenerālvienošanās noteiktajām pazīmēm. Ģenerālvienošanos ir parakstījusi Latvijas Būvniecības nozares arodbiedrība un 313 būvuzņēmumi.</w:t>
      </w:r>
    </w:p>
    <w:p w14:paraId="5DA45DF4" w14:textId="3C2413B0" w:rsidR="009F183F" w:rsidRPr="00A12849" w:rsidRDefault="009842A5" w:rsidP="009F183F">
      <w:pPr>
        <w:ind w:firstLine="720"/>
        <w:jc w:val="both"/>
      </w:pPr>
      <w:r w:rsidRPr="00A12849">
        <w:t xml:space="preserve">Ņemot vērā to, ka </w:t>
      </w:r>
      <w:r w:rsidR="00F62411" w:rsidRPr="00A12849">
        <w:t xml:space="preserve">ar </w:t>
      </w:r>
      <w:r w:rsidRPr="00A12849">
        <w:t>2023.gada 1.janvāri pieauga minimālā alga, arī būvniecības nozares sociālajiem partneriem bija jāveic izmaiņas ģenerālvienošanā, vai arī gadījumā, ja grozījumi nav veikti, jāpieņem, ka ģenerālvienošanās zaudē spēku gadu pēc neatbilstības attiecībā uz minimālo darba algu vai stundas alg</w:t>
      </w:r>
      <w:bookmarkStart w:id="5" w:name="_GoBack"/>
      <w:bookmarkEnd w:id="5"/>
      <w:r w:rsidRPr="00A12849">
        <w:t>as lik</w:t>
      </w:r>
      <w:r w:rsidR="003F6C9B" w:rsidRPr="00A12849">
        <w:t>m</w:t>
      </w:r>
      <w:r w:rsidRPr="00A12849">
        <w:t xml:space="preserve">i iestāšanās dienas. </w:t>
      </w:r>
      <w:r w:rsidR="009F183F" w:rsidRPr="00A12849">
        <w:t>Ģenerālvienošanās Pušu komiteja, kur ir pārstāvēti darba devēji un darba ņēmēji, 2023.gada septembrī vienojās par grozījumiem, kas paredz atalgojumu būvniecībā nodarbinātajiem palielināt līdz 930 eiro (bruto) vai minimālo stundas tarifa likmi līdz 5,57 eiro ar 2024.gada 1.janvāri, bet saglabāt līdzšinējo 780 eiro minimālo atalgojumu profesiju devītās pamatgrupas - vienkāršo profesiju - nodarbinātajiem īslaicīgi līdz 2024.gada 31.decembrim. Panāktā vienošanās nozīmē arī to, ka nozares koplīgums saglabājas spēkā un tā dalībnieki ir ieguvuši laiku, lai nākamajā gadā pārskatītu ģenerālvienošanās nosacījumus atbilstoši esošajai situācijai nozarē un ekonomikā. Koplīguma puses vienojās 2024.gadā izstrādāt jaunu ģenerālvienošanās minimālās algas aprēķina modeli, pārejot no sasaistes ar valstī noteikto minimālo algu uz būvniecības nozares vidējo atalgojumu.</w:t>
      </w:r>
    </w:p>
    <w:p w14:paraId="6639700F" w14:textId="77777777" w:rsidR="009842A5" w:rsidRPr="00656F67" w:rsidRDefault="009842A5" w:rsidP="009842A5">
      <w:pPr>
        <w:ind w:firstLine="720"/>
        <w:jc w:val="both"/>
        <w:rPr>
          <w:color w:val="000000"/>
        </w:rPr>
      </w:pPr>
      <w:r w:rsidRPr="00656F67">
        <w:rPr>
          <w:color w:val="000000"/>
        </w:rPr>
        <w:t>2019.gada 17.decembrī tika parakstīta stikla šķiedras nozares ģenerālvienošanās. Tā nosaka, ka augstākās kvalifikācijas darbiniekiem paredzēta darba samaksa, kuras minimālais līmenis attiecībā pret 2019.gadā valstī noteikto minimālo darba algu ir 2,5 reizes lielāks, vidējās kvalifikācijas darbiniekiem – divas reizes lielāks, bet zemākās kvalifikācijas darbiniekiem - par 20% lielāks. Ģenerālvienošanās stājās spēkā sešu mēnešu laikā pēc tās publicēšanas “Latvijas Vēstnesī” (2019.gada 30.decembrī) un ir saistoša trīs gadus no tās stāšanās spēkā brīža.</w:t>
      </w:r>
    </w:p>
    <w:p w14:paraId="448CCFF5" w14:textId="77777777" w:rsidR="009842A5" w:rsidRPr="00656F67" w:rsidRDefault="009842A5" w:rsidP="009842A5">
      <w:pPr>
        <w:ind w:firstLine="720"/>
        <w:jc w:val="both"/>
        <w:rPr>
          <w:color w:val="000000"/>
        </w:rPr>
      </w:pPr>
      <w:r w:rsidRPr="00656F67">
        <w:rPr>
          <w:color w:val="000000"/>
        </w:rPr>
        <w:t>Līdz 2024.gadam spēkā ir dzelzceļa nozares ģenerālvienošanās, kas ir saistoša visiem uzņēmumiem, kuru darbība ir saistīta ar dzelzceļu vai dzelzceļa transporta funkcionēšanu. Ģenerālvienošanās nosaka pušu minimālo saistību un garantiju apjomu, ko var papildināt darba koplīgumos, kuri noslēdzami starp darba devēju un arodbiedrību. Minimālās darba samaksas jautājums šajā ģenerālvienošanās netiek skarts.</w:t>
      </w:r>
    </w:p>
    <w:p w14:paraId="6912C20B" w14:textId="5910CB5E" w:rsidR="009842A5" w:rsidRDefault="009842A5" w:rsidP="009842A5">
      <w:pPr>
        <w:ind w:firstLine="720"/>
        <w:jc w:val="both"/>
      </w:pPr>
      <w:r>
        <w:rPr>
          <w:color w:val="000000"/>
        </w:rPr>
        <w:t xml:space="preserve">Vienlaikus jānorāda, ka </w:t>
      </w:r>
      <w:r w:rsidRPr="00656F67">
        <w:rPr>
          <w:color w:val="000000"/>
        </w:rPr>
        <w:t>2020.gada 16.martā Latvijas Sakaru nozares arodbiedrība un trīs darba devēju organizācijas (Latvijas</w:t>
      </w:r>
      <w:r>
        <w:t xml:space="preserve"> Restorānu biedrība, Latvijas viesnīcu un restorānu asociācija un Latvijas Tirgotāju asociācija) ir parakstījušas ģenerālvienošanos viesmīlības sektorā, kas nav vispārsaistoša un kas paredz noteikt minimālo algu un sociālās garantijas nozarē strādājošajiem. Kā priekšnoteikumu, lai tā stātos spēkā, nozares izvirzīja priekšlikumus nodokļu politikas jomā, kas nav tikuši atbalstīti, līdz ar to šī ģenerālvienošanās nav stājusies spēkā.</w:t>
      </w:r>
    </w:p>
    <w:p w14:paraId="0FAB0A3F" w14:textId="77777777" w:rsidR="009842A5" w:rsidRDefault="009842A5">
      <w:pPr>
        <w:ind w:firstLine="720"/>
        <w:jc w:val="both"/>
      </w:pPr>
    </w:p>
    <w:p w14:paraId="2FB4DC18" w14:textId="77777777" w:rsidR="009842A5" w:rsidRDefault="00063004" w:rsidP="001F402C">
      <w:pPr>
        <w:pStyle w:val="Heading2"/>
      </w:pPr>
      <w:bookmarkStart w:id="6" w:name="_Toc148720951"/>
      <w:r>
        <w:t>2.</w:t>
      </w:r>
      <w:r w:rsidR="00B770BE">
        <w:t>4</w:t>
      </w:r>
      <w:r>
        <w:t>.</w:t>
      </w:r>
      <w:r w:rsidR="009842A5">
        <w:t xml:space="preserve"> Direktīva par minimālajām algām Eiropas Savienībā</w:t>
      </w:r>
      <w:bookmarkEnd w:id="6"/>
    </w:p>
    <w:p w14:paraId="486C49F4" w14:textId="77777777" w:rsidR="009842A5" w:rsidRDefault="009842A5" w:rsidP="009842A5">
      <w:pPr>
        <w:jc w:val="both"/>
      </w:pPr>
    </w:p>
    <w:p w14:paraId="7D5DE92F" w14:textId="3CA94FE7" w:rsidR="009842A5" w:rsidRDefault="009842A5" w:rsidP="009842A5">
      <w:pPr>
        <w:ind w:firstLine="720"/>
        <w:jc w:val="both"/>
      </w:pPr>
      <w:r>
        <w:t>Pieeja, kas nosaka regulāru minimālās mēneša darba algas paaugstināšanu, ir nostiprināta arī Eiropas Parlamenta un Padomes  2022.gada 19.oktobra direktīvā</w:t>
      </w:r>
      <w:r w:rsidR="003E3426">
        <w:t xml:space="preserve"> </w:t>
      </w:r>
      <w:r>
        <w:t xml:space="preserve">2022/2041 par adekvātām minimālajām algām Eiropas Savienībā. Ņemot vērā direktīvā noteiktos principus, direktīvas pārņemšanas periodā (2 gadi) Latvijai savos tiesību aktos </w:t>
      </w:r>
      <w:r w:rsidR="00666D44">
        <w:t xml:space="preserve">būs jānosaka minimālās algas noteikšanas procesā analizējamie rādītāji, kā arī atsauces vērtība </w:t>
      </w:r>
      <w:r>
        <w:t>minimālās algas apmēr</w:t>
      </w:r>
      <w:r w:rsidR="00666D44">
        <w:t>am</w:t>
      </w:r>
      <w:r>
        <w:t xml:space="preserve">, piemēram, kā noteikts procents no Centrālās statistikas pārvaldes aprēķinātās vidējās darba samaksas valstī. Vidējā alga valstī katru gadu pieaug, līdz ar to katru gadu tiktu </w:t>
      </w:r>
      <w:r>
        <w:lastRenderedPageBreak/>
        <w:t>paaugstināta arī minimālā mēneša darba alga un būtu zināma prognozējamība par minimālās mēneša darba algas pieaugumu.</w:t>
      </w:r>
    </w:p>
    <w:p w14:paraId="16C79E39" w14:textId="083E1CC9" w:rsidR="009842A5" w:rsidRDefault="009842A5" w:rsidP="009842A5">
      <w:pPr>
        <w:ind w:firstLine="720"/>
        <w:jc w:val="both"/>
        <w:rPr>
          <w:color w:val="000000"/>
        </w:rPr>
      </w:pPr>
      <w:r>
        <w:rPr>
          <w:color w:val="000000"/>
        </w:rPr>
        <w:t xml:space="preserve">Direktīva nosaka, ka ES </w:t>
      </w:r>
      <w:r>
        <w:t xml:space="preserve">dalībvalstis regulāri pārskata ar tiesību aktu noteikto minimālo algu, lai nodrošinātu tās adekvātumu. Vienlaikus direktīva paredz, ka </w:t>
      </w:r>
      <w:r>
        <w:rPr>
          <w:color w:val="000000"/>
        </w:rPr>
        <w:t>minimālās algas noteikšan</w:t>
      </w:r>
      <w:r w:rsidR="00666D44">
        <w:rPr>
          <w:color w:val="000000"/>
        </w:rPr>
        <w:t>as un pārskatīšanas procesā</w:t>
      </w:r>
      <w:r>
        <w:rPr>
          <w:color w:val="000000"/>
        </w:rPr>
        <w:t xml:space="preserve"> var tikt </w:t>
      </w:r>
      <w:r w:rsidR="00666D44">
        <w:rPr>
          <w:color w:val="000000"/>
        </w:rPr>
        <w:t>ņemti vērā</w:t>
      </w:r>
      <w:r>
        <w:rPr>
          <w:color w:val="000000"/>
        </w:rPr>
        <w:t xml:space="preserve"> tādi kritēriji kā</w:t>
      </w:r>
      <w:r w:rsidR="00666D44">
        <w:rPr>
          <w:color w:val="000000"/>
        </w:rPr>
        <w:t>, piemēram,</w:t>
      </w:r>
      <w:r>
        <w:rPr>
          <w:color w:val="000000"/>
        </w:rPr>
        <w:t xml:space="preserve"> 60% no algas mediānas vai 50% no vidējās darba algas</w:t>
      </w:r>
      <w:r w:rsidR="004F63AF">
        <w:rPr>
          <w:color w:val="000000"/>
        </w:rPr>
        <w:t xml:space="preserve"> </w:t>
      </w:r>
      <w:r w:rsidR="00666D44">
        <w:rPr>
          <w:color w:val="000000"/>
        </w:rPr>
        <w:t>vai citi</w:t>
      </w:r>
      <w:r w:rsidR="004F63AF">
        <w:rPr>
          <w:color w:val="000000"/>
        </w:rPr>
        <w:t xml:space="preserve"> kritēriji</w:t>
      </w:r>
      <w:r w:rsidR="00666D44">
        <w:rPr>
          <w:color w:val="000000"/>
        </w:rPr>
        <w:t>, kas sniedz skaidru un pamatotu atsauces vērtību</w:t>
      </w:r>
      <w:r>
        <w:rPr>
          <w:color w:val="000000"/>
        </w:rPr>
        <w:t>.</w:t>
      </w:r>
    </w:p>
    <w:p w14:paraId="030DA4C9" w14:textId="77777777" w:rsidR="009842A5" w:rsidRDefault="009842A5" w:rsidP="009842A5">
      <w:pPr>
        <w:ind w:firstLine="720"/>
        <w:jc w:val="both"/>
        <w:rPr>
          <w:color w:val="000000"/>
        </w:rPr>
      </w:pPr>
      <w:r>
        <w:t>Tāpat direktīva nosaka, ka dalībvalstīm, kuru tiesību aktos ir noteikta minimālā alga, būs jāievieš minimālās algas noteikšanas un atjaunināšanas pārvaldības sistēma. Tiesību aktos būs jāietver kritēriji minimālās algas noteikšanai, piemēram, kāda no direktīvā sniegtajām atsauces vērtībām, lai novērtētu minimālās algas adekvātumu. Direktīva arī nosaka, ka dalībvalstīm būs jāveic regulāra un savlaicīga minimālās algas pārskatīšana, jāizveido konsultatīvās struktūras ar sociālo partneru dalību.</w:t>
      </w:r>
    </w:p>
    <w:p w14:paraId="3D776FB6" w14:textId="77777777" w:rsidR="009842A5" w:rsidRDefault="009842A5" w:rsidP="009842A5">
      <w:pPr>
        <w:ind w:firstLine="720"/>
        <w:jc w:val="both"/>
      </w:pPr>
      <w:r>
        <w:t>Direktīvas noteikumi jāpārņem nacionālaj</w:t>
      </w:r>
      <w:r w:rsidR="003F6C9B">
        <w:t>ā</w:t>
      </w:r>
      <w:r>
        <w:t xml:space="preserve"> regulējumā līdz 2024.gada 15.novembrim. </w:t>
      </w:r>
    </w:p>
    <w:p w14:paraId="2ED5C125" w14:textId="77777777" w:rsidR="0085622A" w:rsidRDefault="0085622A" w:rsidP="001F402C">
      <w:pPr>
        <w:pStyle w:val="naiskr"/>
        <w:spacing w:before="0" w:after="0"/>
        <w:jc w:val="both"/>
      </w:pPr>
    </w:p>
    <w:p w14:paraId="595F7551" w14:textId="77777777" w:rsidR="0085622A" w:rsidRDefault="003A674F" w:rsidP="001F402C">
      <w:pPr>
        <w:pStyle w:val="Heading1"/>
      </w:pPr>
      <w:bookmarkStart w:id="7" w:name="_Toc148720952"/>
      <w:r>
        <w:t>3. Minimālā darba alga Baltijas valstīs un ES</w:t>
      </w:r>
      <w:bookmarkEnd w:id="7"/>
    </w:p>
    <w:p w14:paraId="3E248C34" w14:textId="77777777" w:rsidR="0085622A" w:rsidRDefault="0085622A">
      <w:pPr>
        <w:pStyle w:val="naiskr"/>
        <w:spacing w:before="0" w:after="0"/>
        <w:jc w:val="both"/>
      </w:pPr>
    </w:p>
    <w:p w14:paraId="1B237053" w14:textId="77777777" w:rsidR="0085622A" w:rsidRDefault="003A674F" w:rsidP="001F402C">
      <w:pPr>
        <w:pStyle w:val="Heading2"/>
      </w:pPr>
      <w:bookmarkStart w:id="8" w:name="_Toc148720953"/>
      <w:r>
        <w:t>3.1. Minimālā darba alga Baltijas valstīs</w:t>
      </w:r>
      <w:bookmarkEnd w:id="8"/>
    </w:p>
    <w:p w14:paraId="3998D3EE" w14:textId="77777777" w:rsidR="0085622A" w:rsidRDefault="0085622A">
      <w:pPr>
        <w:jc w:val="both"/>
      </w:pPr>
    </w:p>
    <w:p w14:paraId="370718A5" w14:textId="77777777" w:rsidR="0085622A" w:rsidRDefault="003A674F">
      <w:pPr>
        <w:ind w:firstLine="720"/>
        <w:jc w:val="both"/>
      </w:pPr>
      <w:r>
        <w:t xml:space="preserve">Salīdzinājumā ar pārējām Baltijas valstīm, Latvija 2022. gadā nepaaugstināja minimālo darba algu un tā palika nemainīga – </w:t>
      </w:r>
      <w:r>
        <w:rPr>
          <w:bCs/>
        </w:rPr>
        <w:t>500 eiro</w:t>
      </w:r>
      <w:r>
        <w:t xml:space="preserve">, savukārt, Lietuva paaugstināja minimālo darba algu no 642 eiro līdz </w:t>
      </w:r>
      <w:r>
        <w:rPr>
          <w:bCs/>
        </w:rPr>
        <w:t xml:space="preserve">730 eiro </w:t>
      </w:r>
      <w:r>
        <w:t xml:space="preserve">(par 88 eiro jeb 13,7%) un Igaunija paaugstināja minimālo darba algu no 584 eiro līdz </w:t>
      </w:r>
      <w:r>
        <w:rPr>
          <w:bCs/>
        </w:rPr>
        <w:t>654 eiro</w:t>
      </w:r>
      <w:r>
        <w:t xml:space="preserve"> (par 70 eiro jeb 11,9%) (skat. 1.tabulu).</w:t>
      </w:r>
    </w:p>
    <w:p w14:paraId="26493AD9" w14:textId="77777777" w:rsidR="00821E4C" w:rsidRDefault="0076061A" w:rsidP="0076061A">
      <w:pPr>
        <w:ind w:firstLine="720"/>
        <w:jc w:val="both"/>
      </w:pPr>
      <w:r>
        <w:t xml:space="preserve">Savukārt, </w:t>
      </w:r>
      <w:r w:rsidR="00821E4C">
        <w:t>2023.gad</w:t>
      </w:r>
      <w:r>
        <w:t xml:space="preserve">ā </w:t>
      </w:r>
      <w:r w:rsidR="00821E4C">
        <w:t xml:space="preserve">Lietuva </w:t>
      </w:r>
      <w:r>
        <w:t xml:space="preserve">paaugstināja </w:t>
      </w:r>
      <w:r w:rsidR="00821E4C">
        <w:t>minimāl</w:t>
      </w:r>
      <w:r>
        <w:t>o</w:t>
      </w:r>
      <w:r w:rsidR="00821E4C">
        <w:t xml:space="preserve"> alg</w:t>
      </w:r>
      <w:r>
        <w:t>u</w:t>
      </w:r>
      <w:r w:rsidR="00821E4C">
        <w:t xml:space="preserve"> par 15% līdz 840 eiro mēnesī (Lietuvā atšķirībā no Latvijas un Igaunijas bruto minimālā alga no 2019.gada 1.janvāra ietver gan darba ņēmēja, gan iepriekšējo darba devēja daļu sociālās apdrošināšanas iemaksās, Lietuvā darba ņēmējam maksājot visas sociālās apdrošināšanas iemaksas).</w:t>
      </w:r>
      <w:r>
        <w:t xml:space="preserve"> </w:t>
      </w:r>
      <w:r w:rsidR="00821E4C">
        <w:t xml:space="preserve">Igaunija </w:t>
      </w:r>
      <w:r>
        <w:t xml:space="preserve">paaugstināja </w:t>
      </w:r>
      <w:r w:rsidR="00821E4C">
        <w:t>minimāl</w:t>
      </w:r>
      <w:r>
        <w:t>o</w:t>
      </w:r>
      <w:r w:rsidR="00821E4C">
        <w:t xml:space="preserve"> alg</w:t>
      </w:r>
      <w:r>
        <w:t>u</w:t>
      </w:r>
      <w:r w:rsidR="00821E4C">
        <w:t xml:space="preserve"> par 10,9% līdz 725 eiro mēnesī</w:t>
      </w:r>
      <w:r w:rsidR="00082C28">
        <w:t>, bet</w:t>
      </w:r>
      <w:r>
        <w:t xml:space="preserve"> Latvija paaugstināja minimālo algu par 24% līdz 620 eiro. </w:t>
      </w:r>
      <w:r w:rsidR="00C35106">
        <w:t xml:space="preserve"> </w:t>
      </w:r>
    </w:p>
    <w:p w14:paraId="6263668E" w14:textId="77777777" w:rsidR="00063004" w:rsidRDefault="00063004">
      <w:pPr>
        <w:ind w:firstLine="720"/>
        <w:jc w:val="both"/>
      </w:pPr>
    </w:p>
    <w:p w14:paraId="454928AE" w14:textId="734A9627" w:rsidR="0085622A" w:rsidRDefault="003A674F" w:rsidP="00962C57">
      <w:pPr>
        <w:jc w:val="right"/>
      </w:pPr>
      <w:r>
        <w:t>1.tabula</w:t>
      </w:r>
    </w:p>
    <w:p w14:paraId="22AA8397" w14:textId="77777777" w:rsidR="0085622A" w:rsidRDefault="003A674F">
      <w:pPr>
        <w:jc w:val="center"/>
        <w:rPr>
          <w:b/>
        </w:rPr>
      </w:pPr>
      <w:r>
        <w:rPr>
          <w:b/>
        </w:rPr>
        <w:t>Minimālā darba alga Baltijas valstīs 2021.</w:t>
      </w:r>
      <w:r w:rsidR="00C35106">
        <w:rPr>
          <w:b/>
        </w:rPr>
        <w:t xml:space="preserve"> - </w:t>
      </w:r>
      <w:r>
        <w:rPr>
          <w:b/>
        </w:rPr>
        <w:t>202</w:t>
      </w:r>
      <w:r w:rsidR="00C35106">
        <w:rPr>
          <w:b/>
        </w:rPr>
        <w:t>3</w:t>
      </w:r>
      <w:r>
        <w:rPr>
          <w:b/>
        </w:rPr>
        <w:t>. gadā</w:t>
      </w:r>
    </w:p>
    <w:p w14:paraId="0286EC4F" w14:textId="77777777" w:rsidR="00C35106" w:rsidRDefault="00C35106">
      <w:pPr>
        <w:jc w:val="center"/>
        <w:rPr>
          <w:b/>
        </w:rPr>
      </w:pPr>
    </w:p>
    <w:tbl>
      <w:tblPr>
        <w:tblStyle w:val="TableGrid"/>
        <w:tblW w:w="9073" w:type="dxa"/>
        <w:tblInd w:w="-431" w:type="dxa"/>
        <w:tblLook w:val="04A0" w:firstRow="1" w:lastRow="0" w:firstColumn="1" w:lastColumn="0" w:noHBand="0" w:noVBand="1"/>
      </w:tblPr>
      <w:tblGrid>
        <w:gridCol w:w="1125"/>
        <w:gridCol w:w="1132"/>
        <w:gridCol w:w="1133"/>
        <w:gridCol w:w="1133"/>
        <w:gridCol w:w="1133"/>
        <w:gridCol w:w="1139"/>
        <w:gridCol w:w="1139"/>
        <w:gridCol w:w="1139"/>
      </w:tblGrid>
      <w:tr w:rsidR="007966E3" w:rsidRPr="007966E3" w14:paraId="3C4D5257" w14:textId="77777777" w:rsidTr="007966E3">
        <w:trPr>
          <w:trHeight w:val="1617"/>
        </w:trPr>
        <w:tc>
          <w:tcPr>
            <w:tcW w:w="1130" w:type="dxa"/>
            <w:shd w:val="clear" w:color="auto" w:fill="BDD6EE" w:themeFill="accent5" w:themeFillTint="66"/>
          </w:tcPr>
          <w:p w14:paraId="0D244BDF" w14:textId="77777777" w:rsidR="00C35106" w:rsidRPr="007966E3" w:rsidRDefault="00C35106">
            <w:pPr>
              <w:rPr>
                <w:b/>
                <w:sz w:val="20"/>
                <w:szCs w:val="20"/>
              </w:rPr>
            </w:pPr>
          </w:p>
        </w:tc>
        <w:tc>
          <w:tcPr>
            <w:tcW w:w="1133" w:type="dxa"/>
            <w:shd w:val="clear" w:color="auto" w:fill="BDD6EE" w:themeFill="accent5" w:themeFillTint="66"/>
          </w:tcPr>
          <w:p w14:paraId="447F7431" w14:textId="77777777" w:rsidR="00C35106" w:rsidRPr="007966E3" w:rsidRDefault="00C35106">
            <w:pPr>
              <w:jc w:val="center"/>
              <w:rPr>
                <w:b/>
                <w:sz w:val="20"/>
                <w:szCs w:val="20"/>
              </w:rPr>
            </w:pPr>
            <w:r w:rsidRPr="007966E3">
              <w:rPr>
                <w:b/>
                <w:sz w:val="20"/>
                <w:szCs w:val="20"/>
              </w:rPr>
              <w:t>Minimālā bruto alga 2021.gadā,</w:t>
            </w:r>
          </w:p>
          <w:p w14:paraId="689965E3" w14:textId="77777777" w:rsidR="00C35106" w:rsidRPr="007966E3" w:rsidRDefault="00C35106">
            <w:pPr>
              <w:jc w:val="center"/>
              <w:rPr>
                <w:b/>
                <w:sz w:val="20"/>
                <w:szCs w:val="20"/>
              </w:rPr>
            </w:pPr>
            <w:r w:rsidRPr="007966E3">
              <w:rPr>
                <w:b/>
                <w:sz w:val="20"/>
                <w:szCs w:val="20"/>
              </w:rPr>
              <w:t>EUR</w:t>
            </w:r>
          </w:p>
        </w:tc>
        <w:tc>
          <w:tcPr>
            <w:tcW w:w="1133" w:type="dxa"/>
            <w:shd w:val="clear" w:color="auto" w:fill="BDD6EE" w:themeFill="accent5" w:themeFillTint="66"/>
          </w:tcPr>
          <w:p w14:paraId="5FE6AE2C" w14:textId="77777777" w:rsidR="00C35106" w:rsidRPr="007966E3" w:rsidRDefault="00C35106" w:rsidP="00082C28">
            <w:pPr>
              <w:jc w:val="center"/>
              <w:rPr>
                <w:b/>
                <w:sz w:val="20"/>
                <w:szCs w:val="20"/>
              </w:rPr>
            </w:pPr>
            <w:r w:rsidRPr="007966E3">
              <w:rPr>
                <w:b/>
                <w:sz w:val="20"/>
                <w:szCs w:val="20"/>
              </w:rPr>
              <w:t>Minimālā bruto alga 2022.gadā,</w:t>
            </w:r>
          </w:p>
          <w:p w14:paraId="2FB4BFBA" w14:textId="77777777" w:rsidR="00C35106" w:rsidRPr="007966E3" w:rsidRDefault="00C35106" w:rsidP="00082C28">
            <w:pPr>
              <w:jc w:val="center"/>
              <w:rPr>
                <w:b/>
                <w:sz w:val="20"/>
                <w:szCs w:val="20"/>
              </w:rPr>
            </w:pPr>
            <w:r w:rsidRPr="007966E3">
              <w:rPr>
                <w:b/>
                <w:sz w:val="20"/>
                <w:szCs w:val="20"/>
              </w:rPr>
              <w:t>EUR</w:t>
            </w:r>
          </w:p>
        </w:tc>
        <w:tc>
          <w:tcPr>
            <w:tcW w:w="1133" w:type="dxa"/>
            <w:shd w:val="clear" w:color="auto" w:fill="BDD6EE" w:themeFill="accent5" w:themeFillTint="66"/>
          </w:tcPr>
          <w:p w14:paraId="442C1212" w14:textId="77777777" w:rsidR="00C35106" w:rsidRPr="007966E3" w:rsidRDefault="00C35106" w:rsidP="00082C28">
            <w:pPr>
              <w:jc w:val="center"/>
              <w:rPr>
                <w:b/>
                <w:sz w:val="20"/>
                <w:szCs w:val="20"/>
              </w:rPr>
            </w:pPr>
            <w:r w:rsidRPr="007966E3">
              <w:rPr>
                <w:b/>
                <w:sz w:val="20"/>
                <w:szCs w:val="20"/>
              </w:rPr>
              <w:t>Minimālā bruto alga 2023.gadā,</w:t>
            </w:r>
          </w:p>
          <w:p w14:paraId="69BE0BA9" w14:textId="77777777" w:rsidR="00C35106" w:rsidRPr="007966E3" w:rsidRDefault="00C35106" w:rsidP="00082C28">
            <w:pPr>
              <w:jc w:val="center"/>
              <w:rPr>
                <w:b/>
                <w:sz w:val="20"/>
                <w:szCs w:val="20"/>
              </w:rPr>
            </w:pPr>
            <w:r w:rsidRPr="007966E3">
              <w:rPr>
                <w:b/>
                <w:sz w:val="20"/>
                <w:szCs w:val="20"/>
              </w:rPr>
              <w:t>EUR</w:t>
            </w:r>
          </w:p>
        </w:tc>
        <w:tc>
          <w:tcPr>
            <w:tcW w:w="1133" w:type="dxa"/>
            <w:shd w:val="clear" w:color="auto" w:fill="BDD6EE" w:themeFill="accent5" w:themeFillTint="66"/>
          </w:tcPr>
          <w:p w14:paraId="3AD24B68" w14:textId="77777777" w:rsidR="00C35106" w:rsidRPr="007966E3" w:rsidRDefault="00C35106" w:rsidP="00C35106">
            <w:pPr>
              <w:jc w:val="center"/>
              <w:rPr>
                <w:b/>
                <w:sz w:val="20"/>
                <w:szCs w:val="20"/>
              </w:rPr>
            </w:pPr>
            <w:r w:rsidRPr="007966E3">
              <w:rPr>
                <w:b/>
                <w:sz w:val="20"/>
                <w:szCs w:val="20"/>
              </w:rPr>
              <w:t>Minimālā bruto alga 2024.gadā,</w:t>
            </w:r>
          </w:p>
          <w:p w14:paraId="30A395AC" w14:textId="77777777" w:rsidR="00C35106" w:rsidRPr="007966E3" w:rsidRDefault="00C35106" w:rsidP="00C35106">
            <w:pPr>
              <w:jc w:val="center"/>
              <w:rPr>
                <w:b/>
                <w:sz w:val="20"/>
                <w:szCs w:val="20"/>
              </w:rPr>
            </w:pPr>
            <w:r w:rsidRPr="007966E3">
              <w:rPr>
                <w:b/>
                <w:sz w:val="20"/>
                <w:szCs w:val="20"/>
              </w:rPr>
              <w:t>EUR</w:t>
            </w:r>
          </w:p>
          <w:p w14:paraId="0EB1A681" w14:textId="77777777" w:rsidR="00C35106" w:rsidRPr="007966E3" w:rsidRDefault="00C35106" w:rsidP="00C35106">
            <w:pPr>
              <w:jc w:val="center"/>
              <w:rPr>
                <w:b/>
                <w:sz w:val="20"/>
                <w:szCs w:val="20"/>
              </w:rPr>
            </w:pPr>
            <w:r w:rsidRPr="007966E3">
              <w:rPr>
                <w:b/>
                <w:sz w:val="20"/>
                <w:szCs w:val="20"/>
              </w:rPr>
              <w:t>(plānots)</w:t>
            </w:r>
          </w:p>
        </w:tc>
        <w:tc>
          <w:tcPr>
            <w:tcW w:w="1139" w:type="dxa"/>
            <w:shd w:val="clear" w:color="auto" w:fill="BDD6EE" w:themeFill="accent5" w:themeFillTint="66"/>
          </w:tcPr>
          <w:p w14:paraId="504D4D1F" w14:textId="77777777" w:rsidR="00C35106" w:rsidRPr="007966E3" w:rsidRDefault="00C35106">
            <w:pPr>
              <w:jc w:val="center"/>
              <w:rPr>
                <w:b/>
                <w:sz w:val="20"/>
                <w:szCs w:val="20"/>
              </w:rPr>
            </w:pPr>
            <w:r w:rsidRPr="007966E3">
              <w:rPr>
                <w:b/>
                <w:sz w:val="20"/>
                <w:szCs w:val="20"/>
              </w:rPr>
              <w:t>Minimālās bruto algas pieaugums 2022.gadā, %</w:t>
            </w:r>
          </w:p>
        </w:tc>
        <w:tc>
          <w:tcPr>
            <w:tcW w:w="1139" w:type="dxa"/>
            <w:shd w:val="clear" w:color="auto" w:fill="BDD6EE" w:themeFill="accent5" w:themeFillTint="66"/>
          </w:tcPr>
          <w:p w14:paraId="4094892F" w14:textId="77777777" w:rsidR="00C35106" w:rsidRPr="007966E3" w:rsidRDefault="00C35106">
            <w:pPr>
              <w:jc w:val="center"/>
              <w:rPr>
                <w:b/>
                <w:sz w:val="20"/>
                <w:szCs w:val="20"/>
              </w:rPr>
            </w:pPr>
            <w:r w:rsidRPr="007966E3">
              <w:rPr>
                <w:b/>
                <w:sz w:val="20"/>
                <w:szCs w:val="20"/>
              </w:rPr>
              <w:t>Minimālās bruto algas pieaugums 2023.gadā, %</w:t>
            </w:r>
          </w:p>
        </w:tc>
        <w:tc>
          <w:tcPr>
            <w:tcW w:w="1133" w:type="dxa"/>
            <w:shd w:val="clear" w:color="auto" w:fill="BDD6EE" w:themeFill="accent5" w:themeFillTint="66"/>
          </w:tcPr>
          <w:p w14:paraId="1D5FB1A2" w14:textId="77777777" w:rsidR="00C35106" w:rsidRPr="007966E3" w:rsidRDefault="00C35106">
            <w:pPr>
              <w:jc w:val="center"/>
              <w:rPr>
                <w:b/>
                <w:sz w:val="20"/>
                <w:szCs w:val="20"/>
              </w:rPr>
            </w:pPr>
            <w:r w:rsidRPr="007966E3">
              <w:rPr>
                <w:b/>
                <w:sz w:val="20"/>
                <w:szCs w:val="20"/>
              </w:rPr>
              <w:t>Minimālās bruto algas pieaugums 2024.gadā, %</w:t>
            </w:r>
          </w:p>
          <w:p w14:paraId="7B2E5A5B" w14:textId="77777777" w:rsidR="00C35106" w:rsidRPr="007966E3" w:rsidRDefault="00C35106">
            <w:pPr>
              <w:jc w:val="center"/>
              <w:rPr>
                <w:b/>
                <w:sz w:val="20"/>
                <w:szCs w:val="20"/>
              </w:rPr>
            </w:pPr>
            <w:r w:rsidRPr="007966E3">
              <w:rPr>
                <w:b/>
                <w:sz w:val="20"/>
                <w:szCs w:val="20"/>
              </w:rPr>
              <w:t>(plānots)</w:t>
            </w:r>
          </w:p>
        </w:tc>
      </w:tr>
      <w:tr w:rsidR="007966E3" w14:paraId="114F1829" w14:textId="77777777" w:rsidTr="007966E3">
        <w:trPr>
          <w:trHeight w:val="276"/>
        </w:trPr>
        <w:tc>
          <w:tcPr>
            <w:tcW w:w="1130" w:type="dxa"/>
          </w:tcPr>
          <w:p w14:paraId="7D5CA20D" w14:textId="77777777" w:rsidR="007966E3" w:rsidRDefault="007966E3" w:rsidP="002D165F">
            <w:pPr>
              <w:rPr>
                <w:b/>
              </w:rPr>
            </w:pPr>
            <w:r>
              <w:rPr>
                <w:b/>
              </w:rPr>
              <w:t>Lietuva</w:t>
            </w:r>
          </w:p>
        </w:tc>
        <w:tc>
          <w:tcPr>
            <w:tcW w:w="1133" w:type="dxa"/>
          </w:tcPr>
          <w:p w14:paraId="65C1D3BE" w14:textId="77777777" w:rsidR="007966E3" w:rsidRDefault="007966E3" w:rsidP="002D165F">
            <w:pPr>
              <w:jc w:val="center"/>
              <w:rPr>
                <w:b/>
              </w:rPr>
            </w:pPr>
            <w:r>
              <w:rPr>
                <w:b/>
              </w:rPr>
              <w:t>642</w:t>
            </w:r>
          </w:p>
        </w:tc>
        <w:tc>
          <w:tcPr>
            <w:tcW w:w="1133" w:type="dxa"/>
          </w:tcPr>
          <w:p w14:paraId="57E50626" w14:textId="77777777" w:rsidR="007966E3" w:rsidRDefault="007966E3" w:rsidP="002D165F">
            <w:pPr>
              <w:jc w:val="center"/>
              <w:rPr>
                <w:b/>
              </w:rPr>
            </w:pPr>
            <w:r>
              <w:rPr>
                <w:b/>
              </w:rPr>
              <w:t>730</w:t>
            </w:r>
          </w:p>
        </w:tc>
        <w:tc>
          <w:tcPr>
            <w:tcW w:w="1133" w:type="dxa"/>
          </w:tcPr>
          <w:p w14:paraId="0829CFC0" w14:textId="77777777" w:rsidR="007966E3" w:rsidRDefault="007966E3" w:rsidP="002D165F">
            <w:pPr>
              <w:jc w:val="center"/>
              <w:rPr>
                <w:b/>
              </w:rPr>
            </w:pPr>
            <w:r>
              <w:rPr>
                <w:b/>
              </w:rPr>
              <w:t>840</w:t>
            </w:r>
          </w:p>
        </w:tc>
        <w:tc>
          <w:tcPr>
            <w:tcW w:w="1133" w:type="dxa"/>
          </w:tcPr>
          <w:p w14:paraId="4713BA76" w14:textId="77777777" w:rsidR="007966E3" w:rsidRPr="00C35106" w:rsidRDefault="007966E3" w:rsidP="002D165F">
            <w:pPr>
              <w:jc w:val="center"/>
              <w:rPr>
                <w:b/>
              </w:rPr>
            </w:pPr>
            <w:r>
              <w:rPr>
                <w:b/>
              </w:rPr>
              <w:t>924</w:t>
            </w:r>
          </w:p>
        </w:tc>
        <w:tc>
          <w:tcPr>
            <w:tcW w:w="1139" w:type="dxa"/>
          </w:tcPr>
          <w:p w14:paraId="5AE5262B" w14:textId="77777777" w:rsidR="007966E3" w:rsidRDefault="007966E3" w:rsidP="002D165F">
            <w:pPr>
              <w:jc w:val="center"/>
              <w:rPr>
                <w:b/>
              </w:rPr>
            </w:pPr>
            <w:r>
              <w:t>13,7</w:t>
            </w:r>
          </w:p>
        </w:tc>
        <w:tc>
          <w:tcPr>
            <w:tcW w:w="1139" w:type="dxa"/>
          </w:tcPr>
          <w:p w14:paraId="23F62FA4" w14:textId="77777777" w:rsidR="007966E3" w:rsidRDefault="007966E3" w:rsidP="002D165F">
            <w:pPr>
              <w:jc w:val="center"/>
            </w:pPr>
            <w:r>
              <w:t>15,1</w:t>
            </w:r>
          </w:p>
        </w:tc>
        <w:tc>
          <w:tcPr>
            <w:tcW w:w="1133" w:type="dxa"/>
          </w:tcPr>
          <w:p w14:paraId="368E6F42" w14:textId="77777777" w:rsidR="007966E3" w:rsidRPr="00082C28" w:rsidRDefault="007966E3" w:rsidP="002D165F">
            <w:pPr>
              <w:jc w:val="center"/>
            </w:pPr>
            <w:r>
              <w:t>10,0</w:t>
            </w:r>
          </w:p>
        </w:tc>
      </w:tr>
      <w:tr w:rsidR="007966E3" w14:paraId="2C94F4C8" w14:textId="77777777" w:rsidTr="007966E3">
        <w:trPr>
          <w:trHeight w:val="239"/>
        </w:trPr>
        <w:tc>
          <w:tcPr>
            <w:tcW w:w="1130" w:type="dxa"/>
          </w:tcPr>
          <w:p w14:paraId="225EA6ED" w14:textId="77777777" w:rsidR="007966E3" w:rsidRDefault="007966E3" w:rsidP="002D165F">
            <w:pPr>
              <w:rPr>
                <w:b/>
              </w:rPr>
            </w:pPr>
            <w:r>
              <w:rPr>
                <w:b/>
              </w:rPr>
              <w:t>Igaunija</w:t>
            </w:r>
          </w:p>
        </w:tc>
        <w:tc>
          <w:tcPr>
            <w:tcW w:w="1133" w:type="dxa"/>
          </w:tcPr>
          <w:p w14:paraId="24369742" w14:textId="77777777" w:rsidR="007966E3" w:rsidRDefault="007966E3" w:rsidP="002D165F">
            <w:pPr>
              <w:jc w:val="center"/>
              <w:rPr>
                <w:b/>
              </w:rPr>
            </w:pPr>
            <w:r>
              <w:rPr>
                <w:b/>
              </w:rPr>
              <w:t>584</w:t>
            </w:r>
          </w:p>
        </w:tc>
        <w:tc>
          <w:tcPr>
            <w:tcW w:w="1133" w:type="dxa"/>
          </w:tcPr>
          <w:p w14:paraId="5D558B8D" w14:textId="77777777" w:rsidR="007966E3" w:rsidRDefault="007966E3" w:rsidP="002D165F">
            <w:pPr>
              <w:jc w:val="center"/>
              <w:rPr>
                <w:b/>
              </w:rPr>
            </w:pPr>
            <w:r>
              <w:rPr>
                <w:b/>
              </w:rPr>
              <w:t>654</w:t>
            </w:r>
          </w:p>
        </w:tc>
        <w:tc>
          <w:tcPr>
            <w:tcW w:w="1133" w:type="dxa"/>
          </w:tcPr>
          <w:p w14:paraId="35D7927D" w14:textId="77777777" w:rsidR="007966E3" w:rsidRDefault="007966E3" w:rsidP="002D165F">
            <w:pPr>
              <w:jc w:val="center"/>
              <w:rPr>
                <w:b/>
              </w:rPr>
            </w:pPr>
            <w:r>
              <w:rPr>
                <w:b/>
              </w:rPr>
              <w:t>725</w:t>
            </w:r>
          </w:p>
        </w:tc>
        <w:tc>
          <w:tcPr>
            <w:tcW w:w="1133" w:type="dxa"/>
          </w:tcPr>
          <w:p w14:paraId="2A1B9F53" w14:textId="4F047604" w:rsidR="007966E3" w:rsidRPr="00C35106" w:rsidRDefault="00EF29F3" w:rsidP="002D165F">
            <w:pPr>
              <w:jc w:val="center"/>
              <w:rPr>
                <w:b/>
              </w:rPr>
            </w:pPr>
            <w:r>
              <w:rPr>
                <w:b/>
              </w:rPr>
              <w:t>820</w:t>
            </w:r>
          </w:p>
        </w:tc>
        <w:tc>
          <w:tcPr>
            <w:tcW w:w="1139" w:type="dxa"/>
          </w:tcPr>
          <w:p w14:paraId="00BC0BCC" w14:textId="77777777" w:rsidR="007966E3" w:rsidRDefault="007966E3" w:rsidP="002D165F">
            <w:pPr>
              <w:jc w:val="center"/>
              <w:rPr>
                <w:b/>
              </w:rPr>
            </w:pPr>
            <w:r>
              <w:t>11,9</w:t>
            </w:r>
          </w:p>
        </w:tc>
        <w:tc>
          <w:tcPr>
            <w:tcW w:w="1139" w:type="dxa"/>
          </w:tcPr>
          <w:p w14:paraId="491D4004" w14:textId="77777777" w:rsidR="007966E3" w:rsidRDefault="007966E3" w:rsidP="002D165F">
            <w:pPr>
              <w:jc w:val="center"/>
            </w:pPr>
            <w:r>
              <w:t>10,9</w:t>
            </w:r>
          </w:p>
        </w:tc>
        <w:tc>
          <w:tcPr>
            <w:tcW w:w="1133" w:type="dxa"/>
          </w:tcPr>
          <w:p w14:paraId="022DA80F" w14:textId="0335F8E6" w:rsidR="007966E3" w:rsidRPr="00082C28" w:rsidRDefault="00AC0C78" w:rsidP="002D165F">
            <w:pPr>
              <w:jc w:val="center"/>
            </w:pPr>
            <w:r>
              <w:t>13,1</w:t>
            </w:r>
          </w:p>
        </w:tc>
      </w:tr>
      <w:tr w:rsidR="007966E3" w14:paraId="2E2D72CF" w14:textId="77777777" w:rsidTr="007966E3">
        <w:trPr>
          <w:trHeight w:val="276"/>
        </w:trPr>
        <w:tc>
          <w:tcPr>
            <w:tcW w:w="1130" w:type="dxa"/>
          </w:tcPr>
          <w:p w14:paraId="697F7260" w14:textId="77777777" w:rsidR="007966E3" w:rsidRDefault="007966E3" w:rsidP="002D165F">
            <w:pPr>
              <w:rPr>
                <w:b/>
              </w:rPr>
            </w:pPr>
            <w:r>
              <w:rPr>
                <w:b/>
              </w:rPr>
              <w:t>Latvija</w:t>
            </w:r>
          </w:p>
        </w:tc>
        <w:tc>
          <w:tcPr>
            <w:tcW w:w="1133" w:type="dxa"/>
          </w:tcPr>
          <w:p w14:paraId="5953B5EC" w14:textId="77777777" w:rsidR="007966E3" w:rsidRDefault="007966E3" w:rsidP="002D165F">
            <w:pPr>
              <w:jc w:val="center"/>
              <w:rPr>
                <w:b/>
              </w:rPr>
            </w:pPr>
            <w:r>
              <w:rPr>
                <w:b/>
              </w:rPr>
              <w:t>500</w:t>
            </w:r>
          </w:p>
        </w:tc>
        <w:tc>
          <w:tcPr>
            <w:tcW w:w="1133" w:type="dxa"/>
          </w:tcPr>
          <w:p w14:paraId="7B7711E5" w14:textId="77777777" w:rsidR="007966E3" w:rsidRDefault="007966E3" w:rsidP="002D165F">
            <w:pPr>
              <w:jc w:val="center"/>
              <w:rPr>
                <w:b/>
              </w:rPr>
            </w:pPr>
            <w:r>
              <w:rPr>
                <w:b/>
              </w:rPr>
              <w:t>500</w:t>
            </w:r>
          </w:p>
        </w:tc>
        <w:tc>
          <w:tcPr>
            <w:tcW w:w="1133" w:type="dxa"/>
          </w:tcPr>
          <w:p w14:paraId="21F6855D" w14:textId="77777777" w:rsidR="007966E3" w:rsidRDefault="007966E3" w:rsidP="002D165F">
            <w:pPr>
              <w:jc w:val="center"/>
              <w:rPr>
                <w:b/>
              </w:rPr>
            </w:pPr>
            <w:r>
              <w:rPr>
                <w:b/>
              </w:rPr>
              <w:t>620</w:t>
            </w:r>
          </w:p>
        </w:tc>
        <w:tc>
          <w:tcPr>
            <w:tcW w:w="1133" w:type="dxa"/>
          </w:tcPr>
          <w:p w14:paraId="09670E57" w14:textId="77777777" w:rsidR="007966E3" w:rsidRPr="00C35106" w:rsidRDefault="007966E3" w:rsidP="002D165F">
            <w:pPr>
              <w:jc w:val="center"/>
              <w:rPr>
                <w:b/>
              </w:rPr>
            </w:pPr>
            <w:r w:rsidRPr="00C35106">
              <w:rPr>
                <w:b/>
              </w:rPr>
              <w:t>700</w:t>
            </w:r>
          </w:p>
        </w:tc>
        <w:tc>
          <w:tcPr>
            <w:tcW w:w="1139" w:type="dxa"/>
          </w:tcPr>
          <w:p w14:paraId="519DD301" w14:textId="77777777" w:rsidR="007966E3" w:rsidRDefault="007966E3" w:rsidP="002D165F">
            <w:pPr>
              <w:jc w:val="center"/>
              <w:rPr>
                <w:b/>
              </w:rPr>
            </w:pPr>
            <w:r>
              <w:t>0,0</w:t>
            </w:r>
          </w:p>
        </w:tc>
        <w:tc>
          <w:tcPr>
            <w:tcW w:w="1139" w:type="dxa"/>
          </w:tcPr>
          <w:p w14:paraId="2EB4BE6E" w14:textId="77777777" w:rsidR="007966E3" w:rsidRPr="00082C28" w:rsidRDefault="007966E3" w:rsidP="002D165F">
            <w:pPr>
              <w:jc w:val="center"/>
            </w:pPr>
            <w:r w:rsidRPr="00082C28">
              <w:t>24,0</w:t>
            </w:r>
          </w:p>
        </w:tc>
        <w:tc>
          <w:tcPr>
            <w:tcW w:w="1133" w:type="dxa"/>
          </w:tcPr>
          <w:p w14:paraId="66FA5F78" w14:textId="77777777" w:rsidR="007966E3" w:rsidRPr="00082C28" w:rsidRDefault="007966E3" w:rsidP="002D165F">
            <w:pPr>
              <w:jc w:val="center"/>
            </w:pPr>
            <w:r>
              <w:t>12,9</w:t>
            </w:r>
          </w:p>
        </w:tc>
      </w:tr>
    </w:tbl>
    <w:p w14:paraId="209A3E7A" w14:textId="77777777" w:rsidR="0085622A" w:rsidRDefault="003A674F">
      <w:pPr>
        <w:rPr>
          <w:sz w:val="20"/>
          <w:szCs w:val="20"/>
        </w:rPr>
      </w:pPr>
      <w:r>
        <w:rPr>
          <w:sz w:val="20"/>
          <w:szCs w:val="20"/>
        </w:rPr>
        <w:t>Datu avots: Eurostat dati, CSP dati</w:t>
      </w:r>
    </w:p>
    <w:p w14:paraId="585B888A" w14:textId="77777777" w:rsidR="007966E3" w:rsidRDefault="007966E3">
      <w:pPr>
        <w:ind w:firstLine="720"/>
        <w:jc w:val="both"/>
      </w:pPr>
    </w:p>
    <w:p w14:paraId="4A91F524" w14:textId="77777777" w:rsidR="0085622A" w:rsidRDefault="003A674F">
      <w:pPr>
        <w:ind w:firstLine="720"/>
        <w:jc w:val="both"/>
      </w:pPr>
      <w:r>
        <w:t>Attiecībā uz 202</w:t>
      </w:r>
      <w:r w:rsidR="00C35106">
        <w:t>4</w:t>
      </w:r>
      <w:r>
        <w:t>.gadu:</w:t>
      </w:r>
    </w:p>
    <w:p w14:paraId="5C764C34" w14:textId="77777777" w:rsidR="0085622A" w:rsidRDefault="003A674F">
      <w:pPr>
        <w:ind w:firstLine="720"/>
        <w:jc w:val="both"/>
      </w:pPr>
      <w:r>
        <w:t>- Lietuva plāno minimālās algas paaugstināšanu par 1</w:t>
      </w:r>
      <w:r w:rsidR="007966E3">
        <w:t>0</w:t>
      </w:r>
      <w:r>
        <w:t xml:space="preserve">% līdz </w:t>
      </w:r>
      <w:r w:rsidR="007966E3">
        <w:t>924</w:t>
      </w:r>
      <w:r>
        <w:t xml:space="preserve"> eiro mēnesī.</w:t>
      </w:r>
    </w:p>
    <w:p w14:paraId="415656D5" w14:textId="1B654F74" w:rsidR="002E4BCA" w:rsidRDefault="003A674F" w:rsidP="007966E3">
      <w:pPr>
        <w:spacing w:after="160" w:line="259" w:lineRule="auto"/>
        <w:jc w:val="both"/>
      </w:pPr>
      <w:r>
        <w:tab/>
        <w:t>- Igaunij</w:t>
      </w:r>
      <w:r w:rsidR="007966E3">
        <w:t>ā ir panākta vienošanās (</w:t>
      </w:r>
      <w:r w:rsidR="007966E3" w:rsidRPr="007966E3">
        <w:t>memoran</w:t>
      </w:r>
      <w:r w:rsidR="007966E3">
        <w:t xml:space="preserve">ds ar sociālajiem partneriem), ka </w:t>
      </w:r>
      <w:r w:rsidR="007966E3" w:rsidRPr="007966E3">
        <w:t xml:space="preserve">minimālā alga tiks palielināta un 2024.gadā </w:t>
      </w:r>
      <w:r w:rsidR="007966E3">
        <w:t xml:space="preserve">tā </w:t>
      </w:r>
      <w:r w:rsidR="007966E3" w:rsidRPr="007966E3">
        <w:t>veidos 42,5% no vidējās algas, 2025.gadā - 45%, 2026.gadā - 47,5% un 2027.gadā - 50% no vidējās algas.</w:t>
      </w:r>
    </w:p>
    <w:p w14:paraId="284E1175" w14:textId="77777777" w:rsidR="003F6C9B" w:rsidRDefault="003F6C9B">
      <w:pPr>
        <w:pStyle w:val="naiskr"/>
        <w:spacing w:before="0" w:after="0"/>
        <w:jc w:val="both"/>
        <w:rPr>
          <w:b/>
        </w:rPr>
      </w:pPr>
    </w:p>
    <w:p w14:paraId="56007471" w14:textId="77777777" w:rsidR="0085622A" w:rsidRDefault="003A674F" w:rsidP="001F402C">
      <w:pPr>
        <w:pStyle w:val="Heading2"/>
      </w:pPr>
      <w:bookmarkStart w:id="9" w:name="_Toc148720954"/>
      <w:r>
        <w:lastRenderedPageBreak/>
        <w:t>3.2. Minimālā darba alga ES valstīs</w:t>
      </w:r>
      <w:bookmarkEnd w:id="9"/>
    </w:p>
    <w:p w14:paraId="6A800311" w14:textId="77777777" w:rsidR="0085622A" w:rsidRDefault="0085622A">
      <w:pPr>
        <w:jc w:val="both"/>
      </w:pPr>
    </w:p>
    <w:p w14:paraId="4C029238" w14:textId="77777777" w:rsidR="0085622A" w:rsidRDefault="003A674F">
      <w:pPr>
        <w:ind w:firstLine="720"/>
        <w:jc w:val="both"/>
      </w:pPr>
      <w:r>
        <w:t>Valdības noteiktas minimālās algas ir 2</w:t>
      </w:r>
      <w:r w:rsidR="00003767">
        <w:t>2</w:t>
      </w:r>
      <w:r>
        <w:t xml:space="preserve"> ES dalībvalstī</w:t>
      </w:r>
      <w:r w:rsidR="00003767">
        <w:t>s</w:t>
      </w:r>
      <w:r>
        <w:t xml:space="preserve">, bet nav noteiktas </w:t>
      </w:r>
      <w:r w:rsidR="00003767">
        <w:t>5</w:t>
      </w:r>
      <w:r>
        <w:t xml:space="preserve"> valstīs - Dānijā, Itālijā, Austrijā, Somijā un Zviedrijā, jo tās tiek regulētas darba koplīgumos.</w:t>
      </w:r>
    </w:p>
    <w:p w14:paraId="19B04F87" w14:textId="40EC1444" w:rsidR="0085622A" w:rsidRDefault="003A674F">
      <w:pPr>
        <w:ind w:firstLine="720"/>
        <w:jc w:val="both"/>
      </w:pPr>
      <w:r>
        <w:t>Minimālo algu apmērs starp ES dalībvalstīm būtiski atšķiras – piemēram, augstākā minimālā mēneša alga ES 202</w:t>
      </w:r>
      <w:r w:rsidR="00003767">
        <w:t>3</w:t>
      </w:r>
      <w:r>
        <w:t>.gadā ir Luksemburgā - 23</w:t>
      </w:r>
      <w:r w:rsidR="000F16E9">
        <w:t>87</w:t>
      </w:r>
      <w:r>
        <w:t xml:space="preserve"> eiro, kamēr zemākā minimālā alga ir Bulgārijā – 3</w:t>
      </w:r>
      <w:r w:rsidR="000F16E9">
        <w:t>99</w:t>
      </w:r>
      <w:r>
        <w:t xml:space="preserve"> eiro</w:t>
      </w:r>
      <w:r w:rsidR="00666D44">
        <w:t>, lielā mērā atspoguļojot valsts ekonomiskās attīstības un ienākumu līmeni</w:t>
      </w:r>
      <w:r>
        <w:t>.</w:t>
      </w:r>
    </w:p>
    <w:p w14:paraId="1BE7B813" w14:textId="01563567" w:rsidR="0085622A" w:rsidRDefault="003A674F">
      <w:pPr>
        <w:ind w:firstLine="720"/>
        <w:jc w:val="both"/>
      </w:pPr>
      <w:r>
        <w:t>Latvijā 202</w:t>
      </w:r>
      <w:r w:rsidR="000F16E9">
        <w:t>3</w:t>
      </w:r>
      <w:r>
        <w:t xml:space="preserve">.gadā ir </w:t>
      </w:r>
      <w:r w:rsidR="000F16E9">
        <w:t>ceturtā</w:t>
      </w:r>
      <w:r>
        <w:t xml:space="preserve"> zemākā minimālā alga Eiropas Savienībā, </w:t>
      </w:r>
      <w:r w:rsidR="00666D44">
        <w:t>tā ir zemāka pa</w:t>
      </w:r>
      <w:r w:rsidR="0054088E">
        <w:t>r</w:t>
      </w:r>
      <w:r w:rsidR="00666D44">
        <w:t xml:space="preserve"> </w:t>
      </w:r>
      <w:r>
        <w:t>Lietuvas un Igaunijas</w:t>
      </w:r>
      <w:r w:rsidR="00666D44">
        <w:t xml:space="preserve"> minimālo algu</w:t>
      </w:r>
      <w:r>
        <w:t xml:space="preserve"> </w:t>
      </w:r>
      <w:r w:rsidR="00666D44">
        <w:t>un</w:t>
      </w:r>
      <w:r w:rsidR="0054088E">
        <w:t xml:space="preserve"> </w:t>
      </w:r>
      <w:r>
        <w:t xml:space="preserve">būtiski </w:t>
      </w:r>
      <w:r w:rsidR="00666D44">
        <w:t>zemāka par min</w:t>
      </w:r>
      <w:r w:rsidR="0054088E">
        <w:t>i</w:t>
      </w:r>
      <w:r w:rsidR="00666D44">
        <w:t>mālās algas apmēru</w:t>
      </w:r>
      <w:r>
        <w:t xml:space="preserve"> tādā</w:t>
      </w:r>
      <w:r w:rsidR="00666D44">
        <w:t>s</w:t>
      </w:r>
      <w:r>
        <w:t xml:space="preserve"> augstāka ienākuma līmeņa un emigrācijas mērķa valstī</w:t>
      </w:r>
      <w:r w:rsidR="00666D44">
        <w:t>s</w:t>
      </w:r>
      <w:r>
        <w:t xml:space="preserve"> kā, piemēram, Vācija, Īrija u.c. </w:t>
      </w:r>
    </w:p>
    <w:p w14:paraId="7D3C3521" w14:textId="77777777" w:rsidR="004F63AF" w:rsidRDefault="004F63AF" w:rsidP="009842A5">
      <w:pPr>
        <w:jc w:val="right"/>
      </w:pPr>
    </w:p>
    <w:p w14:paraId="04F71065" w14:textId="5D1B5943" w:rsidR="009842A5" w:rsidRPr="003A13B6" w:rsidRDefault="003F6C9B" w:rsidP="009842A5">
      <w:pPr>
        <w:jc w:val="right"/>
      </w:pPr>
      <w:r w:rsidRPr="003A13B6">
        <w:t>2</w:t>
      </w:r>
      <w:r w:rsidR="009842A5" w:rsidRPr="003A13B6">
        <w:t>.tabula</w:t>
      </w:r>
    </w:p>
    <w:p w14:paraId="153C983C" w14:textId="77777777" w:rsidR="009842A5" w:rsidRDefault="009842A5" w:rsidP="009842A5">
      <w:pPr>
        <w:jc w:val="center"/>
        <w:rPr>
          <w:b/>
          <w:sz w:val="22"/>
          <w:szCs w:val="22"/>
          <w:highlight w:val="yellow"/>
        </w:rPr>
      </w:pPr>
      <w:r>
        <w:rPr>
          <w:b/>
          <w:sz w:val="22"/>
          <w:szCs w:val="22"/>
        </w:rPr>
        <w:t>Minimālā (bruto) darba alga ES valstīs 2022. un 2023. gadā</w:t>
      </w:r>
    </w:p>
    <w:tbl>
      <w:tblPr>
        <w:tblStyle w:val="TableGrid"/>
        <w:tblW w:w="4210" w:type="pct"/>
        <w:jc w:val="center"/>
        <w:tblLayout w:type="fixed"/>
        <w:tblLook w:val="04A0" w:firstRow="1" w:lastRow="0" w:firstColumn="1" w:lastColumn="0" w:noHBand="0" w:noVBand="1"/>
      </w:tblPr>
      <w:tblGrid>
        <w:gridCol w:w="1046"/>
        <w:gridCol w:w="1471"/>
        <w:gridCol w:w="1717"/>
        <w:gridCol w:w="1683"/>
        <w:gridCol w:w="1712"/>
      </w:tblGrid>
      <w:tr w:rsidR="009842A5" w:rsidRPr="004F63AF" w14:paraId="0D9269A6" w14:textId="77777777" w:rsidTr="008B1BE2">
        <w:trPr>
          <w:trHeight w:val="242"/>
          <w:tblHeader/>
          <w:jc w:val="center"/>
        </w:trPr>
        <w:tc>
          <w:tcPr>
            <w:tcW w:w="686" w:type="pct"/>
            <w:shd w:val="clear" w:color="auto" w:fill="BDD6EE" w:themeFill="accent5" w:themeFillTint="66"/>
          </w:tcPr>
          <w:p w14:paraId="50A8E959" w14:textId="77777777" w:rsidR="009842A5" w:rsidRPr="004F63AF" w:rsidRDefault="009842A5" w:rsidP="00355AE2">
            <w:pPr>
              <w:jc w:val="both"/>
              <w:rPr>
                <w:sz w:val="16"/>
                <w:szCs w:val="16"/>
              </w:rPr>
            </w:pPr>
          </w:p>
        </w:tc>
        <w:tc>
          <w:tcPr>
            <w:tcW w:w="964" w:type="pct"/>
            <w:shd w:val="clear" w:color="auto" w:fill="BDD6EE" w:themeFill="accent5" w:themeFillTint="66"/>
          </w:tcPr>
          <w:p w14:paraId="7B0CD3F8" w14:textId="77777777" w:rsidR="009842A5" w:rsidRPr="004F63AF" w:rsidRDefault="009842A5" w:rsidP="00355AE2">
            <w:pPr>
              <w:rPr>
                <w:b/>
                <w:sz w:val="16"/>
                <w:szCs w:val="16"/>
              </w:rPr>
            </w:pPr>
          </w:p>
        </w:tc>
        <w:tc>
          <w:tcPr>
            <w:tcW w:w="1125" w:type="pct"/>
            <w:shd w:val="clear" w:color="auto" w:fill="BDD6EE" w:themeFill="accent5" w:themeFillTint="66"/>
          </w:tcPr>
          <w:p w14:paraId="362CCCBA" w14:textId="77777777" w:rsidR="009842A5" w:rsidRPr="004F63AF" w:rsidRDefault="009842A5" w:rsidP="00355AE2">
            <w:pPr>
              <w:jc w:val="center"/>
              <w:rPr>
                <w:b/>
                <w:sz w:val="16"/>
                <w:szCs w:val="16"/>
              </w:rPr>
            </w:pPr>
            <w:r w:rsidRPr="004F63AF">
              <w:rPr>
                <w:b/>
                <w:sz w:val="16"/>
                <w:szCs w:val="16"/>
              </w:rPr>
              <w:t>Minimālā alga 2022.gadā, EUR</w:t>
            </w:r>
          </w:p>
        </w:tc>
        <w:tc>
          <w:tcPr>
            <w:tcW w:w="1103" w:type="pct"/>
            <w:shd w:val="clear" w:color="auto" w:fill="BDD6EE" w:themeFill="accent5" w:themeFillTint="66"/>
          </w:tcPr>
          <w:p w14:paraId="6FB6CA51" w14:textId="77777777" w:rsidR="009842A5" w:rsidRPr="004F63AF" w:rsidRDefault="009842A5" w:rsidP="00355AE2">
            <w:pPr>
              <w:jc w:val="center"/>
              <w:rPr>
                <w:b/>
                <w:sz w:val="16"/>
                <w:szCs w:val="16"/>
              </w:rPr>
            </w:pPr>
            <w:r w:rsidRPr="004F63AF">
              <w:rPr>
                <w:b/>
                <w:sz w:val="16"/>
                <w:szCs w:val="16"/>
              </w:rPr>
              <w:t>Minimālā alga 2023.gadā, EUR</w:t>
            </w:r>
          </w:p>
        </w:tc>
        <w:tc>
          <w:tcPr>
            <w:tcW w:w="1122" w:type="pct"/>
            <w:shd w:val="clear" w:color="auto" w:fill="BDD6EE" w:themeFill="accent5" w:themeFillTint="66"/>
          </w:tcPr>
          <w:p w14:paraId="527C81F5" w14:textId="77777777" w:rsidR="009842A5" w:rsidRPr="004F63AF" w:rsidRDefault="009842A5" w:rsidP="00355AE2">
            <w:pPr>
              <w:jc w:val="center"/>
              <w:rPr>
                <w:b/>
                <w:sz w:val="16"/>
                <w:szCs w:val="16"/>
              </w:rPr>
            </w:pPr>
            <w:r w:rsidRPr="004F63AF">
              <w:rPr>
                <w:b/>
                <w:sz w:val="16"/>
                <w:szCs w:val="16"/>
              </w:rPr>
              <w:t>Pieaugums (%)</w:t>
            </w:r>
          </w:p>
        </w:tc>
      </w:tr>
      <w:tr w:rsidR="009842A5" w:rsidRPr="004F63AF" w14:paraId="3D101990" w14:textId="77777777" w:rsidTr="008B1BE2">
        <w:trPr>
          <w:trHeight w:val="263"/>
          <w:jc w:val="center"/>
        </w:trPr>
        <w:tc>
          <w:tcPr>
            <w:tcW w:w="686" w:type="pct"/>
          </w:tcPr>
          <w:p w14:paraId="44EBD062" w14:textId="77777777" w:rsidR="009842A5" w:rsidRPr="004F63AF" w:rsidRDefault="009842A5" w:rsidP="00355AE2">
            <w:pPr>
              <w:pStyle w:val="ListParagraph"/>
              <w:numPr>
                <w:ilvl w:val="0"/>
                <w:numId w:val="3"/>
              </w:numPr>
              <w:jc w:val="center"/>
              <w:rPr>
                <w:sz w:val="16"/>
                <w:szCs w:val="16"/>
              </w:rPr>
            </w:pPr>
          </w:p>
        </w:tc>
        <w:tc>
          <w:tcPr>
            <w:tcW w:w="964" w:type="pct"/>
          </w:tcPr>
          <w:p w14:paraId="25A61998" w14:textId="77777777" w:rsidR="009842A5" w:rsidRPr="004F63AF" w:rsidRDefault="009842A5" w:rsidP="00355AE2">
            <w:pPr>
              <w:jc w:val="both"/>
              <w:rPr>
                <w:b/>
                <w:sz w:val="16"/>
                <w:szCs w:val="16"/>
              </w:rPr>
            </w:pPr>
            <w:r w:rsidRPr="004F63AF">
              <w:rPr>
                <w:b/>
                <w:sz w:val="16"/>
                <w:szCs w:val="16"/>
              </w:rPr>
              <w:t>Luksemburga</w:t>
            </w:r>
          </w:p>
        </w:tc>
        <w:tc>
          <w:tcPr>
            <w:tcW w:w="1125" w:type="pct"/>
          </w:tcPr>
          <w:p w14:paraId="70309576" w14:textId="77777777" w:rsidR="009842A5" w:rsidRPr="004F63AF" w:rsidRDefault="009842A5" w:rsidP="00355AE2">
            <w:pPr>
              <w:jc w:val="center"/>
              <w:rPr>
                <w:sz w:val="16"/>
                <w:szCs w:val="16"/>
              </w:rPr>
            </w:pPr>
            <w:r w:rsidRPr="004F63AF">
              <w:rPr>
                <w:sz w:val="16"/>
                <w:szCs w:val="16"/>
              </w:rPr>
              <w:t>2257</w:t>
            </w:r>
          </w:p>
        </w:tc>
        <w:tc>
          <w:tcPr>
            <w:tcW w:w="1103" w:type="pct"/>
          </w:tcPr>
          <w:p w14:paraId="12E2C762" w14:textId="77777777" w:rsidR="009842A5" w:rsidRPr="004F63AF" w:rsidRDefault="009842A5" w:rsidP="00355AE2">
            <w:pPr>
              <w:jc w:val="center"/>
              <w:rPr>
                <w:sz w:val="16"/>
                <w:szCs w:val="16"/>
              </w:rPr>
            </w:pPr>
            <w:r w:rsidRPr="004F63AF">
              <w:rPr>
                <w:sz w:val="16"/>
                <w:szCs w:val="16"/>
              </w:rPr>
              <w:t>2387</w:t>
            </w:r>
          </w:p>
        </w:tc>
        <w:tc>
          <w:tcPr>
            <w:tcW w:w="1122" w:type="pct"/>
          </w:tcPr>
          <w:p w14:paraId="2107A34A" w14:textId="77777777" w:rsidR="009842A5" w:rsidRPr="004F63AF" w:rsidRDefault="009842A5" w:rsidP="00355AE2">
            <w:pPr>
              <w:jc w:val="center"/>
              <w:rPr>
                <w:sz w:val="16"/>
                <w:szCs w:val="16"/>
              </w:rPr>
            </w:pPr>
            <w:r w:rsidRPr="004F63AF">
              <w:rPr>
                <w:sz w:val="16"/>
                <w:szCs w:val="16"/>
              </w:rPr>
              <w:t>5.8</w:t>
            </w:r>
          </w:p>
        </w:tc>
      </w:tr>
      <w:tr w:rsidR="009842A5" w:rsidRPr="004F63AF" w14:paraId="73785C1E" w14:textId="77777777" w:rsidTr="008B1BE2">
        <w:trPr>
          <w:trHeight w:val="390"/>
          <w:jc w:val="center"/>
        </w:trPr>
        <w:tc>
          <w:tcPr>
            <w:tcW w:w="686" w:type="pct"/>
          </w:tcPr>
          <w:p w14:paraId="2DB16E53" w14:textId="77777777" w:rsidR="009842A5" w:rsidRPr="004F63AF" w:rsidRDefault="009842A5" w:rsidP="00355AE2">
            <w:pPr>
              <w:pStyle w:val="ListParagraph"/>
              <w:numPr>
                <w:ilvl w:val="0"/>
                <w:numId w:val="3"/>
              </w:numPr>
              <w:rPr>
                <w:sz w:val="16"/>
                <w:szCs w:val="16"/>
                <w:lang w:val="lv-LV"/>
              </w:rPr>
            </w:pPr>
          </w:p>
        </w:tc>
        <w:tc>
          <w:tcPr>
            <w:tcW w:w="964" w:type="pct"/>
          </w:tcPr>
          <w:p w14:paraId="0AE224CC" w14:textId="77777777" w:rsidR="009842A5" w:rsidRPr="004F63AF" w:rsidRDefault="009842A5" w:rsidP="00355AE2">
            <w:pPr>
              <w:rPr>
                <w:b/>
                <w:sz w:val="16"/>
                <w:szCs w:val="16"/>
              </w:rPr>
            </w:pPr>
            <w:r w:rsidRPr="004F63AF">
              <w:rPr>
                <w:b/>
                <w:sz w:val="16"/>
                <w:szCs w:val="16"/>
              </w:rPr>
              <w:t>Vācija</w:t>
            </w:r>
          </w:p>
        </w:tc>
        <w:tc>
          <w:tcPr>
            <w:tcW w:w="1125" w:type="pct"/>
          </w:tcPr>
          <w:p w14:paraId="20AA53E5" w14:textId="77777777" w:rsidR="009842A5" w:rsidRPr="004F63AF" w:rsidRDefault="009842A5" w:rsidP="00355AE2">
            <w:pPr>
              <w:jc w:val="center"/>
              <w:rPr>
                <w:sz w:val="16"/>
                <w:szCs w:val="16"/>
              </w:rPr>
            </w:pPr>
            <w:r w:rsidRPr="004F63AF">
              <w:rPr>
                <w:sz w:val="16"/>
                <w:szCs w:val="16"/>
              </w:rPr>
              <w:t>1621</w:t>
            </w:r>
          </w:p>
        </w:tc>
        <w:tc>
          <w:tcPr>
            <w:tcW w:w="1103" w:type="pct"/>
          </w:tcPr>
          <w:p w14:paraId="41612AFE" w14:textId="77777777" w:rsidR="009842A5" w:rsidRPr="004F63AF" w:rsidRDefault="009842A5" w:rsidP="00355AE2">
            <w:pPr>
              <w:jc w:val="center"/>
              <w:rPr>
                <w:sz w:val="16"/>
                <w:szCs w:val="16"/>
              </w:rPr>
            </w:pPr>
            <w:r w:rsidRPr="004F63AF">
              <w:rPr>
                <w:sz w:val="16"/>
                <w:szCs w:val="16"/>
              </w:rPr>
              <w:t>1981</w:t>
            </w:r>
          </w:p>
        </w:tc>
        <w:tc>
          <w:tcPr>
            <w:tcW w:w="1122" w:type="pct"/>
          </w:tcPr>
          <w:p w14:paraId="47BB31F5" w14:textId="77777777" w:rsidR="009842A5" w:rsidRPr="004F63AF" w:rsidRDefault="009842A5" w:rsidP="00355AE2">
            <w:pPr>
              <w:jc w:val="center"/>
              <w:rPr>
                <w:sz w:val="16"/>
                <w:szCs w:val="16"/>
              </w:rPr>
            </w:pPr>
            <w:r w:rsidRPr="004F63AF">
              <w:rPr>
                <w:sz w:val="16"/>
                <w:szCs w:val="16"/>
              </w:rPr>
              <w:t>22.2</w:t>
            </w:r>
          </w:p>
        </w:tc>
      </w:tr>
      <w:tr w:rsidR="009842A5" w:rsidRPr="004F63AF" w14:paraId="1B1B965C" w14:textId="77777777" w:rsidTr="008B1BE2">
        <w:trPr>
          <w:trHeight w:val="371"/>
          <w:jc w:val="center"/>
        </w:trPr>
        <w:tc>
          <w:tcPr>
            <w:tcW w:w="686" w:type="pct"/>
          </w:tcPr>
          <w:p w14:paraId="6B72DC1D" w14:textId="77777777" w:rsidR="009842A5" w:rsidRPr="004F63AF" w:rsidRDefault="009842A5" w:rsidP="00355AE2">
            <w:pPr>
              <w:pStyle w:val="ListParagraph"/>
              <w:numPr>
                <w:ilvl w:val="0"/>
                <w:numId w:val="3"/>
              </w:numPr>
              <w:rPr>
                <w:sz w:val="16"/>
                <w:szCs w:val="16"/>
                <w:lang w:val="lv-LV"/>
              </w:rPr>
            </w:pPr>
          </w:p>
        </w:tc>
        <w:tc>
          <w:tcPr>
            <w:tcW w:w="964" w:type="pct"/>
          </w:tcPr>
          <w:p w14:paraId="3073300F" w14:textId="77777777" w:rsidR="009842A5" w:rsidRPr="004F63AF" w:rsidRDefault="009842A5" w:rsidP="00355AE2">
            <w:pPr>
              <w:rPr>
                <w:b/>
                <w:sz w:val="16"/>
                <w:szCs w:val="16"/>
              </w:rPr>
            </w:pPr>
            <w:r w:rsidRPr="004F63AF">
              <w:rPr>
                <w:b/>
                <w:sz w:val="16"/>
                <w:szCs w:val="16"/>
              </w:rPr>
              <w:t>Beļģija</w:t>
            </w:r>
            <w:r w:rsidRPr="004F63AF">
              <w:rPr>
                <w:b/>
                <w:sz w:val="16"/>
                <w:szCs w:val="16"/>
              </w:rPr>
              <w:tab/>
            </w:r>
          </w:p>
        </w:tc>
        <w:tc>
          <w:tcPr>
            <w:tcW w:w="1125" w:type="pct"/>
          </w:tcPr>
          <w:p w14:paraId="4E077C1A" w14:textId="77777777" w:rsidR="009842A5" w:rsidRPr="004F63AF" w:rsidRDefault="009842A5" w:rsidP="00355AE2">
            <w:pPr>
              <w:jc w:val="center"/>
              <w:rPr>
                <w:sz w:val="16"/>
                <w:szCs w:val="16"/>
              </w:rPr>
            </w:pPr>
            <w:r w:rsidRPr="004F63AF">
              <w:rPr>
                <w:sz w:val="16"/>
                <w:szCs w:val="16"/>
              </w:rPr>
              <w:t>1691</w:t>
            </w:r>
          </w:p>
        </w:tc>
        <w:tc>
          <w:tcPr>
            <w:tcW w:w="1103" w:type="pct"/>
          </w:tcPr>
          <w:p w14:paraId="1030C452" w14:textId="77777777" w:rsidR="009842A5" w:rsidRPr="004F63AF" w:rsidRDefault="009842A5" w:rsidP="00355AE2">
            <w:pPr>
              <w:jc w:val="center"/>
              <w:rPr>
                <w:sz w:val="16"/>
                <w:szCs w:val="16"/>
              </w:rPr>
            </w:pPr>
            <w:r w:rsidRPr="004F63AF">
              <w:rPr>
                <w:sz w:val="16"/>
                <w:szCs w:val="16"/>
              </w:rPr>
              <w:t>1955</w:t>
            </w:r>
          </w:p>
        </w:tc>
        <w:tc>
          <w:tcPr>
            <w:tcW w:w="1122" w:type="pct"/>
          </w:tcPr>
          <w:p w14:paraId="39E82D38" w14:textId="77777777" w:rsidR="009842A5" w:rsidRPr="004F63AF" w:rsidRDefault="009842A5" w:rsidP="00355AE2">
            <w:pPr>
              <w:jc w:val="center"/>
              <w:rPr>
                <w:sz w:val="16"/>
                <w:szCs w:val="16"/>
              </w:rPr>
            </w:pPr>
            <w:r w:rsidRPr="004F63AF">
              <w:rPr>
                <w:sz w:val="16"/>
                <w:szCs w:val="16"/>
              </w:rPr>
              <w:t>22.2</w:t>
            </w:r>
          </w:p>
        </w:tc>
      </w:tr>
      <w:tr w:rsidR="009842A5" w:rsidRPr="004F63AF" w14:paraId="60282407" w14:textId="77777777" w:rsidTr="008B1BE2">
        <w:trPr>
          <w:trHeight w:val="363"/>
          <w:jc w:val="center"/>
        </w:trPr>
        <w:tc>
          <w:tcPr>
            <w:tcW w:w="686" w:type="pct"/>
          </w:tcPr>
          <w:p w14:paraId="0C64192C" w14:textId="77777777" w:rsidR="009842A5" w:rsidRPr="004F63AF" w:rsidRDefault="009842A5" w:rsidP="00355AE2">
            <w:pPr>
              <w:pStyle w:val="ListParagraph"/>
              <w:numPr>
                <w:ilvl w:val="0"/>
                <w:numId w:val="3"/>
              </w:numPr>
              <w:jc w:val="center"/>
              <w:rPr>
                <w:sz w:val="16"/>
                <w:szCs w:val="16"/>
              </w:rPr>
            </w:pPr>
          </w:p>
        </w:tc>
        <w:tc>
          <w:tcPr>
            <w:tcW w:w="964" w:type="pct"/>
          </w:tcPr>
          <w:p w14:paraId="772666FA" w14:textId="77777777" w:rsidR="009842A5" w:rsidRPr="004F63AF" w:rsidRDefault="009842A5" w:rsidP="00355AE2">
            <w:pPr>
              <w:rPr>
                <w:b/>
                <w:sz w:val="16"/>
                <w:szCs w:val="16"/>
              </w:rPr>
            </w:pPr>
            <w:r w:rsidRPr="004F63AF">
              <w:rPr>
                <w:b/>
                <w:sz w:val="16"/>
                <w:szCs w:val="16"/>
              </w:rPr>
              <w:t>Nīderlande</w:t>
            </w:r>
            <w:r w:rsidRPr="004F63AF">
              <w:rPr>
                <w:b/>
                <w:sz w:val="16"/>
                <w:szCs w:val="16"/>
              </w:rPr>
              <w:tab/>
            </w:r>
          </w:p>
        </w:tc>
        <w:tc>
          <w:tcPr>
            <w:tcW w:w="1125" w:type="pct"/>
          </w:tcPr>
          <w:p w14:paraId="1749754A" w14:textId="77777777" w:rsidR="009842A5" w:rsidRPr="004F63AF" w:rsidRDefault="009842A5" w:rsidP="00355AE2">
            <w:pPr>
              <w:jc w:val="center"/>
              <w:rPr>
                <w:sz w:val="16"/>
                <w:szCs w:val="16"/>
              </w:rPr>
            </w:pPr>
            <w:r w:rsidRPr="004F63AF">
              <w:rPr>
                <w:sz w:val="16"/>
                <w:szCs w:val="16"/>
              </w:rPr>
              <w:t>1725</w:t>
            </w:r>
          </w:p>
        </w:tc>
        <w:tc>
          <w:tcPr>
            <w:tcW w:w="1103" w:type="pct"/>
          </w:tcPr>
          <w:p w14:paraId="78256415" w14:textId="77777777" w:rsidR="009842A5" w:rsidRPr="004F63AF" w:rsidRDefault="009842A5" w:rsidP="00355AE2">
            <w:pPr>
              <w:jc w:val="center"/>
              <w:rPr>
                <w:sz w:val="16"/>
                <w:szCs w:val="16"/>
              </w:rPr>
            </w:pPr>
            <w:r w:rsidRPr="004F63AF">
              <w:rPr>
                <w:sz w:val="16"/>
                <w:szCs w:val="16"/>
              </w:rPr>
              <w:t>1934</w:t>
            </w:r>
          </w:p>
        </w:tc>
        <w:tc>
          <w:tcPr>
            <w:tcW w:w="1122" w:type="pct"/>
          </w:tcPr>
          <w:p w14:paraId="4D7D6F6A" w14:textId="77777777" w:rsidR="009842A5" w:rsidRPr="004F63AF" w:rsidRDefault="009842A5" w:rsidP="00355AE2">
            <w:pPr>
              <w:jc w:val="center"/>
              <w:rPr>
                <w:sz w:val="16"/>
                <w:szCs w:val="16"/>
              </w:rPr>
            </w:pPr>
            <w:r w:rsidRPr="004F63AF">
              <w:rPr>
                <w:sz w:val="16"/>
                <w:szCs w:val="16"/>
              </w:rPr>
              <w:t>12.1</w:t>
            </w:r>
          </w:p>
        </w:tc>
      </w:tr>
      <w:tr w:rsidR="009842A5" w:rsidRPr="004F63AF" w14:paraId="2563BCAA" w14:textId="77777777" w:rsidTr="008B1BE2">
        <w:trPr>
          <w:trHeight w:val="409"/>
          <w:jc w:val="center"/>
        </w:trPr>
        <w:tc>
          <w:tcPr>
            <w:tcW w:w="686" w:type="pct"/>
          </w:tcPr>
          <w:p w14:paraId="7EFAF74E" w14:textId="77777777" w:rsidR="009842A5" w:rsidRPr="004F63AF" w:rsidRDefault="009842A5" w:rsidP="00355AE2">
            <w:pPr>
              <w:pStyle w:val="ListParagraph"/>
              <w:numPr>
                <w:ilvl w:val="0"/>
                <w:numId w:val="3"/>
              </w:numPr>
              <w:rPr>
                <w:sz w:val="16"/>
                <w:szCs w:val="16"/>
                <w:lang w:val="lv-LV"/>
              </w:rPr>
            </w:pPr>
          </w:p>
        </w:tc>
        <w:tc>
          <w:tcPr>
            <w:tcW w:w="964" w:type="pct"/>
          </w:tcPr>
          <w:p w14:paraId="7CEE7893" w14:textId="77777777" w:rsidR="009842A5" w:rsidRPr="004F63AF" w:rsidRDefault="009842A5" w:rsidP="00355AE2">
            <w:pPr>
              <w:rPr>
                <w:b/>
                <w:sz w:val="16"/>
                <w:szCs w:val="16"/>
              </w:rPr>
            </w:pPr>
            <w:r w:rsidRPr="004F63AF">
              <w:rPr>
                <w:b/>
                <w:sz w:val="16"/>
                <w:szCs w:val="16"/>
              </w:rPr>
              <w:t>Īrija</w:t>
            </w:r>
            <w:r w:rsidRPr="004F63AF">
              <w:rPr>
                <w:b/>
                <w:sz w:val="16"/>
                <w:szCs w:val="16"/>
              </w:rPr>
              <w:tab/>
            </w:r>
          </w:p>
        </w:tc>
        <w:tc>
          <w:tcPr>
            <w:tcW w:w="1125" w:type="pct"/>
          </w:tcPr>
          <w:p w14:paraId="63948860" w14:textId="77777777" w:rsidR="009842A5" w:rsidRPr="004F63AF" w:rsidRDefault="009842A5" w:rsidP="00355AE2">
            <w:pPr>
              <w:jc w:val="center"/>
              <w:rPr>
                <w:sz w:val="16"/>
                <w:szCs w:val="16"/>
              </w:rPr>
            </w:pPr>
            <w:r w:rsidRPr="004F63AF">
              <w:rPr>
                <w:sz w:val="16"/>
                <w:szCs w:val="16"/>
              </w:rPr>
              <w:t>1775</w:t>
            </w:r>
          </w:p>
        </w:tc>
        <w:tc>
          <w:tcPr>
            <w:tcW w:w="1103" w:type="pct"/>
          </w:tcPr>
          <w:p w14:paraId="5440B725" w14:textId="77777777" w:rsidR="009842A5" w:rsidRPr="004F63AF" w:rsidRDefault="009842A5" w:rsidP="00355AE2">
            <w:pPr>
              <w:jc w:val="center"/>
              <w:rPr>
                <w:sz w:val="16"/>
                <w:szCs w:val="16"/>
              </w:rPr>
            </w:pPr>
            <w:r w:rsidRPr="004F63AF">
              <w:rPr>
                <w:sz w:val="16"/>
                <w:szCs w:val="16"/>
              </w:rPr>
              <w:t>1910</w:t>
            </w:r>
          </w:p>
        </w:tc>
        <w:tc>
          <w:tcPr>
            <w:tcW w:w="1122" w:type="pct"/>
          </w:tcPr>
          <w:p w14:paraId="51BEF256" w14:textId="77777777" w:rsidR="009842A5" w:rsidRPr="004F63AF" w:rsidRDefault="009842A5" w:rsidP="00355AE2">
            <w:pPr>
              <w:jc w:val="center"/>
              <w:rPr>
                <w:sz w:val="16"/>
                <w:szCs w:val="16"/>
              </w:rPr>
            </w:pPr>
            <w:r w:rsidRPr="004F63AF">
              <w:rPr>
                <w:sz w:val="16"/>
                <w:szCs w:val="16"/>
              </w:rPr>
              <w:t>7.6</w:t>
            </w:r>
          </w:p>
        </w:tc>
      </w:tr>
      <w:tr w:rsidR="009842A5" w:rsidRPr="004F63AF" w14:paraId="4EDCE5FB" w14:textId="77777777" w:rsidTr="008B1BE2">
        <w:trPr>
          <w:trHeight w:val="409"/>
          <w:jc w:val="center"/>
        </w:trPr>
        <w:tc>
          <w:tcPr>
            <w:tcW w:w="686" w:type="pct"/>
          </w:tcPr>
          <w:p w14:paraId="7E497D0D" w14:textId="77777777" w:rsidR="009842A5" w:rsidRPr="004F63AF" w:rsidRDefault="009842A5" w:rsidP="00355AE2">
            <w:pPr>
              <w:pStyle w:val="ListParagraph"/>
              <w:numPr>
                <w:ilvl w:val="0"/>
                <w:numId w:val="3"/>
              </w:numPr>
              <w:rPr>
                <w:sz w:val="16"/>
                <w:szCs w:val="16"/>
                <w:lang w:val="lv-LV"/>
              </w:rPr>
            </w:pPr>
          </w:p>
        </w:tc>
        <w:tc>
          <w:tcPr>
            <w:tcW w:w="964" w:type="pct"/>
          </w:tcPr>
          <w:p w14:paraId="644F5DDF" w14:textId="77777777" w:rsidR="009842A5" w:rsidRPr="004F63AF" w:rsidRDefault="009842A5" w:rsidP="00355AE2">
            <w:pPr>
              <w:rPr>
                <w:b/>
                <w:sz w:val="16"/>
                <w:szCs w:val="16"/>
              </w:rPr>
            </w:pPr>
            <w:r w:rsidRPr="004F63AF">
              <w:rPr>
                <w:b/>
                <w:sz w:val="16"/>
                <w:szCs w:val="16"/>
              </w:rPr>
              <w:t>Francija</w:t>
            </w:r>
            <w:r w:rsidRPr="004F63AF">
              <w:rPr>
                <w:b/>
                <w:sz w:val="16"/>
                <w:szCs w:val="16"/>
              </w:rPr>
              <w:tab/>
              <w:t xml:space="preserve"> </w:t>
            </w:r>
          </w:p>
        </w:tc>
        <w:tc>
          <w:tcPr>
            <w:tcW w:w="1125" w:type="pct"/>
          </w:tcPr>
          <w:p w14:paraId="53D1217B" w14:textId="77777777" w:rsidR="009842A5" w:rsidRPr="004F63AF" w:rsidRDefault="009842A5" w:rsidP="00355AE2">
            <w:pPr>
              <w:jc w:val="center"/>
              <w:rPr>
                <w:sz w:val="16"/>
                <w:szCs w:val="16"/>
              </w:rPr>
            </w:pPr>
            <w:r w:rsidRPr="004F63AF">
              <w:rPr>
                <w:sz w:val="16"/>
                <w:szCs w:val="16"/>
              </w:rPr>
              <w:t>1603</w:t>
            </w:r>
          </w:p>
        </w:tc>
        <w:tc>
          <w:tcPr>
            <w:tcW w:w="1103" w:type="pct"/>
          </w:tcPr>
          <w:p w14:paraId="18FE53FD" w14:textId="77777777" w:rsidR="009842A5" w:rsidRPr="004F63AF" w:rsidRDefault="009842A5" w:rsidP="00355AE2">
            <w:pPr>
              <w:jc w:val="center"/>
              <w:rPr>
                <w:sz w:val="16"/>
                <w:szCs w:val="16"/>
              </w:rPr>
            </w:pPr>
            <w:r w:rsidRPr="004F63AF">
              <w:rPr>
                <w:sz w:val="16"/>
                <w:szCs w:val="16"/>
              </w:rPr>
              <w:t>1709</w:t>
            </w:r>
          </w:p>
        </w:tc>
        <w:tc>
          <w:tcPr>
            <w:tcW w:w="1122" w:type="pct"/>
          </w:tcPr>
          <w:p w14:paraId="6FE8BE64" w14:textId="77777777" w:rsidR="009842A5" w:rsidRPr="004F63AF" w:rsidRDefault="009842A5" w:rsidP="00355AE2">
            <w:pPr>
              <w:jc w:val="center"/>
              <w:rPr>
                <w:sz w:val="16"/>
                <w:szCs w:val="16"/>
              </w:rPr>
            </w:pPr>
            <w:r w:rsidRPr="004F63AF">
              <w:rPr>
                <w:sz w:val="16"/>
                <w:szCs w:val="16"/>
              </w:rPr>
              <w:t>6.6</w:t>
            </w:r>
          </w:p>
        </w:tc>
      </w:tr>
      <w:tr w:rsidR="009842A5" w:rsidRPr="004F63AF" w14:paraId="05095292" w14:textId="77777777" w:rsidTr="008B1BE2">
        <w:trPr>
          <w:trHeight w:val="409"/>
          <w:jc w:val="center"/>
        </w:trPr>
        <w:tc>
          <w:tcPr>
            <w:tcW w:w="686" w:type="pct"/>
          </w:tcPr>
          <w:p w14:paraId="0B6FBE81" w14:textId="77777777" w:rsidR="009842A5" w:rsidRPr="004F63AF" w:rsidRDefault="009842A5" w:rsidP="00355AE2">
            <w:pPr>
              <w:pStyle w:val="ListParagraph"/>
              <w:numPr>
                <w:ilvl w:val="0"/>
                <w:numId w:val="3"/>
              </w:numPr>
              <w:rPr>
                <w:sz w:val="16"/>
                <w:szCs w:val="16"/>
                <w:lang w:val="lv-LV"/>
              </w:rPr>
            </w:pPr>
          </w:p>
        </w:tc>
        <w:tc>
          <w:tcPr>
            <w:tcW w:w="964" w:type="pct"/>
          </w:tcPr>
          <w:p w14:paraId="58EC190D" w14:textId="77777777" w:rsidR="009842A5" w:rsidRPr="004F63AF" w:rsidRDefault="009842A5" w:rsidP="00355AE2">
            <w:pPr>
              <w:rPr>
                <w:b/>
                <w:sz w:val="16"/>
                <w:szCs w:val="16"/>
              </w:rPr>
            </w:pPr>
            <w:r w:rsidRPr="004F63AF">
              <w:rPr>
                <w:b/>
                <w:sz w:val="16"/>
                <w:szCs w:val="16"/>
              </w:rPr>
              <w:t>Slovēnija</w:t>
            </w:r>
            <w:r w:rsidRPr="004F63AF">
              <w:rPr>
                <w:b/>
                <w:sz w:val="16"/>
                <w:szCs w:val="16"/>
              </w:rPr>
              <w:tab/>
            </w:r>
          </w:p>
        </w:tc>
        <w:tc>
          <w:tcPr>
            <w:tcW w:w="1125" w:type="pct"/>
          </w:tcPr>
          <w:p w14:paraId="7489FEC8" w14:textId="77777777" w:rsidR="009842A5" w:rsidRPr="004F63AF" w:rsidRDefault="009842A5" w:rsidP="00355AE2">
            <w:pPr>
              <w:jc w:val="center"/>
              <w:rPr>
                <w:sz w:val="16"/>
                <w:szCs w:val="16"/>
              </w:rPr>
            </w:pPr>
            <w:r w:rsidRPr="004F63AF">
              <w:rPr>
                <w:sz w:val="16"/>
                <w:szCs w:val="16"/>
              </w:rPr>
              <w:t>1164</w:t>
            </w:r>
          </w:p>
        </w:tc>
        <w:tc>
          <w:tcPr>
            <w:tcW w:w="1103" w:type="pct"/>
          </w:tcPr>
          <w:p w14:paraId="6D00308B" w14:textId="77777777" w:rsidR="009842A5" w:rsidRPr="004F63AF" w:rsidRDefault="009842A5" w:rsidP="00355AE2">
            <w:pPr>
              <w:jc w:val="center"/>
              <w:rPr>
                <w:sz w:val="16"/>
                <w:szCs w:val="16"/>
              </w:rPr>
            </w:pPr>
            <w:r w:rsidRPr="004F63AF">
              <w:rPr>
                <w:sz w:val="16"/>
                <w:szCs w:val="16"/>
              </w:rPr>
              <w:t>1304</w:t>
            </w:r>
          </w:p>
        </w:tc>
        <w:tc>
          <w:tcPr>
            <w:tcW w:w="1122" w:type="pct"/>
          </w:tcPr>
          <w:p w14:paraId="3B53484C" w14:textId="77777777" w:rsidR="009842A5" w:rsidRPr="004F63AF" w:rsidRDefault="009842A5" w:rsidP="00355AE2">
            <w:pPr>
              <w:jc w:val="center"/>
              <w:rPr>
                <w:sz w:val="16"/>
                <w:szCs w:val="16"/>
              </w:rPr>
            </w:pPr>
            <w:r w:rsidRPr="004F63AF">
              <w:rPr>
                <w:sz w:val="16"/>
                <w:szCs w:val="16"/>
              </w:rPr>
              <w:t>12.0</w:t>
            </w:r>
          </w:p>
        </w:tc>
      </w:tr>
      <w:tr w:rsidR="009842A5" w:rsidRPr="004F63AF" w14:paraId="7C7D398D" w14:textId="77777777" w:rsidTr="008B1BE2">
        <w:trPr>
          <w:trHeight w:val="398"/>
          <w:jc w:val="center"/>
        </w:trPr>
        <w:tc>
          <w:tcPr>
            <w:tcW w:w="686" w:type="pct"/>
          </w:tcPr>
          <w:p w14:paraId="51B15F0A" w14:textId="77777777" w:rsidR="009842A5" w:rsidRPr="004F63AF" w:rsidRDefault="009842A5" w:rsidP="00355AE2">
            <w:pPr>
              <w:pStyle w:val="ListParagraph"/>
              <w:numPr>
                <w:ilvl w:val="0"/>
                <w:numId w:val="3"/>
              </w:numPr>
              <w:rPr>
                <w:sz w:val="16"/>
                <w:szCs w:val="16"/>
                <w:lang w:val="lv-LV"/>
              </w:rPr>
            </w:pPr>
          </w:p>
        </w:tc>
        <w:tc>
          <w:tcPr>
            <w:tcW w:w="964" w:type="pct"/>
          </w:tcPr>
          <w:p w14:paraId="1C97DEB9" w14:textId="77777777" w:rsidR="009842A5" w:rsidRPr="004F63AF" w:rsidRDefault="009842A5" w:rsidP="00355AE2">
            <w:pPr>
              <w:rPr>
                <w:b/>
                <w:sz w:val="16"/>
                <w:szCs w:val="16"/>
              </w:rPr>
            </w:pPr>
            <w:r w:rsidRPr="004F63AF">
              <w:rPr>
                <w:b/>
                <w:sz w:val="16"/>
                <w:szCs w:val="16"/>
              </w:rPr>
              <w:t>Spānija</w:t>
            </w:r>
            <w:r w:rsidRPr="004F63AF">
              <w:rPr>
                <w:b/>
                <w:sz w:val="16"/>
                <w:szCs w:val="16"/>
              </w:rPr>
              <w:tab/>
            </w:r>
          </w:p>
        </w:tc>
        <w:tc>
          <w:tcPr>
            <w:tcW w:w="1125" w:type="pct"/>
          </w:tcPr>
          <w:p w14:paraId="09481BC1" w14:textId="77777777" w:rsidR="009842A5" w:rsidRPr="004F63AF" w:rsidRDefault="009842A5" w:rsidP="00355AE2">
            <w:pPr>
              <w:jc w:val="center"/>
              <w:rPr>
                <w:sz w:val="16"/>
                <w:szCs w:val="16"/>
              </w:rPr>
            </w:pPr>
            <w:r w:rsidRPr="004F63AF">
              <w:rPr>
                <w:sz w:val="16"/>
                <w:szCs w:val="16"/>
              </w:rPr>
              <w:t>1167</w:t>
            </w:r>
          </w:p>
        </w:tc>
        <w:tc>
          <w:tcPr>
            <w:tcW w:w="1103" w:type="pct"/>
          </w:tcPr>
          <w:p w14:paraId="2E5D6599" w14:textId="77777777" w:rsidR="009842A5" w:rsidRPr="004F63AF" w:rsidRDefault="009842A5" w:rsidP="00355AE2">
            <w:pPr>
              <w:jc w:val="center"/>
              <w:rPr>
                <w:sz w:val="16"/>
                <w:szCs w:val="16"/>
              </w:rPr>
            </w:pPr>
            <w:r w:rsidRPr="004F63AF">
              <w:rPr>
                <w:sz w:val="16"/>
                <w:szCs w:val="16"/>
              </w:rPr>
              <w:t>1260</w:t>
            </w:r>
          </w:p>
        </w:tc>
        <w:tc>
          <w:tcPr>
            <w:tcW w:w="1122" w:type="pct"/>
          </w:tcPr>
          <w:p w14:paraId="500F780C" w14:textId="77777777" w:rsidR="009842A5" w:rsidRPr="004F63AF" w:rsidRDefault="009842A5" w:rsidP="00355AE2">
            <w:pPr>
              <w:jc w:val="center"/>
              <w:rPr>
                <w:sz w:val="16"/>
                <w:szCs w:val="16"/>
              </w:rPr>
            </w:pPr>
            <w:r w:rsidRPr="004F63AF">
              <w:rPr>
                <w:sz w:val="16"/>
                <w:szCs w:val="16"/>
              </w:rPr>
              <w:t>8.0</w:t>
            </w:r>
          </w:p>
        </w:tc>
      </w:tr>
      <w:tr w:rsidR="009842A5" w:rsidRPr="004F63AF" w14:paraId="3F621198" w14:textId="77777777" w:rsidTr="008B1BE2">
        <w:trPr>
          <w:trHeight w:val="409"/>
          <w:jc w:val="center"/>
        </w:trPr>
        <w:tc>
          <w:tcPr>
            <w:tcW w:w="686" w:type="pct"/>
          </w:tcPr>
          <w:p w14:paraId="6B15C437" w14:textId="77777777" w:rsidR="009842A5" w:rsidRPr="004F63AF" w:rsidRDefault="009842A5" w:rsidP="00355AE2">
            <w:pPr>
              <w:pStyle w:val="ListParagraph"/>
              <w:numPr>
                <w:ilvl w:val="0"/>
                <w:numId w:val="3"/>
              </w:numPr>
              <w:rPr>
                <w:sz w:val="16"/>
                <w:szCs w:val="16"/>
                <w:lang w:val="lv-LV"/>
              </w:rPr>
            </w:pPr>
          </w:p>
        </w:tc>
        <w:tc>
          <w:tcPr>
            <w:tcW w:w="964" w:type="pct"/>
          </w:tcPr>
          <w:p w14:paraId="3D1564B2" w14:textId="77777777" w:rsidR="009842A5" w:rsidRPr="004F63AF" w:rsidRDefault="009842A5" w:rsidP="00355AE2">
            <w:pPr>
              <w:rPr>
                <w:b/>
                <w:sz w:val="16"/>
                <w:szCs w:val="16"/>
              </w:rPr>
            </w:pPr>
            <w:r w:rsidRPr="004F63AF">
              <w:rPr>
                <w:b/>
                <w:sz w:val="16"/>
                <w:szCs w:val="16"/>
              </w:rPr>
              <w:t>Kipra</w:t>
            </w:r>
          </w:p>
        </w:tc>
        <w:tc>
          <w:tcPr>
            <w:tcW w:w="1125" w:type="pct"/>
          </w:tcPr>
          <w:p w14:paraId="78C4DE19" w14:textId="77777777" w:rsidR="009842A5" w:rsidRPr="004F63AF" w:rsidRDefault="009842A5" w:rsidP="00355AE2">
            <w:pPr>
              <w:jc w:val="center"/>
              <w:rPr>
                <w:sz w:val="16"/>
                <w:szCs w:val="16"/>
              </w:rPr>
            </w:pPr>
            <w:r w:rsidRPr="004F63AF">
              <w:rPr>
                <w:sz w:val="16"/>
                <w:szCs w:val="16"/>
              </w:rPr>
              <w:t>n/a</w:t>
            </w:r>
          </w:p>
        </w:tc>
        <w:tc>
          <w:tcPr>
            <w:tcW w:w="1103" w:type="pct"/>
          </w:tcPr>
          <w:p w14:paraId="33895254" w14:textId="77777777" w:rsidR="009842A5" w:rsidRPr="004F63AF" w:rsidRDefault="009842A5" w:rsidP="00355AE2">
            <w:pPr>
              <w:jc w:val="center"/>
              <w:rPr>
                <w:sz w:val="16"/>
                <w:szCs w:val="16"/>
              </w:rPr>
            </w:pPr>
            <w:r w:rsidRPr="004F63AF">
              <w:rPr>
                <w:sz w:val="16"/>
                <w:szCs w:val="16"/>
              </w:rPr>
              <w:t>940</w:t>
            </w:r>
          </w:p>
        </w:tc>
        <w:tc>
          <w:tcPr>
            <w:tcW w:w="1122" w:type="pct"/>
          </w:tcPr>
          <w:p w14:paraId="36283410" w14:textId="77777777" w:rsidR="009842A5" w:rsidRPr="004F63AF" w:rsidRDefault="009842A5" w:rsidP="00355AE2">
            <w:pPr>
              <w:jc w:val="center"/>
              <w:rPr>
                <w:sz w:val="16"/>
                <w:szCs w:val="16"/>
              </w:rPr>
            </w:pPr>
            <w:r w:rsidRPr="004F63AF">
              <w:rPr>
                <w:sz w:val="16"/>
                <w:szCs w:val="16"/>
              </w:rPr>
              <w:t>n/a</w:t>
            </w:r>
          </w:p>
        </w:tc>
      </w:tr>
      <w:tr w:rsidR="009842A5" w:rsidRPr="004F63AF" w14:paraId="549A4E54" w14:textId="77777777" w:rsidTr="008B1BE2">
        <w:trPr>
          <w:trHeight w:val="409"/>
          <w:jc w:val="center"/>
        </w:trPr>
        <w:tc>
          <w:tcPr>
            <w:tcW w:w="686" w:type="pct"/>
          </w:tcPr>
          <w:p w14:paraId="3049CE82" w14:textId="77777777" w:rsidR="009842A5" w:rsidRPr="004F63AF" w:rsidRDefault="009842A5" w:rsidP="00355AE2">
            <w:pPr>
              <w:pStyle w:val="ListParagraph"/>
              <w:numPr>
                <w:ilvl w:val="0"/>
                <w:numId w:val="3"/>
              </w:numPr>
              <w:rPr>
                <w:sz w:val="16"/>
                <w:szCs w:val="16"/>
                <w:lang w:val="lv-LV"/>
              </w:rPr>
            </w:pPr>
          </w:p>
        </w:tc>
        <w:tc>
          <w:tcPr>
            <w:tcW w:w="964" w:type="pct"/>
          </w:tcPr>
          <w:p w14:paraId="1A842659" w14:textId="77777777" w:rsidR="009842A5" w:rsidRPr="004F63AF" w:rsidRDefault="009842A5" w:rsidP="00355AE2">
            <w:pPr>
              <w:rPr>
                <w:b/>
                <w:sz w:val="16"/>
                <w:szCs w:val="16"/>
              </w:rPr>
            </w:pPr>
            <w:r w:rsidRPr="004F63AF">
              <w:rPr>
                <w:b/>
                <w:sz w:val="16"/>
                <w:szCs w:val="16"/>
              </w:rPr>
              <w:t>Portugāle</w:t>
            </w:r>
            <w:r w:rsidRPr="004F63AF">
              <w:rPr>
                <w:b/>
                <w:sz w:val="16"/>
                <w:szCs w:val="16"/>
              </w:rPr>
              <w:tab/>
            </w:r>
          </w:p>
        </w:tc>
        <w:tc>
          <w:tcPr>
            <w:tcW w:w="1125" w:type="pct"/>
          </w:tcPr>
          <w:p w14:paraId="5ABFE4FE" w14:textId="77777777" w:rsidR="009842A5" w:rsidRPr="004F63AF" w:rsidRDefault="009842A5" w:rsidP="00355AE2">
            <w:pPr>
              <w:jc w:val="center"/>
              <w:rPr>
                <w:sz w:val="16"/>
                <w:szCs w:val="16"/>
              </w:rPr>
            </w:pPr>
            <w:r w:rsidRPr="004F63AF">
              <w:rPr>
                <w:sz w:val="16"/>
                <w:szCs w:val="16"/>
              </w:rPr>
              <w:t>823</w:t>
            </w:r>
          </w:p>
        </w:tc>
        <w:tc>
          <w:tcPr>
            <w:tcW w:w="1103" w:type="pct"/>
          </w:tcPr>
          <w:p w14:paraId="0EC0DB1D" w14:textId="77777777" w:rsidR="009842A5" w:rsidRPr="004F63AF" w:rsidRDefault="009842A5" w:rsidP="00355AE2">
            <w:pPr>
              <w:jc w:val="center"/>
              <w:rPr>
                <w:sz w:val="16"/>
                <w:szCs w:val="16"/>
              </w:rPr>
            </w:pPr>
            <w:r w:rsidRPr="004F63AF">
              <w:rPr>
                <w:sz w:val="16"/>
                <w:szCs w:val="16"/>
              </w:rPr>
              <w:t>887</w:t>
            </w:r>
          </w:p>
        </w:tc>
        <w:tc>
          <w:tcPr>
            <w:tcW w:w="1122" w:type="pct"/>
          </w:tcPr>
          <w:p w14:paraId="17A29E29" w14:textId="77777777" w:rsidR="009842A5" w:rsidRPr="004F63AF" w:rsidRDefault="009842A5" w:rsidP="00355AE2">
            <w:pPr>
              <w:jc w:val="center"/>
              <w:rPr>
                <w:sz w:val="16"/>
                <w:szCs w:val="16"/>
              </w:rPr>
            </w:pPr>
            <w:r w:rsidRPr="004F63AF">
              <w:rPr>
                <w:sz w:val="16"/>
                <w:szCs w:val="16"/>
              </w:rPr>
              <w:t>7.8</w:t>
            </w:r>
          </w:p>
        </w:tc>
      </w:tr>
      <w:tr w:rsidR="009842A5" w:rsidRPr="004F63AF" w14:paraId="452F306C" w14:textId="77777777" w:rsidTr="008B1BE2">
        <w:trPr>
          <w:trHeight w:val="390"/>
          <w:jc w:val="center"/>
        </w:trPr>
        <w:tc>
          <w:tcPr>
            <w:tcW w:w="686" w:type="pct"/>
          </w:tcPr>
          <w:p w14:paraId="3EBBD8A3" w14:textId="77777777" w:rsidR="009842A5" w:rsidRPr="004F63AF" w:rsidRDefault="009842A5" w:rsidP="00355AE2">
            <w:pPr>
              <w:pStyle w:val="ListParagraph"/>
              <w:numPr>
                <w:ilvl w:val="0"/>
                <w:numId w:val="3"/>
              </w:numPr>
              <w:rPr>
                <w:sz w:val="16"/>
                <w:szCs w:val="16"/>
                <w:lang w:val="lv-LV"/>
              </w:rPr>
            </w:pPr>
          </w:p>
        </w:tc>
        <w:tc>
          <w:tcPr>
            <w:tcW w:w="964" w:type="pct"/>
          </w:tcPr>
          <w:p w14:paraId="4772C32D" w14:textId="77777777" w:rsidR="009842A5" w:rsidRPr="004F63AF" w:rsidRDefault="009842A5" w:rsidP="00355AE2">
            <w:pPr>
              <w:rPr>
                <w:b/>
                <w:sz w:val="16"/>
                <w:szCs w:val="16"/>
              </w:rPr>
            </w:pPr>
            <w:r w:rsidRPr="004F63AF">
              <w:rPr>
                <w:b/>
                <w:sz w:val="16"/>
                <w:szCs w:val="16"/>
              </w:rPr>
              <w:t>Lietuva</w:t>
            </w:r>
            <w:r w:rsidRPr="004F63AF">
              <w:rPr>
                <w:b/>
                <w:sz w:val="16"/>
                <w:szCs w:val="16"/>
              </w:rPr>
              <w:tab/>
            </w:r>
          </w:p>
        </w:tc>
        <w:tc>
          <w:tcPr>
            <w:tcW w:w="1125" w:type="pct"/>
          </w:tcPr>
          <w:p w14:paraId="18B666A6" w14:textId="77777777" w:rsidR="009842A5" w:rsidRPr="004F63AF" w:rsidRDefault="009842A5" w:rsidP="00355AE2">
            <w:pPr>
              <w:jc w:val="center"/>
              <w:rPr>
                <w:sz w:val="16"/>
                <w:szCs w:val="16"/>
              </w:rPr>
            </w:pPr>
            <w:r w:rsidRPr="004F63AF">
              <w:rPr>
                <w:sz w:val="16"/>
                <w:szCs w:val="16"/>
              </w:rPr>
              <w:t>730</w:t>
            </w:r>
          </w:p>
        </w:tc>
        <w:tc>
          <w:tcPr>
            <w:tcW w:w="1103" w:type="pct"/>
          </w:tcPr>
          <w:p w14:paraId="288CA4DB" w14:textId="77777777" w:rsidR="009842A5" w:rsidRPr="004F63AF" w:rsidRDefault="009842A5" w:rsidP="00355AE2">
            <w:pPr>
              <w:jc w:val="center"/>
              <w:rPr>
                <w:sz w:val="16"/>
                <w:szCs w:val="16"/>
              </w:rPr>
            </w:pPr>
            <w:r w:rsidRPr="004F63AF">
              <w:rPr>
                <w:sz w:val="16"/>
                <w:szCs w:val="16"/>
              </w:rPr>
              <w:t>840</w:t>
            </w:r>
          </w:p>
        </w:tc>
        <w:tc>
          <w:tcPr>
            <w:tcW w:w="1122" w:type="pct"/>
          </w:tcPr>
          <w:p w14:paraId="369D2207" w14:textId="77777777" w:rsidR="009842A5" w:rsidRPr="004F63AF" w:rsidRDefault="009842A5" w:rsidP="00355AE2">
            <w:pPr>
              <w:jc w:val="center"/>
              <w:rPr>
                <w:sz w:val="16"/>
                <w:szCs w:val="16"/>
              </w:rPr>
            </w:pPr>
            <w:r w:rsidRPr="004F63AF">
              <w:rPr>
                <w:sz w:val="16"/>
                <w:szCs w:val="16"/>
              </w:rPr>
              <w:t>15.1</w:t>
            </w:r>
          </w:p>
        </w:tc>
      </w:tr>
      <w:tr w:rsidR="009842A5" w:rsidRPr="004F63AF" w14:paraId="746610EA" w14:textId="77777777" w:rsidTr="008B1BE2">
        <w:trPr>
          <w:trHeight w:val="409"/>
          <w:jc w:val="center"/>
        </w:trPr>
        <w:tc>
          <w:tcPr>
            <w:tcW w:w="686" w:type="pct"/>
          </w:tcPr>
          <w:p w14:paraId="3E617CD2" w14:textId="77777777" w:rsidR="009842A5" w:rsidRPr="004F63AF" w:rsidRDefault="009842A5" w:rsidP="00355AE2">
            <w:pPr>
              <w:pStyle w:val="ListParagraph"/>
              <w:numPr>
                <w:ilvl w:val="0"/>
                <w:numId w:val="3"/>
              </w:numPr>
              <w:rPr>
                <w:sz w:val="16"/>
                <w:szCs w:val="16"/>
                <w:lang w:val="lv-LV"/>
              </w:rPr>
            </w:pPr>
          </w:p>
        </w:tc>
        <w:tc>
          <w:tcPr>
            <w:tcW w:w="964" w:type="pct"/>
          </w:tcPr>
          <w:p w14:paraId="3CFE591C" w14:textId="77777777" w:rsidR="009842A5" w:rsidRPr="004F63AF" w:rsidRDefault="009842A5" w:rsidP="00355AE2">
            <w:pPr>
              <w:rPr>
                <w:b/>
                <w:sz w:val="16"/>
                <w:szCs w:val="16"/>
              </w:rPr>
            </w:pPr>
            <w:r w:rsidRPr="004F63AF">
              <w:rPr>
                <w:b/>
                <w:sz w:val="16"/>
                <w:szCs w:val="16"/>
              </w:rPr>
              <w:t>Malta</w:t>
            </w:r>
          </w:p>
        </w:tc>
        <w:tc>
          <w:tcPr>
            <w:tcW w:w="1125" w:type="pct"/>
          </w:tcPr>
          <w:p w14:paraId="04AD5254" w14:textId="77777777" w:rsidR="009842A5" w:rsidRPr="004F63AF" w:rsidRDefault="009842A5" w:rsidP="00355AE2">
            <w:pPr>
              <w:jc w:val="center"/>
              <w:rPr>
                <w:sz w:val="16"/>
                <w:szCs w:val="16"/>
              </w:rPr>
            </w:pPr>
            <w:r w:rsidRPr="004F63AF">
              <w:rPr>
                <w:sz w:val="16"/>
                <w:szCs w:val="16"/>
              </w:rPr>
              <w:t>792</w:t>
            </w:r>
          </w:p>
        </w:tc>
        <w:tc>
          <w:tcPr>
            <w:tcW w:w="1103" w:type="pct"/>
          </w:tcPr>
          <w:p w14:paraId="083C1B1D" w14:textId="77777777" w:rsidR="009842A5" w:rsidRPr="004F63AF" w:rsidRDefault="009842A5" w:rsidP="00355AE2">
            <w:pPr>
              <w:jc w:val="center"/>
              <w:rPr>
                <w:sz w:val="16"/>
                <w:szCs w:val="16"/>
              </w:rPr>
            </w:pPr>
            <w:r w:rsidRPr="004F63AF">
              <w:rPr>
                <w:sz w:val="16"/>
                <w:szCs w:val="16"/>
              </w:rPr>
              <w:t>835</w:t>
            </w:r>
          </w:p>
        </w:tc>
        <w:tc>
          <w:tcPr>
            <w:tcW w:w="1122" w:type="pct"/>
          </w:tcPr>
          <w:p w14:paraId="04E8DCAA" w14:textId="77777777" w:rsidR="009842A5" w:rsidRPr="004F63AF" w:rsidRDefault="009842A5" w:rsidP="00355AE2">
            <w:pPr>
              <w:jc w:val="center"/>
              <w:rPr>
                <w:sz w:val="16"/>
                <w:szCs w:val="16"/>
              </w:rPr>
            </w:pPr>
            <w:r w:rsidRPr="004F63AF">
              <w:rPr>
                <w:sz w:val="16"/>
                <w:szCs w:val="16"/>
              </w:rPr>
              <w:t>5.4</w:t>
            </w:r>
          </w:p>
        </w:tc>
      </w:tr>
      <w:tr w:rsidR="009842A5" w:rsidRPr="004F63AF" w14:paraId="1319C555" w14:textId="77777777" w:rsidTr="008B1BE2">
        <w:trPr>
          <w:trHeight w:val="409"/>
          <w:jc w:val="center"/>
        </w:trPr>
        <w:tc>
          <w:tcPr>
            <w:tcW w:w="686" w:type="pct"/>
          </w:tcPr>
          <w:p w14:paraId="0AA3D2D4" w14:textId="77777777" w:rsidR="009842A5" w:rsidRPr="004F63AF" w:rsidRDefault="009842A5" w:rsidP="00355AE2">
            <w:pPr>
              <w:pStyle w:val="ListParagraph"/>
              <w:numPr>
                <w:ilvl w:val="0"/>
                <w:numId w:val="3"/>
              </w:numPr>
              <w:rPr>
                <w:sz w:val="16"/>
                <w:szCs w:val="16"/>
                <w:lang w:val="lv-LV"/>
              </w:rPr>
            </w:pPr>
          </w:p>
        </w:tc>
        <w:tc>
          <w:tcPr>
            <w:tcW w:w="964" w:type="pct"/>
          </w:tcPr>
          <w:p w14:paraId="49DBBF32" w14:textId="77777777" w:rsidR="009842A5" w:rsidRPr="004F63AF" w:rsidRDefault="009842A5" w:rsidP="00355AE2">
            <w:pPr>
              <w:rPr>
                <w:b/>
                <w:sz w:val="16"/>
                <w:szCs w:val="16"/>
              </w:rPr>
            </w:pPr>
            <w:r w:rsidRPr="004F63AF">
              <w:rPr>
                <w:b/>
                <w:sz w:val="16"/>
                <w:szCs w:val="16"/>
              </w:rPr>
              <w:t xml:space="preserve">Grieķija </w:t>
            </w:r>
            <w:r w:rsidRPr="004F63AF">
              <w:rPr>
                <w:b/>
                <w:sz w:val="16"/>
                <w:szCs w:val="16"/>
              </w:rPr>
              <w:tab/>
            </w:r>
          </w:p>
        </w:tc>
        <w:tc>
          <w:tcPr>
            <w:tcW w:w="1125" w:type="pct"/>
          </w:tcPr>
          <w:p w14:paraId="0E42B324" w14:textId="77777777" w:rsidR="009842A5" w:rsidRPr="004F63AF" w:rsidRDefault="009842A5" w:rsidP="00355AE2">
            <w:pPr>
              <w:jc w:val="center"/>
              <w:rPr>
                <w:sz w:val="16"/>
                <w:szCs w:val="16"/>
              </w:rPr>
            </w:pPr>
            <w:r w:rsidRPr="004F63AF">
              <w:rPr>
                <w:sz w:val="16"/>
                <w:szCs w:val="16"/>
              </w:rPr>
              <w:t>774</w:t>
            </w:r>
          </w:p>
        </w:tc>
        <w:tc>
          <w:tcPr>
            <w:tcW w:w="1103" w:type="pct"/>
          </w:tcPr>
          <w:p w14:paraId="2FDF149E" w14:textId="77777777" w:rsidR="009842A5" w:rsidRPr="004F63AF" w:rsidRDefault="009842A5" w:rsidP="00355AE2">
            <w:pPr>
              <w:jc w:val="center"/>
              <w:rPr>
                <w:sz w:val="16"/>
                <w:szCs w:val="16"/>
              </w:rPr>
            </w:pPr>
            <w:r w:rsidRPr="004F63AF">
              <w:rPr>
                <w:sz w:val="16"/>
                <w:szCs w:val="16"/>
              </w:rPr>
              <w:t>832</w:t>
            </w:r>
          </w:p>
        </w:tc>
        <w:tc>
          <w:tcPr>
            <w:tcW w:w="1122" w:type="pct"/>
          </w:tcPr>
          <w:p w14:paraId="1C26AF24" w14:textId="77777777" w:rsidR="009842A5" w:rsidRPr="004F63AF" w:rsidRDefault="009842A5" w:rsidP="00355AE2">
            <w:pPr>
              <w:jc w:val="center"/>
              <w:rPr>
                <w:sz w:val="16"/>
                <w:szCs w:val="16"/>
              </w:rPr>
            </w:pPr>
            <w:r w:rsidRPr="004F63AF">
              <w:rPr>
                <w:sz w:val="16"/>
                <w:szCs w:val="16"/>
              </w:rPr>
              <w:t>7.5</w:t>
            </w:r>
          </w:p>
        </w:tc>
      </w:tr>
      <w:tr w:rsidR="009842A5" w:rsidRPr="004F63AF" w14:paraId="11605E66" w14:textId="77777777" w:rsidTr="008B1BE2">
        <w:trPr>
          <w:trHeight w:val="409"/>
          <w:jc w:val="center"/>
        </w:trPr>
        <w:tc>
          <w:tcPr>
            <w:tcW w:w="686" w:type="pct"/>
          </w:tcPr>
          <w:p w14:paraId="5EB40BC5" w14:textId="77777777" w:rsidR="009842A5" w:rsidRPr="004F63AF" w:rsidRDefault="009842A5" w:rsidP="00355AE2">
            <w:pPr>
              <w:pStyle w:val="ListParagraph"/>
              <w:numPr>
                <w:ilvl w:val="0"/>
                <w:numId w:val="3"/>
              </w:numPr>
              <w:rPr>
                <w:sz w:val="16"/>
                <w:szCs w:val="16"/>
                <w:lang w:val="lv-LV"/>
              </w:rPr>
            </w:pPr>
          </w:p>
        </w:tc>
        <w:tc>
          <w:tcPr>
            <w:tcW w:w="964" w:type="pct"/>
          </w:tcPr>
          <w:p w14:paraId="3C345FC1" w14:textId="77777777" w:rsidR="009842A5" w:rsidRPr="004F63AF" w:rsidRDefault="009842A5" w:rsidP="00355AE2">
            <w:pPr>
              <w:rPr>
                <w:b/>
                <w:sz w:val="16"/>
                <w:szCs w:val="16"/>
              </w:rPr>
            </w:pPr>
            <w:r w:rsidRPr="004F63AF">
              <w:rPr>
                <w:b/>
                <w:sz w:val="16"/>
                <w:szCs w:val="16"/>
              </w:rPr>
              <w:t>Polija</w:t>
            </w:r>
            <w:r w:rsidRPr="004F63AF">
              <w:rPr>
                <w:b/>
                <w:sz w:val="16"/>
                <w:szCs w:val="16"/>
              </w:rPr>
              <w:tab/>
            </w:r>
          </w:p>
        </w:tc>
        <w:tc>
          <w:tcPr>
            <w:tcW w:w="1125" w:type="pct"/>
          </w:tcPr>
          <w:p w14:paraId="404A4B20" w14:textId="77777777" w:rsidR="009842A5" w:rsidRPr="004F63AF" w:rsidRDefault="009842A5" w:rsidP="00355AE2">
            <w:pPr>
              <w:jc w:val="center"/>
              <w:rPr>
                <w:sz w:val="16"/>
                <w:szCs w:val="16"/>
              </w:rPr>
            </w:pPr>
            <w:r w:rsidRPr="004F63AF">
              <w:rPr>
                <w:sz w:val="16"/>
                <w:szCs w:val="16"/>
              </w:rPr>
              <w:t>655</w:t>
            </w:r>
          </w:p>
        </w:tc>
        <w:tc>
          <w:tcPr>
            <w:tcW w:w="1103" w:type="pct"/>
          </w:tcPr>
          <w:p w14:paraId="7D30E68F" w14:textId="77777777" w:rsidR="009842A5" w:rsidRPr="004F63AF" w:rsidRDefault="009842A5" w:rsidP="00355AE2">
            <w:pPr>
              <w:jc w:val="center"/>
              <w:rPr>
                <w:sz w:val="16"/>
                <w:szCs w:val="16"/>
              </w:rPr>
            </w:pPr>
            <w:r w:rsidRPr="004F63AF">
              <w:rPr>
                <w:sz w:val="16"/>
                <w:szCs w:val="16"/>
              </w:rPr>
              <w:t>746</w:t>
            </w:r>
          </w:p>
        </w:tc>
        <w:tc>
          <w:tcPr>
            <w:tcW w:w="1122" w:type="pct"/>
          </w:tcPr>
          <w:p w14:paraId="5809F748" w14:textId="77777777" w:rsidR="009842A5" w:rsidRPr="004F63AF" w:rsidRDefault="009842A5" w:rsidP="00355AE2">
            <w:pPr>
              <w:jc w:val="center"/>
              <w:rPr>
                <w:sz w:val="16"/>
                <w:szCs w:val="16"/>
              </w:rPr>
            </w:pPr>
            <w:r w:rsidRPr="004F63AF">
              <w:rPr>
                <w:sz w:val="16"/>
                <w:szCs w:val="16"/>
              </w:rPr>
              <w:t>13.9</w:t>
            </w:r>
          </w:p>
        </w:tc>
      </w:tr>
      <w:tr w:rsidR="009842A5" w:rsidRPr="004F63AF" w14:paraId="61407DE9" w14:textId="77777777" w:rsidTr="008B1BE2">
        <w:trPr>
          <w:trHeight w:val="409"/>
          <w:jc w:val="center"/>
        </w:trPr>
        <w:tc>
          <w:tcPr>
            <w:tcW w:w="686" w:type="pct"/>
          </w:tcPr>
          <w:p w14:paraId="39122F58" w14:textId="77777777" w:rsidR="009842A5" w:rsidRPr="004F63AF" w:rsidRDefault="009842A5" w:rsidP="00355AE2">
            <w:pPr>
              <w:pStyle w:val="ListParagraph"/>
              <w:numPr>
                <w:ilvl w:val="0"/>
                <w:numId w:val="3"/>
              </w:numPr>
              <w:rPr>
                <w:sz w:val="16"/>
                <w:szCs w:val="16"/>
                <w:lang w:val="lv-LV"/>
              </w:rPr>
            </w:pPr>
          </w:p>
        </w:tc>
        <w:tc>
          <w:tcPr>
            <w:tcW w:w="964" w:type="pct"/>
          </w:tcPr>
          <w:p w14:paraId="09AF16F8" w14:textId="77777777" w:rsidR="009842A5" w:rsidRPr="004F63AF" w:rsidRDefault="009842A5" w:rsidP="00355AE2">
            <w:pPr>
              <w:rPr>
                <w:b/>
                <w:sz w:val="16"/>
                <w:szCs w:val="16"/>
              </w:rPr>
            </w:pPr>
            <w:r w:rsidRPr="004F63AF">
              <w:rPr>
                <w:b/>
                <w:sz w:val="16"/>
                <w:szCs w:val="16"/>
              </w:rPr>
              <w:t>Igaunija</w:t>
            </w:r>
            <w:r w:rsidRPr="004F63AF">
              <w:rPr>
                <w:b/>
                <w:sz w:val="16"/>
                <w:szCs w:val="16"/>
              </w:rPr>
              <w:tab/>
            </w:r>
          </w:p>
        </w:tc>
        <w:tc>
          <w:tcPr>
            <w:tcW w:w="1125" w:type="pct"/>
          </w:tcPr>
          <w:p w14:paraId="1D10CCF6" w14:textId="77777777" w:rsidR="009842A5" w:rsidRPr="004F63AF" w:rsidRDefault="009842A5" w:rsidP="00355AE2">
            <w:pPr>
              <w:jc w:val="center"/>
              <w:rPr>
                <w:sz w:val="16"/>
                <w:szCs w:val="16"/>
              </w:rPr>
            </w:pPr>
            <w:r w:rsidRPr="004F63AF">
              <w:rPr>
                <w:sz w:val="16"/>
                <w:szCs w:val="16"/>
              </w:rPr>
              <w:t>654</w:t>
            </w:r>
          </w:p>
        </w:tc>
        <w:tc>
          <w:tcPr>
            <w:tcW w:w="1103" w:type="pct"/>
          </w:tcPr>
          <w:p w14:paraId="2893BAEE" w14:textId="77777777" w:rsidR="009842A5" w:rsidRPr="004F63AF" w:rsidRDefault="009842A5" w:rsidP="00355AE2">
            <w:pPr>
              <w:jc w:val="center"/>
              <w:rPr>
                <w:sz w:val="16"/>
                <w:szCs w:val="16"/>
              </w:rPr>
            </w:pPr>
            <w:r w:rsidRPr="004F63AF">
              <w:rPr>
                <w:sz w:val="16"/>
                <w:szCs w:val="16"/>
              </w:rPr>
              <w:t>725</w:t>
            </w:r>
          </w:p>
        </w:tc>
        <w:tc>
          <w:tcPr>
            <w:tcW w:w="1122" w:type="pct"/>
          </w:tcPr>
          <w:p w14:paraId="467713D4" w14:textId="77777777" w:rsidR="009842A5" w:rsidRPr="004F63AF" w:rsidRDefault="009842A5" w:rsidP="00355AE2">
            <w:pPr>
              <w:jc w:val="center"/>
              <w:rPr>
                <w:sz w:val="16"/>
                <w:szCs w:val="16"/>
              </w:rPr>
            </w:pPr>
            <w:r w:rsidRPr="004F63AF">
              <w:rPr>
                <w:sz w:val="16"/>
                <w:szCs w:val="16"/>
              </w:rPr>
              <w:t>10.9</w:t>
            </w:r>
          </w:p>
        </w:tc>
      </w:tr>
      <w:tr w:rsidR="009842A5" w:rsidRPr="004F63AF" w14:paraId="6E8276C4" w14:textId="77777777" w:rsidTr="008B1BE2">
        <w:trPr>
          <w:trHeight w:val="313"/>
          <w:jc w:val="center"/>
        </w:trPr>
        <w:tc>
          <w:tcPr>
            <w:tcW w:w="686" w:type="pct"/>
          </w:tcPr>
          <w:p w14:paraId="022B41F1" w14:textId="77777777" w:rsidR="009842A5" w:rsidRPr="004F63AF" w:rsidRDefault="009842A5" w:rsidP="00355AE2">
            <w:pPr>
              <w:pStyle w:val="ListParagraph"/>
              <w:numPr>
                <w:ilvl w:val="0"/>
                <w:numId w:val="3"/>
              </w:numPr>
              <w:rPr>
                <w:sz w:val="16"/>
                <w:szCs w:val="16"/>
                <w:lang w:val="lv-LV"/>
              </w:rPr>
            </w:pPr>
          </w:p>
        </w:tc>
        <w:tc>
          <w:tcPr>
            <w:tcW w:w="964" w:type="pct"/>
          </w:tcPr>
          <w:p w14:paraId="508D7C69" w14:textId="77777777" w:rsidR="009842A5" w:rsidRPr="004F63AF" w:rsidRDefault="009842A5" w:rsidP="00355AE2">
            <w:pPr>
              <w:rPr>
                <w:b/>
                <w:sz w:val="16"/>
                <w:szCs w:val="16"/>
              </w:rPr>
            </w:pPr>
            <w:r w:rsidRPr="004F63AF">
              <w:rPr>
                <w:b/>
                <w:sz w:val="16"/>
                <w:szCs w:val="16"/>
              </w:rPr>
              <w:t>Čehija</w:t>
            </w:r>
            <w:r w:rsidRPr="004F63AF">
              <w:rPr>
                <w:b/>
                <w:sz w:val="16"/>
                <w:szCs w:val="16"/>
              </w:rPr>
              <w:tab/>
            </w:r>
          </w:p>
        </w:tc>
        <w:tc>
          <w:tcPr>
            <w:tcW w:w="1125" w:type="pct"/>
          </w:tcPr>
          <w:p w14:paraId="5EEABB63" w14:textId="77777777" w:rsidR="009842A5" w:rsidRPr="004F63AF" w:rsidRDefault="009842A5" w:rsidP="00355AE2">
            <w:pPr>
              <w:jc w:val="center"/>
              <w:rPr>
                <w:sz w:val="16"/>
                <w:szCs w:val="16"/>
              </w:rPr>
            </w:pPr>
            <w:r w:rsidRPr="004F63AF">
              <w:rPr>
                <w:sz w:val="16"/>
                <w:szCs w:val="16"/>
              </w:rPr>
              <w:t>652</w:t>
            </w:r>
          </w:p>
        </w:tc>
        <w:tc>
          <w:tcPr>
            <w:tcW w:w="1103" w:type="pct"/>
          </w:tcPr>
          <w:p w14:paraId="6E239D61" w14:textId="77777777" w:rsidR="009842A5" w:rsidRPr="004F63AF" w:rsidRDefault="009842A5" w:rsidP="00355AE2">
            <w:pPr>
              <w:jc w:val="center"/>
              <w:rPr>
                <w:sz w:val="16"/>
                <w:szCs w:val="16"/>
              </w:rPr>
            </w:pPr>
            <w:r w:rsidRPr="004F63AF">
              <w:rPr>
                <w:sz w:val="16"/>
                <w:szCs w:val="16"/>
              </w:rPr>
              <w:t>717</w:t>
            </w:r>
          </w:p>
        </w:tc>
        <w:tc>
          <w:tcPr>
            <w:tcW w:w="1122" w:type="pct"/>
          </w:tcPr>
          <w:p w14:paraId="675978F7" w14:textId="77777777" w:rsidR="009842A5" w:rsidRPr="004F63AF" w:rsidRDefault="009842A5" w:rsidP="00355AE2">
            <w:pPr>
              <w:jc w:val="center"/>
              <w:rPr>
                <w:sz w:val="16"/>
                <w:szCs w:val="16"/>
              </w:rPr>
            </w:pPr>
            <w:r w:rsidRPr="004F63AF">
              <w:rPr>
                <w:sz w:val="16"/>
                <w:szCs w:val="16"/>
              </w:rPr>
              <w:t>10.1</w:t>
            </w:r>
          </w:p>
        </w:tc>
      </w:tr>
      <w:tr w:rsidR="009842A5" w:rsidRPr="004F63AF" w14:paraId="217ED4B7" w14:textId="77777777" w:rsidTr="008B1BE2">
        <w:trPr>
          <w:trHeight w:val="306"/>
          <w:jc w:val="center"/>
        </w:trPr>
        <w:tc>
          <w:tcPr>
            <w:tcW w:w="686" w:type="pct"/>
          </w:tcPr>
          <w:p w14:paraId="1E1331A5" w14:textId="77777777" w:rsidR="009842A5" w:rsidRPr="004F63AF" w:rsidRDefault="009842A5" w:rsidP="00355AE2">
            <w:pPr>
              <w:pStyle w:val="ListParagraph"/>
              <w:numPr>
                <w:ilvl w:val="0"/>
                <w:numId w:val="3"/>
              </w:numPr>
              <w:rPr>
                <w:sz w:val="16"/>
                <w:szCs w:val="16"/>
                <w:lang w:val="lv-LV"/>
              </w:rPr>
            </w:pPr>
          </w:p>
        </w:tc>
        <w:tc>
          <w:tcPr>
            <w:tcW w:w="964" w:type="pct"/>
          </w:tcPr>
          <w:p w14:paraId="616444E8" w14:textId="77777777" w:rsidR="009842A5" w:rsidRPr="004F63AF" w:rsidRDefault="009842A5" w:rsidP="00355AE2">
            <w:pPr>
              <w:rPr>
                <w:b/>
                <w:sz w:val="16"/>
                <w:szCs w:val="16"/>
              </w:rPr>
            </w:pPr>
            <w:r w:rsidRPr="004F63AF">
              <w:rPr>
                <w:b/>
                <w:sz w:val="16"/>
                <w:szCs w:val="16"/>
              </w:rPr>
              <w:t>Horvātija</w:t>
            </w:r>
            <w:r w:rsidRPr="004F63AF">
              <w:rPr>
                <w:b/>
                <w:sz w:val="16"/>
                <w:szCs w:val="16"/>
              </w:rPr>
              <w:tab/>
            </w:r>
          </w:p>
        </w:tc>
        <w:tc>
          <w:tcPr>
            <w:tcW w:w="1125" w:type="pct"/>
          </w:tcPr>
          <w:p w14:paraId="5EB45A70" w14:textId="77777777" w:rsidR="009842A5" w:rsidRPr="004F63AF" w:rsidRDefault="009842A5" w:rsidP="00355AE2">
            <w:pPr>
              <w:jc w:val="center"/>
              <w:rPr>
                <w:sz w:val="16"/>
                <w:szCs w:val="16"/>
              </w:rPr>
            </w:pPr>
            <w:r w:rsidRPr="004F63AF">
              <w:rPr>
                <w:sz w:val="16"/>
                <w:szCs w:val="16"/>
              </w:rPr>
              <w:t>624</w:t>
            </w:r>
          </w:p>
        </w:tc>
        <w:tc>
          <w:tcPr>
            <w:tcW w:w="1103" w:type="pct"/>
          </w:tcPr>
          <w:p w14:paraId="47FE5294" w14:textId="77777777" w:rsidR="009842A5" w:rsidRPr="004F63AF" w:rsidRDefault="009842A5" w:rsidP="00355AE2">
            <w:pPr>
              <w:jc w:val="center"/>
              <w:rPr>
                <w:sz w:val="16"/>
                <w:szCs w:val="16"/>
              </w:rPr>
            </w:pPr>
            <w:r w:rsidRPr="004F63AF">
              <w:rPr>
                <w:sz w:val="16"/>
                <w:szCs w:val="16"/>
              </w:rPr>
              <w:t>700</w:t>
            </w:r>
          </w:p>
        </w:tc>
        <w:tc>
          <w:tcPr>
            <w:tcW w:w="1122" w:type="pct"/>
          </w:tcPr>
          <w:p w14:paraId="02B2D415" w14:textId="77777777" w:rsidR="009842A5" w:rsidRPr="004F63AF" w:rsidRDefault="009842A5" w:rsidP="00355AE2">
            <w:pPr>
              <w:jc w:val="center"/>
              <w:rPr>
                <w:sz w:val="16"/>
                <w:szCs w:val="16"/>
              </w:rPr>
            </w:pPr>
            <w:r w:rsidRPr="004F63AF">
              <w:rPr>
                <w:sz w:val="16"/>
                <w:szCs w:val="16"/>
              </w:rPr>
              <w:t>12.2</w:t>
            </w:r>
          </w:p>
        </w:tc>
      </w:tr>
      <w:tr w:rsidR="009842A5" w:rsidRPr="004F63AF" w14:paraId="01B1C4DE" w14:textId="77777777" w:rsidTr="008B1BE2">
        <w:trPr>
          <w:trHeight w:val="283"/>
          <w:jc w:val="center"/>
        </w:trPr>
        <w:tc>
          <w:tcPr>
            <w:tcW w:w="686" w:type="pct"/>
          </w:tcPr>
          <w:p w14:paraId="19B334F8" w14:textId="77777777" w:rsidR="009842A5" w:rsidRPr="004F63AF" w:rsidRDefault="009842A5" w:rsidP="00355AE2">
            <w:pPr>
              <w:pStyle w:val="ListParagraph"/>
              <w:numPr>
                <w:ilvl w:val="0"/>
                <w:numId w:val="3"/>
              </w:numPr>
              <w:rPr>
                <w:sz w:val="16"/>
                <w:szCs w:val="16"/>
                <w:lang w:val="lv-LV"/>
              </w:rPr>
            </w:pPr>
          </w:p>
        </w:tc>
        <w:tc>
          <w:tcPr>
            <w:tcW w:w="964" w:type="pct"/>
          </w:tcPr>
          <w:p w14:paraId="0B03D953" w14:textId="28D7142C" w:rsidR="009842A5" w:rsidRPr="004F63AF" w:rsidRDefault="009842A5" w:rsidP="00355AE2">
            <w:pPr>
              <w:rPr>
                <w:b/>
                <w:sz w:val="16"/>
                <w:szCs w:val="16"/>
              </w:rPr>
            </w:pPr>
            <w:r w:rsidRPr="004F63AF">
              <w:rPr>
                <w:b/>
                <w:sz w:val="16"/>
                <w:szCs w:val="16"/>
              </w:rPr>
              <w:t>Slovākij</w:t>
            </w:r>
            <w:r w:rsidR="008B1BE2" w:rsidRPr="004F63AF">
              <w:rPr>
                <w:b/>
                <w:sz w:val="16"/>
                <w:szCs w:val="16"/>
              </w:rPr>
              <w:t>a</w:t>
            </w:r>
          </w:p>
        </w:tc>
        <w:tc>
          <w:tcPr>
            <w:tcW w:w="1125" w:type="pct"/>
          </w:tcPr>
          <w:p w14:paraId="2DB506B7" w14:textId="77777777" w:rsidR="009842A5" w:rsidRPr="004F63AF" w:rsidRDefault="009842A5" w:rsidP="00355AE2">
            <w:pPr>
              <w:jc w:val="center"/>
              <w:rPr>
                <w:sz w:val="16"/>
                <w:szCs w:val="16"/>
              </w:rPr>
            </w:pPr>
            <w:r w:rsidRPr="004F63AF">
              <w:rPr>
                <w:sz w:val="16"/>
                <w:szCs w:val="16"/>
              </w:rPr>
              <w:t>646</w:t>
            </w:r>
          </w:p>
        </w:tc>
        <w:tc>
          <w:tcPr>
            <w:tcW w:w="1103" w:type="pct"/>
          </w:tcPr>
          <w:p w14:paraId="14CF71DA" w14:textId="77777777" w:rsidR="009842A5" w:rsidRPr="004F63AF" w:rsidRDefault="009842A5" w:rsidP="00355AE2">
            <w:pPr>
              <w:jc w:val="center"/>
              <w:rPr>
                <w:sz w:val="16"/>
                <w:szCs w:val="16"/>
              </w:rPr>
            </w:pPr>
            <w:r w:rsidRPr="004F63AF">
              <w:rPr>
                <w:sz w:val="16"/>
                <w:szCs w:val="16"/>
              </w:rPr>
              <w:t>700</w:t>
            </w:r>
          </w:p>
        </w:tc>
        <w:tc>
          <w:tcPr>
            <w:tcW w:w="1122" w:type="pct"/>
          </w:tcPr>
          <w:p w14:paraId="754F63BA" w14:textId="77777777" w:rsidR="009842A5" w:rsidRPr="004F63AF" w:rsidRDefault="009842A5" w:rsidP="00355AE2">
            <w:pPr>
              <w:jc w:val="center"/>
              <w:rPr>
                <w:sz w:val="16"/>
                <w:szCs w:val="16"/>
              </w:rPr>
            </w:pPr>
            <w:r w:rsidRPr="004F63AF">
              <w:rPr>
                <w:sz w:val="16"/>
                <w:szCs w:val="16"/>
              </w:rPr>
              <w:t>8.4</w:t>
            </w:r>
          </w:p>
        </w:tc>
      </w:tr>
      <w:tr w:rsidR="009842A5" w:rsidRPr="004F63AF" w14:paraId="3DB4AAEB" w14:textId="77777777" w:rsidTr="008B1BE2">
        <w:trPr>
          <w:trHeight w:val="409"/>
          <w:jc w:val="center"/>
        </w:trPr>
        <w:tc>
          <w:tcPr>
            <w:tcW w:w="686" w:type="pct"/>
          </w:tcPr>
          <w:p w14:paraId="1BDA3A83" w14:textId="77777777" w:rsidR="009842A5" w:rsidRPr="004F63AF" w:rsidRDefault="009842A5" w:rsidP="00355AE2">
            <w:pPr>
              <w:pStyle w:val="ListParagraph"/>
              <w:numPr>
                <w:ilvl w:val="0"/>
                <w:numId w:val="3"/>
              </w:numPr>
              <w:rPr>
                <w:sz w:val="16"/>
                <w:szCs w:val="16"/>
                <w:lang w:val="lv-LV"/>
              </w:rPr>
            </w:pPr>
          </w:p>
        </w:tc>
        <w:tc>
          <w:tcPr>
            <w:tcW w:w="964" w:type="pct"/>
          </w:tcPr>
          <w:p w14:paraId="1E038079" w14:textId="77777777" w:rsidR="009842A5" w:rsidRPr="004F63AF" w:rsidRDefault="009842A5" w:rsidP="00355AE2">
            <w:pPr>
              <w:rPr>
                <w:b/>
                <w:sz w:val="16"/>
                <w:szCs w:val="16"/>
              </w:rPr>
            </w:pPr>
            <w:r w:rsidRPr="004F63AF">
              <w:rPr>
                <w:b/>
                <w:sz w:val="16"/>
                <w:szCs w:val="16"/>
              </w:rPr>
              <w:t>Latvija</w:t>
            </w:r>
            <w:r w:rsidRPr="004F63AF">
              <w:rPr>
                <w:b/>
                <w:sz w:val="16"/>
                <w:szCs w:val="16"/>
              </w:rPr>
              <w:tab/>
            </w:r>
          </w:p>
        </w:tc>
        <w:tc>
          <w:tcPr>
            <w:tcW w:w="1125" w:type="pct"/>
          </w:tcPr>
          <w:p w14:paraId="07645403" w14:textId="77777777" w:rsidR="009842A5" w:rsidRPr="004F63AF" w:rsidRDefault="009842A5" w:rsidP="00355AE2">
            <w:pPr>
              <w:jc w:val="center"/>
              <w:rPr>
                <w:sz w:val="16"/>
                <w:szCs w:val="16"/>
              </w:rPr>
            </w:pPr>
            <w:r w:rsidRPr="004F63AF">
              <w:rPr>
                <w:sz w:val="16"/>
                <w:szCs w:val="16"/>
              </w:rPr>
              <w:t>500</w:t>
            </w:r>
          </w:p>
        </w:tc>
        <w:tc>
          <w:tcPr>
            <w:tcW w:w="1103" w:type="pct"/>
          </w:tcPr>
          <w:p w14:paraId="2EF7B774" w14:textId="77777777" w:rsidR="009842A5" w:rsidRPr="004F63AF" w:rsidRDefault="009842A5" w:rsidP="00355AE2">
            <w:pPr>
              <w:jc w:val="center"/>
              <w:rPr>
                <w:sz w:val="16"/>
                <w:szCs w:val="16"/>
              </w:rPr>
            </w:pPr>
            <w:r w:rsidRPr="004F63AF">
              <w:rPr>
                <w:sz w:val="16"/>
                <w:szCs w:val="16"/>
              </w:rPr>
              <w:t>620</w:t>
            </w:r>
          </w:p>
        </w:tc>
        <w:tc>
          <w:tcPr>
            <w:tcW w:w="1122" w:type="pct"/>
          </w:tcPr>
          <w:p w14:paraId="7045B81A" w14:textId="77777777" w:rsidR="009842A5" w:rsidRPr="004F63AF" w:rsidRDefault="009842A5" w:rsidP="00355AE2">
            <w:pPr>
              <w:jc w:val="center"/>
              <w:rPr>
                <w:sz w:val="16"/>
                <w:szCs w:val="16"/>
              </w:rPr>
            </w:pPr>
            <w:r w:rsidRPr="004F63AF">
              <w:rPr>
                <w:sz w:val="16"/>
                <w:szCs w:val="16"/>
              </w:rPr>
              <w:t>24.0</w:t>
            </w:r>
          </w:p>
        </w:tc>
      </w:tr>
      <w:tr w:rsidR="009842A5" w:rsidRPr="004F63AF" w14:paraId="71F109BF" w14:textId="77777777" w:rsidTr="008B1BE2">
        <w:trPr>
          <w:trHeight w:val="269"/>
          <w:jc w:val="center"/>
        </w:trPr>
        <w:tc>
          <w:tcPr>
            <w:tcW w:w="686" w:type="pct"/>
          </w:tcPr>
          <w:p w14:paraId="570DBB62" w14:textId="77777777" w:rsidR="009842A5" w:rsidRPr="004F63AF" w:rsidRDefault="009842A5" w:rsidP="00355AE2">
            <w:pPr>
              <w:pStyle w:val="ListParagraph"/>
              <w:numPr>
                <w:ilvl w:val="0"/>
                <w:numId w:val="3"/>
              </w:numPr>
              <w:rPr>
                <w:sz w:val="16"/>
                <w:szCs w:val="16"/>
                <w:lang w:val="lv-LV"/>
              </w:rPr>
            </w:pPr>
          </w:p>
        </w:tc>
        <w:tc>
          <w:tcPr>
            <w:tcW w:w="964" w:type="pct"/>
          </w:tcPr>
          <w:p w14:paraId="44DA796A" w14:textId="77777777" w:rsidR="009842A5" w:rsidRPr="004F63AF" w:rsidRDefault="009842A5" w:rsidP="00355AE2">
            <w:pPr>
              <w:rPr>
                <w:b/>
                <w:sz w:val="16"/>
                <w:szCs w:val="16"/>
              </w:rPr>
            </w:pPr>
            <w:r w:rsidRPr="004F63AF">
              <w:rPr>
                <w:b/>
                <w:sz w:val="16"/>
                <w:szCs w:val="16"/>
              </w:rPr>
              <w:t>Rumānija</w:t>
            </w:r>
            <w:r w:rsidRPr="004F63AF">
              <w:rPr>
                <w:b/>
                <w:sz w:val="16"/>
                <w:szCs w:val="16"/>
              </w:rPr>
              <w:tab/>
            </w:r>
          </w:p>
        </w:tc>
        <w:tc>
          <w:tcPr>
            <w:tcW w:w="1125" w:type="pct"/>
          </w:tcPr>
          <w:p w14:paraId="0C70B70B" w14:textId="77777777" w:rsidR="009842A5" w:rsidRPr="004F63AF" w:rsidRDefault="009842A5" w:rsidP="00355AE2">
            <w:pPr>
              <w:jc w:val="center"/>
              <w:rPr>
                <w:sz w:val="16"/>
                <w:szCs w:val="16"/>
              </w:rPr>
            </w:pPr>
            <w:r w:rsidRPr="004F63AF">
              <w:rPr>
                <w:sz w:val="16"/>
                <w:szCs w:val="16"/>
              </w:rPr>
              <w:t>515</w:t>
            </w:r>
          </w:p>
        </w:tc>
        <w:tc>
          <w:tcPr>
            <w:tcW w:w="1103" w:type="pct"/>
          </w:tcPr>
          <w:p w14:paraId="5B2AEB2C" w14:textId="77777777" w:rsidR="009842A5" w:rsidRPr="004F63AF" w:rsidRDefault="009842A5" w:rsidP="00355AE2">
            <w:pPr>
              <w:jc w:val="center"/>
              <w:rPr>
                <w:sz w:val="16"/>
                <w:szCs w:val="16"/>
              </w:rPr>
            </w:pPr>
            <w:r w:rsidRPr="004F63AF">
              <w:rPr>
                <w:sz w:val="16"/>
                <w:szCs w:val="16"/>
              </w:rPr>
              <w:t>606</w:t>
            </w:r>
          </w:p>
        </w:tc>
        <w:tc>
          <w:tcPr>
            <w:tcW w:w="1122" w:type="pct"/>
          </w:tcPr>
          <w:p w14:paraId="188CF072" w14:textId="77777777" w:rsidR="009842A5" w:rsidRPr="004F63AF" w:rsidRDefault="009842A5" w:rsidP="00355AE2">
            <w:pPr>
              <w:jc w:val="center"/>
              <w:rPr>
                <w:sz w:val="16"/>
                <w:szCs w:val="16"/>
              </w:rPr>
            </w:pPr>
            <w:r w:rsidRPr="004F63AF">
              <w:rPr>
                <w:sz w:val="16"/>
                <w:szCs w:val="16"/>
              </w:rPr>
              <w:t>17.6</w:t>
            </w:r>
          </w:p>
        </w:tc>
      </w:tr>
      <w:tr w:rsidR="009842A5" w:rsidRPr="004F63AF" w14:paraId="48E650A2" w14:textId="77777777" w:rsidTr="004F63AF">
        <w:trPr>
          <w:trHeight w:val="399"/>
          <w:jc w:val="center"/>
        </w:trPr>
        <w:tc>
          <w:tcPr>
            <w:tcW w:w="686" w:type="pct"/>
          </w:tcPr>
          <w:p w14:paraId="470FD767" w14:textId="77777777" w:rsidR="009842A5" w:rsidRPr="004F63AF" w:rsidRDefault="009842A5" w:rsidP="00355AE2">
            <w:pPr>
              <w:pStyle w:val="ListParagraph"/>
              <w:numPr>
                <w:ilvl w:val="0"/>
                <w:numId w:val="3"/>
              </w:numPr>
              <w:rPr>
                <w:sz w:val="16"/>
                <w:szCs w:val="16"/>
                <w:lang w:val="lv-LV"/>
              </w:rPr>
            </w:pPr>
          </w:p>
        </w:tc>
        <w:tc>
          <w:tcPr>
            <w:tcW w:w="964" w:type="pct"/>
          </w:tcPr>
          <w:p w14:paraId="45C75D5D" w14:textId="77777777" w:rsidR="009842A5" w:rsidRPr="004F63AF" w:rsidRDefault="009842A5" w:rsidP="00355AE2">
            <w:pPr>
              <w:rPr>
                <w:b/>
                <w:sz w:val="16"/>
                <w:szCs w:val="16"/>
              </w:rPr>
            </w:pPr>
            <w:r w:rsidRPr="004F63AF">
              <w:rPr>
                <w:b/>
                <w:sz w:val="16"/>
                <w:szCs w:val="16"/>
              </w:rPr>
              <w:t>Ungārija</w:t>
            </w:r>
            <w:r w:rsidRPr="004F63AF">
              <w:rPr>
                <w:b/>
                <w:sz w:val="16"/>
                <w:szCs w:val="16"/>
              </w:rPr>
              <w:tab/>
            </w:r>
          </w:p>
        </w:tc>
        <w:tc>
          <w:tcPr>
            <w:tcW w:w="1125" w:type="pct"/>
          </w:tcPr>
          <w:p w14:paraId="0C55958D" w14:textId="77777777" w:rsidR="009842A5" w:rsidRPr="004F63AF" w:rsidRDefault="009842A5" w:rsidP="00355AE2">
            <w:pPr>
              <w:jc w:val="center"/>
              <w:rPr>
                <w:sz w:val="16"/>
                <w:szCs w:val="16"/>
              </w:rPr>
            </w:pPr>
            <w:r w:rsidRPr="004F63AF">
              <w:rPr>
                <w:sz w:val="16"/>
                <w:szCs w:val="16"/>
              </w:rPr>
              <w:t>542</w:t>
            </w:r>
          </w:p>
        </w:tc>
        <w:tc>
          <w:tcPr>
            <w:tcW w:w="1103" w:type="pct"/>
          </w:tcPr>
          <w:p w14:paraId="4A56F0C1" w14:textId="77777777" w:rsidR="009842A5" w:rsidRPr="004F63AF" w:rsidRDefault="009842A5" w:rsidP="00355AE2">
            <w:pPr>
              <w:jc w:val="center"/>
              <w:rPr>
                <w:sz w:val="16"/>
                <w:szCs w:val="16"/>
              </w:rPr>
            </w:pPr>
            <w:r w:rsidRPr="004F63AF">
              <w:rPr>
                <w:sz w:val="16"/>
                <w:szCs w:val="16"/>
              </w:rPr>
              <w:t>579</w:t>
            </w:r>
          </w:p>
        </w:tc>
        <w:tc>
          <w:tcPr>
            <w:tcW w:w="1122" w:type="pct"/>
          </w:tcPr>
          <w:p w14:paraId="045EEE3D" w14:textId="77777777" w:rsidR="009842A5" w:rsidRPr="004F63AF" w:rsidRDefault="009842A5" w:rsidP="00355AE2">
            <w:pPr>
              <w:jc w:val="center"/>
              <w:rPr>
                <w:sz w:val="16"/>
                <w:szCs w:val="16"/>
              </w:rPr>
            </w:pPr>
            <w:r w:rsidRPr="004F63AF">
              <w:rPr>
                <w:sz w:val="16"/>
                <w:szCs w:val="16"/>
              </w:rPr>
              <w:t>6.8</w:t>
            </w:r>
          </w:p>
        </w:tc>
      </w:tr>
      <w:tr w:rsidR="009842A5" w:rsidRPr="004F63AF" w14:paraId="5E521357" w14:textId="77777777" w:rsidTr="004F63AF">
        <w:trPr>
          <w:trHeight w:val="235"/>
          <w:jc w:val="center"/>
        </w:trPr>
        <w:tc>
          <w:tcPr>
            <w:tcW w:w="686" w:type="pct"/>
          </w:tcPr>
          <w:p w14:paraId="46B032B7" w14:textId="77777777" w:rsidR="009842A5" w:rsidRPr="004F63AF" w:rsidRDefault="009842A5" w:rsidP="00355AE2">
            <w:pPr>
              <w:pStyle w:val="ListParagraph"/>
              <w:numPr>
                <w:ilvl w:val="0"/>
                <w:numId w:val="3"/>
              </w:numPr>
              <w:rPr>
                <w:sz w:val="16"/>
                <w:szCs w:val="16"/>
                <w:lang w:val="lv-LV"/>
              </w:rPr>
            </w:pPr>
          </w:p>
        </w:tc>
        <w:tc>
          <w:tcPr>
            <w:tcW w:w="964" w:type="pct"/>
          </w:tcPr>
          <w:p w14:paraId="7096647A" w14:textId="0A28636D" w:rsidR="009842A5" w:rsidRPr="004F63AF" w:rsidRDefault="009842A5" w:rsidP="00355AE2">
            <w:pPr>
              <w:rPr>
                <w:b/>
                <w:sz w:val="16"/>
                <w:szCs w:val="16"/>
              </w:rPr>
            </w:pPr>
            <w:r w:rsidRPr="004F63AF">
              <w:rPr>
                <w:b/>
                <w:sz w:val="16"/>
                <w:szCs w:val="16"/>
              </w:rPr>
              <w:t>Bulgārija</w:t>
            </w:r>
          </w:p>
        </w:tc>
        <w:tc>
          <w:tcPr>
            <w:tcW w:w="1125" w:type="pct"/>
          </w:tcPr>
          <w:p w14:paraId="54999FE5" w14:textId="77777777" w:rsidR="009842A5" w:rsidRPr="004F63AF" w:rsidRDefault="009842A5" w:rsidP="00355AE2">
            <w:pPr>
              <w:jc w:val="center"/>
              <w:rPr>
                <w:sz w:val="16"/>
                <w:szCs w:val="16"/>
              </w:rPr>
            </w:pPr>
            <w:r w:rsidRPr="004F63AF">
              <w:rPr>
                <w:sz w:val="16"/>
                <w:szCs w:val="16"/>
              </w:rPr>
              <w:t>363</w:t>
            </w:r>
          </w:p>
        </w:tc>
        <w:tc>
          <w:tcPr>
            <w:tcW w:w="1103" w:type="pct"/>
          </w:tcPr>
          <w:p w14:paraId="2497EC89" w14:textId="77777777" w:rsidR="009842A5" w:rsidRPr="004F63AF" w:rsidRDefault="009842A5" w:rsidP="00355AE2">
            <w:pPr>
              <w:jc w:val="center"/>
              <w:rPr>
                <w:sz w:val="16"/>
                <w:szCs w:val="16"/>
              </w:rPr>
            </w:pPr>
            <w:r w:rsidRPr="004F63AF">
              <w:rPr>
                <w:sz w:val="16"/>
                <w:szCs w:val="16"/>
              </w:rPr>
              <w:t>399</w:t>
            </w:r>
          </w:p>
        </w:tc>
        <w:tc>
          <w:tcPr>
            <w:tcW w:w="1122" w:type="pct"/>
          </w:tcPr>
          <w:p w14:paraId="7359FD29" w14:textId="77777777" w:rsidR="009842A5" w:rsidRPr="004F63AF" w:rsidRDefault="009842A5" w:rsidP="00355AE2">
            <w:pPr>
              <w:jc w:val="center"/>
              <w:rPr>
                <w:sz w:val="16"/>
                <w:szCs w:val="16"/>
              </w:rPr>
            </w:pPr>
            <w:r w:rsidRPr="004F63AF">
              <w:rPr>
                <w:sz w:val="16"/>
                <w:szCs w:val="16"/>
              </w:rPr>
              <w:t>9.9</w:t>
            </w:r>
          </w:p>
        </w:tc>
      </w:tr>
    </w:tbl>
    <w:p w14:paraId="0DBCDDC8" w14:textId="77777777" w:rsidR="009842A5" w:rsidRDefault="009842A5" w:rsidP="009842A5">
      <w:pPr>
        <w:rPr>
          <w:sz w:val="20"/>
          <w:szCs w:val="20"/>
        </w:rPr>
      </w:pPr>
      <w:r>
        <w:rPr>
          <w:sz w:val="20"/>
          <w:szCs w:val="20"/>
        </w:rPr>
        <w:t xml:space="preserve">Datu avots: </w:t>
      </w:r>
      <w:r>
        <w:rPr>
          <w:i/>
          <w:iCs/>
          <w:sz w:val="20"/>
          <w:szCs w:val="20"/>
        </w:rPr>
        <w:t>Eurof</w:t>
      </w:r>
      <w:r w:rsidR="003E3426">
        <w:rPr>
          <w:i/>
          <w:iCs/>
          <w:sz w:val="20"/>
          <w:szCs w:val="20"/>
        </w:rPr>
        <w:t>o</w:t>
      </w:r>
      <w:r>
        <w:rPr>
          <w:i/>
          <w:iCs/>
          <w:sz w:val="20"/>
          <w:szCs w:val="20"/>
        </w:rPr>
        <w:t>und</w:t>
      </w:r>
      <w:r>
        <w:rPr>
          <w:rStyle w:val="FootnoteReference"/>
          <w:i/>
          <w:iCs/>
          <w:sz w:val="20"/>
          <w:szCs w:val="20"/>
        </w:rPr>
        <w:footnoteReference w:id="1"/>
      </w:r>
      <w:r>
        <w:rPr>
          <w:sz w:val="20"/>
          <w:szCs w:val="20"/>
        </w:rPr>
        <w:t xml:space="preserve"> </w:t>
      </w:r>
    </w:p>
    <w:p w14:paraId="0FF5A2B8" w14:textId="517CFC73" w:rsidR="004F63AF" w:rsidRDefault="004F63AF" w:rsidP="004F63AF"/>
    <w:p w14:paraId="688A622C" w14:textId="42CE0F88" w:rsidR="0085622A" w:rsidRDefault="003A674F" w:rsidP="001F402C">
      <w:pPr>
        <w:pStyle w:val="Heading1"/>
      </w:pPr>
      <w:bookmarkStart w:id="10" w:name="_Toc148720955"/>
      <w:r>
        <w:t>4. Minimālās algas saņēmēju skaits</w:t>
      </w:r>
      <w:bookmarkEnd w:id="10"/>
    </w:p>
    <w:p w14:paraId="7636B510" w14:textId="77777777" w:rsidR="001F402C" w:rsidRPr="001F402C" w:rsidRDefault="001F402C" w:rsidP="001F402C">
      <w:pPr>
        <w:rPr>
          <w:lang w:eastAsia="en-US"/>
        </w:rPr>
      </w:pPr>
    </w:p>
    <w:p w14:paraId="1FE51425" w14:textId="77777777" w:rsidR="0085622A" w:rsidRDefault="003A674F">
      <w:pPr>
        <w:pStyle w:val="NormalWeb"/>
        <w:shd w:val="clear" w:color="auto" w:fill="FFFFFF"/>
        <w:spacing w:before="0" w:beforeAutospacing="0" w:after="0" w:afterAutospacing="0"/>
        <w:ind w:firstLine="720"/>
        <w:jc w:val="both"/>
      </w:pPr>
      <w:r>
        <w:t xml:space="preserve">Saskaņā ar CSP datiem 2022.gadā vidēji </w:t>
      </w:r>
      <w:r>
        <w:rPr>
          <w:rFonts w:eastAsia="sans-serif"/>
          <w:color w:val="000000"/>
        </w:rPr>
        <w:t>123 143</w:t>
      </w:r>
      <w:r>
        <w:t xml:space="preserve"> darba ņēmēj</w:t>
      </w:r>
      <w:r w:rsidR="009E15CC">
        <w:t>i</w:t>
      </w:r>
      <w:r>
        <w:t xml:space="preserve"> jeb 16,0% saņēma minimālo algu vai mazāk, kas bija par 3,4 procentpunktiem mazāk nekā gadu iepriekš, kad minimālo algu vai mazāk saņēma 19,4% darba ņēmēju. </w:t>
      </w:r>
    </w:p>
    <w:p w14:paraId="324280F8" w14:textId="77777777" w:rsidR="003F6C9B" w:rsidRDefault="003F6C9B">
      <w:pPr>
        <w:pStyle w:val="NormalWeb"/>
        <w:shd w:val="clear" w:color="auto" w:fill="FFFFFF"/>
        <w:spacing w:before="0" w:beforeAutospacing="0" w:after="0" w:afterAutospacing="0"/>
        <w:ind w:firstLine="720"/>
        <w:jc w:val="both"/>
      </w:pPr>
    </w:p>
    <w:p w14:paraId="3C5A8668" w14:textId="77777777" w:rsidR="0085622A" w:rsidRDefault="003F6C9B">
      <w:pPr>
        <w:pStyle w:val="NormalWeb"/>
        <w:shd w:val="clear" w:color="auto" w:fill="FFFFFF"/>
        <w:spacing w:before="0" w:beforeAutospacing="0" w:after="0" w:afterAutospacing="0"/>
        <w:jc w:val="right"/>
      </w:pPr>
      <w:r>
        <w:t>3</w:t>
      </w:r>
      <w:r w:rsidR="003A674F">
        <w:t>.tabula</w:t>
      </w:r>
    </w:p>
    <w:p w14:paraId="77E3153A" w14:textId="77777777" w:rsidR="0085622A" w:rsidRDefault="003A674F">
      <w:pPr>
        <w:pStyle w:val="NormalWeb"/>
        <w:shd w:val="clear" w:color="auto" w:fill="FFFFFF"/>
        <w:spacing w:before="0" w:beforeAutospacing="0" w:after="0" w:afterAutospacing="0"/>
        <w:jc w:val="center"/>
        <w:rPr>
          <w:b/>
        </w:rPr>
      </w:pPr>
      <w:r>
        <w:rPr>
          <w:b/>
        </w:rPr>
        <w:t>Darba ņēmēji ar ienākumiem ar minimālo algu vai mazāk, vidēji gadā</w:t>
      </w:r>
    </w:p>
    <w:tbl>
      <w:tblPr>
        <w:tblStyle w:val="TableGrid"/>
        <w:tblW w:w="0" w:type="auto"/>
        <w:tblLook w:val="04A0" w:firstRow="1" w:lastRow="0" w:firstColumn="1" w:lastColumn="0" w:noHBand="0" w:noVBand="1"/>
      </w:tblPr>
      <w:tblGrid>
        <w:gridCol w:w="1559"/>
        <w:gridCol w:w="1520"/>
        <w:gridCol w:w="1360"/>
        <w:gridCol w:w="1360"/>
        <w:gridCol w:w="1360"/>
        <w:gridCol w:w="1360"/>
      </w:tblGrid>
      <w:tr w:rsidR="0085622A" w14:paraId="46268AF3" w14:textId="77777777">
        <w:tc>
          <w:tcPr>
            <w:tcW w:w="1559" w:type="dxa"/>
            <w:shd w:val="clear" w:color="auto" w:fill="B4C6E7" w:themeFill="accent1" w:themeFillTint="66"/>
          </w:tcPr>
          <w:p w14:paraId="5DB23CEB" w14:textId="77777777" w:rsidR="0085622A" w:rsidRDefault="0085622A"/>
        </w:tc>
        <w:tc>
          <w:tcPr>
            <w:tcW w:w="1520" w:type="dxa"/>
            <w:shd w:val="clear" w:color="auto" w:fill="B4C6E7" w:themeFill="accent1" w:themeFillTint="66"/>
          </w:tcPr>
          <w:p w14:paraId="19D7DE1D" w14:textId="77777777" w:rsidR="0085622A" w:rsidRDefault="003A674F">
            <w:pPr>
              <w:jc w:val="center"/>
            </w:pPr>
            <w:r>
              <w:rPr>
                <w:b/>
                <w:bCs/>
                <w:color w:val="000000"/>
              </w:rPr>
              <w:t>2018</w:t>
            </w:r>
          </w:p>
        </w:tc>
        <w:tc>
          <w:tcPr>
            <w:tcW w:w="1360" w:type="dxa"/>
            <w:shd w:val="clear" w:color="auto" w:fill="B4C6E7" w:themeFill="accent1" w:themeFillTint="66"/>
          </w:tcPr>
          <w:p w14:paraId="0970B0BE" w14:textId="77777777" w:rsidR="0085622A" w:rsidRDefault="003A674F">
            <w:pPr>
              <w:jc w:val="center"/>
            </w:pPr>
            <w:r>
              <w:rPr>
                <w:b/>
                <w:bCs/>
                <w:color w:val="000000"/>
              </w:rPr>
              <w:t>2019</w:t>
            </w:r>
          </w:p>
        </w:tc>
        <w:tc>
          <w:tcPr>
            <w:tcW w:w="1360" w:type="dxa"/>
            <w:shd w:val="clear" w:color="auto" w:fill="B4C6E7" w:themeFill="accent1" w:themeFillTint="66"/>
          </w:tcPr>
          <w:p w14:paraId="433910F6" w14:textId="77777777" w:rsidR="0085622A" w:rsidRDefault="003A674F">
            <w:pPr>
              <w:jc w:val="center"/>
            </w:pPr>
            <w:r>
              <w:rPr>
                <w:b/>
                <w:bCs/>
                <w:color w:val="000000"/>
              </w:rPr>
              <w:t>2020</w:t>
            </w:r>
          </w:p>
        </w:tc>
        <w:tc>
          <w:tcPr>
            <w:tcW w:w="1360" w:type="dxa"/>
            <w:shd w:val="clear" w:color="auto" w:fill="B4C6E7" w:themeFill="accent1" w:themeFillTint="66"/>
          </w:tcPr>
          <w:p w14:paraId="7F4C8016" w14:textId="77777777" w:rsidR="0085622A" w:rsidRDefault="003A674F">
            <w:pPr>
              <w:jc w:val="center"/>
            </w:pPr>
            <w:r>
              <w:rPr>
                <w:b/>
                <w:bCs/>
                <w:color w:val="000000"/>
              </w:rPr>
              <w:t>2021</w:t>
            </w:r>
          </w:p>
        </w:tc>
        <w:tc>
          <w:tcPr>
            <w:tcW w:w="1360" w:type="dxa"/>
            <w:shd w:val="clear" w:color="auto" w:fill="B4C6E7" w:themeFill="accent1" w:themeFillTint="66"/>
          </w:tcPr>
          <w:p w14:paraId="34DABA36" w14:textId="77777777" w:rsidR="0085622A" w:rsidRDefault="003A674F">
            <w:pPr>
              <w:jc w:val="center"/>
              <w:rPr>
                <w:b/>
                <w:bCs/>
                <w:color w:val="000000"/>
              </w:rPr>
            </w:pPr>
            <w:r>
              <w:rPr>
                <w:b/>
                <w:bCs/>
                <w:color w:val="000000"/>
              </w:rPr>
              <w:t>2022</w:t>
            </w:r>
          </w:p>
        </w:tc>
      </w:tr>
      <w:tr w:rsidR="0085622A" w14:paraId="3590075B" w14:textId="77777777">
        <w:trPr>
          <w:trHeight w:val="90"/>
        </w:trPr>
        <w:tc>
          <w:tcPr>
            <w:tcW w:w="1559" w:type="dxa"/>
          </w:tcPr>
          <w:p w14:paraId="4FAD643E" w14:textId="77777777" w:rsidR="0085622A" w:rsidRDefault="003A674F">
            <w:pPr>
              <w:rPr>
                <w:sz w:val="20"/>
                <w:szCs w:val="20"/>
              </w:rPr>
            </w:pPr>
            <w:r>
              <w:rPr>
                <w:b/>
                <w:bCs/>
                <w:color w:val="000000"/>
                <w:sz w:val="20"/>
                <w:szCs w:val="20"/>
              </w:rPr>
              <w:t>PAVISAM</w:t>
            </w:r>
          </w:p>
        </w:tc>
        <w:tc>
          <w:tcPr>
            <w:tcW w:w="1520" w:type="dxa"/>
          </w:tcPr>
          <w:p w14:paraId="49EB81CE" w14:textId="77777777" w:rsidR="0085622A" w:rsidRDefault="003A674F">
            <w:pPr>
              <w:jc w:val="center"/>
              <w:rPr>
                <w:sz w:val="20"/>
                <w:szCs w:val="20"/>
              </w:rPr>
            </w:pPr>
            <w:r>
              <w:rPr>
                <w:color w:val="000000"/>
                <w:sz w:val="20"/>
                <w:szCs w:val="20"/>
              </w:rPr>
              <w:t>872 427</w:t>
            </w:r>
          </w:p>
        </w:tc>
        <w:tc>
          <w:tcPr>
            <w:tcW w:w="1360" w:type="dxa"/>
          </w:tcPr>
          <w:p w14:paraId="6ADF8929" w14:textId="77777777" w:rsidR="0085622A" w:rsidRDefault="003A674F">
            <w:pPr>
              <w:jc w:val="center"/>
              <w:rPr>
                <w:sz w:val="20"/>
                <w:szCs w:val="20"/>
              </w:rPr>
            </w:pPr>
            <w:r>
              <w:rPr>
                <w:color w:val="000000"/>
                <w:sz w:val="20"/>
                <w:szCs w:val="20"/>
              </w:rPr>
              <w:t>880 554</w:t>
            </w:r>
          </w:p>
        </w:tc>
        <w:tc>
          <w:tcPr>
            <w:tcW w:w="1360" w:type="dxa"/>
            <w:vAlign w:val="bottom"/>
          </w:tcPr>
          <w:p w14:paraId="1C9DD51F" w14:textId="77777777" w:rsidR="0085622A" w:rsidRDefault="003A674F">
            <w:pPr>
              <w:jc w:val="center"/>
              <w:rPr>
                <w:color w:val="000000"/>
                <w:sz w:val="20"/>
                <w:szCs w:val="20"/>
              </w:rPr>
            </w:pPr>
            <w:r>
              <w:rPr>
                <w:color w:val="000000"/>
                <w:sz w:val="20"/>
                <w:szCs w:val="20"/>
              </w:rPr>
              <w:t>860 450</w:t>
            </w:r>
          </w:p>
        </w:tc>
        <w:tc>
          <w:tcPr>
            <w:tcW w:w="1360" w:type="dxa"/>
          </w:tcPr>
          <w:p w14:paraId="6E05B70A" w14:textId="77777777" w:rsidR="0085622A" w:rsidRDefault="003A674F">
            <w:pPr>
              <w:jc w:val="center"/>
              <w:rPr>
                <w:sz w:val="20"/>
                <w:szCs w:val="20"/>
              </w:rPr>
            </w:pPr>
            <w:r>
              <w:rPr>
                <w:color w:val="000000"/>
                <w:sz w:val="20"/>
                <w:szCs w:val="20"/>
              </w:rPr>
              <w:t>837 444</w:t>
            </w:r>
          </w:p>
        </w:tc>
        <w:tc>
          <w:tcPr>
            <w:tcW w:w="1360" w:type="dxa"/>
          </w:tcPr>
          <w:p w14:paraId="6C4BDDFC" w14:textId="77777777" w:rsidR="0085622A" w:rsidRDefault="003A674F">
            <w:pPr>
              <w:jc w:val="center"/>
              <w:rPr>
                <w:color w:val="000000"/>
                <w:sz w:val="22"/>
                <w:szCs w:val="22"/>
              </w:rPr>
            </w:pPr>
            <w:r>
              <w:rPr>
                <w:rFonts w:eastAsia="sans-serif"/>
                <w:color w:val="000000"/>
                <w:sz w:val="20"/>
                <w:szCs w:val="20"/>
              </w:rPr>
              <w:t>822 365</w:t>
            </w:r>
          </w:p>
        </w:tc>
      </w:tr>
      <w:tr w:rsidR="0085622A" w14:paraId="3033DF8D" w14:textId="77777777">
        <w:tc>
          <w:tcPr>
            <w:tcW w:w="1559" w:type="dxa"/>
          </w:tcPr>
          <w:p w14:paraId="7176FCCE" w14:textId="77777777" w:rsidR="0085622A" w:rsidRDefault="003A674F">
            <w:pPr>
              <w:rPr>
                <w:sz w:val="20"/>
                <w:szCs w:val="20"/>
              </w:rPr>
            </w:pPr>
            <w:r>
              <w:rPr>
                <w:b/>
                <w:bCs/>
                <w:color w:val="000000"/>
                <w:sz w:val="20"/>
                <w:szCs w:val="20"/>
              </w:rPr>
              <w:t>Ar minimālo darba algu vai mazāk</w:t>
            </w:r>
          </w:p>
        </w:tc>
        <w:tc>
          <w:tcPr>
            <w:tcW w:w="1520" w:type="dxa"/>
          </w:tcPr>
          <w:p w14:paraId="7CCD675D" w14:textId="77777777" w:rsidR="0085622A" w:rsidRDefault="003A674F">
            <w:pPr>
              <w:jc w:val="center"/>
              <w:rPr>
                <w:sz w:val="20"/>
                <w:szCs w:val="20"/>
              </w:rPr>
            </w:pPr>
            <w:r>
              <w:rPr>
                <w:color w:val="000000"/>
                <w:sz w:val="20"/>
                <w:szCs w:val="20"/>
              </w:rPr>
              <w:t>165 422</w:t>
            </w:r>
          </w:p>
        </w:tc>
        <w:tc>
          <w:tcPr>
            <w:tcW w:w="1360" w:type="dxa"/>
          </w:tcPr>
          <w:p w14:paraId="6F0356CA" w14:textId="77777777" w:rsidR="0085622A" w:rsidRDefault="003A674F">
            <w:pPr>
              <w:jc w:val="center"/>
              <w:rPr>
                <w:sz w:val="20"/>
                <w:szCs w:val="20"/>
              </w:rPr>
            </w:pPr>
            <w:r>
              <w:rPr>
                <w:color w:val="000000"/>
                <w:sz w:val="20"/>
                <w:szCs w:val="20"/>
              </w:rPr>
              <w:t>152 666</w:t>
            </w:r>
          </w:p>
        </w:tc>
        <w:tc>
          <w:tcPr>
            <w:tcW w:w="1360" w:type="dxa"/>
          </w:tcPr>
          <w:p w14:paraId="6E2574E6" w14:textId="77777777" w:rsidR="0085622A" w:rsidRDefault="003A674F">
            <w:pPr>
              <w:jc w:val="center"/>
              <w:rPr>
                <w:sz w:val="20"/>
                <w:szCs w:val="20"/>
              </w:rPr>
            </w:pPr>
            <w:r>
              <w:rPr>
                <w:color w:val="000000"/>
                <w:sz w:val="20"/>
                <w:szCs w:val="20"/>
              </w:rPr>
              <w:t>140 230</w:t>
            </w:r>
          </w:p>
        </w:tc>
        <w:tc>
          <w:tcPr>
            <w:tcW w:w="1360" w:type="dxa"/>
          </w:tcPr>
          <w:p w14:paraId="2E027C97" w14:textId="77777777" w:rsidR="0085622A" w:rsidRDefault="003A674F">
            <w:pPr>
              <w:jc w:val="center"/>
              <w:rPr>
                <w:sz w:val="20"/>
                <w:szCs w:val="20"/>
              </w:rPr>
            </w:pPr>
            <w:r>
              <w:rPr>
                <w:color w:val="000000"/>
                <w:sz w:val="20"/>
                <w:szCs w:val="20"/>
              </w:rPr>
              <w:t>149 173</w:t>
            </w:r>
          </w:p>
        </w:tc>
        <w:tc>
          <w:tcPr>
            <w:tcW w:w="1360" w:type="dxa"/>
          </w:tcPr>
          <w:p w14:paraId="30726906" w14:textId="77777777" w:rsidR="0085622A" w:rsidRDefault="003A674F">
            <w:pPr>
              <w:jc w:val="center"/>
              <w:rPr>
                <w:color w:val="000000"/>
                <w:sz w:val="20"/>
                <w:szCs w:val="20"/>
              </w:rPr>
            </w:pPr>
            <w:r>
              <w:rPr>
                <w:rFonts w:eastAsia="sans-serif"/>
                <w:color w:val="000000"/>
                <w:sz w:val="20"/>
                <w:szCs w:val="20"/>
              </w:rPr>
              <w:t>123 143</w:t>
            </w:r>
          </w:p>
        </w:tc>
      </w:tr>
      <w:tr w:rsidR="0085622A" w14:paraId="39E6326E" w14:textId="77777777">
        <w:tc>
          <w:tcPr>
            <w:tcW w:w="1559" w:type="dxa"/>
          </w:tcPr>
          <w:p w14:paraId="5113EBEE" w14:textId="77777777" w:rsidR="0085622A" w:rsidRDefault="003A674F">
            <w:pPr>
              <w:rPr>
                <w:sz w:val="20"/>
                <w:szCs w:val="20"/>
              </w:rPr>
            </w:pPr>
            <w:r>
              <w:rPr>
                <w:b/>
                <w:bCs/>
                <w:color w:val="000000"/>
                <w:sz w:val="20"/>
                <w:szCs w:val="20"/>
              </w:rPr>
              <w:t>Īpatsvars no darba ņēmēju skaita ar darba ienākumiem, %</w:t>
            </w:r>
          </w:p>
        </w:tc>
        <w:tc>
          <w:tcPr>
            <w:tcW w:w="1520" w:type="dxa"/>
          </w:tcPr>
          <w:p w14:paraId="044EDCC9" w14:textId="77777777" w:rsidR="0085622A" w:rsidRDefault="003A674F">
            <w:pPr>
              <w:jc w:val="center"/>
              <w:rPr>
                <w:sz w:val="20"/>
                <w:szCs w:val="20"/>
              </w:rPr>
            </w:pPr>
            <w:r>
              <w:rPr>
                <w:color w:val="000000"/>
                <w:sz w:val="20"/>
                <w:szCs w:val="20"/>
              </w:rPr>
              <w:t>20,6</w:t>
            </w:r>
          </w:p>
        </w:tc>
        <w:tc>
          <w:tcPr>
            <w:tcW w:w="1360" w:type="dxa"/>
          </w:tcPr>
          <w:p w14:paraId="6078BDE5" w14:textId="77777777" w:rsidR="0085622A" w:rsidRDefault="003A674F">
            <w:pPr>
              <w:jc w:val="center"/>
              <w:rPr>
                <w:sz w:val="20"/>
                <w:szCs w:val="20"/>
              </w:rPr>
            </w:pPr>
            <w:r>
              <w:rPr>
                <w:color w:val="000000"/>
                <w:sz w:val="20"/>
                <w:szCs w:val="20"/>
              </w:rPr>
              <w:t>18,9</w:t>
            </w:r>
          </w:p>
        </w:tc>
        <w:tc>
          <w:tcPr>
            <w:tcW w:w="1360" w:type="dxa"/>
          </w:tcPr>
          <w:p w14:paraId="1319E0D9" w14:textId="77777777" w:rsidR="0085622A" w:rsidRDefault="003A674F">
            <w:pPr>
              <w:jc w:val="center"/>
              <w:rPr>
                <w:sz w:val="20"/>
                <w:szCs w:val="20"/>
              </w:rPr>
            </w:pPr>
            <w:r>
              <w:rPr>
                <w:color w:val="000000"/>
                <w:sz w:val="20"/>
                <w:szCs w:val="20"/>
              </w:rPr>
              <w:t>18,1</w:t>
            </w:r>
          </w:p>
        </w:tc>
        <w:tc>
          <w:tcPr>
            <w:tcW w:w="1360" w:type="dxa"/>
          </w:tcPr>
          <w:p w14:paraId="62D39276" w14:textId="77777777" w:rsidR="0085622A" w:rsidRDefault="003A674F">
            <w:pPr>
              <w:jc w:val="center"/>
              <w:rPr>
                <w:sz w:val="20"/>
                <w:szCs w:val="20"/>
              </w:rPr>
            </w:pPr>
            <w:r>
              <w:rPr>
                <w:color w:val="000000"/>
                <w:sz w:val="20"/>
                <w:szCs w:val="20"/>
              </w:rPr>
              <w:t>19,4</w:t>
            </w:r>
          </w:p>
        </w:tc>
        <w:tc>
          <w:tcPr>
            <w:tcW w:w="1360" w:type="dxa"/>
          </w:tcPr>
          <w:p w14:paraId="69A6AA75" w14:textId="77777777" w:rsidR="0085622A" w:rsidRDefault="003A674F">
            <w:pPr>
              <w:jc w:val="center"/>
              <w:rPr>
                <w:color w:val="000000"/>
                <w:sz w:val="22"/>
                <w:szCs w:val="22"/>
              </w:rPr>
            </w:pPr>
            <w:r>
              <w:rPr>
                <w:color w:val="000000"/>
                <w:sz w:val="22"/>
                <w:szCs w:val="22"/>
              </w:rPr>
              <w:t>16,0</w:t>
            </w:r>
          </w:p>
        </w:tc>
      </w:tr>
    </w:tbl>
    <w:p w14:paraId="4F297D54" w14:textId="77777777" w:rsidR="0085622A" w:rsidRDefault="003A674F">
      <w:pPr>
        <w:pStyle w:val="NormalWeb"/>
        <w:shd w:val="clear" w:color="auto" w:fill="FFFFFF"/>
        <w:spacing w:before="0" w:beforeAutospacing="0" w:after="0" w:afterAutospacing="0"/>
        <w:jc w:val="both"/>
        <w:rPr>
          <w:sz w:val="20"/>
          <w:szCs w:val="20"/>
        </w:rPr>
      </w:pPr>
      <w:r>
        <w:rPr>
          <w:sz w:val="20"/>
          <w:szCs w:val="20"/>
        </w:rPr>
        <w:t>Datu avots: CSP,</w:t>
      </w:r>
    </w:p>
    <w:p w14:paraId="05B9D16B" w14:textId="77777777" w:rsidR="0085622A" w:rsidRDefault="00CC4F9C">
      <w:pPr>
        <w:pStyle w:val="NormalWeb"/>
        <w:shd w:val="clear" w:color="auto" w:fill="FFFFFF"/>
        <w:spacing w:before="0" w:beforeAutospacing="0" w:after="0" w:afterAutospacing="0"/>
        <w:jc w:val="both"/>
        <w:rPr>
          <w:sz w:val="20"/>
          <w:szCs w:val="20"/>
        </w:rPr>
      </w:pPr>
      <w:hyperlink r:id="rId8" w:history="1">
        <w:r w:rsidR="003A674F">
          <w:rPr>
            <w:rStyle w:val="FollowedHyperlink"/>
            <w:sz w:val="20"/>
            <w:szCs w:val="20"/>
          </w:rPr>
          <w:t>https://data.stat.gov.lv/pxweb/lv/OSP_PUB/START__EMP__DS__DSN/DSN020</w:t>
        </w:r>
      </w:hyperlink>
    </w:p>
    <w:p w14:paraId="44A39770" w14:textId="77777777" w:rsidR="0085622A" w:rsidRDefault="0085622A">
      <w:pPr>
        <w:pStyle w:val="NormalWeb"/>
        <w:shd w:val="clear" w:color="auto" w:fill="FFFFFF"/>
        <w:spacing w:before="0" w:beforeAutospacing="0" w:after="0" w:afterAutospacing="0"/>
        <w:jc w:val="both"/>
      </w:pPr>
    </w:p>
    <w:p w14:paraId="52F58BE9" w14:textId="77777777" w:rsidR="00B770BE" w:rsidRDefault="003A674F" w:rsidP="00B770BE">
      <w:pPr>
        <w:pStyle w:val="NormalWeb"/>
        <w:shd w:val="clear" w:color="auto" w:fill="FFFFFF"/>
        <w:spacing w:before="0" w:beforeAutospacing="0" w:after="0" w:afterAutospacing="0"/>
        <w:ind w:firstLine="720"/>
        <w:jc w:val="both"/>
      </w:pPr>
      <w:r>
        <w:t>2018.-2021.gadā darba ņēmēju īpatsvars, kuri saņēma minimālo algu vai mazāk, bija robežās no 18,1</w:t>
      </w:r>
      <w:r w:rsidR="007D4D48">
        <w:t>%</w:t>
      </w:r>
      <w:r>
        <w:t xml:space="preserve"> līdz 20,6% jeb </w:t>
      </w:r>
      <w:r w:rsidR="007D4D48">
        <w:t xml:space="preserve">aptuveni </w:t>
      </w:r>
      <w:r>
        <w:t>piektā daļa no visiem darba ņēmējiem</w:t>
      </w:r>
      <w:r w:rsidR="00902DEC">
        <w:t xml:space="preserve">, </w:t>
      </w:r>
      <w:r w:rsidR="007D4D48">
        <w:t>bet</w:t>
      </w:r>
      <w:r w:rsidR="00902DEC">
        <w:t xml:space="preserve"> 2022.gadā minimālās algas saņēmēju īpatsvars ir bijis zemākais pēdējo piecu gadu laikā, sama</w:t>
      </w:r>
      <w:r w:rsidR="007D4D48">
        <w:t>z</w:t>
      </w:r>
      <w:r w:rsidR="00902DEC">
        <w:t xml:space="preserve">inoties līdz 16,0%. </w:t>
      </w:r>
      <w:r>
        <w:t xml:space="preserve"> </w:t>
      </w:r>
    </w:p>
    <w:p w14:paraId="31055CE3" w14:textId="77777777" w:rsidR="00B770BE" w:rsidRDefault="00B770BE" w:rsidP="00B770BE">
      <w:pPr>
        <w:pStyle w:val="NormalWeb"/>
        <w:shd w:val="clear" w:color="auto" w:fill="FFFFFF"/>
        <w:spacing w:before="0" w:beforeAutospacing="0" w:after="0" w:afterAutospacing="0"/>
        <w:ind w:firstLine="720"/>
        <w:jc w:val="both"/>
      </w:pPr>
    </w:p>
    <w:p w14:paraId="35C931E1" w14:textId="77777777" w:rsidR="0085622A" w:rsidRDefault="003F6C9B" w:rsidP="00B770BE">
      <w:pPr>
        <w:pStyle w:val="NormalWeb"/>
        <w:shd w:val="clear" w:color="auto" w:fill="FFFFFF"/>
        <w:spacing w:before="0" w:beforeAutospacing="0" w:after="0" w:afterAutospacing="0"/>
        <w:ind w:firstLine="720"/>
        <w:jc w:val="right"/>
      </w:pPr>
      <w:r>
        <w:t>4</w:t>
      </w:r>
      <w:r w:rsidR="003A674F">
        <w:t>.tabula</w:t>
      </w:r>
    </w:p>
    <w:p w14:paraId="028B4E2C" w14:textId="77777777" w:rsidR="0085622A" w:rsidRDefault="003A674F">
      <w:pPr>
        <w:pStyle w:val="NormalWeb"/>
        <w:shd w:val="clear" w:color="auto" w:fill="FFFFFF"/>
        <w:spacing w:before="0" w:beforeAutospacing="0" w:after="0" w:afterAutospacing="0"/>
        <w:jc w:val="center"/>
        <w:rPr>
          <w:b/>
        </w:rPr>
      </w:pPr>
      <w:r>
        <w:rPr>
          <w:b/>
        </w:rPr>
        <w:t>Darba ņēmēji ar ienākumiem ar minimālo algu vai mazāk, vidēji gadā, reģionos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00"/>
        <w:gridCol w:w="948"/>
        <w:gridCol w:w="882"/>
        <w:gridCol w:w="882"/>
        <w:gridCol w:w="882"/>
        <w:gridCol w:w="660"/>
        <w:gridCol w:w="660"/>
        <w:gridCol w:w="660"/>
        <w:gridCol w:w="660"/>
      </w:tblGrid>
      <w:tr w:rsidR="0085622A" w14:paraId="3D64F3F2" w14:textId="77777777" w:rsidTr="00593A9C">
        <w:trPr>
          <w:trHeight w:val="300"/>
          <w:jc w:val="center"/>
        </w:trPr>
        <w:tc>
          <w:tcPr>
            <w:tcW w:w="1134" w:type="dxa"/>
            <w:shd w:val="clear" w:color="auto" w:fill="B4C6E7" w:themeFill="accent1" w:themeFillTint="66"/>
            <w:noWrap/>
            <w:vAlign w:val="bottom"/>
          </w:tcPr>
          <w:p w14:paraId="3542A1C3" w14:textId="77777777" w:rsidR="0085622A" w:rsidRDefault="0085622A">
            <w:pPr>
              <w:jc w:val="center"/>
              <w:rPr>
                <w:sz w:val="20"/>
                <w:szCs w:val="20"/>
              </w:rPr>
            </w:pPr>
          </w:p>
        </w:tc>
        <w:tc>
          <w:tcPr>
            <w:tcW w:w="1500" w:type="dxa"/>
            <w:shd w:val="clear" w:color="auto" w:fill="B4C6E7" w:themeFill="accent1" w:themeFillTint="66"/>
            <w:noWrap/>
            <w:vAlign w:val="bottom"/>
          </w:tcPr>
          <w:p w14:paraId="58447D06" w14:textId="77777777" w:rsidR="0085622A" w:rsidRDefault="0085622A">
            <w:pPr>
              <w:jc w:val="center"/>
              <w:rPr>
                <w:sz w:val="20"/>
                <w:szCs w:val="20"/>
              </w:rPr>
            </w:pPr>
          </w:p>
        </w:tc>
        <w:tc>
          <w:tcPr>
            <w:tcW w:w="3594" w:type="dxa"/>
            <w:gridSpan w:val="4"/>
            <w:shd w:val="clear" w:color="auto" w:fill="B4C6E7" w:themeFill="accent1" w:themeFillTint="66"/>
            <w:noWrap/>
            <w:vAlign w:val="bottom"/>
          </w:tcPr>
          <w:p w14:paraId="567D2F16" w14:textId="77777777" w:rsidR="0085622A" w:rsidRDefault="003A674F">
            <w:pPr>
              <w:jc w:val="center"/>
              <w:rPr>
                <w:sz w:val="20"/>
                <w:szCs w:val="20"/>
              </w:rPr>
            </w:pPr>
            <w:r>
              <w:rPr>
                <w:b/>
                <w:bCs/>
                <w:color w:val="000000"/>
                <w:sz w:val="20"/>
                <w:szCs w:val="20"/>
              </w:rPr>
              <w:t>Darba ņēmēju skaits</w:t>
            </w:r>
          </w:p>
        </w:tc>
        <w:tc>
          <w:tcPr>
            <w:tcW w:w="2640" w:type="dxa"/>
            <w:gridSpan w:val="4"/>
            <w:shd w:val="clear" w:color="auto" w:fill="B4C6E7" w:themeFill="accent1" w:themeFillTint="66"/>
            <w:noWrap/>
            <w:vAlign w:val="bottom"/>
          </w:tcPr>
          <w:p w14:paraId="1B844C04" w14:textId="77777777" w:rsidR="0085622A" w:rsidRDefault="003A674F">
            <w:pPr>
              <w:jc w:val="center"/>
              <w:rPr>
                <w:b/>
                <w:bCs/>
                <w:color w:val="000000"/>
                <w:sz w:val="20"/>
                <w:szCs w:val="20"/>
              </w:rPr>
            </w:pPr>
            <w:r>
              <w:rPr>
                <w:b/>
                <w:bCs/>
                <w:color w:val="000000"/>
                <w:sz w:val="20"/>
                <w:szCs w:val="20"/>
              </w:rPr>
              <w:t>Īpatsvars no darba ņēmēju skaita ar darba ienākumiem, %</w:t>
            </w:r>
          </w:p>
        </w:tc>
      </w:tr>
      <w:tr w:rsidR="0085622A" w14:paraId="129CC267" w14:textId="77777777" w:rsidTr="00593A9C">
        <w:trPr>
          <w:trHeight w:val="300"/>
          <w:jc w:val="center"/>
        </w:trPr>
        <w:tc>
          <w:tcPr>
            <w:tcW w:w="1134" w:type="dxa"/>
            <w:shd w:val="clear" w:color="auto" w:fill="auto"/>
            <w:noWrap/>
            <w:vAlign w:val="bottom"/>
          </w:tcPr>
          <w:p w14:paraId="64EF511F" w14:textId="77777777" w:rsidR="0085622A" w:rsidRDefault="0085622A">
            <w:pPr>
              <w:rPr>
                <w:sz w:val="20"/>
                <w:szCs w:val="20"/>
              </w:rPr>
            </w:pPr>
          </w:p>
        </w:tc>
        <w:tc>
          <w:tcPr>
            <w:tcW w:w="1500" w:type="dxa"/>
            <w:shd w:val="clear" w:color="auto" w:fill="auto"/>
            <w:noWrap/>
            <w:vAlign w:val="bottom"/>
          </w:tcPr>
          <w:p w14:paraId="4C07F3AB" w14:textId="77777777" w:rsidR="0085622A" w:rsidRDefault="0085622A">
            <w:pPr>
              <w:rPr>
                <w:sz w:val="20"/>
                <w:szCs w:val="20"/>
              </w:rPr>
            </w:pPr>
          </w:p>
        </w:tc>
        <w:tc>
          <w:tcPr>
            <w:tcW w:w="948" w:type="dxa"/>
            <w:shd w:val="clear" w:color="auto" w:fill="auto"/>
            <w:noWrap/>
            <w:vAlign w:val="bottom"/>
          </w:tcPr>
          <w:p w14:paraId="681BC60E" w14:textId="77777777" w:rsidR="0085622A" w:rsidRDefault="003A674F" w:rsidP="002D165F">
            <w:pPr>
              <w:jc w:val="center"/>
              <w:rPr>
                <w:b/>
                <w:bCs/>
                <w:color w:val="000000"/>
                <w:sz w:val="20"/>
                <w:szCs w:val="20"/>
              </w:rPr>
            </w:pPr>
            <w:r>
              <w:rPr>
                <w:b/>
                <w:bCs/>
                <w:color w:val="000000"/>
                <w:sz w:val="20"/>
                <w:szCs w:val="20"/>
              </w:rPr>
              <w:t>2019</w:t>
            </w:r>
          </w:p>
        </w:tc>
        <w:tc>
          <w:tcPr>
            <w:tcW w:w="882" w:type="dxa"/>
            <w:shd w:val="clear" w:color="auto" w:fill="auto"/>
            <w:noWrap/>
            <w:vAlign w:val="bottom"/>
          </w:tcPr>
          <w:p w14:paraId="0C89E640" w14:textId="77777777" w:rsidR="0085622A" w:rsidRDefault="003A674F" w:rsidP="002D165F">
            <w:pPr>
              <w:jc w:val="center"/>
              <w:rPr>
                <w:b/>
                <w:bCs/>
                <w:color w:val="000000"/>
                <w:sz w:val="20"/>
                <w:szCs w:val="20"/>
              </w:rPr>
            </w:pPr>
            <w:r>
              <w:rPr>
                <w:b/>
                <w:bCs/>
                <w:color w:val="000000"/>
                <w:sz w:val="20"/>
                <w:szCs w:val="20"/>
              </w:rPr>
              <w:t>2020</w:t>
            </w:r>
          </w:p>
        </w:tc>
        <w:tc>
          <w:tcPr>
            <w:tcW w:w="882" w:type="dxa"/>
            <w:shd w:val="clear" w:color="auto" w:fill="auto"/>
            <w:noWrap/>
            <w:vAlign w:val="bottom"/>
          </w:tcPr>
          <w:p w14:paraId="2152CC97" w14:textId="77777777" w:rsidR="0085622A" w:rsidRDefault="003A674F" w:rsidP="002D165F">
            <w:pPr>
              <w:jc w:val="center"/>
              <w:rPr>
                <w:b/>
                <w:bCs/>
                <w:color w:val="000000"/>
                <w:sz w:val="20"/>
                <w:szCs w:val="20"/>
              </w:rPr>
            </w:pPr>
            <w:r>
              <w:rPr>
                <w:b/>
                <w:bCs/>
                <w:color w:val="000000"/>
                <w:sz w:val="20"/>
                <w:szCs w:val="20"/>
              </w:rPr>
              <w:t>2021</w:t>
            </w:r>
          </w:p>
        </w:tc>
        <w:tc>
          <w:tcPr>
            <w:tcW w:w="882" w:type="dxa"/>
            <w:shd w:val="clear" w:color="auto" w:fill="auto"/>
            <w:noWrap/>
            <w:vAlign w:val="bottom"/>
          </w:tcPr>
          <w:p w14:paraId="007F7E32" w14:textId="77777777" w:rsidR="0085622A" w:rsidRDefault="003A674F" w:rsidP="002D165F">
            <w:pPr>
              <w:jc w:val="center"/>
              <w:rPr>
                <w:b/>
                <w:bCs/>
                <w:color w:val="000000"/>
                <w:sz w:val="20"/>
                <w:szCs w:val="20"/>
              </w:rPr>
            </w:pPr>
            <w:r>
              <w:rPr>
                <w:b/>
                <w:bCs/>
                <w:color w:val="000000"/>
                <w:sz w:val="20"/>
                <w:szCs w:val="20"/>
              </w:rPr>
              <w:t>2022</w:t>
            </w:r>
          </w:p>
        </w:tc>
        <w:tc>
          <w:tcPr>
            <w:tcW w:w="660" w:type="dxa"/>
            <w:shd w:val="clear" w:color="auto" w:fill="auto"/>
            <w:noWrap/>
            <w:vAlign w:val="bottom"/>
          </w:tcPr>
          <w:p w14:paraId="361906A0" w14:textId="77777777" w:rsidR="0085622A" w:rsidRDefault="003A674F" w:rsidP="002D165F">
            <w:pPr>
              <w:jc w:val="center"/>
              <w:rPr>
                <w:b/>
                <w:bCs/>
                <w:color w:val="000000"/>
                <w:sz w:val="20"/>
                <w:szCs w:val="20"/>
              </w:rPr>
            </w:pPr>
            <w:r>
              <w:rPr>
                <w:b/>
                <w:bCs/>
                <w:color w:val="000000"/>
                <w:sz w:val="20"/>
                <w:szCs w:val="20"/>
              </w:rPr>
              <w:t>2019</w:t>
            </w:r>
          </w:p>
        </w:tc>
        <w:tc>
          <w:tcPr>
            <w:tcW w:w="660" w:type="dxa"/>
            <w:shd w:val="clear" w:color="auto" w:fill="auto"/>
            <w:noWrap/>
            <w:vAlign w:val="bottom"/>
          </w:tcPr>
          <w:p w14:paraId="79200662" w14:textId="77777777" w:rsidR="0085622A" w:rsidRDefault="003A674F" w:rsidP="002D165F">
            <w:pPr>
              <w:jc w:val="center"/>
              <w:rPr>
                <w:b/>
                <w:bCs/>
                <w:color w:val="000000"/>
                <w:sz w:val="20"/>
                <w:szCs w:val="20"/>
              </w:rPr>
            </w:pPr>
            <w:r>
              <w:rPr>
                <w:b/>
                <w:bCs/>
                <w:color w:val="000000"/>
                <w:sz w:val="20"/>
                <w:szCs w:val="20"/>
              </w:rPr>
              <w:t>2020</w:t>
            </w:r>
          </w:p>
        </w:tc>
        <w:tc>
          <w:tcPr>
            <w:tcW w:w="660" w:type="dxa"/>
            <w:shd w:val="clear" w:color="auto" w:fill="auto"/>
            <w:noWrap/>
            <w:vAlign w:val="bottom"/>
          </w:tcPr>
          <w:p w14:paraId="5CA1D63C" w14:textId="77777777" w:rsidR="0085622A" w:rsidRDefault="003A674F" w:rsidP="002D165F">
            <w:pPr>
              <w:jc w:val="center"/>
              <w:rPr>
                <w:b/>
                <w:bCs/>
                <w:color w:val="000000"/>
                <w:sz w:val="20"/>
                <w:szCs w:val="20"/>
              </w:rPr>
            </w:pPr>
            <w:r>
              <w:rPr>
                <w:b/>
                <w:bCs/>
                <w:color w:val="000000"/>
                <w:sz w:val="20"/>
                <w:szCs w:val="20"/>
              </w:rPr>
              <w:t>2021</w:t>
            </w:r>
          </w:p>
        </w:tc>
        <w:tc>
          <w:tcPr>
            <w:tcW w:w="660" w:type="dxa"/>
            <w:shd w:val="clear" w:color="auto" w:fill="auto"/>
            <w:noWrap/>
            <w:vAlign w:val="bottom"/>
          </w:tcPr>
          <w:p w14:paraId="47A4A6B8" w14:textId="77777777" w:rsidR="0085622A" w:rsidRDefault="003A674F" w:rsidP="002D165F">
            <w:pPr>
              <w:jc w:val="center"/>
              <w:rPr>
                <w:b/>
                <w:bCs/>
                <w:color w:val="000000"/>
                <w:sz w:val="20"/>
                <w:szCs w:val="20"/>
              </w:rPr>
            </w:pPr>
            <w:r>
              <w:rPr>
                <w:b/>
                <w:bCs/>
                <w:color w:val="000000"/>
                <w:sz w:val="20"/>
                <w:szCs w:val="20"/>
              </w:rPr>
              <w:t>2022</w:t>
            </w:r>
          </w:p>
        </w:tc>
      </w:tr>
      <w:tr w:rsidR="0085622A" w14:paraId="6B255352" w14:textId="77777777" w:rsidTr="00593A9C">
        <w:trPr>
          <w:trHeight w:val="300"/>
          <w:jc w:val="center"/>
        </w:trPr>
        <w:tc>
          <w:tcPr>
            <w:tcW w:w="1134" w:type="dxa"/>
            <w:shd w:val="clear" w:color="auto" w:fill="auto"/>
            <w:noWrap/>
            <w:vAlign w:val="bottom"/>
          </w:tcPr>
          <w:p w14:paraId="22DAAFED" w14:textId="77777777" w:rsidR="0085622A" w:rsidRDefault="003A674F">
            <w:pPr>
              <w:rPr>
                <w:b/>
                <w:bCs/>
                <w:color w:val="000000"/>
                <w:sz w:val="20"/>
                <w:szCs w:val="20"/>
              </w:rPr>
            </w:pPr>
            <w:r>
              <w:rPr>
                <w:b/>
                <w:bCs/>
                <w:color w:val="000000"/>
                <w:sz w:val="20"/>
                <w:szCs w:val="20"/>
              </w:rPr>
              <w:t>LATVIJA</w:t>
            </w:r>
          </w:p>
        </w:tc>
        <w:tc>
          <w:tcPr>
            <w:tcW w:w="1500" w:type="dxa"/>
            <w:shd w:val="clear" w:color="auto" w:fill="auto"/>
            <w:noWrap/>
            <w:vAlign w:val="bottom"/>
          </w:tcPr>
          <w:p w14:paraId="3A9BEE04" w14:textId="77777777" w:rsidR="0085622A" w:rsidRDefault="003A674F">
            <w:pPr>
              <w:rPr>
                <w:b/>
                <w:bCs/>
                <w:color w:val="000000"/>
                <w:sz w:val="20"/>
                <w:szCs w:val="20"/>
              </w:rPr>
            </w:pPr>
            <w:r>
              <w:rPr>
                <w:b/>
                <w:bCs/>
                <w:color w:val="000000"/>
                <w:sz w:val="20"/>
                <w:szCs w:val="20"/>
              </w:rPr>
              <w:t>PAVISAM</w:t>
            </w:r>
          </w:p>
        </w:tc>
        <w:tc>
          <w:tcPr>
            <w:tcW w:w="948" w:type="dxa"/>
            <w:shd w:val="clear" w:color="auto" w:fill="auto"/>
            <w:noWrap/>
            <w:vAlign w:val="bottom"/>
          </w:tcPr>
          <w:p w14:paraId="0B06DDE8" w14:textId="77777777" w:rsidR="0085622A" w:rsidRDefault="003A674F">
            <w:pPr>
              <w:jc w:val="right"/>
              <w:rPr>
                <w:color w:val="000000"/>
                <w:sz w:val="20"/>
                <w:szCs w:val="20"/>
              </w:rPr>
            </w:pPr>
            <w:r>
              <w:rPr>
                <w:color w:val="000000"/>
                <w:sz w:val="20"/>
                <w:szCs w:val="20"/>
              </w:rPr>
              <w:t>880 554</w:t>
            </w:r>
          </w:p>
        </w:tc>
        <w:tc>
          <w:tcPr>
            <w:tcW w:w="882" w:type="dxa"/>
            <w:shd w:val="clear" w:color="auto" w:fill="auto"/>
            <w:noWrap/>
            <w:vAlign w:val="bottom"/>
          </w:tcPr>
          <w:p w14:paraId="217BC794" w14:textId="77777777" w:rsidR="0085622A" w:rsidRDefault="003A674F">
            <w:pPr>
              <w:jc w:val="right"/>
              <w:rPr>
                <w:color w:val="000000"/>
                <w:sz w:val="20"/>
                <w:szCs w:val="20"/>
              </w:rPr>
            </w:pPr>
            <w:r>
              <w:rPr>
                <w:color w:val="000000"/>
                <w:sz w:val="20"/>
                <w:szCs w:val="20"/>
              </w:rPr>
              <w:t>860 453</w:t>
            </w:r>
          </w:p>
        </w:tc>
        <w:tc>
          <w:tcPr>
            <w:tcW w:w="882" w:type="dxa"/>
            <w:shd w:val="clear" w:color="auto" w:fill="auto"/>
            <w:noWrap/>
            <w:vAlign w:val="bottom"/>
          </w:tcPr>
          <w:p w14:paraId="24A43862" w14:textId="77777777" w:rsidR="0085622A" w:rsidRDefault="003A674F">
            <w:pPr>
              <w:jc w:val="right"/>
              <w:rPr>
                <w:color w:val="000000"/>
                <w:sz w:val="20"/>
                <w:szCs w:val="20"/>
              </w:rPr>
            </w:pPr>
            <w:r>
              <w:rPr>
                <w:color w:val="000000"/>
                <w:sz w:val="20"/>
                <w:szCs w:val="20"/>
              </w:rPr>
              <w:t>837 444</w:t>
            </w:r>
          </w:p>
        </w:tc>
        <w:tc>
          <w:tcPr>
            <w:tcW w:w="882" w:type="dxa"/>
            <w:shd w:val="clear" w:color="auto" w:fill="auto"/>
            <w:noWrap/>
            <w:vAlign w:val="bottom"/>
          </w:tcPr>
          <w:p w14:paraId="4B13C33E" w14:textId="77777777" w:rsidR="0085622A" w:rsidRDefault="003A674F">
            <w:pPr>
              <w:wordWrap w:val="0"/>
              <w:jc w:val="right"/>
              <w:rPr>
                <w:color w:val="000000"/>
                <w:sz w:val="20"/>
                <w:szCs w:val="20"/>
              </w:rPr>
            </w:pPr>
            <w:r>
              <w:rPr>
                <w:color w:val="000000"/>
                <w:sz w:val="20"/>
                <w:szCs w:val="20"/>
              </w:rPr>
              <w:t>822 365</w:t>
            </w:r>
          </w:p>
        </w:tc>
        <w:tc>
          <w:tcPr>
            <w:tcW w:w="660" w:type="dxa"/>
            <w:shd w:val="clear" w:color="auto" w:fill="auto"/>
            <w:noWrap/>
            <w:vAlign w:val="bottom"/>
          </w:tcPr>
          <w:p w14:paraId="503611D7"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455749A9"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40B1A918"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7AB0C93E" w14:textId="77777777" w:rsidR="0085622A" w:rsidRDefault="003A674F">
            <w:pPr>
              <w:jc w:val="right"/>
              <w:rPr>
                <w:color w:val="000000"/>
                <w:sz w:val="20"/>
                <w:szCs w:val="20"/>
              </w:rPr>
            </w:pPr>
            <w:r>
              <w:rPr>
                <w:color w:val="000000"/>
                <w:sz w:val="20"/>
                <w:szCs w:val="20"/>
              </w:rPr>
              <w:t>X</w:t>
            </w:r>
          </w:p>
        </w:tc>
      </w:tr>
      <w:tr w:rsidR="0085622A" w14:paraId="35AA1384" w14:textId="77777777" w:rsidTr="00593A9C">
        <w:trPr>
          <w:trHeight w:val="300"/>
          <w:jc w:val="center"/>
        </w:trPr>
        <w:tc>
          <w:tcPr>
            <w:tcW w:w="1134" w:type="dxa"/>
            <w:shd w:val="clear" w:color="auto" w:fill="auto"/>
            <w:noWrap/>
            <w:vAlign w:val="bottom"/>
          </w:tcPr>
          <w:p w14:paraId="11FA5E1D" w14:textId="77777777" w:rsidR="0085622A" w:rsidRDefault="0085622A">
            <w:pPr>
              <w:jc w:val="right"/>
              <w:rPr>
                <w:color w:val="000000"/>
                <w:sz w:val="20"/>
                <w:szCs w:val="20"/>
              </w:rPr>
            </w:pPr>
          </w:p>
        </w:tc>
        <w:tc>
          <w:tcPr>
            <w:tcW w:w="1500" w:type="dxa"/>
            <w:shd w:val="clear" w:color="auto" w:fill="auto"/>
            <w:noWrap/>
            <w:vAlign w:val="bottom"/>
          </w:tcPr>
          <w:p w14:paraId="4CF9329C" w14:textId="77777777" w:rsidR="0085622A" w:rsidRDefault="003A674F">
            <w:pPr>
              <w:rPr>
                <w:b/>
                <w:bCs/>
                <w:color w:val="000000"/>
                <w:sz w:val="20"/>
                <w:szCs w:val="20"/>
              </w:rPr>
            </w:pPr>
            <w:r>
              <w:rPr>
                <w:b/>
                <w:bCs/>
                <w:color w:val="000000"/>
                <w:sz w:val="20"/>
                <w:szCs w:val="20"/>
              </w:rPr>
              <w:t>..Ar minimālo darba algu vai mazāk</w:t>
            </w:r>
          </w:p>
        </w:tc>
        <w:tc>
          <w:tcPr>
            <w:tcW w:w="948" w:type="dxa"/>
            <w:shd w:val="clear" w:color="auto" w:fill="auto"/>
            <w:noWrap/>
            <w:vAlign w:val="bottom"/>
          </w:tcPr>
          <w:p w14:paraId="0F176DBB" w14:textId="77777777" w:rsidR="0085622A" w:rsidRDefault="003A674F">
            <w:pPr>
              <w:jc w:val="right"/>
              <w:rPr>
                <w:color w:val="000000"/>
                <w:sz w:val="20"/>
                <w:szCs w:val="20"/>
              </w:rPr>
            </w:pPr>
            <w:r>
              <w:rPr>
                <w:color w:val="000000"/>
                <w:sz w:val="20"/>
                <w:szCs w:val="20"/>
              </w:rPr>
              <w:t>152 666</w:t>
            </w:r>
          </w:p>
        </w:tc>
        <w:tc>
          <w:tcPr>
            <w:tcW w:w="882" w:type="dxa"/>
            <w:shd w:val="clear" w:color="auto" w:fill="auto"/>
            <w:noWrap/>
            <w:vAlign w:val="bottom"/>
          </w:tcPr>
          <w:p w14:paraId="10D9575C" w14:textId="77777777" w:rsidR="0085622A" w:rsidRDefault="003A674F">
            <w:pPr>
              <w:jc w:val="right"/>
              <w:rPr>
                <w:color w:val="000000"/>
                <w:sz w:val="20"/>
                <w:szCs w:val="20"/>
              </w:rPr>
            </w:pPr>
            <w:r>
              <w:rPr>
                <w:color w:val="000000"/>
                <w:sz w:val="20"/>
                <w:szCs w:val="20"/>
              </w:rPr>
              <w:t>140 230</w:t>
            </w:r>
          </w:p>
        </w:tc>
        <w:tc>
          <w:tcPr>
            <w:tcW w:w="882" w:type="dxa"/>
            <w:shd w:val="clear" w:color="auto" w:fill="auto"/>
            <w:noWrap/>
            <w:vAlign w:val="bottom"/>
          </w:tcPr>
          <w:p w14:paraId="7CF90F47" w14:textId="77777777" w:rsidR="0085622A" w:rsidRDefault="003A674F">
            <w:pPr>
              <w:jc w:val="right"/>
              <w:rPr>
                <w:color w:val="000000"/>
                <w:sz w:val="20"/>
                <w:szCs w:val="20"/>
              </w:rPr>
            </w:pPr>
            <w:r>
              <w:rPr>
                <w:color w:val="000000"/>
                <w:sz w:val="20"/>
                <w:szCs w:val="20"/>
              </w:rPr>
              <w:t>149 173</w:t>
            </w:r>
          </w:p>
        </w:tc>
        <w:tc>
          <w:tcPr>
            <w:tcW w:w="882" w:type="dxa"/>
            <w:shd w:val="clear" w:color="auto" w:fill="auto"/>
            <w:noWrap/>
            <w:vAlign w:val="bottom"/>
          </w:tcPr>
          <w:p w14:paraId="79CC1319" w14:textId="77777777" w:rsidR="0085622A" w:rsidRDefault="003A674F">
            <w:pPr>
              <w:jc w:val="right"/>
              <w:rPr>
                <w:color w:val="000000"/>
                <w:sz w:val="20"/>
                <w:szCs w:val="20"/>
              </w:rPr>
            </w:pPr>
            <w:r>
              <w:rPr>
                <w:rFonts w:eastAsia="sans-serif"/>
                <w:color w:val="000000"/>
                <w:sz w:val="20"/>
                <w:szCs w:val="20"/>
              </w:rPr>
              <w:t>123 143</w:t>
            </w:r>
          </w:p>
        </w:tc>
        <w:tc>
          <w:tcPr>
            <w:tcW w:w="660" w:type="dxa"/>
            <w:shd w:val="clear" w:color="auto" w:fill="auto"/>
            <w:noWrap/>
            <w:vAlign w:val="bottom"/>
          </w:tcPr>
          <w:p w14:paraId="25058D1C" w14:textId="77777777" w:rsidR="0085622A" w:rsidRDefault="003A674F">
            <w:pPr>
              <w:jc w:val="right"/>
              <w:rPr>
                <w:color w:val="000000"/>
                <w:sz w:val="20"/>
                <w:szCs w:val="20"/>
              </w:rPr>
            </w:pPr>
            <w:r>
              <w:rPr>
                <w:color w:val="000000"/>
                <w:sz w:val="20"/>
                <w:szCs w:val="20"/>
              </w:rPr>
              <w:t>18.9</w:t>
            </w:r>
          </w:p>
        </w:tc>
        <w:tc>
          <w:tcPr>
            <w:tcW w:w="660" w:type="dxa"/>
            <w:shd w:val="clear" w:color="auto" w:fill="auto"/>
            <w:noWrap/>
            <w:vAlign w:val="bottom"/>
          </w:tcPr>
          <w:p w14:paraId="61033BB8" w14:textId="77777777" w:rsidR="0085622A" w:rsidRDefault="003A674F">
            <w:pPr>
              <w:jc w:val="right"/>
              <w:rPr>
                <w:color w:val="000000"/>
                <w:sz w:val="20"/>
                <w:szCs w:val="20"/>
              </w:rPr>
            </w:pPr>
            <w:r>
              <w:rPr>
                <w:color w:val="000000"/>
                <w:sz w:val="20"/>
                <w:szCs w:val="20"/>
              </w:rPr>
              <w:t>18.1</w:t>
            </w:r>
          </w:p>
        </w:tc>
        <w:tc>
          <w:tcPr>
            <w:tcW w:w="660" w:type="dxa"/>
            <w:shd w:val="clear" w:color="auto" w:fill="auto"/>
            <w:noWrap/>
            <w:vAlign w:val="bottom"/>
          </w:tcPr>
          <w:p w14:paraId="5416E5CC" w14:textId="77777777" w:rsidR="0085622A" w:rsidRDefault="003A674F">
            <w:pPr>
              <w:jc w:val="right"/>
              <w:rPr>
                <w:color w:val="000000"/>
                <w:sz w:val="20"/>
                <w:szCs w:val="20"/>
              </w:rPr>
            </w:pPr>
            <w:r>
              <w:rPr>
                <w:color w:val="000000"/>
                <w:sz w:val="20"/>
                <w:szCs w:val="20"/>
              </w:rPr>
              <w:t>19.4</w:t>
            </w:r>
          </w:p>
        </w:tc>
        <w:tc>
          <w:tcPr>
            <w:tcW w:w="660" w:type="dxa"/>
            <w:shd w:val="clear" w:color="auto" w:fill="auto"/>
            <w:noWrap/>
            <w:vAlign w:val="bottom"/>
          </w:tcPr>
          <w:p w14:paraId="0D7AA8CA" w14:textId="77777777" w:rsidR="0085622A" w:rsidRDefault="003A674F">
            <w:pPr>
              <w:jc w:val="right"/>
              <w:rPr>
                <w:color w:val="000000"/>
                <w:sz w:val="20"/>
                <w:szCs w:val="20"/>
              </w:rPr>
            </w:pPr>
            <w:r>
              <w:rPr>
                <w:color w:val="000000"/>
                <w:sz w:val="20"/>
                <w:szCs w:val="20"/>
              </w:rPr>
              <w:t>16.0</w:t>
            </w:r>
          </w:p>
        </w:tc>
      </w:tr>
      <w:tr w:rsidR="0085622A" w14:paraId="1BF0220E" w14:textId="77777777" w:rsidTr="00593A9C">
        <w:trPr>
          <w:trHeight w:val="300"/>
          <w:jc w:val="center"/>
        </w:trPr>
        <w:tc>
          <w:tcPr>
            <w:tcW w:w="1134" w:type="dxa"/>
            <w:shd w:val="clear" w:color="auto" w:fill="auto"/>
            <w:noWrap/>
            <w:vAlign w:val="bottom"/>
          </w:tcPr>
          <w:p w14:paraId="58BB8964" w14:textId="77777777" w:rsidR="0085622A" w:rsidRDefault="003A674F">
            <w:pPr>
              <w:rPr>
                <w:b/>
                <w:bCs/>
                <w:color w:val="000000"/>
                <w:sz w:val="20"/>
                <w:szCs w:val="20"/>
              </w:rPr>
            </w:pPr>
            <w:r>
              <w:rPr>
                <w:b/>
                <w:bCs/>
                <w:color w:val="000000"/>
                <w:sz w:val="20"/>
                <w:szCs w:val="20"/>
              </w:rPr>
              <w:t>Rīgas reģions</w:t>
            </w:r>
          </w:p>
        </w:tc>
        <w:tc>
          <w:tcPr>
            <w:tcW w:w="1500" w:type="dxa"/>
            <w:shd w:val="clear" w:color="auto" w:fill="auto"/>
            <w:noWrap/>
            <w:vAlign w:val="bottom"/>
          </w:tcPr>
          <w:p w14:paraId="2D92A463" w14:textId="77777777" w:rsidR="0085622A" w:rsidRDefault="003A674F">
            <w:pPr>
              <w:rPr>
                <w:b/>
                <w:bCs/>
                <w:color w:val="000000"/>
                <w:sz w:val="20"/>
                <w:szCs w:val="20"/>
              </w:rPr>
            </w:pPr>
            <w:r>
              <w:rPr>
                <w:b/>
                <w:bCs/>
                <w:color w:val="000000"/>
                <w:sz w:val="20"/>
                <w:szCs w:val="20"/>
              </w:rPr>
              <w:t>PAVISAM</w:t>
            </w:r>
          </w:p>
        </w:tc>
        <w:tc>
          <w:tcPr>
            <w:tcW w:w="948" w:type="dxa"/>
            <w:shd w:val="clear" w:color="auto" w:fill="auto"/>
            <w:noWrap/>
            <w:vAlign w:val="bottom"/>
          </w:tcPr>
          <w:p w14:paraId="6DB92262" w14:textId="77777777" w:rsidR="0085622A" w:rsidRDefault="003A674F">
            <w:pPr>
              <w:jc w:val="right"/>
              <w:rPr>
                <w:color w:val="000000"/>
                <w:sz w:val="20"/>
                <w:szCs w:val="20"/>
              </w:rPr>
            </w:pPr>
            <w:r>
              <w:rPr>
                <w:color w:val="000000"/>
                <w:sz w:val="20"/>
                <w:szCs w:val="20"/>
              </w:rPr>
              <w:t>307 704</w:t>
            </w:r>
          </w:p>
        </w:tc>
        <w:tc>
          <w:tcPr>
            <w:tcW w:w="882" w:type="dxa"/>
            <w:shd w:val="clear" w:color="auto" w:fill="auto"/>
            <w:noWrap/>
            <w:vAlign w:val="bottom"/>
          </w:tcPr>
          <w:p w14:paraId="7269012F" w14:textId="77777777" w:rsidR="0085622A" w:rsidRDefault="003A674F">
            <w:pPr>
              <w:jc w:val="right"/>
              <w:rPr>
                <w:color w:val="000000"/>
                <w:sz w:val="20"/>
                <w:szCs w:val="20"/>
              </w:rPr>
            </w:pPr>
            <w:r>
              <w:rPr>
                <w:color w:val="000000"/>
                <w:sz w:val="20"/>
                <w:szCs w:val="20"/>
              </w:rPr>
              <w:t>298 938</w:t>
            </w:r>
          </w:p>
        </w:tc>
        <w:tc>
          <w:tcPr>
            <w:tcW w:w="882" w:type="dxa"/>
            <w:shd w:val="clear" w:color="auto" w:fill="auto"/>
            <w:noWrap/>
            <w:vAlign w:val="bottom"/>
          </w:tcPr>
          <w:p w14:paraId="415F6461" w14:textId="77777777" w:rsidR="0085622A" w:rsidRDefault="003A674F">
            <w:pPr>
              <w:jc w:val="right"/>
              <w:rPr>
                <w:color w:val="000000"/>
                <w:sz w:val="20"/>
                <w:szCs w:val="20"/>
              </w:rPr>
            </w:pPr>
            <w:r>
              <w:rPr>
                <w:color w:val="000000"/>
                <w:sz w:val="20"/>
                <w:szCs w:val="20"/>
              </w:rPr>
              <w:t>288 463</w:t>
            </w:r>
          </w:p>
        </w:tc>
        <w:tc>
          <w:tcPr>
            <w:tcW w:w="882" w:type="dxa"/>
            <w:shd w:val="clear" w:color="auto" w:fill="auto"/>
            <w:noWrap/>
            <w:vAlign w:val="bottom"/>
          </w:tcPr>
          <w:p w14:paraId="039AC445" w14:textId="77777777" w:rsidR="0085622A" w:rsidRPr="00E364F2" w:rsidRDefault="003A674F" w:rsidP="00E364F2">
            <w:pPr>
              <w:pStyle w:val="author"/>
              <w:rPr>
                <w:sz w:val="20"/>
                <w:szCs w:val="20"/>
              </w:rPr>
            </w:pPr>
            <w:bookmarkStart w:id="11" w:name="_Toc145280793"/>
            <w:r w:rsidRPr="00E364F2">
              <w:rPr>
                <w:sz w:val="20"/>
                <w:szCs w:val="20"/>
              </w:rPr>
              <w:t>282 152</w:t>
            </w:r>
            <w:bookmarkEnd w:id="11"/>
          </w:p>
        </w:tc>
        <w:tc>
          <w:tcPr>
            <w:tcW w:w="660" w:type="dxa"/>
            <w:shd w:val="clear" w:color="auto" w:fill="auto"/>
            <w:noWrap/>
            <w:vAlign w:val="bottom"/>
          </w:tcPr>
          <w:p w14:paraId="6368352D"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2FCCDC56"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612D92AD"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2C60E2F8" w14:textId="77777777" w:rsidR="0085622A" w:rsidRDefault="003A674F">
            <w:pPr>
              <w:jc w:val="right"/>
              <w:rPr>
                <w:color w:val="000000"/>
                <w:sz w:val="20"/>
                <w:szCs w:val="20"/>
              </w:rPr>
            </w:pPr>
            <w:r>
              <w:rPr>
                <w:color w:val="000000"/>
                <w:sz w:val="20"/>
                <w:szCs w:val="20"/>
              </w:rPr>
              <w:t>X</w:t>
            </w:r>
          </w:p>
        </w:tc>
      </w:tr>
      <w:tr w:rsidR="0085622A" w14:paraId="5A9D7C8B" w14:textId="77777777" w:rsidTr="00593A9C">
        <w:trPr>
          <w:trHeight w:val="300"/>
          <w:jc w:val="center"/>
        </w:trPr>
        <w:tc>
          <w:tcPr>
            <w:tcW w:w="1134" w:type="dxa"/>
            <w:shd w:val="clear" w:color="auto" w:fill="auto"/>
            <w:noWrap/>
            <w:vAlign w:val="bottom"/>
          </w:tcPr>
          <w:p w14:paraId="66574462" w14:textId="77777777" w:rsidR="0085622A" w:rsidRDefault="0085622A">
            <w:pPr>
              <w:jc w:val="right"/>
              <w:rPr>
                <w:color w:val="000000"/>
                <w:sz w:val="20"/>
                <w:szCs w:val="20"/>
              </w:rPr>
            </w:pPr>
          </w:p>
        </w:tc>
        <w:tc>
          <w:tcPr>
            <w:tcW w:w="1500" w:type="dxa"/>
            <w:shd w:val="clear" w:color="auto" w:fill="auto"/>
            <w:noWrap/>
            <w:vAlign w:val="bottom"/>
          </w:tcPr>
          <w:p w14:paraId="3CE74083" w14:textId="77777777" w:rsidR="0085622A" w:rsidRDefault="003A674F">
            <w:pPr>
              <w:rPr>
                <w:b/>
                <w:bCs/>
                <w:color w:val="000000"/>
                <w:sz w:val="20"/>
                <w:szCs w:val="20"/>
              </w:rPr>
            </w:pPr>
            <w:r>
              <w:rPr>
                <w:b/>
                <w:bCs/>
                <w:color w:val="000000"/>
                <w:sz w:val="20"/>
                <w:szCs w:val="20"/>
              </w:rPr>
              <w:t>..Ar minimālo darba algu vai mazāk</w:t>
            </w:r>
          </w:p>
        </w:tc>
        <w:tc>
          <w:tcPr>
            <w:tcW w:w="948" w:type="dxa"/>
            <w:shd w:val="clear" w:color="auto" w:fill="auto"/>
            <w:noWrap/>
            <w:vAlign w:val="bottom"/>
          </w:tcPr>
          <w:p w14:paraId="0EA2C46C" w14:textId="77777777" w:rsidR="0085622A" w:rsidRDefault="003A674F">
            <w:pPr>
              <w:jc w:val="right"/>
              <w:rPr>
                <w:color w:val="000000"/>
                <w:sz w:val="20"/>
                <w:szCs w:val="20"/>
              </w:rPr>
            </w:pPr>
            <w:r>
              <w:rPr>
                <w:color w:val="000000"/>
                <w:sz w:val="20"/>
                <w:szCs w:val="20"/>
              </w:rPr>
              <w:t>48 749</w:t>
            </w:r>
          </w:p>
        </w:tc>
        <w:tc>
          <w:tcPr>
            <w:tcW w:w="882" w:type="dxa"/>
            <w:shd w:val="clear" w:color="auto" w:fill="auto"/>
            <w:noWrap/>
            <w:vAlign w:val="bottom"/>
          </w:tcPr>
          <w:p w14:paraId="15562D1E" w14:textId="77777777" w:rsidR="0085622A" w:rsidRDefault="003A674F">
            <w:pPr>
              <w:jc w:val="right"/>
              <w:rPr>
                <w:color w:val="000000"/>
                <w:sz w:val="20"/>
                <w:szCs w:val="20"/>
              </w:rPr>
            </w:pPr>
            <w:r>
              <w:rPr>
                <w:color w:val="000000"/>
                <w:sz w:val="20"/>
                <w:szCs w:val="20"/>
              </w:rPr>
              <w:t>45 213</w:t>
            </w:r>
          </w:p>
        </w:tc>
        <w:tc>
          <w:tcPr>
            <w:tcW w:w="882" w:type="dxa"/>
            <w:shd w:val="clear" w:color="auto" w:fill="auto"/>
            <w:noWrap/>
            <w:vAlign w:val="bottom"/>
          </w:tcPr>
          <w:p w14:paraId="260D8F1F" w14:textId="77777777" w:rsidR="0085622A" w:rsidRDefault="003A674F">
            <w:pPr>
              <w:jc w:val="right"/>
              <w:rPr>
                <w:color w:val="000000"/>
                <w:sz w:val="20"/>
                <w:szCs w:val="20"/>
              </w:rPr>
            </w:pPr>
            <w:r>
              <w:rPr>
                <w:color w:val="000000"/>
                <w:sz w:val="20"/>
                <w:szCs w:val="20"/>
              </w:rPr>
              <w:t>46 717</w:t>
            </w:r>
          </w:p>
        </w:tc>
        <w:tc>
          <w:tcPr>
            <w:tcW w:w="882" w:type="dxa"/>
            <w:shd w:val="clear" w:color="auto" w:fill="auto"/>
            <w:noWrap/>
            <w:vAlign w:val="bottom"/>
          </w:tcPr>
          <w:p w14:paraId="71386D14" w14:textId="77777777" w:rsidR="0085622A" w:rsidRDefault="003A674F">
            <w:pPr>
              <w:rPr>
                <w:sz w:val="20"/>
                <w:szCs w:val="20"/>
              </w:rPr>
            </w:pPr>
            <w:r>
              <w:rPr>
                <w:sz w:val="20"/>
                <w:szCs w:val="20"/>
              </w:rPr>
              <w:t>38 432</w:t>
            </w:r>
          </w:p>
        </w:tc>
        <w:tc>
          <w:tcPr>
            <w:tcW w:w="660" w:type="dxa"/>
            <w:shd w:val="clear" w:color="auto" w:fill="auto"/>
            <w:noWrap/>
            <w:vAlign w:val="bottom"/>
          </w:tcPr>
          <w:p w14:paraId="1CBD89C9" w14:textId="77777777" w:rsidR="0085622A" w:rsidRDefault="003A674F">
            <w:pPr>
              <w:jc w:val="right"/>
              <w:rPr>
                <w:color w:val="000000"/>
                <w:sz w:val="20"/>
                <w:szCs w:val="20"/>
              </w:rPr>
            </w:pPr>
            <w:r>
              <w:rPr>
                <w:color w:val="000000"/>
                <w:sz w:val="20"/>
                <w:szCs w:val="20"/>
              </w:rPr>
              <w:t>17.2</w:t>
            </w:r>
          </w:p>
        </w:tc>
        <w:tc>
          <w:tcPr>
            <w:tcW w:w="660" w:type="dxa"/>
            <w:shd w:val="clear" w:color="auto" w:fill="auto"/>
            <w:noWrap/>
            <w:vAlign w:val="bottom"/>
          </w:tcPr>
          <w:p w14:paraId="2E5B9EB1" w14:textId="77777777" w:rsidR="0085622A" w:rsidRDefault="003A674F">
            <w:pPr>
              <w:jc w:val="right"/>
              <w:rPr>
                <w:color w:val="000000"/>
                <w:sz w:val="20"/>
                <w:szCs w:val="20"/>
              </w:rPr>
            </w:pPr>
            <w:r>
              <w:rPr>
                <w:color w:val="000000"/>
                <w:sz w:val="20"/>
                <w:szCs w:val="20"/>
              </w:rPr>
              <w:t>16.8</w:t>
            </w:r>
          </w:p>
        </w:tc>
        <w:tc>
          <w:tcPr>
            <w:tcW w:w="660" w:type="dxa"/>
            <w:shd w:val="clear" w:color="auto" w:fill="auto"/>
            <w:noWrap/>
            <w:vAlign w:val="bottom"/>
          </w:tcPr>
          <w:p w14:paraId="0BE3A866" w14:textId="77777777" w:rsidR="0085622A" w:rsidRDefault="003A674F">
            <w:pPr>
              <w:jc w:val="right"/>
              <w:rPr>
                <w:color w:val="000000"/>
                <w:sz w:val="20"/>
                <w:szCs w:val="20"/>
              </w:rPr>
            </w:pPr>
            <w:r>
              <w:rPr>
                <w:color w:val="000000"/>
                <w:sz w:val="20"/>
                <w:szCs w:val="20"/>
              </w:rPr>
              <w:t>17.8</w:t>
            </w:r>
          </w:p>
        </w:tc>
        <w:tc>
          <w:tcPr>
            <w:tcW w:w="660" w:type="dxa"/>
            <w:shd w:val="clear" w:color="auto" w:fill="auto"/>
            <w:noWrap/>
            <w:vAlign w:val="bottom"/>
          </w:tcPr>
          <w:p w14:paraId="37BFF818" w14:textId="77777777" w:rsidR="0085622A" w:rsidRDefault="003A674F">
            <w:pPr>
              <w:jc w:val="right"/>
              <w:rPr>
                <w:color w:val="000000"/>
                <w:sz w:val="20"/>
                <w:szCs w:val="20"/>
              </w:rPr>
            </w:pPr>
            <w:r>
              <w:rPr>
                <w:color w:val="000000"/>
                <w:sz w:val="20"/>
                <w:szCs w:val="20"/>
              </w:rPr>
              <w:t>14.5</w:t>
            </w:r>
          </w:p>
        </w:tc>
      </w:tr>
      <w:tr w:rsidR="0085622A" w14:paraId="6C7460D6" w14:textId="77777777" w:rsidTr="00593A9C">
        <w:trPr>
          <w:trHeight w:val="300"/>
          <w:jc w:val="center"/>
        </w:trPr>
        <w:tc>
          <w:tcPr>
            <w:tcW w:w="1134" w:type="dxa"/>
            <w:shd w:val="clear" w:color="auto" w:fill="auto"/>
            <w:noWrap/>
            <w:vAlign w:val="bottom"/>
          </w:tcPr>
          <w:p w14:paraId="66BFD9CE" w14:textId="77777777" w:rsidR="0085622A" w:rsidRDefault="003A674F">
            <w:pPr>
              <w:rPr>
                <w:b/>
                <w:bCs/>
                <w:color w:val="000000"/>
                <w:sz w:val="20"/>
                <w:szCs w:val="20"/>
              </w:rPr>
            </w:pPr>
            <w:r>
              <w:rPr>
                <w:b/>
                <w:bCs/>
                <w:color w:val="000000"/>
                <w:sz w:val="20"/>
                <w:szCs w:val="20"/>
              </w:rPr>
              <w:t>Pierīgas reģions</w:t>
            </w:r>
          </w:p>
        </w:tc>
        <w:tc>
          <w:tcPr>
            <w:tcW w:w="1500" w:type="dxa"/>
            <w:shd w:val="clear" w:color="auto" w:fill="auto"/>
            <w:noWrap/>
            <w:vAlign w:val="bottom"/>
          </w:tcPr>
          <w:p w14:paraId="69139098" w14:textId="77777777" w:rsidR="0085622A" w:rsidRDefault="003A674F">
            <w:pPr>
              <w:rPr>
                <w:b/>
                <w:bCs/>
                <w:color w:val="000000"/>
                <w:sz w:val="20"/>
                <w:szCs w:val="20"/>
              </w:rPr>
            </w:pPr>
            <w:r>
              <w:rPr>
                <w:b/>
                <w:bCs/>
                <w:color w:val="000000"/>
                <w:sz w:val="20"/>
                <w:szCs w:val="20"/>
              </w:rPr>
              <w:t>PAVISAM</w:t>
            </w:r>
          </w:p>
        </w:tc>
        <w:tc>
          <w:tcPr>
            <w:tcW w:w="948" w:type="dxa"/>
            <w:shd w:val="clear" w:color="auto" w:fill="auto"/>
            <w:noWrap/>
            <w:vAlign w:val="bottom"/>
          </w:tcPr>
          <w:p w14:paraId="2E9F127A" w14:textId="77777777" w:rsidR="0085622A" w:rsidRDefault="003A674F">
            <w:pPr>
              <w:jc w:val="right"/>
              <w:rPr>
                <w:color w:val="000000"/>
                <w:sz w:val="20"/>
                <w:szCs w:val="20"/>
              </w:rPr>
            </w:pPr>
            <w:r>
              <w:rPr>
                <w:color w:val="000000"/>
                <w:sz w:val="20"/>
                <w:szCs w:val="20"/>
              </w:rPr>
              <w:t>178 123</w:t>
            </w:r>
          </w:p>
        </w:tc>
        <w:tc>
          <w:tcPr>
            <w:tcW w:w="882" w:type="dxa"/>
            <w:shd w:val="clear" w:color="auto" w:fill="auto"/>
            <w:noWrap/>
            <w:vAlign w:val="bottom"/>
          </w:tcPr>
          <w:p w14:paraId="2794A472" w14:textId="77777777" w:rsidR="0085622A" w:rsidRDefault="003A674F">
            <w:pPr>
              <w:jc w:val="right"/>
              <w:rPr>
                <w:color w:val="000000"/>
                <w:sz w:val="20"/>
                <w:szCs w:val="20"/>
              </w:rPr>
            </w:pPr>
            <w:r>
              <w:rPr>
                <w:color w:val="000000"/>
                <w:sz w:val="20"/>
                <w:szCs w:val="20"/>
              </w:rPr>
              <w:t>177 239</w:t>
            </w:r>
          </w:p>
        </w:tc>
        <w:tc>
          <w:tcPr>
            <w:tcW w:w="882" w:type="dxa"/>
            <w:shd w:val="clear" w:color="auto" w:fill="auto"/>
            <w:noWrap/>
            <w:vAlign w:val="bottom"/>
          </w:tcPr>
          <w:p w14:paraId="0C755FE4" w14:textId="77777777" w:rsidR="0085622A" w:rsidRDefault="003A674F">
            <w:pPr>
              <w:jc w:val="right"/>
              <w:rPr>
                <w:color w:val="000000"/>
                <w:sz w:val="20"/>
                <w:szCs w:val="20"/>
              </w:rPr>
            </w:pPr>
            <w:r>
              <w:rPr>
                <w:color w:val="000000"/>
                <w:sz w:val="20"/>
                <w:szCs w:val="20"/>
              </w:rPr>
              <w:t>174 873</w:t>
            </w:r>
          </w:p>
        </w:tc>
        <w:tc>
          <w:tcPr>
            <w:tcW w:w="882" w:type="dxa"/>
            <w:shd w:val="clear" w:color="auto" w:fill="auto"/>
            <w:noWrap/>
            <w:vAlign w:val="bottom"/>
          </w:tcPr>
          <w:p w14:paraId="0DEC6355" w14:textId="77777777" w:rsidR="0085622A" w:rsidRDefault="003A674F">
            <w:pPr>
              <w:jc w:val="right"/>
              <w:rPr>
                <w:color w:val="000000"/>
                <w:sz w:val="20"/>
                <w:szCs w:val="20"/>
              </w:rPr>
            </w:pPr>
            <w:r>
              <w:rPr>
                <w:rFonts w:eastAsia="sans-serif"/>
                <w:color w:val="000000"/>
                <w:sz w:val="20"/>
                <w:szCs w:val="20"/>
              </w:rPr>
              <w:t>174 238</w:t>
            </w:r>
          </w:p>
        </w:tc>
        <w:tc>
          <w:tcPr>
            <w:tcW w:w="660" w:type="dxa"/>
            <w:shd w:val="clear" w:color="auto" w:fill="auto"/>
            <w:noWrap/>
            <w:vAlign w:val="bottom"/>
          </w:tcPr>
          <w:p w14:paraId="40AB5B84"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08E2B42B"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7C268798"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6D2CD857" w14:textId="77777777" w:rsidR="0085622A" w:rsidRDefault="003A674F">
            <w:pPr>
              <w:jc w:val="right"/>
              <w:rPr>
                <w:color w:val="000000"/>
                <w:sz w:val="20"/>
                <w:szCs w:val="20"/>
              </w:rPr>
            </w:pPr>
            <w:r>
              <w:rPr>
                <w:color w:val="000000"/>
                <w:sz w:val="20"/>
                <w:szCs w:val="20"/>
              </w:rPr>
              <w:t>X</w:t>
            </w:r>
          </w:p>
        </w:tc>
      </w:tr>
      <w:tr w:rsidR="0085622A" w14:paraId="4BA3F916" w14:textId="77777777" w:rsidTr="00593A9C">
        <w:trPr>
          <w:trHeight w:val="300"/>
          <w:jc w:val="center"/>
        </w:trPr>
        <w:tc>
          <w:tcPr>
            <w:tcW w:w="1134" w:type="dxa"/>
            <w:shd w:val="clear" w:color="auto" w:fill="auto"/>
            <w:noWrap/>
            <w:vAlign w:val="bottom"/>
          </w:tcPr>
          <w:p w14:paraId="47B3ECD9" w14:textId="77777777" w:rsidR="0085622A" w:rsidRDefault="0085622A">
            <w:pPr>
              <w:jc w:val="right"/>
              <w:rPr>
                <w:color w:val="000000"/>
                <w:sz w:val="20"/>
                <w:szCs w:val="20"/>
              </w:rPr>
            </w:pPr>
          </w:p>
        </w:tc>
        <w:tc>
          <w:tcPr>
            <w:tcW w:w="1500" w:type="dxa"/>
            <w:shd w:val="clear" w:color="auto" w:fill="auto"/>
            <w:noWrap/>
            <w:vAlign w:val="bottom"/>
          </w:tcPr>
          <w:p w14:paraId="5C922B74" w14:textId="77777777" w:rsidR="0085622A" w:rsidRDefault="003A674F">
            <w:pPr>
              <w:rPr>
                <w:b/>
                <w:bCs/>
                <w:color w:val="000000"/>
                <w:sz w:val="20"/>
                <w:szCs w:val="20"/>
              </w:rPr>
            </w:pPr>
            <w:r>
              <w:rPr>
                <w:b/>
                <w:bCs/>
                <w:color w:val="000000"/>
                <w:sz w:val="20"/>
                <w:szCs w:val="20"/>
              </w:rPr>
              <w:t>..Ar minimālo darba algu vai mazāk</w:t>
            </w:r>
          </w:p>
        </w:tc>
        <w:tc>
          <w:tcPr>
            <w:tcW w:w="948" w:type="dxa"/>
            <w:shd w:val="clear" w:color="auto" w:fill="auto"/>
            <w:noWrap/>
            <w:vAlign w:val="bottom"/>
          </w:tcPr>
          <w:p w14:paraId="6E99ED2F" w14:textId="77777777" w:rsidR="0085622A" w:rsidRDefault="003A674F">
            <w:pPr>
              <w:jc w:val="right"/>
              <w:rPr>
                <w:color w:val="000000"/>
                <w:sz w:val="20"/>
                <w:szCs w:val="20"/>
              </w:rPr>
            </w:pPr>
            <w:r>
              <w:rPr>
                <w:color w:val="000000"/>
                <w:sz w:val="20"/>
                <w:szCs w:val="20"/>
              </w:rPr>
              <w:t>27 519</w:t>
            </w:r>
          </w:p>
        </w:tc>
        <w:tc>
          <w:tcPr>
            <w:tcW w:w="882" w:type="dxa"/>
            <w:shd w:val="clear" w:color="auto" w:fill="auto"/>
            <w:noWrap/>
            <w:vAlign w:val="bottom"/>
          </w:tcPr>
          <w:p w14:paraId="222D216E" w14:textId="77777777" w:rsidR="0085622A" w:rsidRDefault="003A674F">
            <w:pPr>
              <w:jc w:val="right"/>
              <w:rPr>
                <w:color w:val="000000"/>
                <w:sz w:val="20"/>
                <w:szCs w:val="20"/>
              </w:rPr>
            </w:pPr>
            <w:r>
              <w:rPr>
                <w:color w:val="000000"/>
                <w:sz w:val="20"/>
                <w:szCs w:val="20"/>
              </w:rPr>
              <w:t>25 746</w:t>
            </w:r>
          </w:p>
        </w:tc>
        <w:tc>
          <w:tcPr>
            <w:tcW w:w="882" w:type="dxa"/>
            <w:shd w:val="clear" w:color="auto" w:fill="auto"/>
            <w:noWrap/>
            <w:vAlign w:val="bottom"/>
          </w:tcPr>
          <w:p w14:paraId="38684E74" w14:textId="77777777" w:rsidR="0085622A" w:rsidRDefault="003A674F">
            <w:pPr>
              <w:jc w:val="right"/>
              <w:rPr>
                <w:color w:val="000000"/>
                <w:sz w:val="20"/>
                <w:szCs w:val="20"/>
              </w:rPr>
            </w:pPr>
            <w:r>
              <w:rPr>
                <w:color w:val="000000"/>
                <w:sz w:val="20"/>
                <w:szCs w:val="20"/>
              </w:rPr>
              <w:t>27 764</w:t>
            </w:r>
          </w:p>
        </w:tc>
        <w:tc>
          <w:tcPr>
            <w:tcW w:w="882" w:type="dxa"/>
            <w:shd w:val="clear" w:color="auto" w:fill="auto"/>
            <w:noWrap/>
            <w:vAlign w:val="bottom"/>
          </w:tcPr>
          <w:p w14:paraId="14969BA6" w14:textId="77777777" w:rsidR="0085622A" w:rsidRDefault="003A674F">
            <w:pPr>
              <w:rPr>
                <w:sz w:val="20"/>
                <w:szCs w:val="20"/>
              </w:rPr>
            </w:pPr>
            <w:r>
              <w:rPr>
                <w:sz w:val="20"/>
                <w:szCs w:val="20"/>
              </w:rPr>
              <w:t>23 253</w:t>
            </w:r>
          </w:p>
        </w:tc>
        <w:tc>
          <w:tcPr>
            <w:tcW w:w="660" w:type="dxa"/>
            <w:shd w:val="clear" w:color="auto" w:fill="auto"/>
            <w:noWrap/>
            <w:vAlign w:val="bottom"/>
          </w:tcPr>
          <w:p w14:paraId="70DDEB2B" w14:textId="77777777" w:rsidR="0085622A" w:rsidRDefault="003A674F">
            <w:pPr>
              <w:jc w:val="right"/>
              <w:rPr>
                <w:color w:val="000000"/>
                <w:sz w:val="20"/>
                <w:szCs w:val="20"/>
              </w:rPr>
            </w:pPr>
            <w:r>
              <w:rPr>
                <w:color w:val="000000"/>
                <w:sz w:val="20"/>
                <w:szCs w:val="20"/>
              </w:rPr>
              <w:t>16.8</w:t>
            </w:r>
          </w:p>
        </w:tc>
        <w:tc>
          <w:tcPr>
            <w:tcW w:w="660" w:type="dxa"/>
            <w:shd w:val="clear" w:color="auto" w:fill="auto"/>
            <w:noWrap/>
            <w:vAlign w:val="bottom"/>
          </w:tcPr>
          <w:p w14:paraId="0C93D5D9" w14:textId="77777777" w:rsidR="0085622A" w:rsidRDefault="003A674F">
            <w:pPr>
              <w:jc w:val="right"/>
              <w:rPr>
                <w:color w:val="000000"/>
                <w:sz w:val="20"/>
                <w:szCs w:val="20"/>
              </w:rPr>
            </w:pPr>
            <w:r>
              <w:rPr>
                <w:color w:val="000000"/>
                <w:sz w:val="20"/>
                <w:szCs w:val="20"/>
              </w:rPr>
              <w:t>16.1</w:t>
            </w:r>
          </w:p>
        </w:tc>
        <w:tc>
          <w:tcPr>
            <w:tcW w:w="660" w:type="dxa"/>
            <w:shd w:val="clear" w:color="auto" w:fill="auto"/>
            <w:noWrap/>
            <w:vAlign w:val="bottom"/>
          </w:tcPr>
          <w:p w14:paraId="1E7F97D0" w14:textId="77777777" w:rsidR="0085622A" w:rsidRDefault="003A674F">
            <w:pPr>
              <w:jc w:val="right"/>
              <w:rPr>
                <w:color w:val="000000"/>
                <w:sz w:val="20"/>
                <w:szCs w:val="20"/>
              </w:rPr>
            </w:pPr>
            <w:r>
              <w:rPr>
                <w:color w:val="000000"/>
                <w:sz w:val="20"/>
                <w:szCs w:val="20"/>
              </w:rPr>
              <w:t>17.3</w:t>
            </w:r>
          </w:p>
        </w:tc>
        <w:tc>
          <w:tcPr>
            <w:tcW w:w="660" w:type="dxa"/>
            <w:shd w:val="clear" w:color="auto" w:fill="auto"/>
            <w:noWrap/>
            <w:vAlign w:val="bottom"/>
          </w:tcPr>
          <w:p w14:paraId="1FEFBFF6" w14:textId="77777777" w:rsidR="0085622A" w:rsidRDefault="003A674F">
            <w:pPr>
              <w:jc w:val="right"/>
              <w:rPr>
                <w:color w:val="000000"/>
                <w:sz w:val="20"/>
                <w:szCs w:val="20"/>
              </w:rPr>
            </w:pPr>
            <w:r>
              <w:rPr>
                <w:color w:val="000000"/>
                <w:sz w:val="20"/>
                <w:szCs w:val="20"/>
              </w:rPr>
              <w:t>14.3</w:t>
            </w:r>
          </w:p>
        </w:tc>
      </w:tr>
      <w:tr w:rsidR="0085622A" w14:paraId="732B3B93" w14:textId="77777777" w:rsidTr="00593A9C">
        <w:trPr>
          <w:trHeight w:val="300"/>
          <w:jc w:val="center"/>
        </w:trPr>
        <w:tc>
          <w:tcPr>
            <w:tcW w:w="1134" w:type="dxa"/>
            <w:shd w:val="clear" w:color="auto" w:fill="auto"/>
            <w:noWrap/>
            <w:vAlign w:val="bottom"/>
          </w:tcPr>
          <w:p w14:paraId="6C97AE16" w14:textId="77777777" w:rsidR="0085622A" w:rsidRDefault="003A674F">
            <w:pPr>
              <w:rPr>
                <w:b/>
                <w:bCs/>
                <w:color w:val="000000"/>
                <w:sz w:val="20"/>
                <w:szCs w:val="20"/>
              </w:rPr>
            </w:pPr>
            <w:r>
              <w:rPr>
                <w:b/>
                <w:bCs/>
                <w:color w:val="000000"/>
                <w:sz w:val="20"/>
                <w:szCs w:val="20"/>
              </w:rPr>
              <w:t>Vidzemes reģions</w:t>
            </w:r>
          </w:p>
        </w:tc>
        <w:tc>
          <w:tcPr>
            <w:tcW w:w="1500" w:type="dxa"/>
            <w:shd w:val="clear" w:color="auto" w:fill="auto"/>
            <w:noWrap/>
            <w:vAlign w:val="bottom"/>
          </w:tcPr>
          <w:p w14:paraId="11FE6DD1" w14:textId="77777777" w:rsidR="0085622A" w:rsidRDefault="003A674F">
            <w:pPr>
              <w:rPr>
                <w:b/>
                <w:bCs/>
                <w:color w:val="000000"/>
                <w:sz w:val="20"/>
                <w:szCs w:val="20"/>
              </w:rPr>
            </w:pPr>
            <w:r>
              <w:rPr>
                <w:b/>
                <w:bCs/>
                <w:color w:val="000000"/>
                <w:sz w:val="20"/>
                <w:szCs w:val="20"/>
              </w:rPr>
              <w:t>PAVISAM</w:t>
            </w:r>
          </w:p>
        </w:tc>
        <w:tc>
          <w:tcPr>
            <w:tcW w:w="948" w:type="dxa"/>
            <w:shd w:val="clear" w:color="auto" w:fill="auto"/>
            <w:noWrap/>
            <w:vAlign w:val="bottom"/>
          </w:tcPr>
          <w:p w14:paraId="68C7AD16" w14:textId="77777777" w:rsidR="0085622A" w:rsidRDefault="003A674F">
            <w:pPr>
              <w:jc w:val="right"/>
              <w:rPr>
                <w:color w:val="000000"/>
                <w:sz w:val="20"/>
                <w:szCs w:val="20"/>
              </w:rPr>
            </w:pPr>
            <w:r>
              <w:rPr>
                <w:color w:val="000000"/>
                <w:sz w:val="20"/>
                <w:szCs w:val="20"/>
              </w:rPr>
              <w:t>81 460</w:t>
            </w:r>
          </w:p>
        </w:tc>
        <w:tc>
          <w:tcPr>
            <w:tcW w:w="882" w:type="dxa"/>
            <w:shd w:val="clear" w:color="auto" w:fill="auto"/>
            <w:noWrap/>
            <w:vAlign w:val="bottom"/>
          </w:tcPr>
          <w:p w14:paraId="4F480DBE" w14:textId="77777777" w:rsidR="0085622A" w:rsidRDefault="003A674F">
            <w:pPr>
              <w:jc w:val="right"/>
              <w:rPr>
                <w:color w:val="000000"/>
                <w:sz w:val="20"/>
                <w:szCs w:val="20"/>
              </w:rPr>
            </w:pPr>
            <w:r>
              <w:rPr>
                <w:color w:val="000000"/>
                <w:sz w:val="20"/>
                <w:szCs w:val="20"/>
              </w:rPr>
              <w:t>79 467</w:t>
            </w:r>
          </w:p>
        </w:tc>
        <w:tc>
          <w:tcPr>
            <w:tcW w:w="882" w:type="dxa"/>
            <w:shd w:val="clear" w:color="auto" w:fill="auto"/>
            <w:noWrap/>
            <w:vAlign w:val="bottom"/>
          </w:tcPr>
          <w:p w14:paraId="1A440951" w14:textId="77777777" w:rsidR="0085622A" w:rsidRDefault="003A674F">
            <w:pPr>
              <w:jc w:val="right"/>
              <w:rPr>
                <w:color w:val="000000"/>
                <w:sz w:val="20"/>
                <w:szCs w:val="20"/>
              </w:rPr>
            </w:pPr>
            <w:r>
              <w:rPr>
                <w:color w:val="000000"/>
                <w:sz w:val="20"/>
                <w:szCs w:val="20"/>
              </w:rPr>
              <w:t>76 923</w:t>
            </w:r>
          </w:p>
        </w:tc>
        <w:tc>
          <w:tcPr>
            <w:tcW w:w="882" w:type="dxa"/>
            <w:shd w:val="clear" w:color="auto" w:fill="auto"/>
            <w:noWrap/>
            <w:vAlign w:val="bottom"/>
          </w:tcPr>
          <w:p w14:paraId="3F26335B" w14:textId="77777777" w:rsidR="0085622A" w:rsidRDefault="003A674F">
            <w:pPr>
              <w:jc w:val="right"/>
              <w:rPr>
                <w:color w:val="000000"/>
                <w:sz w:val="20"/>
                <w:szCs w:val="20"/>
              </w:rPr>
            </w:pPr>
            <w:r>
              <w:rPr>
                <w:rFonts w:eastAsia="sans-serif"/>
                <w:color w:val="000000"/>
                <w:sz w:val="20"/>
                <w:szCs w:val="20"/>
              </w:rPr>
              <w:t>74 669</w:t>
            </w:r>
          </w:p>
        </w:tc>
        <w:tc>
          <w:tcPr>
            <w:tcW w:w="660" w:type="dxa"/>
            <w:shd w:val="clear" w:color="auto" w:fill="auto"/>
            <w:noWrap/>
            <w:vAlign w:val="bottom"/>
          </w:tcPr>
          <w:p w14:paraId="378CF61D"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35CA7806"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336B4E94"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36B259C9" w14:textId="77777777" w:rsidR="0085622A" w:rsidRDefault="003A674F">
            <w:pPr>
              <w:jc w:val="right"/>
              <w:rPr>
                <w:color w:val="000000"/>
                <w:sz w:val="20"/>
                <w:szCs w:val="20"/>
              </w:rPr>
            </w:pPr>
            <w:r>
              <w:rPr>
                <w:color w:val="000000"/>
                <w:sz w:val="20"/>
                <w:szCs w:val="20"/>
              </w:rPr>
              <w:t>X</w:t>
            </w:r>
          </w:p>
        </w:tc>
      </w:tr>
      <w:tr w:rsidR="0085622A" w14:paraId="3627BFB0" w14:textId="77777777" w:rsidTr="00593A9C">
        <w:trPr>
          <w:trHeight w:val="300"/>
          <w:jc w:val="center"/>
        </w:trPr>
        <w:tc>
          <w:tcPr>
            <w:tcW w:w="1134" w:type="dxa"/>
            <w:shd w:val="clear" w:color="auto" w:fill="auto"/>
            <w:noWrap/>
            <w:vAlign w:val="bottom"/>
          </w:tcPr>
          <w:p w14:paraId="5C996226" w14:textId="77777777" w:rsidR="0085622A" w:rsidRDefault="0085622A">
            <w:pPr>
              <w:jc w:val="right"/>
              <w:rPr>
                <w:color w:val="000000"/>
                <w:sz w:val="20"/>
                <w:szCs w:val="20"/>
              </w:rPr>
            </w:pPr>
          </w:p>
        </w:tc>
        <w:tc>
          <w:tcPr>
            <w:tcW w:w="1500" w:type="dxa"/>
            <w:shd w:val="clear" w:color="auto" w:fill="auto"/>
            <w:noWrap/>
            <w:vAlign w:val="bottom"/>
          </w:tcPr>
          <w:p w14:paraId="03572D71" w14:textId="77777777" w:rsidR="0085622A" w:rsidRDefault="003A674F">
            <w:pPr>
              <w:rPr>
                <w:b/>
                <w:bCs/>
                <w:color w:val="000000"/>
                <w:sz w:val="20"/>
                <w:szCs w:val="20"/>
              </w:rPr>
            </w:pPr>
            <w:r>
              <w:rPr>
                <w:b/>
                <w:bCs/>
                <w:color w:val="000000"/>
                <w:sz w:val="20"/>
                <w:szCs w:val="20"/>
              </w:rPr>
              <w:t>..Ar minimālo darba algu vai mazāk</w:t>
            </w:r>
          </w:p>
        </w:tc>
        <w:tc>
          <w:tcPr>
            <w:tcW w:w="948" w:type="dxa"/>
            <w:shd w:val="clear" w:color="auto" w:fill="auto"/>
            <w:noWrap/>
            <w:vAlign w:val="bottom"/>
          </w:tcPr>
          <w:p w14:paraId="4276EF2A" w14:textId="77777777" w:rsidR="0085622A" w:rsidRDefault="003A674F">
            <w:pPr>
              <w:jc w:val="right"/>
              <w:rPr>
                <w:color w:val="000000"/>
                <w:sz w:val="20"/>
                <w:szCs w:val="20"/>
              </w:rPr>
            </w:pPr>
            <w:r>
              <w:rPr>
                <w:color w:val="000000"/>
                <w:sz w:val="20"/>
                <w:szCs w:val="20"/>
              </w:rPr>
              <w:t>14 166</w:t>
            </w:r>
          </w:p>
        </w:tc>
        <w:tc>
          <w:tcPr>
            <w:tcW w:w="882" w:type="dxa"/>
            <w:shd w:val="clear" w:color="auto" w:fill="auto"/>
            <w:noWrap/>
            <w:vAlign w:val="bottom"/>
          </w:tcPr>
          <w:p w14:paraId="67C1F10D" w14:textId="77777777" w:rsidR="0085622A" w:rsidRDefault="003A674F">
            <w:pPr>
              <w:jc w:val="right"/>
              <w:rPr>
                <w:color w:val="000000"/>
                <w:sz w:val="20"/>
                <w:szCs w:val="20"/>
              </w:rPr>
            </w:pPr>
            <w:r>
              <w:rPr>
                <w:color w:val="000000"/>
                <w:sz w:val="20"/>
                <w:szCs w:val="20"/>
              </w:rPr>
              <w:t>12 972</w:t>
            </w:r>
          </w:p>
        </w:tc>
        <w:tc>
          <w:tcPr>
            <w:tcW w:w="882" w:type="dxa"/>
            <w:shd w:val="clear" w:color="auto" w:fill="auto"/>
            <w:noWrap/>
            <w:vAlign w:val="bottom"/>
          </w:tcPr>
          <w:p w14:paraId="164974EA" w14:textId="77777777" w:rsidR="0085622A" w:rsidRDefault="003A674F">
            <w:pPr>
              <w:jc w:val="right"/>
              <w:rPr>
                <w:color w:val="000000"/>
                <w:sz w:val="20"/>
                <w:szCs w:val="20"/>
              </w:rPr>
            </w:pPr>
            <w:r>
              <w:rPr>
                <w:color w:val="000000"/>
                <w:sz w:val="20"/>
                <w:szCs w:val="20"/>
              </w:rPr>
              <w:t>14 049</w:t>
            </w:r>
          </w:p>
        </w:tc>
        <w:tc>
          <w:tcPr>
            <w:tcW w:w="882" w:type="dxa"/>
            <w:shd w:val="clear" w:color="auto" w:fill="auto"/>
            <w:noWrap/>
            <w:vAlign w:val="bottom"/>
          </w:tcPr>
          <w:p w14:paraId="1B16EBC8" w14:textId="77777777" w:rsidR="0085622A" w:rsidRDefault="003A674F">
            <w:pPr>
              <w:jc w:val="right"/>
              <w:rPr>
                <w:color w:val="000000"/>
                <w:sz w:val="20"/>
                <w:szCs w:val="20"/>
              </w:rPr>
            </w:pPr>
            <w:r>
              <w:rPr>
                <w:rFonts w:eastAsia="sans-serif"/>
                <w:color w:val="000000"/>
                <w:sz w:val="20"/>
                <w:szCs w:val="20"/>
              </w:rPr>
              <w:t>11 374</w:t>
            </w:r>
          </w:p>
        </w:tc>
        <w:tc>
          <w:tcPr>
            <w:tcW w:w="660" w:type="dxa"/>
            <w:shd w:val="clear" w:color="auto" w:fill="auto"/>
            <w:noWrap/>
            <w:vAlign w:val="bottom"/>
          </w:tcPr>
          <w:p w14:paraId="59602907" w14:textId="77777777" w:rsidR="0085622A" w:rsidRDefault="003A674F">
            <w:pPr>
              <w:jc w:val="right"/>
              <w:rPr>
                <w:color w:val="000000"/>
                <w:sz w:val="20"/>
                <w:szCs w:val="20"/>
              </w:rPr>
            </w:pPr>
            <w:r>
              <w:rPr>
                <w:color w:val="000000"/>
                <w:sz w:val="20"/>
                <w:szCs w:val="20"/>
              </w:rPr>
              <w:t>18.9</w:t>
            </w:r>
          </w:p>
        </w:tc>
        <w:tc>
          <w:tcPr>
            <w:tcW w:w="660" w:type="dxa"/>
            <w:shd w:val="clear" w:color="auto" w:fill="auto"/>
            <w:noWrap/>
            <w:vAlign w:val="bottom"/>
          </w:tcPr>
          <w:p w14:paraId="5912D56C" w14:textId="77777777" w:rsidR="0085622A" w:rsidRDefault="003A674F">
            <w:pPr>
              <w:jc w:val="right"/>
              <w:rPr>
                <w:color w:val="000000"/>
                <w:sz w:val="20"/>
                <w:szCs w:val="20"/>
              </w:rPr>
            </w:pPr>
            <w:r>
              <w:rPr>
                <w:color w:val="000000"/>
                <w:sz w:val="20"/>
                <w:szCs w:val="20"/>
              </w:rPr>
              <w:t>18.0</w:t>
            </w:r>
          </w:p>
        </w:tc>
        <w:tc>
          <w:tcPr>
            <w:tcW w:w="660" w:type="dxa"/>
            <w:shd w:val="clear" w:color="auto" w:fill="auto"/>
            <w:noWrap/>
            <w:vAlign w:val="bottom"/>
          </w:tcPr>
          <w:p w14:paraId="42926EF2" w14:textId="77777777" w:rsidR="0085622A" w:rsidRDefault="003A674F">
            <w:pPr>
              <w:jc w:val="right"/>
              <w:rPr>
                <w:color w:val="000000"/>
                <w:sz w:val="20"/>
                <w:szCs w:val="20"/>
              </w:rPr>
            </w:pPr>
            <w:r>
              <w:rPr>
                <w:color w:val="000000"/>
                <w:sz w:val="20"/>
                <w:szCs w:val="20"/>
              </w:rPr>
              <w:t>19.8</w:t>
            </w:r>
          </w:p>
        </w:tc>
        <w:tc>
          <w:tcPr>
            <w:tcW w:w="660" w:type="dxa"/>
            <w:shd w:val="clear" w:color="auto" w:fill="auto"/>
            <w:noWrap/>
            <w:vAlign w:val="bottom"/>
          </w:tcPr>
          <w:p w14:paraId="06B7042C" w14:textId="77777777" w:rsidR="0085622A" w:rsidRDefault="003A674F">
            <w:pPr>
              <w:jc w:val="right"/>
              <w:rPr>
                <w:color w:val="000000"/>
                <w:sz w:val="20"/>
                <w:szCs w:val="20"/>
              </w:rPr>
            </w:pPr>
            <w:r>
              <w:rPr>
                <w:color w:val="000000"/>
                <w:sz w:val="20"/>
                <w:szCs w:val="20"/>
              </w:rPr>
              <w:t>16.2</w:t>
            </w:r>
          </w:p>
        </w:tc>
      </w:tr>
      <w:tr w:rsidR="0085622A" w14:paraId="051C955C" w14:textId="77777777" w:rsidTr="00593A9C">
        <w:trPr>
          <w:trHeight w:val="300"/>
          <w:jc w:val="center"/>
        </w:trPr>
        <w:tc>
          <w:tcPr>
            <w:tcW w:w="1134" w:type="dxa"/>
            <w:shd w:val="clear" w:color="auto" w:fill="auto"/>
            <w:noWrap/>
            <w:vAlign w:val="bottom"/>
          </w:tcPr>
          <w:p w14:paraId="2DF18327" w14:textId="77777777" w:rsidR="0085622A" w:rsidRDefault="003A674F">
            <w:pPr>
              <w:rPr>
                <w:b/>
                <w:bCs/>
                <w:color w:val="000000"/>
                <w:sz w:val="20"/>
                <w:szCs w:val="20"/>
              </w:rPr>
            </w:pPr>
            <w:r>
              <w:rPr>
                <w:b/>
                <w:bCs/>
                <w:color w:val="000000"/>
                <w:sz w:val="20"/>
                <w:szCs w:val="20"/>
              </w:rPr>
              <w:t>Kurzemes reģions</w:t>
            </w:r>
          </w:p>
        </w:tc>
        <w:tc>
          <w:tcPr>
            <w:tcW w:w="1500" w:type="dxa"/>
            <w:shd w:val="clear" w:color="auto" w:fill="auto"/>
            <w:noWrap/>
            <w:vAlign w:val="bottom"/>
          </w:tcPr>
          <w:p w14:paraId="25413C32" w14:textId="77777777" w:rsidR="0085622A" w:rsidRDefault="003A674F">
            <w:pPr>
              <w:rPr>
                <w:b/>
                <w:bCs/>
                <w:color w:val="000000"/>
                <w:sz w:val="20"/>
                <w:szCs w:val="20"/>
              </w:rPr>
            </w:pPr>
            <w:r>
              <w:rPr>
                <w:b/>
                <w:bCs/>
                <w:color w:val="000000"/>
                <w:sz w:val="20"/>
                <w:szCs w:val="20"/>
              </w:rPr>
              <w:t>PAVISAM</w:t>
            </w:r>
          </w:p>
        </w:tc>
        <w:tc>
          <w:tcPr>
            <w:tcW w:w="948" w:type="dxa"/>
            <w:shd w:val="clear" w:color="auto" w:fill="auto"/>
            <w:noWrap/>
            <w:vAlign w:val="bottom"/>
          </w:tcPr>
          <w:p w14:paraId="52AF1983" w14:textId="77777777" w:rsidR="0085622A" w:rsidRDefault="003A674F">
            <w:pPr>
              <w:jc w:val="right"/>
              <w:rPr>
                <w:color w:val="000000"/>
                <w:sz w:val="20"/>
                <w:szCs w:val="20"/>
              </w:rPr>
            </w:pPr>
            <w:r>
              <w:rPr>
                <w:color w:val="000000"/>
                <w:sz w:val="20"/>
                <w:szCs w:val="20"/>
              </w:rPr>
              <w:t>102 516</w:t>
            </w:r>
          </w:p>
        </w:tc>
        <w:tc>
          <w:tcPr>
            <w:tcW w:w="882" w:type="dxa"/>
            <w:shd w:val="clear" w:color="auto" w:fill="auto"/>
            <w:noWrap/>
            <w:vAlign w:val="bottom"/>
          </w:tcPr>
          <w:p w14:paraId="22729E25" w14:textId="77777777" w:rsidR="0085622A" w:rsidRDefault="003A674F">
            <w:pPr>
              <w:jc w:val="right"/>
              <w:rPr>
                <w:color w:val="000000"/>
                <w:sz w:val="20"/>
                <w:szCs w:val="20"/>
              </w:rPr>
            </w:pPr>
            <w:r>
              <w:rPr>
                <w:color w:val="000000"/>
                <w:sz w:val="20"/>
                <w:szCs w:val="20"/>
              </w:rPr>
              <w:t>99 736</w:t>
            </w:r>
          </w:p>
        </w:tc>
        <w:tc>
          <w:tcPr>
            <w:tcW w:w="882" w:type="dxa"/>
            <w:shd w:val="clear" w:color="auto" w:fill="auto"/>
            <w:noWrap/>
            <w:vAlign w:val="bottom"/>
          </w:tcPr>
          <w:p w14:paraId="2229A5F8" w14:textId="77777777" w:rsidR="0085622A" w:rsidRDefault="003A674F">
            <w:pPr>
              <w:jc w:val="right"/>
              <w:rPr>
                <w:color w:val="000000"/>
                <w:sz w:val="20"/>
                <w:szCs w:val="20"/>
              </w:rPr>
            </w:pPr>
            <w:r>
              <w:rPr>
                <w:color w:val="000000"/>
                <w:sz w:val="20"/>
                <w:szCs w:val="20"/>
              </w:rPr>
              <w:t>97 134</w:t>
            </w:r>
          </w:p>
        </w:tc>
        <w:tc>
          <w:tcPr>
            <w:tcW w:w="882" w:type="dxa"/>
            <w:shd w:val="clear" w:color="auto" w:fill="auto"/>
            <w:noWrap/>
            <w:vAlign w:val="bottom"/>
          </w:tcPr>
          <w:p w14:paraId="32D0DB3C" w14:textId="77777777" w:rsidR="0085622A" w:rsidRDefault="003A674F">
            <w:pPr>
              <w:jc w:val="right"/>
              <w:rPr>
                <w:color w:val="000000"/>
                <w:sz w:val="20"/>
                <w:szCs w:val="20"/>
              </w:rPr>
            </w:pPr>
            <w:r>
              <w:rPr>
                <w:rFonts w:eastAsia="sans-serif"/>
                <w:color w:val="000000"/>
                <w:sz w:val="20"/>
                <w:szCs w:val="20"/>
              </w:rPr>
              <w:t>94 716</w:t>
            </w:r>
          </w:p>
        </w:tc>
        <w:tc>
          <w:tcPr>
            <w:tcW w:w="660" w:type="dxa"/>
            <w:shd w:val="clear" w:color="auto" w:fill="auto"/>
            <w:noWrap/>
            <w:vAlign w:val="bottom"/>
          </w:tcPr>
          <w:p w14:paraId="117752DC"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29B26F08"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3D5A46B8"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4B57DF41" w14:textId="77777777" w:rsidR="0085622A" w:rsidRDefault="003A674F">
            <w:pPr>
              <w:jc w:val="right"/>
              <w:rPr>
                <w:color w:val="000000"/>
                <w:sz w:val="20"/>
                <w:szCs w:val="20"/>
              </w:rPr>
            </w:pPr>
            <w:r>
              <w:rPr>
                <w:color w:val="000000"/>
                <w:sz w:val="20"/>
                <w:szCs w:val="20"/>
              </w:rPr>
              <w:t>X</w:t>
            </w:r>
          </w:p>
        </w:tc>
      </w:tr>
      <w:tr w:rsidR="0085622A" w14:paraId="034CD840" w14:textId="77777777" w:rsidTr="00593A9C">
        <w:trPr>
          <w:trHeight w:val="300"/>
          <w:jc w:val="center"/>
        </w:trPr>
        <w:tc>
          <w:tcPr>
            <w:tcW w:w="1134" w:type="dxa"/>
            <w:shd w:val="clear" w:color="auto" w:fill="auto"/>
            <w:noWrap/>
            <w:vAlign w:val="bottom"/>
          </w:tcPr>
          <w:p w14:paraId="349AAE9C" w14:textId="77777777" w:rsidR="0085622A" w:rsidRDefault="0085622A">
            <w:pPr>
              <w:jc w:val="right"/>
              <w:rPr>
                <w:color w:val="000000"/>
                <w:sz w:val="20"/>
                <w:szCs w:val="20"/>
              </w:rPr>
            </w:pPr>
          </w:p>
        </w:tc>
        <w:tc>
          <w:tcPr>
            <w:tcW w:w="1500" w:type="dxa"/>
            <w:shd w:val="clear" w:color="auto" w:fill="auto"/>
            <w:noWrap/>
            <w:vAlign w:val="bottom"/>
          </w:tcPr>
          <w:p w14:paraId="2D295563" w14:textId="77777777" w:rsidR="0085622A" w:rsidRDefault="003A674F">
            <w:pPr>
              <w:rPr>
                <w:b/>
                <w:bCs/>
                <w:color w:val="000000"/>
                <w:sz w:val="20"/>
                <w:szCs w:val="20"/>
              </w:rPr>
            </w:pPr>
            <w:r>
              <w:rPr>
                <w:b/>
                <w:bCs/>
                <w:color w:val="000000"/>
                <w:sz w:val="20"/>
                <w:szCs w:val="20"/>
              </w:rPr>
              <w:t>..Ar minimālo darba algu vai mazāk</w:t>
            </w:r>
          </w:p>
        </w:tc>
        <w:tc>
          <w:tcPr>
            <w:tcW w:w="948" w:type="dxa"/>
            <w:shd w:val="clear" w:color="auto" w:fill="auto"/>
            <w:noWrap/>
            <w:vAlign w:val="bottom"/>
          </w:tcPr>
          <w:p w14:paraId="25BD9214" w14:textId="77777777" w:rsidR="0085622A" w:rsidRDefault="003A674F">
            <w:pPr>
              <w:jc w:val="right"/>
              <w:rPr>
                <w:color w:val="000000"/>
                <w:sz w:val="20"/>
                <w:szCs w:val="20"/>
              </w:rPr>
            </w:pPr>
            <w:r>
              <w:rPr>
                <w:color w:val="000000"/>
                <w:sz w:val="20"/>
                <w:szCs w:val="20"/>
              </w:rPr>
              <w:t>19 545</w:t>
            </w:r>
          </w:p>
        </w:tc>
        <w:tc>
          <w:tcPr>
            <w:tcW w:w="882" w:type="dxa"/>
            <w:shd w:val="clear" w:color="auto" w:fill="auto"/>
            <w:noWrap/>
            <w:vAlign w:val="bottom"/>
          </w:tcPr>
          <w:p w14:paraId="7499DE4E" w14:textId="77777777" w:rsidR="0085622A" w:rsidRDefault="003A674F">
            <w:pPr>
              <w:jc w:val="right"/>
              <w:rPr>
                <w:color w:val="000000"/>
                <w:sz w:val="20"/>
                <w:szCs w:val="20"/>
              </w:rPr>
            </w:pPr>
            <w:r>
              <w:rPr>
                <w:color w:val="000000"/>
                <w:sz w:val="20"/>
                <w:szCs w:val="20"/>
              </w:rPr>
              <w:t>17 540</w:t>
            </w:r>
          </w:p>
        </w:tc>
        <w:tc>
          <w:tcPr>
            <w:tcW w:w="882" w:type="dxa"/>
            <w:shd w:val="clear" w:color="auto" w:fill="auto"/>
            <w:noWrap/>
            <w:vAlign w:val="bottom"/>
          </w:tcPr>
          <w:p w14:paraId="4DF25CC2" w14:textId="77777777" w:rsidR="0085622A" w:rsidRDefault="003A674F">
            <w:pPr>
              <w:jc w:val="right"/>
              <w:rPr>
                <w:color w:val="000000"/>
                <w:sz w:val="20"/>
                <w:szCs w:val="20"/>
              </w:rPr>
            </w:pPr>
            <w:r>
              <w:rPr>
                <w:color w:val="000000"/>
                <w:sz w:val="20"/>
                <w:szCs w:val="20"/>
              </w:rPr>
              <w:t>19 026</w:t>
            </w:r>
          </w:p>
        </w:tc>
        <w:tc>
          <w:tcPr>
            <w:tcW w:w="882" w:type="dxa"/>
            <w:shd w:val="clear" w:color="auto" w:fill="auto"/>
            <w:noWrap/>
            <w:vAlign w:val="bottom"/>
          </w:tcPr>
          <w:p w14:paraId="65DD5338" w14:textId="77777777" w:rsidR="0085622A" w:rsidRDefault="003A674F">
            <w:pPr>
              <w:jc w:val="right"/>
              <w:rPr>
                <w:color w:val="000000"/>
                <w:sz w:val="20"/>
                <w:szCs w:val="20"/>
              </w:rPr>
            </w:pPr>
            <w:r>
              <w:rPr>
                <w:rFonts w:eastAsia="sans-serif"/>
                <w:color w:val="000000"/>
                <w:sz w:val="20"/>
                <w:szCs w:val="20"/>
              </w:rPr>
              <w:t>15 395</w:t>
            </w:r>
          </w:p>
        </w:tc>
        <w:tc>
          <w:tcPr>
            <w:tcW w:w="660" w:type="dxa"/>
            <w:shd w:val="clear" w:color="auto" w:fill="auto"/>
            <w:noWrap/>
            <w:vAlign w:val="bottom"/>
          </w:tcPr>
          <w:p w14:paraId="76CE75E4" w14:textId="77777777" w:rsidR="0085622A" w:rsidRDefault="003A674F">
            <w:pPr>
              <w:jc w:val="right"/>
              <w:rPr>
                <w:color w:val="000000"/>
                <w:sz w:val="20"/>
                <w:szCs w:val="20"/>
              </w:rPr>
            </w:pPr>
            <w:r>
              <w:rPr>
                <w:color w:val="000000"/>
                <w:sz w:val="20"/>
                <w:szCs w:val="20"/>
              </w:rPr>
              <w:t>20.8</w:t>
            </w:r>
          </w:p>
        </w:tc>
        <w:tc>
          <w:tcPr>
            <w:tcW w:w="660" w:type="dxa"/>
            <w:shd w:val="clear" w:color="auto" w:fill="auto"/>
            <w:noWrap/>
            <w:vAlign w:val="bottom"/>
          </w:tcPr>
          <w:p w14:paraId="698D90E7" w14:textId="77777777" w:rsidR="0085622A" w:rsidRDefault="003A674F">
            <w:pPr>
              <w:jc w:val="right"/>
              <w:rPr>
                <w:color w:val="000000"/>
                <w:sz w:val="20"/>
                <w:szCs w:val="20"/>
              </w:rPr>
            </w:pPr>
            <w:r>
              <w:rPr>
                <w:color w:val="000000"/>
                <w:sz w:val="20"/>
                <w:szCs w:val="20"/>
              </w:rPr>
              <w:t>19.4</w:t>
            </w:r>
          </w:p>
        </w:tc>
        <w:tc>
          <w:tcPr>
            <w:tcW w:w="660" w:type="dxa"/>
            <w:shd w:val="clear" w:color="auto" w:fill="auto"/>
            <w:noWrap/>
            <w:vAlign w:val="bottom"/>
          </w:tcPr>
          <w:p w14:paraId="76FCEF77" w14:textId="77777777" w:rsidR="0085622A" w:rsidRDefault="003A674F">
            <w:pPr>
              <w:jc w:val="right"/>
              <w:rPr>
                <w:color w:val="000000"/>
                <w:sz w:val="20"/>
                <w:szCs w:val="20"/>
              </w:rPr>
            </w:pPr>
            <w:r>
              <w:rPr>
                <w:color w:val="000000"/>
                <w:sz w:val="20"/>
                <w:szCs w:val="20"/>
              </w:rPr>
              <w:t>21.2</w:t>
            </w:r>
          </w:p>
        </w:tc>
        <w:tc>
          <w:tcPr>
            <w:tcW w:w="660" w:type="dxa"/>
            <w:shd w:val="clear" w:color="auto" w:fill="auto"/>
            <w:noWrap/>
            <w:vAlign w:val="bottom"/>
          </w:tcPr>
          <w:p w14:paraId="607BAA9B" w14:textId="77777777" w:rsidR="0085622A" w:rsidRDefault="003A674F">
            <w:pPr>
              <w:jc w:val="right"/>
              <w:rPr>
                <w:color w:val="000000"/>
                <w:sz w:val="20"/>
                <w:szCs w:val="20"/>
              </w:rPr>
            </w:pPr>
            <w:r>
              <w:rPr>
                <w:color w:val="000000"/>
                <w:sz w:val="20"/>
                <w:szCs w:val="20"/>
              </w:rPr>
              <w:t>17.3</w:t>
            </w:r>
          </w:p>
        </w:tc>
      </w:tr>
      <w:tr w:rsidR="0085622A" w14:paraId="4A27B1A9" w14:textId="77777777" w:rsidTr="00593A9C">
        <w:trPr>
          <w:trHeight w:val="300"/>
          <w:jc w:val="center"/>
        </w:trPr>
        <w:tc>
          <w:tcPr>
            <w:tcW w:w="1134" w:type="dxa"/>
            <w:shd w:val="clear" w:color="auto" w:fill="auto"/>
            <w:noWrap/>
            <w:vAlign w:val="bottom"/>
          </w:tcPr>
          <w:p w14:paraId="3610BDDB" w14:textId="77777777" w:rsidR="0085622A" w:rsidRDefault="003A674F">
            <w:pPr>
              <w:rPr>
                <w:b/>
                <w:bCs/>
                <w:color w:val="000000"/>
                <w:sz w:val="20"/>
                <w:szCs w:val="20"/>
              </w:rPr>
            </w:pPr>
            <w:r>
              <w:rPr>
                <w:b/>
                <w:bCs/>
                <w:color w:val="000000"/>
                <w:sz w:val="20"/>
                <w:szCs w:val="20"/>
              </w:rPr>
              <w:t>Zemgales reģions</w:t>
            </w:r>
          </w:p>
        </w:tc>
        <w:tc>
          <w:tcPr>
            <w:tcW w:w="1500" w:type="dxa"/>
            <w:shd w:val="clear" w:color="auto" w:fill="auto"/>
            <w:noWrap/>
            <w:vAlign w:val="bottom"/>
          </w:tcPr>
          <w:p w14:paraId="3B5053A7" w14:textId="77777777" w:rsidR="0085622A" w:rsidRDefault="003A674F">
            <w:pPr>
              <w:rPr>
                <w:b/>
                <w:bCs/>
                <w:color w:val="000000"/>
                <w:sz w:val="20"/>
                <w:szCs w:val="20"/>
              </w:rPr>
            </w:pPr>
            <w:r>
              <w:rPr>
                <w:b/>
                <w:bCs/>
                <w:color w:val="000000"/>
                <w:sz w:val="20"/>
                <w:szCs w:val="20"/>
              </w:rPr>
              <w:t>PAVISAM</w:t>
            </w:r>
          </w:p>
        </w:tc>
        <w:tc>
          <w:tcPr>
            <w:tcW w:w="948" w:type="dxa"/>
            <w:shd w:val="clear" w:color="auto" w:fill="auto"/>
            <w:noWrap/>
            <w:vAlign w:val="bottom"/>
          </w:tcPr>
          <w:p w14:paraId="13A5F707" w14:textId="77777777" w:rsidR="0085622A" w:rsidRDefault="003A674F">
            <w:pPr>
              <w:jc w:val="right"/>
              <w:rPr>
                <w:color w:val="000000"/>
                <w:sz w:val="20"/>
                <w:szCs w:val="20"/>
              </w:rPr>
            </w:pPr>
            <w:r>
              <w:rPr>
                <w:color w:val="000000"/>
                <w:sz w:val="20"/>
                <w:szCs w:val="20"/>
              </w:rPr>
              <w:t>102 254</w:t>
            </w:r>
          </w:p>
        </w:tc>
        <w:tc>
          <w:tcPr>
            <w:tcW w:w="882" w:type="dxa"/>
            <w:shd w:val="clear" w:color="auto" w:fill="auto"/>
            <w:noWrap/>
            <w:vAlign w:val="bottom"/>
          </w:tcPr>
          <w:p w14:paraId="61027459" w14:textId="77777777" w:rsidR="0085622A" w:rsidRDefault="003A674F">
            <w:pPr>
              <w:jc w:val="right"/>
              <w:rPr>
                <w:color w:val="000000"/>
                <w:sz w:val="20"/>
                <w:szCs w:val="20"/>
              </w:rPr>
            </w:pPr>
            <w:r>
              <w:rPr>
                <w:color w:val="000000"/>
                <w:sz w:val="20"/>
                <w:szCs w:val="20"/>
              </w:rPr>
              <w:t>99 611</w:t>
            </w:r>
          </w:p>
        </w:tc>
        <w:tc>
          <w:tcPr>
            <w:tcW w:w="882" w:type="dxa"/>
            <w:shd w:val="clear" w:color="auto" w:fill="auto"/>
            <w:noWrap/>
            <w:vAlign w:val="bottom"/>
          </w:tcPr>
          <w:p w14:paraId="36366C00" w14:textId="77777777" w:rsidR="0085622A" w:rsidRDefault="003A674F">
            <w:pPr>
              <w:jc w:val="right"/>
              <w:rPr>
                <w:color w:val="000000"/>
                <w:sz w:val="20"/>
                <w:szCs w:val="20"/>
              </w:rPr>
            </w:pPr>
            <w:r>
              <w:rPr>
                <w:color w:val="000000"/>
                <w:sz w:val="20"/>
                <w:szCs w:val="20"/>
              </w:rPr>
              <w:t>97 146</w:t>
            </w:r>
          </w:p>
        </w:tc>
        <w:tc>
          <w:tcPr>
            <w:tcW w:w="882" w:type="dxa"/>
            <w:shd w:val="clear" w:color="auto" w:fill="auto"/>
            <w:noWrap/>
            <w:vAlign w:val="bottom"/>
          </w:tcPr>
          <w:p w14:paraId="60DA0487" w14:textId="77777777" w:rsidR="0085622A" w:rsidRDefault="003A674F">
            <w:pPr>
              <w:jc w:val="right"/>
              <w:rPr>
                <w:color w:val="000000"/>
                <w:sz w:val="20"/>
                <w:szCs w:val="20"/>
              </w:rPr>
            </w:pPr>
            <w:r>
              <w:rPr>
                <w:rFonts w:eastAsia="sans-serif"/>
                <w:color w:val="000000"/>
                <w:sz w:val="20"/>
                <w:szCs w:val="20"/>
              </w:rPr>
              <w:t>91 756</w:t>
            </w:r>
          </w:p>
        </w:tc>
        <w:tc>
          <w:tcPr>
            <w:tcW w:w="660" w:type="dxa"/>
            <w:shd w:val="clear" w:color="auto" w:fill="auto"/>
            <w:noWrap/>
            <w:vAlign w:val="bottom"/>
          </w:tcPr>
          <w:p w14:paraId="26ECA8A7"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600EE0F0"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35D841F6"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44674DFD" w14:textId="77777777" w:rsidR="0085622A" w:rsidRDefault="003A674F">
            <w:pPr>
              <w:jc w:val="right"/>
              <w:rPr>
                <w:color w:val="000000"/>
                <w:sz w:val="20"/>
                <w:szCs w:val="20"/>
              </w:rPr>
            </w:pPr>
            <w:r>
              <w:rPr>
                <w:color w:val="000000"/>
                <w:sz w:val="20"/>
                <w:szCs w:val="20"/>
              </w:rPr>
              <w:t>X</w:t>
            </w:r>
          </w:p>
        </w:tc>
      </w:tr>
      <w:tr w:rsidR="0085622A" w14:paraId="54343DF1" w14:textId="77777777" w:rsidTr="00593A9C">
        <w:trPr>
          <w:trHeight w:val="300"/>
          <w:jc w:val="center"/>
        </w:trPr>
        <w:tc>
          <w:tcPr>
            <w:tcW w:w="1134" w:type="dxa"/>
            <w:shd w:val="clear" w:color="auto" w:fill="auto"/>
            <w:noWrap/>
            <w:vAlign w:val="bottom"/>
          </w:tcPr>
          <w:p w14:paraId="6FD7768F" w14:textId="77777777" w:rsidR="0085622A" w:rsidRDefault="0085622A">
            <w:pPr>
              <w:jc w:val="right"/>
              <w:rPr>
                <w:color w:val="000000"/>
                <w:sz w:val="20"/>
                <w:szCs w:val="20"/>
              </w:rPr>
            </w:pPr>
          </w:p>
        </w:tc>
        <w:tc>
          <w:tcPr>
            <w:tcW w:w="1500" w:type="dxa"/>
            <w:shd w:val="clear" w:color="auto" w:fill="auto"/>
            <w:noWrap/>
            <w:vAlign w:val="bottom"/>
          </w:tcPr>
          <w:p w14:paraId="37EC47CE" w14:textId="77777777" w:rsidR="0085622A" w:rsidRDefault="003A674F">
            <w:pPr>
              <w:rPr>
                <w:b/>
                <w:bCs/>
                <w:color w:val="000000"/>
                <w:sz w:val="20"/>
                <w:szCs w:val="20"/>
              </w:rPr>
            </w:pPr>
            <w:r>
              <w:rPr>
                <w:b/>
                <w:bCs/>
                <w:color w:val="000000"/>
                <w:sz w:val="20"/>
                <w:szCs w:val="20"/>
              </w:rPr>
              <w:t>..Ar minimālo darba algu vai mazāk</w:t>
            </w:r>
          </w:p>
        </w:tc>
        <w:tc>
          <w:tcPr>
            <w:tcW w:w="948" w:type="dxa"/>
            <w:shd w:val="clear" w:color="auto" w:fill="auto"/>
            <w:noWrap/>
            <w:vAlign w:val="bottom"/>
          </w:tcPr>
          <w:p w14:paraId="7E8B8D6A" w14:textId="77777777" w:rsidR="0085622A" w:rsidRDefault="003A674F">
            <w:pPr>
              <w:jc w:val="right"/>
              <w:rPr>
                <w:color w:val="000000"/>
                <w:sz w:val="20"/>
                <w:szCs w:val="20"/>
              </w:rPr>
            </w:pPr>
            <w:r>
              <w:rPr>
                <w:color w:val="000000"/>
                <w:sz w:val="20"/>
                <w:szCs w:val="20"/>
              </w:rPr>
              <w:t>17 465</w:t>
            </w:r>
          </w:p>
        </w:tc>
        <w:tc>
          <w:tcPr>
            <w:tcW w:w="882" w:type="dxa"/>
            <w:shd w:val="clear" w:color="auto" w:fill="auto"/>
            <w:noWrap/>
            <w:vAlign w:val="bottom"/>
          </w:tcPr>
          <w:p w14:paraId="4ABD04B5" w14:textId="77777777" w:rsidR="0085622A" w:rsidRDefault="003A674F">
            <w:pPr>
              <w:jc w:val="right"/>
              <w:rPr>
                <w:color w:val="000000"/>
                <w:sz w:val="20"/>
                <w:szCs w:val="20"/>
              </w:rPr>
            </w:pPr>
            <w:r>
              <w:rPr>
                <w:color w:val="000000"/>
                <w:sz w:val="20"/>
                <w:szCs w:val="20"/>
              </w:rPr>
              <w:t>15 780</w:t>
            </w:r>
          </w:p>
        </w:tc>
        <w:tc>
          <w:tcPr>
            <w:tcW w:w="882" w:type="dxa"/>
            <w:shd w:val="clear" w:color="auto" w:fill="auto"/>
            <w:noWrap/>
            <w:vAlign w:val="bottom"/>
          </w:tcPr>
          <w:p w14:paraId="506A6E7E" w14:textId="77777777" w:rsidR="0085622A" w:rsidRDefault="003A674F">
            <w:pPr>
              <w:jc w:val="right"/>
              <w:rPr>
                <w:color w:val="000000"/>
                <w:sz w:val="20"/>
                <w:szCs w:val="20"/>
              </w:rPr>
            </w:pPr>
            <w:r>
              <w:rPr>
                <w:color w:val="000000"/>
                <w:sz w:val="20"/>
                <w:szCs w:val="20"/>
              </w:rPr>
              <w:t>17 410</w:t>
            </w:r>
          </w:p>
        </w:tc>
        <w:tc>
          <w:tcPr>
            <w:tcW w:w="882" w:type="dxa"/>
            <w:shd w:val="clear" w:color="auto" w:fill="auto"/>
            <w:noWrap/>
            <w:vAlign w:val="bottom"/>
          </w:tcPr>
          <w:p w14:paraId="1E1DB057" w14:textId="77777777" w:rsidR="0085622A" w:rsidRPr="00E364F2" w:rsidRDefault="003A674F" w:rsidP="00E364F2">
            <w:pPr>
              <w:pStyle w:val="author"/>
              <w:rPr>
                <w:sz w:val="20"/>
                <w:szCs w:val="20"/>
              </w:rPr>
            </w:pPr>
            <w:bookmarkStart w:id="12" w:name="_Toc145280794"/>
            <w:r w:rsidRPr="00E364F2">
              <w:rPr>
                <w:sz w:val="20"/>
                <w:szCs w:val="20"/>
              </w:rPr>
              <w:t>14 276</w:t>
            </w:r>
            <w:bookmarkEnd w:id="12"/>
          </w:p>
        </w:tc>
        <w:tc>
          <w:tcPr>
            <w:tcW w:w="660" w:type="dxa"/>
            <w:shd w:val="clear" w:color="auto" w:fill="auto"/>
            <w:noWrap/>
            <w:vAlign w:val="bottom"/>
          </w:tcPr>
          <w:p w14:paraId="7402C7E7" w14:textId="77777777" w:rsidR="0085622A" w:rsidRDefault="003A674F">
            <w:pPr>
              <w:jc w:val="right"/>
              <w:rPr>
                <w:color w:val="000000"/>
                <w:sz w:val="20"/>
                <w:szCs w:val="20"/>
              </w:rPr>
            </w:pPr>
            <w:r>
              <w:rPr>
                <w:color w:val="000000"/>
                <w:sz w:val="20"/>
                <w:szCs w:val="20"/>
              </w:rPr>
              <w:t>18.5</w:t>
            </w:r>
          </w:p>
        </w:tc>
        <w:tc>
          <w:tcPr>
            <w:tcW w:w="660" w:type="dxa"/>
            <w:shd w:val="clear" w:color="auto" w:fill="auto"/>
            <w:noWrap/>
            <w:vAlign w:val="bottom"/>
          </w:tcPr>
          <w:p w14:paraId="29BBE201" w14:textId="77777777" w:rsidR="0085622A" w:rsidRDefault="003A674F">
            <w:pPr>
              <w:jc w:val="right"/>
              <w:rPr>
                <w:color w:val="000000"/>
                <w:sz w:val="20"/>
                <w:szCs w:val="20"/>
              </w:rPr>
            </w:pPr>
            <w:r>
              <w:rPr>
                <w:color w:val="000000"/>
                <w:sz w:val="20"/>
                <w:szCs w:val="20"/>
              </w:rPr>
              <w:t>17.4</w:t>
            </w:r>
          </w:p>
        </w:tc>
        <w:tc>
          <w:tcPr>
            <w:tcW w:w="660" w:type="dxa"/>
            <w:shd w:val="clear" w:color="auto" w:fill="auto"/>
            <w:noWrap/>
            <w:vAlign w:val="bottom"/>
          </w:tcPr>
          <w:p w14:paraId="27DA0839" w14:textId="77777777" w:rsidR="0085622A" w:rsidRDefault="003A674F">
            <w:pPr>
              <w:jc w:val="right"/>
              <w:rPr>
                <w:color w:val="000000"/>
                <w:sz w:val="20"/>
                <w:szCs w:val="20"/>
              </w:rPr>
            </w:pPr>
            <w:r>
              <w:rPr>
                <w:color w:val="000000"/>
                <w:sz w:val="20"/>
                <w:szCs w:val="20"/>
              </w:rPr>
              <w:t>19.4</w:t>
            </w:r>
          </w:p>
        </w:tc>
        <w:tc>
          <w:tcPr>
            <w:tcW w:w="660" w:type="dxa"/>
            <w:shd w:val="clear" w:color="auto" w:fill="auto"/>
            <w:noWrap/>
            <w:vAlign w:val="bottom"/>
          </w:tcPr>
          <w:p w14:paraId="727A2D99" w14:textId="77777777" w:rsidR="0085622A" w:rsidRDefault="003A674F">
            <w:pPr>
              <w:jc w:val="right"/>
              <w:rPr>
                <w:color w:val="000000"/>
                <w:sz w:val="20"/>
                <w:szCs w:val="20"/>
              </w:rPr>
            </w:pPr>
            <w:r>
              <w:rPr>
                <w:color w:val="000000"/>
                <w:sz w:val="20"/>
                <w:szCs w:val="20"/>
              </w:rPr>
              <w:t>16.0</w:t>
            </w:r>
          </w:p>
        </w:tc>
      </w:tr>
      <w:tr w:rsidR="0085622A" w14:paraId="71C38512" w14:textId="77777777" w:rsidTr="00593A9C">
        <w:trPr>
          <w:trHeight w:val="300"/>
          <w:jc w:val="center"/>
        </w:trPr>
        <w:tc>
          <w:tcPr>
            <w:tcW w:w="1134" w:type="dxa"/>
            <w:shd w:val="clear" w:color="auto" w:fill="auto"/>
            <w:noWrap/>
            <w:vAlign w:val="bottom"/>
          </w:tcPr>
          <w:p w14:paraId="73392E06" w14:textId="77777777" w:rsidR="0085622A" w:rsidRDefault="003A674F">
            <w:pPr>
              <w:rPr>
                <w:b/>
                <w:bCs/>
                <w:color w:val="000000"/>
                <w:sz w:val="20"/>
                <w:szCs w:val="20"/>
              </w:rPr>
            </w:pPr>
            <w:r>
              <w:rPr>
                <w:b/>
                <w:bCs/>
                <w:color w:val="000000"/>
                <w:sz w:val="20"/>
                <w:szCs w:val="20"/>
              </w:rPr>
              <w:t>Latgales reģions</w:t>
            </w:r>
          </w:p>
        </w:tc>
        <w:tc>
          <w:tcPr>
            <w:tcW w:w="1500" w:type="dxa"/>
            <w:shd w:val="clear" w:color="auto" w:fill="auto"/>
            <w:noWrap/>
            <w:vAlign w:val="bottom"/>
          </w:tcPr>
          <w:p w14:paraId="73A79676" w14:textId="77777777" w:rsidR="0085622A" w:rsidRDefault="003A674F">
            <w:pPr>
              <w:rPr>
                <w:b/>
                <w:bCs/>
                <w:color w:val="000000"/>
                <w:sz w:val="20"/>
                <w:szCs w:val="20"/>
              </w:rPr>
            </w:pPr>
            <w:r>
              <w:rPr>
                <w:b/>
                <w:bCs/>
                <w:color w:val="000000"/>
                <w:sz w:val="20"/>
                <w:szCs w:val="20"/>
              </w:rPr>
              <w:t>PAVISAM</w:t>
            </w:r>
          </w:p>
        </w:tc>
        <w:tc>
          <w:tcPr>
            <w:tcW w:w="948" w:type="dxa"/>
            <w:shd w:val="clear" w:color="auto" w:fill="auto"/>
            <w:noWrap/>
            <w:vAlign w:val="bottom"/>
          </w:tcPr>
          <w:p w14:paraId="7F44177D" w14:textId="77777777" w:rsidR="0085622A" w:rsidRDefault="003A674F">
            <w:pPr>
              <w:jc w:val="right"/>
              <w:rPr>
                <w:color w:val="000000"/>
                <w:sz w:val="20"/>
                <w:szCs w:val="20"/>
              </w:rPr>
            </w:pPr>
            <w:r>
              <w:rPr>
                <w:color w:val="000000"/>
                <w:sz w:val="20"/>
                <w:szCs w:val="20"/>
              </w:rPr>
              <w:t>100 194</w:t>
            </w:r>
          </w:p>
        </w:tc>
        <w:tc>
          <w:tcPr>
            <w:tcW w:w="882" w:type="dxa"/>
            <w:shd w:val="clear" w:color="auto" w:fill="auto"/>
            <w:noWrap/>
            <w:vAlign w:val="bottom"/>
          </w:tcPr>
          <w:p w14:paraId="72460287" w14:textId="77777777" w:rsidR="0085622A" w:rsidRDefault="003A674F">
            <w:pPr>
              <w:jc w:val="right"/>
              <w:rPr>
                <w:color w:val="000000"/>
                <w:sz w:val="20"/>
                <w:szCs w:val="20"/>
              </w:rPr>
            </w:pPr>
            <w:r>
              <w:rPr>
                <w:color w:val="000000"/>
                <w:sz w:val="20"/>
                <w:szCs w:val="20"/>
              </w:rPr>
              <w:t>97 614</w:t>
            </w:r>
          </w:p>
        </w:tc>
        <w:tc>
          <w:tcPr>
            <w:tcW w:w="882" w:type="dxa"/>
            <w:shd w:val="clear" w:color="auto" w:fill="auto"/>
            <w:noWrap/>
            <w:vAlign w:val="bottom"/>
          </w:tcPr>
          <w:p w14:paraId="02DBF972" w14:textId="77777777" w:rsidR="0085622A" w:rsidRDefault="003A674F">
            <w:pPr>
              <w:jc w:val="right"/>
              <w:rPr>
                <w:color w:val="000000"/>
                <w:sz w:val="20"/>
                <w:szCs w:val="20"/>
              </w:rPr>
            </w:pPr>
            <w:r>
              <w:rPr>
                <w:color w:val="000000"/>
                <w:sz w:val="20"/>
                <w:szCs w:val="20"/>
              </w:rPr>
              <w:t>94 476</w:t>
            </w:r>
          </w:p>
        </w:tc>
        <w:tc>
          <w:tcPr>
            <w:tcW w:w="882" w:type="dxa"/>
            <w:shd w:val="clear" w:color="auto" w:fill="auto"/>
            <w:noWrap/>
            <w:vAlign w:val="bottom"/>
          </w:tcPr>
          <w:p w14:paraId="4BFD3C64" w14:textId="77777777" w:rsidR="0085622A" w:rsidRDefault="003A674F">
            <w:pPr>
              <w:jc w:val="right"/>
              <w:rPr>
                <w:color w:val="000000"/>
                <w:sz w:val="20"/>
                <w:szCs w:val="20"/>
              </w:rPr>
            </w:pPr>
            <w:r>
              <w:rPr>
                <w:rFonts w:eastAsia="sans-serif"/>
                <w:color w:val="000000"/>
                <w:sz w:val="20"/>
                <w:szCs w:val="20"/>
              </w:rPr>
              <w:t>91 756</w:t>
            </w:r>
          </w:p>
        </w:tc>
        <w:tc>
          <w:tcPr>
            <w:tcW w:w="660" w:type="dxa"/>
            <w:shd w:val="clear" w:color="auto" w:fill="auto"/>
            <w:noWrap/>
            <w:vAlign w:val="bottom"/>
          </w:tcPr>
          <w:p w14:paraId="4D02A817"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79F74A13"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1EE1C54C" w14:textId="77777777" w:rsidR="0085622A" w:rsidRDefault="003A674F">
            <w:pPr>
              <w:jc w:val="right"/>
              <w:rPr>
                <w:color w:val="000000"/>
                <w:sz w:val="20"/>
                <w:szCs w:val="20"/>
              </w:rPr>
            </w:pPr>
            <w:r>
              <w:rPr>
                <w:color w:val="000000"/>
                <w:sz w:val="20"/>
                <w:szCs w:val="20"/>
              </w:rPr>
              <w:t>X</w:t>
            </w:r>
          </w:p>
        </w:tc>
        <w:tc>
          <w:tcPr>
            <w:tcW w:w="660" w:type="dxa"/>
            <w:shd w:val="clear" w:color="auto" w:fill="auto"/>
            <w:noWrap/>
            <w:vAlign w:val="bottom"/>
          </w:tcPr>
          <w:p w14:paraId="565ABAF7" w14:textId="77777777" w:rsidR="0085622A" w:rsidRDefault="003A674F">
            <w:pPr>
              <w:jc w:val="right"/>
              <w:rPr>
                <w:color w:val="000000"/>
                <w:sz w:val="20"/>
                <w:szCs w:val="20"/>
              </w:rPr>
            </w:pPr>
            <w:r>
              <w:rPr>
                <w:color w:val="000000"/>
                <w:sz w:val="20"/>
                <w:szCs w:val="20"/>
              </w:rPr>
              <w:t>X</w:t>
            </w:r>
          </w:p>
        </w:tc>
      </w:tr>
      <w:tr w:rsidR="0085622A" w14:paraId="532E25A7" w14:textId="77777777" w:rsidTr="00593A9C">
        <w:trPr>
          <w:trHeight w:val="300"/>
          <w:jc w:val="center"/>
        </w:trPr>
        <w:tc>
          <w:tcPr>
            <w:tcW w:w="1134" w:type="dxa"/>
            <w:shd w:val="clear" w:color="auto" w:fill="auto"/>
            <w:noWrap/>
            <w:vAlign w:val="bottom"/>
          </w:tcPr>
          <w:p w14:paraId="74D50097" w14:textId="77777777" w:rsidR="0085622A" w:rsidRDefault="0085622A">
            <w:pPr>
              <w:jc w:val="right"/>
              <w:rPr>
                <w:color w:val="000000"/>
                <w:sz w:val="20"/>
                <w:szCs w:val="20"/>
              </w:rPr>
            </w:pPr>
          </w:p>
        </w:tc>
        <w:tc>
          <w:tcPr>
            <w:tcW w:w="1500" w:type="dxa"/>
            <w:shd w:val="clear" w:color="auto" w:fill="auto"/>
            <w:noWrap/>
            <w:vAlign w:val="bottom"/>
          </w:tcPr>
          <w:p w14:paraId="2A84A734" w14:textId="77777777" w:rsidR="0085622A" w:rsidRDefault="003A674F">
            <w:pPr>
              <w:rPr>
                <w:b/>
                <w:bCs/>
                <w:color w:val="000000"/>
                <w:sz w:val="20"/>
                <w:szCs w:val="20"/>
              </w:rPr>
            </w:pPr>
            <w:r>
              <w:rPr>
                <w:b/>
                <w:bCs/>
                <w:color w:val="000000"/>
                <w:sz w:val="20"/>
                <w:szCs w:val="20"/>
              </w:rPr>
              <w:t>..Ar minimālo darba algu vai mazāk</w:t>
            </w:r>
          </w:p>
        </w:tc>
        <w:tc>
          <w:tcPr>
            <w:tcW w:w="948" w:type="dxa"/>
            <w:shd w:val="clear" w:color="auto" w:fill="auto"/>
            <w:noWrap/>
            <w:vAlign w:val="bottom"/>
          </w:tcPr>
          <w:p w14:paraId="3E0F4397" w14:textId="77777777" w:rsidR="0085622A" w:rsidRDefault="003A674F">
            <w:pPr>
              <w:jc w:val="right"/>
              <w:rPr>
                <w:color w:val="000000"/>
                <w:sz w:val="20"/>
                <w:szCs w:val="20"/>
              </w:rPr>
            </w:pPr>
            <w:r>
              <w:rPr>
                <w:color w:val="000000"/>
                <w:sz w:val="20"/>
                <w:szCs w:val="20"/>
              </w:rPr>
              <w:t>23 064</w:t>
            </w:r>
          </w:p>
        </w:tc>
        <w:tc>
          <w:tcPr>
            <w:tcW w:w="882" w:type="dxa"/>
            <w:shd w:val="clear" w:color="auto" w:fill="auto"/>
            <w:noWrap/>
            <w:vAlign w:val="bottom"/>
          </w:tcPr>
          <w:p w14:paraId="6AA0DF8E" w14:textId="77777777" w:rsidR="0085622A" w:rsidRDefault="003A674F">
            <w:pPr>
              <w:jc w:val="right"/>
              <w:rPr>
                <w:color w:val="000000"/>
                <w:sz w:val="20"/>
                <w:szCs w:val="20"/>
              </w:rPr>
            </w:pPr>
            <w:r>
              <w:rPr>
                <w:color w:val="000000"/>
                <w:sz w:val="20"/>
                <w:szCs w:val="20"/>
              </w:rPr>
              <w:t>21 153</w:t>
            </w:r>
          </w:p>
        </w:tc>
        <w:tc>
          <w:tcPr>
            <w:tcW w:w="882" w:type="dxa"/>
            <w:shd w:val="clear" w:color="auto" w:fill="auto"/>
            <w:noWrap/>
            <w:vAlign w:val="bottom"/>
          </w:tcPr>
          <w:p w14:paraId="38AD3369" w14:textId="77777777" w:rsidR="0085622A" w:rsidRDefault="003A674F">
            <w:pPr>
              <w:jc w:val="right"/>
              <w:rPr>
                <w:color w:val="000000"/>
                <w:sz w:val="20"/>
                <w:szCs w:val="20"/>
              </w:rPr>
            </w:pPr>
            <w:r>
              <w:rPr>
                <w:color w:val="000000"/>
                <w:sz w:val="20"/>
                <w:szCs w:val="20"/>
              </w:rPr>
              <w:t>22 171</w:t>
            </w:r>
          </w:p>
        </w:tc>
        <w:tc>
          <w:tcPr>
            <w:tcW w:w="882" w:type="dxa"/>
            <w:shd w:val="clear" w:color="auto" w:fill="auto"/>
            <w:noWrap/>
            <w:vAlign w:val="bottom"/>
          </w:tcPr>
          <w:p w14:paraId="679A2167" w14:textId="77777777" w:rsidR="0085622A" w:rsidRDefault="003A674F">
            <w:pPr>
              <w:jc w:val="right"/>
              <w:rPr>
                <w:color w:val="000000"/>
                <w:sz w:val="20"/>
                <w:szCs w:val="20"/>
              </w:rPr>
            </w:pPr>
            <w:r>
              <w:rPr>
                <w:rFonts w:eastAsia="sans-serif"/>
                <w:color w:val="000000"/>
                <w:sz w:val="20"/>
                <w:szCs w:val="20"/>
              </w:rPr>
              <w:t>18 030</w:t>
            </w:r>
          </w:p>
        </w:tc>
        <w:tc>
          <w:tcPr>
            <w:tcW w:w="660" w:type="dxa"/>
            <w:shd w:val="clear" w:color="auto" w:fill="auto"/>
            <w:noWrap/>
            <w:vAlign w:val="bottom"/>
          </w:tcPr>
          <w:p w14:paraId="1F005997" w14:textId="77777777" w:rsidR="0085622A" w:rsidRDefault="003A674F">
            <w:pPr>
              <w:jc w:val="right"/>
              <w:rPr>
                <w:color w:val="000000"/>
                <w:sz w:val="20"/>
                <w:szCs w:val="20"/>
              </w:rPr>
            </w:pPr>
            <w:r>
              <w:rPr>
                <w:color w:val="000000"/>
                <w:sz w:val="20"/>
                <w:szCs w:val="20"/>
              </w:rPr>
              <w:t>24.8</w:t>
            </w:r>
          </w:p>
        </w:tc>
        <w:tc>
          <w:tcPr>
            <w:tcW w:w="660" w:type="dxa"/>
            <w:shd w:val="clear" w:color="auto" w:fill="auto"/>
            <w:noWrap/>
            <w:vAlign w:val="bottom"/>
          </w:tcPr>
          <w:p w14:paraId="6B79C248" w14:textId="77777777" w:rsidR="0085622A" w:rsidRDefault="003A674F">
            <w:pPr>
              <w:jc w:val="right"/>
              <w:rPr>
                <w:color w:val="000000"/>
                <w:sz w:val="20"/>
                <w:szCs w:val="20"/>
              </w:rPr>
            </w:pPr>
            <w:r>
              <w:rPr>
                <w:color w:val="000000"/>
                <w:sz w:val="20"/>
                <w:szCs w:val="20"/>
              </w:rPr>
              <w:t>23.6</w:t>
            </w:r>
          </w:p>
        </w:tc>
        <w:tc>
          <w:tcPr>
            <w:tcW w:w="660" w:type="dxa"/>
            <w:shd w:val="clear" w:color="auto" w:fill="auto"/>
            <w:noWrap/>
            <w:vAlign w:val="bottom"/>
          </w:tcPr>
          <w:p w14:paraId="391F287C" w14:textId="77777777" w:rsidR="0085622A" w:rsidRDefault="003A674F">
            <w:pPr>
              <w:jc w:val="right"/>
              <w:rPr>
                <w:color w:val="000000"/>
                <w:sz w:val="20"/>
                <w:szCs w:val="20"/>
              </w:rPr>
            </w:pPr>
            <w:r>
              <w:rPr>
                <w:color w:val="000000"/>
                <w:sz w:val="20"/>
                <w:szCs w:val="20"/>
              </w:rPr>
              <w:t>25.2</w:t>
            </w:r>
          </w:p>
        </w:tc>
        <w:tc>
          <w:tcPr>
            <w:tcW w:w="660" w:type="dxa"/>
            <w:shd w:val="clear" w:color="auto" w:fill="auto"/>
            <w:noWrap/>
            <w:vAlign w:val="bottom"/>
          </w:tcPr>
          <w:p w14:paraId="7B60FF46" w14:textId="77777777" w:rsidR="0085622A" w:rsidRDefault="003A674F">
            <w:pPr>
              <w:jc w:val="right"/>
              <w:rPr>
                <w:color w:val="000000"/>
                <w:sz w:val="20"/>
                <w:szCs w:val="20"/>
              </w:rPr>
            </w:pPr>
            <w:r>
              <w:rPr>
                <w:color w:val="000000"/>
                <w:sz w:val="20"/>
                <w:szCs w:val="20"/>
              </w:rPr>
              <w:t>20.8</w:t>
            </w:r>
          </w:p>
        </w:tc>
      </w:tr>
    </w:tbl>
    <w:p w14:paraId="2C675003" w14:textId="77777777" w:rsidR="0085622A" w:rsidRDefault="003A674F">
      <w:pPr>
        <w:pStyle w:val="NormalWeb"/>
        <w:shd w:val="clear" w:color="auto" w:fill="FFFFFF"/>
        <w:spacing w:before="0" w:beforeAutospacing="0" w:after="0" w:afterAutospacing="0"/>
        <w:jc w:val="both"/>
        <w:rPr>
          <w:sz w:val="20"/>
          <w:szCs w:val="20"/>
        </w:rPr>
      </w:pPr>
      <w:r>
        <w:rPr>
          <w:sz w:val="20"/>
          <w:szCs w:val="20"/>
        </w:rPr>
        <w:t>Datu avots: CSP,</w:t>
      </w:r>
    </w:p>
    <w:p w14:paraId="12753C7D" w14:textId="77777777" w:rsidR="0085622A" w:rsidRDefault="00CC4F9C">
      <w:pPr>
        <w:pStyle w:val="NormalWeb"/>
        <w:shd w:val="clear" w:color="auto" w:fill="FFFFFF"/>
        <w:spacing w:before="0" w:beforeAutospacing="0" w:after="0" w:afterAutospacing="0"/>
        <w:jc w:val="both"/>
        <w:rPr>
          <w:sz w:val="20"/>
          <w:szCs w:val="20"/>
        </w:rPr>
      </w:pPr>
      <w:hyperlink r:id="rId9" w:history="1">
        <w:r w:rsidR="003A674F">
          <w:rPr>
            <w:rStyle w:val="Hyperlink"/>
            <w:sz w:val="20"/>
            <w:szCs w:val="20"/>
          </w:rPr>
          <w:t>https://data.stat.gov.lv/pxweb/lv/OSP_PUB/START__EMP__DS__DSN/DSN040</w:t>
        </w:r>
      </w:hyperlink>
      <w:r w:rsidR="003A674F">
        <w:rPr>
          <w:sz w:val="20"/>
          <w:szCs w:val="20"/>
        </w:rPr>
        <w:t xml:space="preserve"> </w:t>
      </w:r>
    </w:p>
    <w:p w14:paraId="369E4022" w14:textId="77777777" w:rsidR="0085622A" w:rsidRDefault="0085622A">
      <w:pPr>
        <w:pStyle w:val="NormalWeb"/>
        <w:shd w:val="clear" w:color="auto" w:fill="FFFFFF"/>
        <w:spacing w:before="0" w:beforeAutospacing="0" w:after="0" w:afterAutospacing="0"/>
        <w:jc w:val="both"/>
      </w:pPr>
    </w:p>
    <w:p w14:paraId="700F1F15" w14:textId="77777777" w:rsidR="0085622A" w:rsidRDefault="003A674F">
      <w:pPr>
        <w:pStyle w:val="NormalWeb"/>
        <w:shd w:val="clear" w:color="auto" w:fill="FFFFFF"/>
        <w:spacing w:before="0" w:beforeAutospacing="0" w:after="0" w:afterAutospacing="0"/>
        <w:ind w:firstLine="720"/>
        <w:jc w:val="both"/>
      </w:pPr>
      <w:r>
        <w:t xml:space="preserve">Darba ņēmēju īpatsvars, kuri saņēma minimālo algu vai mazāk, pēdējo četru gadu laikā samazinājās visos reģionos, </w:t>
      </w:r>
      <w:r w:rsidR="004D7CBE">
        <w:t xml:space="preserve">2022.gadā </w:t>
      </w:r>
      <w:r>
        <w:t xml:space="preserve">variējot no 14,3% Pierīgas reģionā līdz 20,8% Latgales reģionā. </w:t>
      </w:r>
    </w:p>
    <w:p w14:paraId="523BB8AA" w14:textId="77777777" w:rsidR="00962C57" w:rsidRDefault="00962C57" w:rsidP="00962C57">
      <w:pPr>
        <w:spacing w:after="160" w:line="259" w:lineRule="auto"/>
      </w:pPr>
    </w:p>
    <w:p w14:paraId="193CA84E" w14:textId="4E41ED5C" w:rsidR="0085622A" w:rsidRDefault="003F6C9B" w:rsidP="00962C57">
      <w:pPr>
        <w:spacing w:after="160" w:line="259" w:lineRule="auto"/>
        <w:jc w:val="right"/>
      </w:pPr>
      <w:r>
        <w:t>5</w:t>
      </w:r>
      <w:r w:rsidR="003A674F">
        <w:t>.tabula</w:t>
      </w:r>
    </w:p>
    <w:p w14:paraId="47117AB9" w14:textId="77777777" w:rsidR="004D7CBE" w:rsidRDefault="003A674F">
      <w:pPr>
        <w:ind w:right="-109"/>
        <w:jc w:val="center"/>
        <w:rPr>
          <w:b/>
        </w:rPr>
      </w:pPr>
      <w:r>
        <w:rPr>
          <w:b/>
        </w:rPr>
        <w:t xml:space="preserve">Darba ņēmēju skaits, kuriem ienākumi ir līdz un minimālās algas apmērā, </w:t>
      </w:r>
    </w:p>
    <w:p w14:paraId="049DE281" w14:textId="77777777" w:rsidR="0085622A" w:rsidRDefault="003A674F">
      <w:pPr>
        <w:ind w:right="-109"/>
        <w:jc w:val="center"/>
      </w:pPr>
      <w:r>
        <w:rPr>
          <w:b/>
        </w:rPr>
        <w:t>vidēji gadā, sabiedriskajā un privātajā sektorā</w:t>
      </w:r>
    </w:p>
    <w:tbl>
      <w:tblPr>
        <w:tblW w:w="52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3663"/>
        <w:gridCol w:w="1081"/>
        <w:gridCol w:w="1081"/>
        <w:gridCol w:w="1084"/>
        <w:gridCol w:w="1016"/>
      </w:tblGrid>
      <w:tr w:rsidR="0085622A" w14:paraId="528786F3" w14:textId="77777777">
        <w:trPr>
          <w:trHeight w:val="373"/>
        </w:trPr>
        <w:tc>
          <w:tcPr>
            <w:tcW w:w="841" w:type="pct"/>
            <w:shd w:val="clear" w:color="auto" w:fill="B4C6E7" w:themeFill="accent1" w:themeFillTint="66"/>
            <w:noWrap/>
            <w:vAlign w:val="bottom"/>
          </w:tcPr>
          <w:p w14:paraId="3807136E" w14:textId="77777777" w:rsidR="0085622A" w:rsidRDefault="0085622A">
            <w:pPr>
              <w:rPr>
                <w:sz w:val="20"/>
                <w:szCs w:val="20"/>
              </w:rPr>
            </w:pPr>
          </w:p>
        </w:tc>
        <w:tc>
          <w:tcPr>
            <w:tcW w:w="1921" w:type="pct"/>
            <w:shd w:val="clear" w:color="auto" w:fill="B4C6E7" w:themeFill="accent1" w:themeFillTint="66"/>
            <w:noWrap/>
            <w:vAlign w:val="bottom"/>
          </w:tcPr>
          <w:p w14:paraId="02812F04" w14:textId="77777777" w:rsidR="0085622A" w:rsidRDefault="0085622A">
            <w:pPr>
              <w:rPr>
                <w:sz w:val="20"/>
                <w:szCs w:val="20"/>
              </w:rPr>
            </w:pPr>
          </w:p>
        </w:tc>
        <w:tc>
          <w:tcPr>
            <w:tcW w:w="2236" w:type="pct"/>
            <w:gridSpan w:val="4"/>
            <w:shd w:val="clear" w:color="auto" w:fill="B4C6E7" w:themeFill="accent1" w:themeFillTint="66"/>
            <w:noWrap/>
            <w:vAlign w:val="bottom"/>
          </w:tcPr>
          <w:p w14:paraId="30F56DF1" w14:textId="77777777" w:rsidR="0085622A" w:rsidRDefault="003A674F">
            <w:pPr>
              <w:jc w:val="center"/>
              <w:rPr>
                <w:b/>
                <w:bCs/>
                <w:color w:val="000000"/>
                <w:sz w:val="20"/>
                <w:szCs w:val="20"/>
              </w:rPr>
            </w:pPr>
            <w:r>
              <w:rPr>
                <w:b/>
                <w:bCs/>
                <w:color w:val="000000"/>
                <w:sz w:val="20"/>
                <w:szCs w:val="20"/>
              </w:rPr>
              <w:t>Darba ņēmēju skaits</w:t>
            </w:r>
          </w:p>
        </w:tc>
      </w:tr>
      <w:tr w:rsidR="0085622A" w14:paraId="52C934B7" w14:textId="77777777">
        <w:trPr>
          <w:trHeight w:val="373"/>
        </w:trPr>
        <w:tc>
          <w:tcPr>
            <w:tcW w:w="841" w:type="pct"/>
            <w:shd w:val="clear" w:color="auto" w:fill="B4C6E7" w:themeFill="accent1" w:themeFillTint="66"/>
            <w:noWrap/>
            <w:vAlign w:val="bottom"/>
          </w:tcPr>
          <w:p w14:paraId="3451054D" w14:textId="77777777" w:rsidR="0085622A" w:rsidRDefault="0085622A">
            <w:pPr>
              <w:rPr>
                <w:sz w:val="20"/>
                <w:szCs w:val="20"/>
              </w:rPr>
            </w:pPr>
          </w:p>
        </w:tc>
        <w:tc>
          <w:tcPr>
            <w:tcW w:w="1921" w:type="pct"/>
            <w:shd w:val="clear" w:color="auto" w:fill="B4C6E7" w:themeFill="accent1" w:themeFillTint="66"/>
            <w:noWrap/>
            <w:vAlign w:val="bottom"/>
          </w:tcPr>
          <w:p w14:paraId="23451977" w14:textId="77777777" w:rsidR="0085622A" w:rsidRDefault="0085622A">
            <w:pPr>
              <w:rPr>
                <w:sz w:val="20"/>
                <w:szCs w:val="20"/>
              </w:rPr>
            </w:pPr>
          </w:p>
        </w:tc>
        <w:tc>
          <w:tcPr>
            <w:tcW w:w="567" w:type="pct"/>
            <w:shd w:val="clear" w:color="auto" w:fill="B4C6E7" w:themeFill="accent1" w:themeFillTint="66"/>
            <w:noWrap/>
            <w:vAlign w:val="bottom"/>
          </w:tcPr>
          <w:p w14:paraId="2CEEB071" w14:textId="77777777" w:rsidR="0085622A" w:rsidRDefault="003A674F">
            <w:pPr>
              <w:jc w:val="center"/>
              <w:rPr>
                <w:b/>
                <w:bCs/>
                <w:color w:val="000000"/>
                <w:sz w:val="20"/>
                <w:szCs w:val="20"/>
              </w:rPr>
            </w:pPr>
            <w:r>
              <w:rPr>
                <w:b/>
                <w:bCs/>
                <w:color w:val="000000"/>
                <w:sz w:val="20"/>
                <w:szCs w:val="20"/>
              </w:rPr>
              <w:t>2019</w:t>
            </w:r>
          </w:p>
        </w:tc>
        <w:tc>
          <w:tcPr>
            <w:tcW w:w="567" w:type="pct"/>
            <w:shd w:val="clear" w:color="auto" w:fill="B4C6E7" w:themeFill="accent1" w:themeFillTint="66"/>
            <w:noWrap/>
            <w:vAlign w:val="bottom"/>
          </w:tcPr>
          <w:p w14:paraId="5BF39A18" w14:textId="77777777" w:rsidR="0085622A" w:rsidRDefault="003A674F">
            <w:pPr>
              <w:jc w:val="center"/>
              <w:rPr>
                <w:b/>
                <w:bCs/>
                <w:color w:val="000000"/>
                <w:sz w:val="20"/>
                <w:szCs w:val="20"/>
              </w:rPr>
            </w:pPr>
            <w:r>
              <w:rPr>
                <w:b/>
                <w:bCs/>
                <w:color w:val="000000"/>
                <w:sz w:val="20"/>
                <w:szCs w:val="20"/>
              </w:rPr>
              <w:t>2020</w:t>
            </w:r>
          </w:p>
        </w:tc>
        <w:tc>
          <w:tcPr>
            <w:tcW w:w="569" w:type="pct"/>
            <w:shd w:val="clear" w:color="auto" w:fill="B4C6E7" w:themeFill="accent1" w:themeFillTint="66"/>
            <w:noWrap/>
            <w:vAlign w:val="bottom"/>
          </w:tcPr>
          <w:p w14:paraId="2B6B69A8" w14:textId="77777777" w:rsidR="0085622A" w:rsidRDefault="003A674F">
            <w:pPr>
              <w:jc w:val="center"/>
              <w:rPr>
                <w:b/>
                <w:bCs/>
                <w:color w:val="000000"/>
                <w:sz w:val="20"/>
                <w:szCs w:val="20"/>
              </w:rPr>
            </w:pPr>
            <w:r>
              <w:rPr>
                <w:b/>
                <w:bCs/>
                <w:color w:val="000000"/>
                <w:sz w:val="20"/>
                <w:szCs w:val="20"/>
              </w:rPr>
              <w:t>2021</w:t>
            </w:r>
          </w:p>
        </w:tc>
        <w:tc>
          <w:tcPr>
            <w:tcW w:w="532" w:type="pct"/>
            <w:shd w:val="clear" w:color="auto" w:fill="B4C6E7" w:themeFill="accent1" w:themeFillTint="66"/>
            <w:noWrap/>
            <w:vAlign w:val="bottom"/>
          </w:tcPr>
          <w:p w14:paraId="52C10AD3" w14:textId="77777777" w:rsidR="0085622A" w:rsidRDefault="003A674F">
            <w:pPr>
              <w:jc w:val="center"/>
              <w:rPr>
                <w:b/>
                <w:bCs/>
                <w:color w:val="000000"/>
                <w:sz w:val="20"/>
                <w:szCs w:val="20"/>
              </w:rPr>
            </w:pPr>
            <w:r>
              <w:rPr>
                <w:b/>
                <w:bCs/>
                <w:color w:val="000000"/>
                <w:sz w:val="20"/>
                <w:szCs w:val="20"/>
              </w:rPr>
              <w:t>2022</w:t>
            </w:r>
          </w:p>
        </w:tc>
      </w:tr>
      <w:tr w:rsidR="0085622A" w14:paraId="400AA6D4" w14:textId="77777777">
        <w:trPr>
          <w:trHeight w:val="373"/>
        </w:trPr>
        <w:tc>
          <w:tcPr>
            <w:tcW w:w="841" w:type="pct"/>
            <w:shd w:val="clear" w:color="auto" w:fill="auto"/>
            <w:noWrap/>
            <w:vAlign w:val="bottom"/>
          </w:tcPr>
          <w:p w14:paraId="0BF8382F" w14:textId="77777777" w:rsidR="0085622A" w:rsidRDefault="003A674F">
            <w:pPr>
              <w:rPr>
                <w:b/>
                <w:bCs/>
                <w:color w:val="000000"/>
                <w:sz w:val="20"/>
                <w:szCs w:val="20"/>
              </w:rPr>
            </w:pPr>
            <w:r>
              <w:rPr>
                <w:b/>
                <w:bCs/>
                <w:color w:val="000000"/>
                <w:sz w:val="20"/>
                <w:szCs w:val="20"/>
              </w:rPr>
              <w:t>Pavisam</w:t>
            </w:r>
          </w:p>
        </w:tc>
        <w:tc>
          <w:tcPr>
            <w:tcW w:w="1921" w:type="pct"/>
            <w:shd w:val="clear" w:color="auto" w:fill="auto"/>
            <w:noWrap/>
            <w:vAlign w:val="bottom"/>
          </w:tcPr>
          <w:p w14:paraId="4C902589" w14:textId="77777777" w:rsidR="0085622A" w:rsidRDefault="003A674F">
            <w:pPr>
              <w:rPr>
                <w:b/>
                <w:bCs/>
                <w:color w:val="000000"/>
                <w:sz w:val="20"/>
                <w:szCs w:val="20"/>
              </w:rPr>
            </w:pPr>
            <w:r>
              <w:rPr>
                <w:b/>
                <w:bCs/>
                <w:color w:val="000000"/>
                <w:sz w:val="20"/>
                <w:szCs w:val="20"/>
              </w:rPr>
              <w:t>..Ar minimālo darba algu vai mazāk</w:t>
            </w:r>
          </w:p>
        </w:tc>
        <w:tc>
          <w:tcPr>
            <w:tcW w:w="567" w:type="pct"/>
            <w:shd w:val="clear" w:color="auto" w:fill="auto"/>
            <w:noWrap/>
            <w:vAlign w:val="bottom"/>
          </w:tcPr>
          <w:p w14:paraId="50FCD707" w14:textId="77777777" w:rsidR="0085622A" w:rsidRDefault="003A674F">
            <w:pPr>
              <w:jc w:val="right"/>
              <w:rPr>
                <w:color w:val="000000"/>
                <w:sz w:val="20"/>
                <w:szCs w:val="20"/>
              </w:rPr>
            </w:pPr>
            <w:r>
              <w:rPr>
                <w:color w:val="000000"/>
                <w:sz w:val="20"/>
                <w:szCs w:val="20"/>
              </w:rPr>
              <w:t>152 666</w:t>
            </w:r>
          </w:p>
        </w:tc>
        <w:tc>
          <w:tcPr>
            <w:tcW w:w="567" w:type="pct"/>
            <w:shd w:val="clear" w:color="auto" w:fill="auto"/>
            <w:noWrap/>
            <w:vAlign w:val="bottom"/>
          </w:tcPr>
          <w:p w14:paraId="0ED214B8" w14:textId="77777777" w:rsidR="0085622A" w:rsidRDefault="003A674F">
            <w:pPr>
              <w:jc w:val="right"/>
              <w:rPr>
                <w:color w:val="000000"/>
                <w:sz w:val="20"/>
                <w:szCs w:val="20"/>
              </w:rPr>
            </w:pPr>
            <w:r>
              <w:rPr>
                <w:color w:val="000000"/>
                <w:sz w:val="20"/>
                <w:szCs w:val="20"/>
              </w:rPr>
              <w:t>140 230</w:t>
            </w:r>
          </w:p>
        </w:tc>
        <w:tc>
          <w:tcPr>
            <w:tcW w:w="569" w:type="pct"/>
            <w:shd w:val="clear" w:color="auto" w:fill="auto"/>
            <w:noWrap/>
            <w:vAlign w:val="bottom"/>
          </w:tcPr>
          <w:p w14:paraId="2C717CE9" w14:textId="77777777" w:rsidR="0085622A" w:rsidRDefault="003A674F">
            <w:pPr>
              <w:jc w:val="right"/>
              <w:rPr>
                <w:color w:val="000000"/>
                <w:sz w:val="20"/>
                <w:szCs w:val="20"/>
              </w:rPr>
            </w:pPr>
            <w:r>
              <w:rPr>
                <w:color w:val="000000"/>
                <w:sz w:val="20"/>
                <w:szCs w:val="20"/>
              </w:rPr>
              <w:t>149 173</w:t>
            </w:r>
          </w:p>
        </w:tc>
        <w:tc>
          <w:tcPr>
            <w:tcW w:w="532" w:type="pct"/>
            <w:shd w:val="clear" w:color="auto" w:fill="auto"/>
            <w:noWrap/>
            <w:vAlign w:val="bottom"/>
          </w:tcPr>
          <w:p w14:paraId="18D1B49D" w14:textId="77777777" w:rsidR="0085622A" w:rsidRDefault="003A674F">
            <w:pPr>
              <w:jc w:val="right"/>
              <w:rPr>
                <w:color w:val="000000"/>
                <w:sz w:val="20"/>
                <w:szCs w:val="20"/>
              </w:rPr>
            </w:pPr>
            <w:r>
              <w:rPr>
                <w:rFonts w:eastAsia="sans-serif"/>
                <w:color w:val="000000"/>
                <w:sz w:val="20"/>
                <w:szCs w:val="20"/>
              </w:rPr>
              <w:t>123 143</w:t>
            </w:r>
          </w:p>
        </w:tc>
      </w:tr>
      <w:tr w:rsidR="0085622A" w14:paraId="2A05959E" w14:textId="77777777">
        <w:trPr>
          <w:trHeight w:val="373"/>
        </w:trPr>
        <w:tc>
          <w:tcPr>
            <w:tcW w:w="841" w:type="pct"/>
            <w:shd w:val="clear" w:color="auto" w:fill="auto"/>
            <w:noWrap/>
            <w:vAlign w:val="bottom"/>
          </w:tcPr>
          <w:p w14:paraId="73AEEAE7" w14:textId="77777777" w:rsidR="0085622A" w:rsidRDefault="0085622A">
            <w:pPr>
              <w:rPr>
                <w:b/>
                <w:bCs/>
                <w:color w:val="000000"/>
                <w:sz w:val="20"/>
                <w:szCs w:val="20"/>
              </w:rPr>
            </w:pPr>
          </w:p>
        </w:tc>
        <w:tc>
          <w:tcPr>
            <w:tcW w:w="1921" w:type="pct"/>
            <w:shd w:val="clear" w:color="auto" w:fill="auto"/>
            <w:noWrap/>
            <w:vAlign w:val="bottom"/>
          </w:tcPr>
          <w:p w14:paraId="1876A298" w14:textId="77777777" w:rsidR="0085622A" w:rsidRDefault="003A674F">
            <w:pPr>
              <w:rPr>
                <w:b/>
                <w:bCs/>
                <w:color w:val="000000"/>
                <w:sz w:val="20"/>
                <w:szCs w:val="20"/>
              </w:rPr>
            </w:pPr>
            <w:r>
              <w:rPr>
                <w:b/>
                <w:bCs/>
                <w:color w:val="000000"/>
                <w:sz w:val="20"/>
                <w:szCs w:val="20"/>
              </w:rPr>
              <w:t>Īpatsvars no darba ņēmēju skaita ar darba ienākumiem, %</w:t>
            </w:r>
          </w:p>
        </w:tc>
        <w:tc>
          <w:tcPr>
            <w:tcW w:w="567" w:type="pct"/>
            <w:shd w:val="clear" w:color="auto" w:fill="auto"/>
            <w:noWrap/>
            <w:vAlign w:val="bottom"/>
          </w:tcPr>
          <w:p w14:paraId="1A4872AB" w14:textId="77777777" w:rsidR="0085622A" w:rsidRDefault="003A674F">
            <w:pPr>
              <w:jc w:val="right"/>
              <w:rPr>
                <w:color w:val="000000"/>
                <w:sz w:val="20"/>
                <w:szCs w:val="20"/>
              </w:rPr>
            </w:pPr>
            <w:r>
              <w:rPr>
                <w:color w:val="000000"/>
                <w:sz w:val="20"/>
                <w:szCs w:val="20"/>
              </w:rPr>
              <w:t>18.9</w:t>
            </w:r>
          </w:p>
        </w:tc>
        <w:tc>
          <w:tcPr>
            <w:tcW w:w="567" w:type="pct"/>
            <w:shd w:val="clear" w:color="auto" w:fill="auto"/>
            <w:noWrap/>
            <w:vAlign w:val="bottom"/>
          </w:tcPr>
          <w:p w14:paraId="6863CE9A" w14:textId="77777777" w:rsidR="0085622A" w:rsidRDefault="003A674F">
            <w:pPr>
              <w:jc w:val="right"/>
              <w:rPr>
                <w:color w:val="000000"/>
                <w:sz w:val="20"/>
                <w:szCs w:val="20"/>
              </w:rPr>
            </w:pPr>
            <w:r>
              <w:rPr>
                <w:color w:val="000000"/>
                <w:sz w:val="20"/>
                <w:szCs w:val="20"/>
              </w:rPr>
              <w:t>18.6</w:t>
            </w:r>
          </w:p>
        </w:tc>
        <w:tc>
          <w:tcPr>
            <w:tcW w:w="569" w:type="pct"/>
            <w:shd w:val="clear" w:color="auto" w:fill="auto"/>
            <w:noWrap/>
            <w:vAlign w:val="bottom"/>
          </w:tcPr>
          <w:p w14:paraId="57F9EAE5" w14:textId="77777777" w:rsidR="0085622A" w:rsidRDefault="003A674F">
            <w:pPr>
              <w:jc w:val="right"/>
              <w:rPr>
                <w:color w:val="000000"/>
                <w:sz w:val="20"/>
                <w:szCs w:val="20"/>
              </w:rPr>
            </w:pPr>
            <w:r>
              <w:rPr>
                <w:color w:val="000000"/>
                <w:sz w:val="20"/>
                <w:szCs w:val="20"/>
              </w:rPr>
              <w:t>19.4</w:t>
            </w:r>
          </w:p>
        </w:tc>
        <w:tc>
          <w:tcPr>
            <w:tcW w:w="532" w:type="pct"/>
            <w:shd w:val="clear" w:color="auto" w:fill="auto"/>
            <w:noWrap/>
            <w:vAlign w:val="bottom"/>
          </w:tcPr>
          <w:p w14:paraId="29B5442F" w14:textId="77777777" w:rsidR="0085622A" w:rsidRDefault="003A674F">
            <w:pPr>
              <w:jc w:val="right"/>
              <w:rPr>
                <w:color w:val="000000"/>
                <w:sz w:val="20"/>
                <w:szCs w:val="20"/>
              </w:rPr>
            </w:pPr>
            <w:r>
              <w:rPr>
                <w:color w:val="000000"/>
                <w:sz w:val="20"/>
                <w:szCs w:val="20"/>
              </w:rPr>
              <w:t>16.0</w:t>
            </w:r>
          </w:p>
        </w:tc>
      </w:tr>
      <w:tr w:rsidR="0085622A" w14:paraId="7D2A9FDF" w14:textId="77777777">
        <w:trPr>
          <w:trHeight w:val="373"/>
        </w:trPr>
        <w:tc>
          <w:tcPr>
            <w:tcW w:w="841" w:type="pct"/>
            <w:shd w:val="clear" w:color="auto" w:fill="auto"/>
            <w:noWrap/>
            <w:vAlign w:val="bottom"/>
          </w:tcPr>
          <w:p w14:paraId="3349A05F" w14:textId="77777777" w:rsidR="0085622A" w:rsidRDefault="003A674F">
            <w:pPr>
              <w:rPr>
                <w:b/>
                <w:bCs/>
                <w:color w:val="000000"/>
                <w:sz w:val="20"/>
                <w:szCs w:val="20"/>
              </w:rPr>
            </w:pPr>
            <w:r>
              <w:rPr>
                <w:b/>
                <w:bCs/>
                <w:color w:val="000000"/>
                <w:sz w:val="20"/>
                <w:szCs w:val="20"/>
              </w:rPr>
              <w:t>Sabiedriskajā sektorā</w:t>
            </w:r>
          </w:p>
        </w:tc>
        <w:tc>
          <w:tcPr>
            <w:tcW w:w="1921" w:type="pct"/>
            <w:shd w:val="clear" w:color="auto" w:fill="auto"/>
            <w:noWrap/>
            <w:vAlign w:val="bottom"/>
          </w:tcPr>
          <w:p w14:paraId="2A9A2B6A" w14:textId="77777777" w:rsidR="0085622A" w:rsidRDefault="003A674F">
            <w:pPr>
              <w:rPr>
                <w:b/>
                <w:bCs/>
                <w:color w:val="000000"/>
                <w:sz w:val="20"/>
                <w:szCs w:val="20"/>
              </w:rPr>
            </w:pPr>
            <w:r>
              <w:rPr>
                <w:b/>
                <w:bCs/>
                <w:color w:val="000000"/>
                <w:sz w:val="20"/>
                <w:szCs w:val="20"/>
              </w:rPr>
              <w:t>..Ar minimālo darba algu vai mazāk</w:t>
            </w:r>
          </w:p>
        </w:tc>
        <w:tc>
          <w:tcPr>
            <w:tcW w:w="567" w:type="pct"/>
            <w:shd w:val="clear" w:color="auto" w:fill="auto"/>
            <w:noWrap/>
            <w:vAlign w:val="bottom"/>
          </w:tcPr>
          <w:p w14:paraId="77803F3F" w14:textId="77777777" w:rsidR="0085622A" w:rsidRDefault="003A674F">
            <w:pPr>
              <w:jc w:val="right"/>
              <w:rPr>
                <w:color w:val="000000"/>
                <w:sz w:val="20"/>
                <w:szCs w:val="20"/>
              </w:rPr>
            </w:pPr>
            <w:r>
              <w:rPr>
                <w:color w:val="000000"/>
                <w:sz w:val="20"/>
                <w:szCs w:val="20"/>
              </w:rPr>
              <w:t>26 976</w:t>
            </w:r>
          </w:p>
        </w:tc>
        <w:tc>
          <w:tcPr>
            <w:tcW w:w="567" w:type="pct"/>
            <w:shd w:val="clear" w:color="auto" w:fill="auto"/>
            <w:noWrap/>
            <w:vAlign w:val="bottom"/>
          </w:tcPr>
          <w:p w14:paraId="0E074781" w14:textId="77777777" w:rsidR="0085622A" w:rsidRDefault="003A674F">
            <w:pPr>
              <w:jc w:val="right"/>
              <w:rPr>
                <w:color w:val="000000"/>
                <w:sz w:val="20"/>
                <w:szCs w:val="20"/>
              </w:rPr>
            </w:pPr>
            <w:r>
              <w:rPr>
                <w:color w:val="000000"/>
                <w:sz w:val="20"/>
                <w:szCs w:val="20"/>
              </w:rPr>
              <w:t>24 262</w:t>
            </w:r>
          </w:p>
        </w:tc>
        <w:tc>
          <w:tcPr>
            <w:tcW w:w="569" w:type="pct"/>
            <w:shd w:val="clear" w:color="auto" w:fill="auto"/>
            <w:noWrap/>
            <w:vAlign w:val="bottom"/>
          </w:tcPr>
          <w:p w14:paraId="484EDDD4" w14:textId="77777777" w:rsidR="0085622A" w:rsidRDefault="003A674F">
            <w:pPr>
              <w:jc w:val="right"/>
              <w:rPr>
                <w:color w:val="000000"/>
                <w:sz w:val="20"/>
                <w:szCs w:val="20"/>
              </w:rPr>
            </w:pPr>
            <w:r>
              <w:rPr>
                <w:color w:val="000000"/>
                <w:sz w:val="20"/>
                <w:szCs w:val="20"/>
              </w:rPr>
              <w:t>30 033</w:t>
            </w:r>
          </w:p>
        </w:tc>
        <w:tc>
          <w:tcPr>
            <w:tcW w:w="532" w:type="pct"/>
            <w:shd w:val="clear" w:color="auto" w:fill="auto"/>
            <w:noWrap/>
            <w:vAlign w:val="bottom"/>
          </w:tcPr>
          <w:p w14:paraId="14A0F02D" w14:textId="77777777" w:rsidR="0085622A" w:rsidRDefault="003A674F">
            <w:pPr>
              <w:jc w:val="right"/>
              <w:rPr>
                <w:color w:val="000000"/>
                <w:sz w:val="20"/>
                <w:szCs w:val="20"/>
              </w:rPr>
            </w:pPr>
            <w:r>
              <w:rPr>
                <w:rFonts w:eastAsia="sans-serif"/>
                <w:color w:val="000000"/>
                <w:sz w:val="20"/>
                <w:szCs w:val="20"/>
              </w:rPr>
              <w:t>26 032</w:t>
            </w:r>
          </w:p>
        </w:tc>
      </w:tr>
      <w:tr w:rsidR="0085622A" w14:paraId="5B4800B6" w14:textId="77777777">
        <w:trPr>
          <w:trHeight w:val="373"/>
        </w:trPr>
        <w:tc>
          <w:tcPr>
            <w:tcW w:w="841" w:type="pct"/>
            <w:shd w:val="clear" w:color="auto" w:fill="auto"/>
            <w:noWrap/>
            <w:vAlign w:val="bottom"/>
          </w:tcPr>
          <w:p w14:paraId="674430AF" w14:textId="77777777" w:rsidR="0085622A" w:rsidRDefault="0085622A">
            <w:pPr>
              <w:rPr>
                <w:b/>
                <w:bCs/>
                <w:color w:val="000000"/>
                <w:sz w:val="20"/>
                <w:szCs w:val="20"/>
              </w:rPr>
            </w:pPr>
          </w:p>
        </w:tc>
        <w:tc>
          <w:tcPr>
            <w:tcW w:w="1921" w:type="pct"/>
            <w:shd w:val="clear" w:color="auto" w:fill="auto"/>
            <w:noWrap/>
            <w:vAlign w:val="bottom"/>
          </w:tcPr>
          <w:p w14:paraId="3E0CA163" w14:textId="77777777" w:rsidR="0085622A" w:rsidRDefault="003A674F">
            <w:pPr>
              <w:rPr>
                <w:b/>
                <w:bCs/>
                <w:color w:val="000000"/>
                <w:sz w:val="20"/>
                <w:szCs w:val="20"/>
              </w:rPr>
            </w:pPr>
            <w:r>
              <w:rPr>
                <w:b/>
                <w:bCs/>
                <w:color w:val="000000"/>
                <w:sz w:val="20"/>
                <w:szCs w:val="20"/>
              </w:rPr>
              <w:t>Īpatsvars no darba ņēmēju skaita ar darba ienākumiem, %</w:t>
            </w:r>
          </w:p>
        </w:tc>
        <w:tc>
          <w:tcPr>
            <w:tcW w:w="567" w:type="pct"/>
            <w:shd w:val="clear" w:color="auto" w:fill="auto"/>
            <w:noWrap/>
            <w:vAlign w:val="bottom"/>
          </w:tcPr>
          <w:p w14:paraId="05981774" w14:textId="77777777" w:rsidR="0085622A" w:rsidRDefault="003A674F">
            <w:pPr>
              <w:jc w:val="right"/>
              <w:rPr>
                <w:color w:val="000000"/>
                <w:sz w:val="20"/>
                <w:szCs w:val="20"/>
              </w:rPr>
            </w:pPr>
            <w:r>
              <w:rPr>
                <w:color w:val="000000"/>
                <w:sz w:val="20"/>
                <w:szCs w:val="20"/>
              </w:rPr>
              <w:t>11.4</w:t>
            </w:r>
          </w:p>
        </w:tc>
        <w:tc>
          <w:tcPr>
            <w:tcW w:w="567" w:type="pct"/>
            <w:shd w:val="clear" w:color="auto" w:fill="auto"/>
            <w:noWrap/>
            <w:vAlign w:val="bottom"/>
          </w:tcPr>
          <w:p w14:paraId="36C8715E" w14:textId="77777777" w:rsidR="0085622A" w:rsidRDefault="003A674F">
            <w:pPr>
              <w:jc w:val="right"/>
              <w:rPr>
                <w:color w:val="000000"/>
                <w:sz w:val="20"/>
                <w:szCs w:val="20"/>
              </w:rPr>
            </w:pPr>
            <w:r>
              <w:rPr>
                <w:color w:val="000000"/>
                <w:sz w:val="20"/>
                <w:szCs w:val="20"/>
              </w:rPr>
              <w:t>10.4</w:t>
            </w:r>
          </w:p>
        </w:tc>
        <w:tc>
          <w:tcPr>
            <w:tcW w:w="569" w:type="pct"/>
            <w:shd w:val="clear" w:color="auto" w:fill="auto"/>
            <w:noWrap/>
            <w:vAlign w:val="bottom"/>
          </w:tcPr>
          <w:p w14:paraId="42B1EDC7" w14:textId="77777777" w:rsidR="0085622A" w:rsidRDefault="003A674F">
            <w:pPr>
              <w:jc w:val="right"/>
              <w:rPr>
                <w:color w:val="000000"/>
                <w:sz w:val="20"/>
                <w:szCs w:val="20"/>
              </w:rPr>
            </w:pPr>
            <w:r>
              <w:rPr>
                <w:color w:val="000000"/>
                <w:sz w:val="20"/>
                <w:szCs w:val="20"/>
              </w:rPr>
              <w:t>13.0</w:t>
            </w:r>
          </w:p>
        </w:tc>
        <w:tc>
          <w:tcPr>
            <w:tcW w:w="532" w:type="pct"/>
            <w:shd w:val="clear" w:color="auto" w:fill="auto"/>
            <w:noWrap/>
            <w:vAlign w:val="bottom"/>
          </w:tcPr>
          <w:p w14:paraId="3EFBC1D6" w14:textId="77777777" w:rsidR="0085622A" w:rsidRDefault="003A674F">
            <w:pPr>
              <w:jc w:val="right"/>
              <w:rPr>
                <w:color w:val="000000"/>
                <w:sz w:val="20"/>
                <w:szCs w:val="20"/>
              </w:rPr>
            </w:pPr>
            <w:r>
              <w:rPr>
                <w:color w:val="000000"/>
                <w:sz w:val="20"/>
                <w:szCs w:val="20"/>
              </w:rPr>
              <w:t>11.4</w:t>
            </w:r>
          </w:p>
        </w:tc>
      </w:tr>
      <w:tr w:rsidR="0085622A" w14:paraId="6F90EFB3" w14:textId="77777777">
        <w:trPr>
          <w:trHeight w:val="373"/>
        </w:trPr>
        <w:tc>
          <w:tcPr>
            <w:tcW w:w="841" w:type="pct"/>
            <w:shd w:val="clear" w:color="auto" w:fill="auto"/>
            <w:noWrap/>
            <w:vAlign w:val="bottom"/>
          </w:tcPr>
          <w:p w14:paraId="74503B61" w14:textId="77777777" w:rsidR="0085622A" w:rsidRDefault="003A674F">
            <w:pPr>
              <w:rPr>
                <w:b/>
                <w:bCs/>
                <w:color w:val="000000"/>
                <w:sz w:val="20"/>
                <w:szCs w:val="20"/>
              </w:rPr>
            </w:pPr>
            <w:r>
              <w:rPr>
                <w:b/>
                <w:bCs/>
                <w:color w:val="000000"/>
                <w:sz w:val="20"/>
                <w:szCs w:val="20"/>
              </w:rPr>
              <w:t>Privātajā sektorā</w:t>
            </w:r>
          </w:p>
        </w:tc>
        <w:tc>
          <w:tcPr>
            <w:tcW w:w="1921" w:type="pct"/>
            <w:shd w:val="clear" w:color="auto" w:fill="auto"/>
            <w:noWrap/>
            <w:vAlign w:val="bottom"/>
          </w:tcPr>
          <w:p w14:paraId="4502DC58" w14:textId="77777777" w:rsidR="0085622A" w:rsidRDefault="003A674F">
            <w:pPr>
              <w:rPr>
                <w:b/>
                <w:bCs/>
                <w:color w:val="000000"/>
                <w:sz w:val="20"/>
                <w:szCs w:val="20"/>
              </w:rPr>
            </w:pPr>
            <w:r>
              <w:rPr>
                <w:b/>
                <w:bCs/>
                <w:color w:val="000000"/>
                <w:sz w:val="20"/>
                <w:szCs w:val="20"/>
              </w:rPr>
              <w:t>..Ar minimālo darba algu vai mazāk</w:t>
            </w:r>
          </w:p>
        </w:tc>
        <w:tc>
          <w:tcPr>
            <w:tcW w:w="567" w:type="pct"/>
            <w:shd w:val="clear" w:color="auto" w:fill="auto"/>
            <w:noWrap/>
            <w:vAlign w:val="bottom"/>
          </w:tcPr>
          <w:p w14:paraId="19CBE939" w14:textId="77777777" w:rsidR="0085622A" w:rsidRDefault="003A674F">
            <w:pPr>
              <w:jc w:val="right"/>
              <w:rPr>
                <w:color w:val="000000"/>
                <w:sz w:val="20"/>
                <w:szCs w:val="20"/>
              </w:rPr>
            </w:pPr>
            <w:r>
              <w:rPr>
                <w:color w:val="000000"/>
                <w:sz w:val="20"/>
                <w:szCs w:val="20"/>
              </w:rPr>
              <w:t>122 802</w:t>
            </w:r>
          </w:p>
        </w:tc>
        <w:tc>
          <w:tcPr>
            <w:tcW w:w="567" w:type="pct"/>
            <w:shd w:val="clear" w:color="auto" w:fill="auto"/>
            <w:noWrap/>
            <w:vAlign w:val="bottom"/>
          </w:tcPr>
          <w:p w14:paraId="3EBEED99" w14:textId="77777777" w:rsidR="0085622A" w:rsidRDefault="003A674F">
            <w:pPr>
              <w:jc w:val="right"/>
              <w:rPr>
                <w:color w:val="000000"/>
                <w:sz w:val="20"/>
                <w:szCs w:val="20"/>
              </w:rPr>
            </w:pPr>
            <w:r>
              <w:rPr>
                <w:color w:val="000000"/>
                <w:sz w:val="20"/>
                <w:szCs w:val="20"/>
              </w:rPr>
              <w:t>113 070</w:t>
            </w:r>
          </w:p>
        </w:tc>
        <w:tc>
          <w:tcPr>
            <w:tcW w:w="569" w:type="pct"/>
            <w:shd w:val="clear" w:color="auto" w:fill="auto"/>
            <w:noWrap/>
            <w:vAlign w:val="bottom"/>
          </w:tcPr>
          <w:p w14:paraId="3DADE1C5" w14:textId="77777777" w:rsidR="0085622A" w:rsidRDefault="003A674F">
            <w:pPr>
              <w:jc w:val="right"/>
              <w:rPr>
                <w:color w:val="000000"/>
                <w:sz w:val="20"/>
                <w:szCs w:val="20"/>
              </w:rPr>
            </w:pPr>
            <w:r>
              <w:rPr>
                <w:color w:val="000000"/>
                <w:sz w:val="20"/>
                <w:szCs w:val="20"/>
              </w:rPr>
              <w:t>116 103</w:t>
            </w:r>
          </w:p>
        </w:tc>
        <w:tc>
          <w:tcPr>
            <w:tcW w:w="532" w:type="pct"/>
            <w:shd w:val="clear" w:color="auto" w:fill="auto"/>
            <w:noWrap/>
            <w:vAlign w:val="bottom"/>
          </w:tcPr>
          <w:p w14:paraId="52BB1E94" w14:textId="77777777" w:rsidR="0085622A" w:rsidRDefault="003A674F">
            <w:pPr>
              <w:jc w:val="right"/>
              <w:rPr>
                <w:color w:val="000000"/>
                <w:sz w:val="20"/>
                <w:szCs w:val="20"/>
              </w:rPr>
            </w:pPr>
            <w:r>
              <w:rPr>
                <w:rFonts w:eastAsia="sans-serif"/>
                <w:color w:val="000000"/>
                <w:sz w:val="20"/>
                <w:szCs w:val="20"/>
              </w:rPr>
              <w:t>94 190</w:t>
            </w:r>
          </w:p>
        </w:tc>
      </w:tr>
      <w:tr w:rsidR="0085622A" w14:paraId="2129EFC8" w14:textId="77777777">
        <w:trPr>
          <w:trHeight w:val="373"/>
        </w:trPr>
        <w:tc>
          <w:tcPr>
            <w:tcW w:w="841" w:type="pct"/>
            <w:shd w:val="clear" w:color="auto" w:fill="auto"/>
            <w:noWrap/>
            <w:vAlign w:val="bottom"/>
          </w:tcPr>
          <w:p w14:paraId="2648A15C" w14:textId="77777777" w:rsidR="0085622A" w:rsidRDefault="0085622A">
            <w:pPr>
              <w:rPr>
                <w:b/>
                <w:bCs/>
                <w:color w:val="000000"/>
                <w:sz w:val="20"/>
                <w:szCs w:val="20"/>
              </w:rPr>
            </w:pPr>
          </w:p>
        </w:tc>
        <w:tc>
          <w:tcPr>
            <w:tcW w:w="1921" w:type="pct"/>
            <w:shd w:val="clear" w:color="auto" w:fill="auto"/>
            <w:noWrap/>
            <w:vAlign w:val="bottom"/>
          </w:tcPr>
          <w:p w14:paraId="4B631FA9" w14:textId="77777777" w:rsidR="0085622A" w:rsidRDefault="003A674F">
            <w:pPr>
              <w:rPr>
                <w:b/>
                <w:bCs/>
                <w:color w:val="000000"/>
                <w:sz w:val="20"/>
                <w:szCs w:val="20"/>
              </w:rPr>
            </w:pPr>
            <w:r>
              <w:rPr>
                <w:b/>
                <w:bCs/>
                <w:color w:val="000000"/>
                <w:sz w:val="20"/>
                <w:szCs w:val="20"/>
              </w:rPr>
              <w:t>Īpatsvars no darba ņēmēju skaita ar darba ienākumiem, %</w:t>
            </w:r>
          </w:p>
        </w:tc>
        <w:tc>
          <w:tcPr>
            <w:tcW w:w="567" w:type="pct"/>
            <w:shd w:val="clear" w:color="auto" w:fill="auto"/>
            <w:noWrap/>
            <w:vAlign w:val="bottom"/>
          </w:tcPr>
          <w:p w14:paraId="34C27D0C" w14:textId="77777777" w:rsidR="0085622A" w:rsidRDefault="003A674F">
            <w:pPr>
              <w:jc w:val="right"/>
              <w:rPr>
                <w:color w:val="000000"/>
                <w:sz w:val="20"/>
                <w:szCs w:val="20"/>
              </w:rPr>
            </w:pPr>
            <w:r>
              <w:rPr>
                <w:color w:val="000000"/>
                <w:sz w:val="20"/>
                <w:szCs w:val="20"/>
              </w:rPr>
              <w:t>21.8</w:t>
            </w:r>
          </w:p>
        </w:tc>
        <w:tc>
          <w:tcPr>
            <w:tcW w:w="567" w:type="pct"/>
            <w:shd w:val="clear" w:color="auto" w:fill="auto"/>
            <w:noWrap/>
            <w:vAlign w:val="bottom"/>
          </w:tcPr>
          <w:p w14:paraId="2444095B" w14:textId="77777777" w:rsidR="0085622A" w:rsidRDefault="003A674F">
            <w:pPr>
              <w:jc w:val="right"/>
              <w:rPr>
                <w:color w:val="000000"/>
                <w:sz w:val="20"/>
                <w:szCs w:val="20"/>
              </w:rPr>
            </w:pPr>
            <w:r>
              <w:rPr>
                <w:color w:val="000000"/>
                <w:sz w:val="20"/>
                <w:szCs w:val="20"/>
              </w:rPr>
              <w:t>21.2</w:t>
            </w:r>
          </w:p>
        </w:tc>
        <w:tc>
          <w:tcPr>
            <w:tcW w:w="569" w:type="pct"/>
            <w:shd w:val="clear" w:color="auto" w:fill="auto"/>
            <w:noWrap/>
            <w:vAlign w:val="bottom"/>
          </w:tcPr>
          <w:p w14:paraId="6127B349" w14:textId="77777777" w:rsidR="0085622A" w:rsidRDefault="003A674F">
            <w:pPr>
              <w:jc w:val="right"/>
              <w:rPr>
                <w:color w:val="000000"/>
                <w:sz w:val="20"/>
                <w:szCs w:val="20"/>
              </w:rPr>
            </w:pPr>
            <w:r>
              <w:rPr>
                <w:color w:val="000000"/>
                <w:sz w:val="20"/>
                <w:szCs w:val="20"/>
              </w:rPr>
              <w:t>22.0</w:t>
            </w:r>
          </w:p>
        </w:tc>
        <w:tc>
          <w:tcPr>
            <w:tcW w:w="532" w:type="pct"/>
            <w:shd w:val="clear" w:color="auto" w:fill="auto"/>
            <w:noWrap/>
            <w:vAlign w:val="bottom"/>
          </w:tcPr>
          <w:p w14:paraId="4B15DF72" w14:textId="77777777" w:rsidR="0085622A" w:rsidRDefault="003A674F">
            <w:pPr>
              <w:jc w:val="right"/>
              <w:rPr>
                <w:color w:val="000000"/>
                <w:sz w:val="20"/>
                <w:szCs w:val="20"/>
              </w:rPr>
            </w:pPr>
            <w:r>
              <w:rPr>
                <w:color w:val="000000"/>
                <w:sz w:val="20"/>
                <w:szCs w:val="20"/>
              </w:rPr>
              <w:t>17.7</w:t>
            </w:r>
          </w:p>
        </w:tc>
      </w:tr>
    </w:tbl>
    <w:p w14:paraId="60E09D8D" w14:textId="77777777" w:rsidR="0085622A" w:rsidRDefault="003A674F">
      <w:pPr>
        <w:ind w:right="-109"/>
        <w:rPr>
          <w:sz w:val="20"/>
          <w:szCs w:val="20"/>
        </w:rPr>
      </w:pPr>
      <w:r>
        <w:rPr>
          <w:sz w:val="20"/>
          <w:szCs w:val="20"/>
        </w:rPr>
        <w:t>Datu avots: CSP,</w:t>
      </w:r>
    </w:p>
    <w:p w14:paraId="24091885" w14:textId="77777777" w:rsidR="0085622A" w:rsidRDefault="00CC4F9C">
      <w:pPr>
        <w:jc w:val="both"/>
        <w:rPr>
          <w:sz w:val="20"/>
          <w:szCs w:val="20"/>
        </w:rPr>
      </w:pPr>
      <w:hyperlink r:id="rId10" w:history="1">
        <w:r w:rsidR="003A674F">
          <w:rPr>
            <w:rStyle w:val="FollowedHyperlink"/>
            <w:sz w:val="20"/>
            <w:szCs w:val="20"/>
          </w:rPr>
          <w:t>https://data.stat.gov.lv/pxweb/lv/OSP_PUB/START__EMP__DS__DSN/DSN010</w:t>
        </w:r>
      </w:hyperlink>
      <w:r w:rsidR="003A674F">
        <w:rPr>
          <w:sz w:val="20"/>
          <w:szCs w:val="20"/>
        </w:rPr>
        <w:t xml:space="preserve"> </w:t>
      </w:r>
    </w:p>
    <w:p w14:paraId="0BFE682F" w14:textId="77777777" w:rsidR="0085622A" w:rsidRDefault="0085622A">
      <w:pPr>
        <w:ind w:right="-109" w:firstLine="720"/>
        <w:jc w:val="both"/>
      </w:pPr>
    </w:p>
    <w:p w14:paraId="39EF7997" w14:textId="77777777" w:rsidR="0085622A" w:rsidRDefault="003A674F">
      <w:pPr>
        <w:ind w:right="-109" w:firstLine="720"/>
        <w:jc w:val="both"/>
      </w:pPr>
      <w:r>
        <w:t xml:space="preserve">CSP dati par darba ņēmēju skaitu, kuriem darba ienākumi bija līdz un minimālās algas apmērā, liecina, ka 2022.gadā no </w:t>
      </w:r>
      <w:r>
        <w:rPr>
          <w:rFonts w:eastAsia="sans-serif"/>
          <w:color w:val="000000"/>
        </w:rPr>
        <w:t>123 143</w:t>
      </w:r>
      <w:r>
        <w:t xml:space="preserve"> darba ņēmējiem privātajā sektorā bija </w:t>
      </w:r>
      <w:r>
        <w:rPr>
          <w:rFonts w:eastAsia="sans-serif"/>
          <w:color w:val="000000"/>
        </w:rPr>
        <w:t>94 190</w:t>
      </w:r>
      <w:r>
        <w:t xml:space="preserve"> darba ņēmēji jeb 17</w:t>
      </w:r>
      <w:r w:rsidR="004D7CBE">
        <w:t>,</w:t>
      </w:r>
      <w:r>
        <w:t xml:space="preserve">7% no privātajā sektorā nodarbinātajiem, savukārt, sabiedriskajā sektorā bija </w:t>
      </w:r>
      <w:r>
        <w:rPr>
          <w:rFonts w:eastAsia="sans-serif"/>
          <w:color w:val="000000"/>
        </w:rPr>
        <w:t>26 032</w:t>
      </w:r>
      <w:r>
        <w:t xml:space="preserve"> darba ņēmēji jeb 11</w:t>
      </w:r>
      <w:r w:rsidR="004D7CBE">
        <w:t>,</w:t>
      </w:r>
      <w:r>
        <w:t>4% no sabiedriskajā sektorā nodarbinātajiem. Laika posmā no 2019. līdz 2021.gadam sabiedriskajā sektorā bija nedaudz pieaudzis minimālas algas un zemāk saņēmušo īpatsvars no 11,4% 2019.gadā līdz 13,0% 2021.gadā</w:t>
      </w:r>
      <w:r w:rsidR="004D7CBE">
        <w:t xml:space="preserve">, </w:t>
      </w:r>
      <w:r>
        <w:t xml:space="preserve">savukārt, privātajā sektorā šāds pieaugums nebija izteikts.  </w:t>
      </w:r>
    </w:p>
    <w:p w14:paraId="47D8BB7F" w14:textId="77777777" w:rsidR="0085622A" w:rsidRDefault="0085622A">
      <w:pPr>
        <w:jc w:val="both"/>
      </w:pPr>
    </w:p>
    <w:p w14:paraId="609DD146" w14:textId="77777777" w:rsidR="0085622A" w:rsidRDefault="003A674F" w:rsidP="001F402C">
      <w:pPr>
        <w:pStyle w:val="Heading1"/>
      </w:pPr>
      <w:bookmarkStart w:id="13" w:name="_Toc148720956"/>
      <w:r>
        <w:t>5. Minimālā darba alga salīdzinājumā ar vidējo algu</w:t>
      </w:r>
      <w:bookmarkEnd w:id="13"/>
    </w:p>
    <w:p w14:paraId="217257FA" w14:textId="77777777" w:rsidR="0085622A" w:rsidRDefault="0085622A">
      <w:pPr>
        <w:jc w:val="both"/>
      </w:pPr>
    </w:p>
    <w:p w14:paraId="3AA5DABA" w14:textId="77777777" w:rsidR="00F12724" w:rsidRPr="00F12724" w:rsidRDefault="00F12724">
      <w:pPr>
        <w:pStyle w:val="NormalWeb"/>
        <w:shd w:val="clear" w:color="auto" w:fill="FFFFFF"/>
        <w:spacing w:before="0" w:beforeAutospacing="0" w:after="0" w:afterAutospacing="0" w:line="210" w:lineRule="atLeast"/>
        <w:ind w:firstLine="720"/>
        <w:jc w:val="both"/>
        <w:textAlignment w:val="baseline"/>
        <w:rPr>
          <w:color w:val="000000"/>
          <w:u w:val="single"/>
        </w:rPr>
      </w:pPr>
      <w:r w:rsidRPr="00F12724">
        <w:rPr>
          <w:color w:val="000000"/>
          <w:u w:val="single"/>
        </w:rPr>
        <w:t>2021.gads</w:t>
      </w:r>
    </w:p>
    <w:p w14:paraId="07C4E14C" w14:textId="77777777" w:rsidR="0085622A" w:rsidRDefault="003A674F">
      <w:pPr>
        <w:pStyle w:val="NormalWeb"/>
        <w:shd w:val="clear" w:color="auto" w:fill="FFFFFF"/>
        <w:spacing w:before="0" w:beforeAutospacing="0" w:after="0" w:afterAutospacing="0" w:line="210" w:lineRule="atLeast"/>
        <w:ind w:firstLine="720"/>
        <w:jc w:val="both"/>
        <w:textAlignment w:val="baseline"/>
        <w:rPr>
          <w:color w:val="000000"/>
        </w:rPr>
      </w:pPr>
      <w:r>
        <w:rPr>
          <w:color w:val="000000"/>
        </w:rPr>
        <w:t xml:space="preserve">Saskaņā ar CSP datiem Latvijā 2021.gadā vidējā bruto (pirms nodokļiem) darba samaksa par pilnas slodzes darbu bija 1277 eiro, kas bija par 11,8% jeb 135 eiro vairāk nekā 2020.gadā. Tostarp privātajā sektorā vidējā bruto darba samaksa 2021.gadā bija augusi par </w:t>
      </w:r>
      <w:r>
        <w:rPr>
          <w:color w:val="000000"/>
        </w:rPr>
        <w:lastRenderedPageBreak/>
        <w:t>11,9%, sasniedzot 1273 eiro, bet sabiedriskajā sektorā vidējā bruto darba samaksa bija palielinājusies par 11,8%, sasniedzot 1293 eiro.</w:t>
      </w:r>
      <w:r w:rsidR="00F12724">
        <w:rPr>
          <w:color w:val="000000"/>
        </w:rPr>
        <w:t xml:space="preserve"> </w:t>
      </w:r>
      <w:r>
        <w:rPr>
          <w:color w:val="000000"/>
        </w:rPr>
        <w:t>Savukārt vidējā neto darba samaksa (aprēķināta, izmantojot darba vietā piemērojamos  darba nodokļus) 2021.gadā Latvijā bija 939 eiro jeb 73,5% no bruto algas. Gada laikā vidējā neto darba samaksa Latvijā pieauga par 11,7%. Vienlaikus neto darba samaksas reālais pieaugums, ņemot vērā patēriņa cenu kāpumu, 2021.gadā bija 8,1%.</w:t>
      </w:r>
    </w:p>
    <w:p w14:paraId="0B3C9148" w14:textId="03FF3ED7" w:rsidR="00F12724" w:rsidRDefault="003A674F" w:rsidP="00593A9C">
      <w:pPr>
        <w:pStyle w:val="NormalWeb"/>
        <w:shd w:val="clear" w:color="auto" w:fill="FFFFFF"/>
        <w:spacing w:before="0" w:beforeAutospacing="0" w:after="0" w:afterAutospacing="0" w:line="210" w:lineRule="atLeast"/>
        <w:ind w:firstLine="720"/>
        <w:jc w:val="both"/>
        <w:textAlignment w:val="baseline"/>
      </w:pPr>
      <w:r>
        <w:t xml:space="preserve">Salīdzinot minimālo darba algu pret vidējo darba samaksu par iepriekšējo jeb 2021.gadu, var secināt, ka 2022.gadā minimālā alga (500 eiro) </w:t>
      </w:r>
      <w:r w:rsidR="00F12724">
        <w:t>bija</w:t>
      </w:r>
      <w:r>
        <w:t xml:space="preserve"> 39,2% no vidējās darba algas (1277 eiro).</w:t>
      </w:r>
    </w:p>
    <w:p w14:paraId="721A6A89" w14:textId="77777777" w:rsidR="00593A9C" w:rsidRPr="00593A9C" w:rsidRDefault="00593A9C" w:rsidP="00593A9C">
      <w:pPr>
        <w:pStyle w:val="NormalWeb"/>
        <w:shd w:val="clear" w:color="auto" w:fill="FFFFFF"/>
        <w:spacing w:before="0" w:beforeAutospacing="0" w:after="0" w:afterAutospacing="0" w:line="210" w:lineRule="atLeast"/>
        <w:ind w:firstLine="720"/>
        <w:jc w:val="both"/>
        <w:textAlignment w:val="baseline"/>
      </w:pPr>
    </w:p>
    <w:p w14:paraId="2D9E2B9C" w14:textId="77777777" w:rsidR="00F12724" w:rsidRPr="00F12724" w:rsidRDefault="00F12724">
      <w:pPr>
        <w:pStyle w:val="NormalWeb"/>
        <w:shd w:val="clear" w:color="auto" w:fill="FFFFFF"/>
        <w:spacing w:before="0" w:beforeAutospacing="0" w:after="0" w:afterAutospacing="0" w:line="210" w:lineRule="atLeast"/>
        <w:ind w:firstLine="720"/>
        <w:jc w:val="both"/>
        <w:textAlignment w:val="baseline"/>
        <w:rPr>
          <w:color w:val="000000"/>
          <w:u w:val="single"/>
        </w:rPr>
      </w:pPr>
      <w:r w:rsidRPr="00F12724">
        <w:rPr>
          <w:color w:val="000000"/>
          <w:u w:val="single"/>
        </w:rPr>
        <w:t>2022.gads</w:t>
      </w:r>
    </w:p>
    <w:p w14:paraId="27FBB8D8" w14:textId="77777777" w:rsidR="00F12724" w:rsidRDefault="00F12724" w:rsidP="00F12724">
      <w:pPr>
        <w:pStyle w:val="NormalWeb"/>
        <w:shd w:val="clear" w:color="auto" w:fill="FFFFFF"/>
        <w:spacing w:before="0" w:beforeAutospacing="0" w:after="0" w:afterAutospacing="0" w:line="210" w:lineRule="atLeast"/>
        <w:ind w:firstLine="720"/>
        <w:jc w:val="both"/>
        <w:textAlignment w:val="baseline"/>
        <w:rPr>
          <w:color w:val="000000"/>
        </w:rPr>
      </w:pPr>
      <w:r>
        <w:rPr>
          <w:color w:val="000000"/>
        </w:rPr>
        <w:t xml:space="preserve">Saskaņā ar CSP datiem Latvijā </w:t>
      </w:r>
      <w:r w:rsidRPr="00F12724">
        <w:rPr>
          <w:color w:val="000000"/>
        </w:rPr>
        <w:t>2022.gadā mēneša vidējā bruto darba samaksa valstī par pilnas slodzes darbu bija 1 373 eiro. Salīdzinot ar 2021. gadu, mēneša vidējais atalgojums palielinājās par 95 eiro jeb 7,5 %, bet samaksa par vienu nostrādāto stundu pirms nodokļu nomaksas – par 6,6 % (no 8,54 līdz 9,10 eiro).</w:t>
      </w:r>
      <w:r>
        <w:rPr>
          <w:color w:val="000000"/>
        </w:rPr>
        <w:t xml:space="preserve"> </w:t>
      </w:r>
      <w:r w:rsidRPr="00F12724">
        <w:rPr>
          <w:color w:val="000000"/>
        </w:rPr>
        <w:t>Vidējā neto darba samaksa (aprēķināta, izmantojot darba vietā piemērojamos darba nodokļus) bija 1 006 eiro jeb 73,3 % no bruto algas, un gada laikā tā pieauga par 7,1 %. Savukārt, ņemot vērā patēriņa cenu kāpumu, neto darba samaksa samazinājās par 8,7 %, kas liecina par algoto darbinieku pirktspējas straujo krišanos.</w:t>
      </w:r>
    </w:p>
    <w:p w14:paraId="7EEF00A5" w14:textId="77777777" w:rsidR="00F12724" w:rsidRPr="00F12724" w:rsidRDefault="00F12724" w:rsidP="00F12724">
      <w:pPr>
        <w:pStyle w:val="NormalWeb"/>
        <w:shd w:val="clear" w:color="auto" w:fill="FFFFFF"/>
        <w:spacing w:before="0" w:beforeAutospacing="0" w:after="0" w:afterAutospacing="0" w:line="210" w:lineRule="atLeast"/>
        <w:ind w:firstLine="720"/>
        <w:jc w:val="both"/>
        <w:textAlignment w:val="baseline"/>
        <w:rPr>
          <w:color w:val="000000"/>
        </w:rPr>
      </w:pPr>
      <w:r w:rsidRPr="00F12724">
        <w:rPr>
          <w:color w:val="000000"/>
        </w:rPr>
        <w:t>Salīdzinot minimālo darba algu pret vidējo darba samaksu par iepriekšējo jeb 202</w:t>
      </w:r>
      <w:r>
        <w:rPr>
          <w:color w:val="000000"/>
        </w:rPr>
        <w:t>2</w:t>
      </w:r>
      <w:r w:rsidRPr="00F12724">
        <w:rPr>
          <w:color w:val="000000"/>
        </w:rPr>
        <w:t>.gadu, var secināt, ka 202</w:t>
      </w:r>
      <w:r>
        <w:rPr>
          <w:color w:val="000000"/>
        </w:rPr>
        <w:t>3</w:t>
      </w:r>
      <w:r w:rsidRPr="00F12724">
        <w:rPr>
          <w:color w:val="000000"/>
        </w:rPr>
        <w:t>.gadā minimālā alga (</w:t>
      </w:r>
      <w:r>
        <w:rPr>
          <w:color w:val="000000"/>
        </w:rPr>
        <w:t>620</w:t>
      </w:r>
      <w:r w:rsidRPr="00F12724">
        <w:rPr>
          <w:color w:val="000000"/>
        </w:rPr>
        <w:t xml:space="preserve"> eiro) </w:t>
      </w:r>
      <w:r w:rsidR="002F0478">
        <w:rPr>
          <w:color w:val="000000"/>
        </w:rPr>
        <w:t>ir</w:t>
      </w:r>
      <w:r w:rsidRPr="00F12724">
        <w:rPr>
          <w:color w:val="000000"/>
        </w:rPr>
        <w:t xml:space="preserve"> </w:t>
      </w:r>
      <w:r w:rsidR="003B2811">
        <w:rPr>
          <w:color w:val="000000"/>
        </w:rPr>
        <w:t>45</w:t>
      </w:r>
      <w:r w:rsidRPr="00F12724">
        <w:rPr>
          <w:color w:val="000000"/>
        </w:rPr>
        <w:t>,2</w:t>
      </w:r>
      <w:r>
        <w:rPr>
          <w:color w:val="000000"/>
        </w:rPr>
        <w:t xml:space="preserve"> </w:t>
      </w:r>
      <w:r w:rsidRPr="00F12724">
        <w:rPr>
          <w:color w:val="000000"/>
        </w:rPr>
        <w:t>% no vidējās darba algas (</w:t>
      </w:r>
      <w:r>
        <w:rPr>
          <w:color w:val="000000"/>
        </w:rPr>
        <w:t>1373</w:t>
      </w:r>
      <w:r w:rsidRPr="00F12724">
        <w:rPr>
          <w:color w:val="000000"/>
        </w:rPr>
        <w:t xml:space="preserve"> eiro)</w:t>
      </w:r>
      <w:r w:rsidR="00DF0739">
        <w:rPr>
          <w:color w:val="000000"/>
        </w:rPr>
        <w:t xml:space="preserve"> iepriekšējā gadā</w:t>
      </w:r>
      <w:r w:rsidRPr="00F12724">
        <w:rPr>
          <w:color w:val="000000"/>
        </w:rPr>
        <w:t>.</w:t>
      </w:r>
    </w:p>
    <w:p w14:paraId="31F8B367" w14:textId="77777777" w:rsidR="00F12724" w:rsidRDefault="00F12724">
      <w:pPr>
        <w:pStyle w:val="NormalWeb"/>
        <w:shd w:val="clear" w:color="auto" w:fill="FFFFFF"/>
        <w:spacing w:before="0" w:beforeAutospacing="0" w:after="0" w:afterAutospacing="0" w:line="210" w:lineRule="atLeast"/>
        <w:ind w:firstLine="720"/>
        <w:jc w:val="both"/>
        <w:textAlignment w:val="baseline"/>
        <w:rPr>
          <w:color w:val="000000"/>
        </w:rPr>
      </w:pPr>
    </w:p>
    <w:p w14:paraId="2D073AD4" w14:textId="77777777" w:rsidR="0085622A" w:rsidRDefault="003F6C9B">
      <w:pPr>
        <w:spacing w:after="160" w:line="259" w:lineRule="auto"/>
        <w:jc w:val="right"/>
      </w:pPr>
      <w:r>
        <w:t>6</w:t>
      </w:r>
      <w:r w:rsidR="003A674F">
        <w:t>.tabula</w:t>
      </w:r>
    </w:p>
    <w:p w14:paraId="0968AAA4" w14:textId="77777777" w:rsidR="0085622A" w:rsidRDefault="003A674F">
      <w:pPr>
        <w:ind w:right="-109"/>
        <w:jc w:val="center"/>
        <w:rPr>
          <w:b/>
        </w:rPr>
      </w:pPr>
      <w:r>
        <w:rPr>
          <w:b/>
        </w:rPr>
        <w:t>Minimālā alga un mēneša vidējā darba samaksa pa gadiem</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959"/>
        <w:gridCol w:w="1982"/>
        <w:gridCol w:w="3354"/>
      </w:tblGrid>
      <w:tr w:rsidR="0085622A" w14:paraId="1BD183F5" w14:textId="77777777">
        <w:tc>
          <w:tcPr>
            <w:tcW w:w="1237" w:type="dxa"/>
            <w:shd w:val="clear" w:color="auto" w:fill="BDD6EE" w:themeFill="accent5" w:themeFillTint="66"/>
          </w:tcPr>
          <w:p w14:paraId="0F66FDF8" w14:textId="77777777" w:rsidR="0085622A" w:rsidRPr="004E335C" w:rsidRDefault="003A674F" w:rsidP="004E335C">
            <w:pPr>
              <w:pStyle w:val="author"/>
              <w:rPr>
                <w:b/>
              </w:rPr>
            </w:pPr>
            <w:bookmarkStart w:id="14" w:name="_Toc145280796"/>
            <w:r w:rsidRPr="004E335C">
              <w:rPr>
                <w:b/>
              </w:rPr>
              <w:t>Gads</w:t>
            </w:r>
            <w:bookmarkEnd w:id="14"/>
          </w:p>
        </w:tc>
        <w:tc>
          <w:tcPr>
            <w:tcW w:w="1959" w:type="dxa"/>
            <w:shd w:val="clear" w:color="auto" w:fill="BDD6EE" w:themeFill="accent5" w:themeFillTint="66"/>
          </w:tcPr>
          <w:p w14:paraId="7D29C2E5" w14:textId="77777777" w:rsidR="0085622A" w:rsidRDefault="003A674F">
            <w:pPr>
              <w:jc w:val="center"/>
              <w:rPr>
                <w:b/>
              </w:rPr>
            </w:pPr>
            <w:r>
              <w:rPr>
                <w:b/>
              </w:rPr>
              <w:t>Minimālā mēneša darba alga,</w:t>
            </w:r>
          </w:p>
          <w:p w14:paraId="4626C70C" w14:textId="77777777" w:rsidR="0085622A" w:rsidRDefault="003A674F">
            <w:pPr>
              <w:jc w:val="center"/>
              <w:rPr>
                <w:b/>
              </w:rPr>
            </w:pPr>
            <w:r>
              <w:rPr>
                <w:b/>
              </w:rPr>
              <w:t>EUR</w:t>
            </w:r>
          </w:p>
        </w:tc>
        <w:tc>
          <w:tcPr>
            <w:tcW w:w="1982" w:type="dxa"/>
            <w:shd w:val="clear" w:color="auto" w:fill="BDD6EE" w:themeFill="accent5" w:themeFillTint="66"/>
          </w:tcPr>
          <w:p w14:paraId="58AEFAF0" w14:textId="77777777" w:rsidR="0085622A" w:rsidRDefault="003A674F">
            <w:pPr>
              <w:jc w:val="center"/>
              <w:rPr>
                <w:b/>
                <w:bCs/>
              </w:rPr>
            </w:pPr>
            <w:r>
              <w:rPr>
                <w:b/>
                <w:bCs/>
              </w:rPr>
              <w:t>Strādājošo mēneša vidējā bruto darba samaksa,</w:t>
            </w:r>
          </w:p>
          <w:p w14:paraId="4BDDB263" w14:textId="77777777" w:rsidR="0085622A" w:rsidRDefault="003A674F">
            <w:pPr>
              <w:jc w:val="center"/>
              <w:rPr>
                <w:b/>
              </w:rPr>
            </w:pPr>
            <w:r>
              <w:rPr>
                <w:b/>
                <w:bCs/>
              </w:rPr>
              <w:t>EUR</w:t>
            </w:r>
          </w:p>
        </w:tc>
        <w:tc>
          <w:tcPr>
            <w:tcW w:w="3354" w:type="dxa"/>
            <w:shd w:val="clear" w:color="auto" w:fill="BDD6EE" w:themeFill="accent5" w:themeFillTint="66"/>
          </w:tcPr>
          <w:p w14:paraId="13115AB5" w14:textId="77777777" w:rsidR="0085622A" w:rsidRDefault="003A674F">
            <w:pPr>
              <w:jc w:val="center"/>
              <w:rPr>
                <w:b/>
              </w:rPr>
            </w:pPr>
            <w:r>
              <w:rPr>
                <w:b/>
                <w:bCs/>
              </w:rPr>
              <w:t>Minimālā mēneša darba alga % no strādājošo mēneša vidējās bruto darba samaksas par iepriekšējo gadu</w:t>
            </w:r>
          </w:p>
        </w:tc>
      </w:tr>
      <w:tr w:rsidR="0085622A" w14:paraId="367B2F5E" w14:textId="77777777">
        <w:tc>
          <w:tcPr>
            <w:tcW w:w="1237" w:type="dxa"/>
            <w:shd w:val="clear" w:color="auto" w:fill="auto"/>
          </w:tcPr>
          <w:p w14:paraId="4FC01C4E" w14:textId="77777777" w:rsidR="0085622A" w:rsidRDefault="003A674F">
            <w:pPr>
              <w:jc w:val="center"/>
            </w:pPr>
            <w:r>
              <w:t>2012</w:t>
            </w:r>
          </w:p>
        </w:tc>
        <w:tc>
          <w:tcPr>
            <w:tcW w:w="1959" w:type="dxa"/>
            <w:shd w:val="clear" w:color="auto" w:fill="auto"/>
          </w:tcPr>
          <w:p w14:paraId="180AAF0F" w14:textId="77777777" w:rsidR="0085622A" w:rsidRDefault="003A674F">
            <w:pPr>
              <w:jc w:val="center"/>
            </w:pPr>
            <w:r>
              <w:t>284,57</w:t>
            </w:r>
          </w:p>
        </w:tc>
        <w:tc>
          <w:tcPr>
            <w:tcW w:w="1982" w:type="dxa"/>
            <w:shd w:val="clear" w:color="auto" w:fill="auto"/>
          </w:tcPr>
          <w:p w14:paraId="6CEA9A4E" w14:textId="77777777" w:rsidR="0085622A" w:rsidRDefault="003A674F">
            <w:pPr>
              <w:jc w:val="center"/>
            </w:pPr>
            <w:r>
              <w:t>685</w:t>
            </w:r>
          </w:p>
        </w:tc>
        <w:tc>
          <w:tcPr>
            <w:tcW w:w="3354" w:type="dxa"/>
            <w:shd w:val="clear" w:color="auto" w:fill="auto"/>
          </w:tcPr>
          <w:p w14:paraId="7F2E8397" w14:textId="77777777" w:rsidR="0085622A" w:rsidRDefault="003A674F">
            <w:pPr>
              <w:jc w:val="center"/>
            </w:pPr>
            <w:r>
              <w:t>43,1</w:t>
            </w:r>
          </w:p>
        </w:tc>
      </w:tr>
      <w:tr w:rsidR="0085622A" w14:paraId="6C16651D" w14:textId="77777777">
        <w:tc>
          <w:tcPr>
            <w:tcW w:w="1237" w:type="dxa"/>
            <w:shd w:val="clear" w:color="auto" w:fill="auto"/>
          </w:tcPr>
          <w:p w14:paraId="2ED4F833" w14:textId="77777777" w:rsidR="0085622A" w:rsidRDefault="003A674F">
            <w:pPr>
              <w:jc w:val="center"/>
            </w:pPr>
            <w:r>
              <w:t>2013</w:t>
            </w:r>
          </w:p>
        </w:tc>
        <w:tc>
          <w:tcPr>
            <w:tcW w:w="1959" w:type="dxa"/>
            <w:shd w:val="clear" w:color="auto" w:fill="auto"/>
          </w:tcPr>
          <w:p w14:paraId="3B428835" w14:textId="77777777" w:rsidR="0085622A" w:rsidRDefault="003A674F">
            <w:pPr>
              <w:jc w:val="center"/>
            </w:pPr>
            <w:r>
              <w:t>284,57</w:t>
            </w:r>
          </w:p>
        </w:tc>
        <w:tc>
          <w:tcPr>
            <w:tcW w:w="1982" w:type="dxa"/>
            <w:shd w:val="clear" w:color="auto" w:fill="auto"/>
          </w:tcPr>
          <w:p w14:paraId="02701E44" w14:textId="77777777" w:rsidR="0085622A" w:rsidRDefault="003A674F">
            <w:pPr>
              <w:jc w:val="center"/>
            </w:pPr>
            <w:r>
              <w:t>716</w:t>
            </w:r>
          </w:p>
        </w:tc>
        <w:tc>
          <w:tcPr>
            <w:tcW w:w="3354" w:type="dxa"/>
            <w:shd w:val="clear" w:color="auto" w:fill="auto"/>
          </w:tcPr>
          <w:p w14:paraId="2245D558" w14:textId="77777777" w:rsidR="0085622A" w:rsidRDefault="003A674F">
            <w:pPr>
              <w:jc w:val="center"/>
            </w:pPr>
            <w:r>
              <w:t>41,5</w:t>
            </w:r>
          </w:p>
        </w:tc>
      </w:tr>
      <w:tr w:rsidR="0085622A" w14:paraId="04119451" w14:textId="77777777">
        <w:tc>
          <w:tcPr>
            <w:tcW w:w="1237" w:type="dxa"/>
            <w:shd w:val="clear" w:color="auto" w:fill="auto"/>
          </w:tcPr>
          <w:p w14:paraId="3231F9B4" w14:textId="77777777" w:rsidR="0085622A" w:rsidRDefault="003A674F">
            <w:pPr>
              <w:jc w:val="center"/>
            </w:pPr>
            <w:r>
              <w:t>2014</w:t>
            </w:r>
          </w:p>
        </w:tc>
        <w:tc>
          <w:tcPr>
            <w:tcW w:w="1959" w:type="dxa"/>
            <w:shd w:val="clear" w:color="auto" w:fill="auto"/>
          </w:tcPr>
          <w:p w14:paraId="42454515" w14:textId="77777777" w:rsidR="0085622A" w:rsidRDefault="003A674F">
            <w:pPr>
              <w:jc w:val="center"/>
            </w:pPr>
            <w:r>
              <w:t>320,00</w:t>
            </w:r>
          </w:p>
        </w:tc>
        <w:tc>
          <w:tcPr>
            <w:tcW w:w="1982" w:type="dxa"/>
            <w:shd w:val="clear" w:color="auto" w:fill="auto"/>
          </w:tcPr>
          <w:p w14:paraId="76781689" w14:textId="77777777" w:rsidR="0085622A" w:rsidRDefault="003A674F">
            <w:pPr>
              <w:jc w:val="center"/>
            </w:pPr>
            <w:r>
              <w:t>765</w:t>
            </w:r>
          </w:p>
        </w:tc>
        <w:tc>
          <w:tcPr>
            <w:tcW w:w="3354" w:type="dxa"/>
            <w:shd w:val="clear" w:color="auto" w:fill="auto"/>
          </w:tcPr>
          <w:p w14:paraId="780572C9" w14:textId="77777777" w:rsidR="0085622A" w:rsidRDefault="003A674F">
            <w:pPr>
              <w:jc w:val="center"/>
            </w:pPr>
            <w:r>
              <w:t>44,7</w:t>
            </w:r>
          </w:p>
        </w:tc>
      </w:tr>
      <w:tr w:rsidR="0085622A" w14:paraId="21DB604C" w14:textId="77777777">
        <w:tc>
          <w:tcPr>
            <w:tcW w:w="1237" w:type="dxa"/>
            <w:shd w:val="clear" w:color="auto" w:fill="auto"/>
          </w:tcPr>
          <w:p w14:paraId="31738E51" w14:textId="77777777" w:rsidR="0085622A" w:rsidRDefault="003A674F">
            <w:pPr>
              <w:jc w:val="center"/>
            </w:pPr>
            <w:r>
              <w:t>2015</w:t>
            </w:r>
          </w:p>
        </w:tc>
        <w:tc>
          <w:tcPr>
            <w:tcW w:w="1959" w:type="dxa"/>
            <w:shd w:val="clear" w:color="auto" w:fill="auto"/>
          </w:tcPr>
          <w:p w14:paraId="39277751" w14:textId="77777777" w:rsidR="0085622A" w:rsidRDefault="003A674F">
            <w:pPr>
              <w:jc w:val="center"/>
            </w:pPr>
            <w:r>
              <w:t>360,00</w:t>
            </w:r>
          </w:p>
        </w:tc>
        <w:tc>
          <w:tcPr>
            <w:tcW w:w="1982" w:type="dxa"/>
            <w:shd w:val="clear" w:color="auto" w:fill="auto"/>
          </w:tcPr>
          <w:p w14:paraId="3A19399D" w14:textId="77777777" w:rsidR="0085622A" w:rsidRDefault="003A674F">
            <w:pPr>
              <w:jc w:val="center"/>
            </w:pPr>
            <w:r>
              <w:t>818</w:t>
            </w:r>
          </w:p>
        </w:tc>
        <w:tc>
          <w:tcPr>
            <w:tcW w:w="3354" w:type="dxa"/>
            <w:shd w:val="clear" w:color="auto" w:fill="auto"/>
          </w:tcPr>
          <w:p w14:paraId="74C4180B" w14:textId="77777777" w:rsidR="0085622A" w:rsidRDefault="003A674F">
            <w:pPr>
              <w:jc w:val="center"/>
            </w:pPr>
            <w:r>
              <w:t>47,1</w:t>
            </w:r>
          </w:p>
        </w:tc>
      </w:tr>
      <w:tr w:rsidR="0085622A" w14:paraId="16A69AC1" w14:textId="77777777">
        <w:tc>
          <w:tcPr>
            <w:tcW w:w="1237" w:type="dxa"/>
            <w:shd w:val="clear" w:color="auto" w:fill="auto"/>
          </w:tcPr>
          <w:p w14:paraId="780A18A6" w14:textId="77777777" w:rsidR="0085622A" w:rsidRDefault="003A674F">
            <w:pPr>
              <w:jc w:val="center"/>
            </w:pPr>
            <w:r>
              <w:t>2016</w:t>
            </w:r>
          </w:p>
        </w:tc>
        <w:tc>
          <w:tcPr>
            <w:tcW w:w="1959" w:type="dxa"/>
            <w:shd w:val="clear" w:color="auto" w:fill="auto"/>
          </w:tcPr>
          <w:p w14:paraId="36609EBA" w14:textId="77777777" w:rsidR="0085622A" w:rsidRDefault="003A674F">
            <w:pPr>
              <w:jc w:val="center"/>
            </w:pPr>
            <w:r>
              <w:t>370,00</w:t>
            </w:r>
          </w:p>
        </w:tc>
        <w:tc>
          <w:tcPr>
            <w:tcW w:w="1982" w:type="dxa"/>
            <w:shd w:val="clear" w:color="auto" w:fill="auto"/>
          </w:tcPr>
          <w:p w14:paraId="33B61A51" w14:textId="77777777" w:rsidR="0085622A" w:rsidRDefault="003A674F">
            <w:pPr>
              <w:jc w:val="center"/>
            </w:pPr>
            <w:r>
              <w:t>859</w:t>
            </w:r>
          </w:p>
        </w:tc>
        <w:tc>
          <w:tcPr>
            <w:tcW w:w="3354" w:type="dxa"/>
            <w:shd w:val="clear" w:color="auto" w:fill="auto"/>
          </w:tcPr>
          <w:p w14:paraId="6C1C599C" w14:textId="77777777" w:rsidR="0085622A" w:rsidRDefault="003A674F">
            <w:pPr>
              <w:jc w:val="center"/>
            </w:pPr>
            <w:r>
              <w:t>45,2</w:t>
            </w:r>
          </w:p>
        </w:tc>
      </w:tr>
      <w:tr w:rsidR="0085622A" w14:paraId="6789109D" w14:textId="77777777">
        <w:tc>
          <w:tcPr>
            <w:tcW w:w="1237" w:type="dxa"/>
            <w:shd w:val="clear" w:color="auto" w:fill="auto"/>
          </w:tcPr>
          <w:p w14:paraId="108B92F1" w14:textId="77777777" w:rsidR="0085622A" w:rsidRDefault="003A674F">
            <w:pPr>
              <w:jc w:val="center"/>
            </w:pPr>
            <w:r>
              <w:t>2017</w:t>
            </w:r>
          </w:p>
        </w:tc>
        <w:tc>
          <w:tcPr>
            <w:tcW w:w="1959" w:type="dxa"/>
            <w:shd w:val="clear" w:color="auto" w:fill="auto"/>
          </w:tcPr>
          <w:p w14:paraId="5590DD33" w14:textId="77777777" w:rsidR="0085622A" w:rsidRDefault="003A674F">
            <w:pPr>
              <w:jc w:val="center"/>
            </w:pPr>
            <w:r>
              <w:t>380,00</w:t>
            </w:r>
          </w:p>
        </w:tc>
        <w:tc>
          <w:tcPr>
            <w:tcW w:w="1982" w:type="dxa"/>
            <w:shd w:val="clear" w:color="auto" w:fill="auto"/>
          </w:tcPr>
          <w:p w14:paraId="3182C977" w14:textId="77777777" w:rsidR="0085622A" w:rsidRDefault="003A674F">
            <w:pPr>
              <w:jc w:val="center"/>
            </w:pPr>
            <w:r>
              <w:t>926</w:t>
            </w:r>
          </w:p>
        </w:tc>
        <w:tc>
          <w:tcPr>
            <w:tcW w:w="3354" w:type="dxa"/>
            <w:shd w:val="clear" w:color="auto" w:fill="auto"/>
          </w:tcPr>
          <w:p w14:paraId="0177AF34" w14:textId="77777777" w:rsidR="0085622A" w:rsidRDefault="003A674F">
            <w:pPr>
              <w:jc w:val="center"/>
            </w:pPr>
            <w:r>
              <w:t>44,2</w:t>
            </w:r>
          </w:p>
        </w:tc>
      </w:tr>
      <w:tr w:rsidR="0085622A" w14:paraId="308362FD" w14:textId="77777777">
        <w:tc>
          <w:tcPr>
            <w:tcW w:w="1237" w:type="dxa"/>
            <w:shd w:val="clear" w:color="auto" w:fill="auto"/>
          </w:tcPr>
          <w:p w14:paraId="104F561E" w14:textId="77777777" w:rsidR="0085622A" w:rsidRDefault="003A674F">
            <w:pPr>
              <w:jc w:val="center"/>
            </w:pPr>
            <w:r>
              <w:t>2018</w:t>
            </w:r>
          </w:p>
        </w:tc>
        <w:tc>
          <w:tcPr>
            <w:tcW w:w="1959" w:type="dxa"/>
            <w:shd w:val="clear" w:color="auto" w:fill="auto"/>
          </w:tcPr>
          <w:p w14:paraId="4EA77E3C" w14:textId="77777777" w:rsidR="0085622A" w:rsidRDefault="003A674F">
            <w:pPr>
              <w:jc w:val="center"/>
            </w:pPr>
            <w:r>
              <w:t>430,00</w:t>
            </w:r>
          </w:p>
        </w:tc>
        <w:tc>
          <w:tcPr>
            <w:tcW w:w="1982" w:type="dxa"/>
            <w:shd w:val="clear" w:color="auto" w:fill="auto"/>
          </w:tcPr>
          <w:p w14:paraId="0AA2ACA0" w14:textId="77777777" w:rsidR="0085622A" w:rsidRDefault="003A674F">
            <w:pPr>
              <w:jc w:val="center"/>
            </w:pPr>
            <w:r>
              <w:t>1004</w:t>
            </w:r>
          </w:p>
        </w:tc>
        <w:tc>
          <w:tcPr>
            <w:tcW w:w="3354" w:type="dxa"/>
            <w:shd w:val="clear" w:color="auto" w:fill="auto"/>
          </w:tcPr>
          <w:p w14:paraId="1DC52E06" w14:textId="77777777" w:rsidR="0085622A" w:rsidRDefault="003A674F">
            <w:pPr>
              <w:jc w:val="center"/>
            </w:pPr>
            <w:r>
              <w:t>46,4</w:t>
            </w:r>
          </w:p>
        </w:tc>
      </w:tr>
      <w:tr w:rsidR="0085622A" w14:paraId="78AB8165" w14:textId="77777777">
        <w:tc>
          <w:tcPr>
            <w:tcW w:w="1237" w:type="dxa"/>
            <w:shd w:val="clear" w:color="auto" w:fill="auto"/>
          </w:tcPr>
          <w:p w14:paraId="3B795056" w14:textId="77777777" w:rsidR="0085622A" w:rsidRDefault="003A674F">
            <w:pPr>
              <w:jc w:val="center"/>
            </w:pPr>
            <w:r>
              <w:t>2019</w:t>
            </w:r>
          </w:p>
        </w:tc>
        <w:tc>
          <w:tcPr>
            <w:tcW w:w="1959" w:type="dxa"/>
            <w:shd w:val="clear" w:color="auto" w:fill="auto"/>
          </w:tcPr>
          <w:p w14:paraId="380BD792" w14:textId="77777777" w:rsidR="0085622A" w:rsidRDefault="003A674F">
            <w:pPr>
              <w:jc w:val="center"/>
            </w:pPr>
            <w:r>
              <w:t>430,00</w:t>
            </w:r>
          </w:p>
        </w:tc>
        <w:tc>
          <w:tcPr>
            <w:tcW w:w="1982" w:type="dxa"/>
            <w:shd w:val="clear" w:color="auto" w:fill="auto"/>
          </w:tcPr>
          <w:p w14:paraId="3959DE32" w14:textId="77777777" w:rsidR="0085622A" w:rsidRDefault="003A674F">
            <w:pPr>
              <w:jc w:val="center"/>
            </w:pPr>
            <w:r>
              <w:t>1076</w:t>
            </w:r>
          </w:p>
        </w:tc>
        <w:tc>
          <w:tcPr>
            <w:tcW w:w="3354" w:type="dxa"/>
            <w:shd w:val="clear" w:color="auto" w:fill="auto"/>
          </w:tcPr>
          <w:p w14:paraId="47ADFC0E" w14:textId="77777777" w:rsidR="0085622A" w:rsidRDefault="003A674F">
            <w:pPr>
              <w:jc w:val="center"/>
            </w:pPr>
            <w:r>
              <w:t>42,8</w:t>
            </w:r>
          </w:p>
        </w:tc>
      </w:tr>
      <w:tr w:rsidR="0085622A" w14:paraId="4FE77288" w14:textId="77777777">
        <w:tc>
          <w:tcPr>
            <w:tcW w:w="1237" w:type="dxa"/>
            <w:shd w:val="clear" w:color="auto" w:fill="auto"/>
          </w:tcPr>
          <w:p w14:paraId="668FF780" w14:textId="77777777" w:rsidR="0085622A" w:rsidRDefault="003A674F">
            <w:pPr>
              <w:jc w:val="center"/>
            </w:pPr>
            <w:r>
              <w:t>2020</w:t>
            </w:r>
          </w:p>
        </w:tc>
        <w:tc>
          <w:tcPr>
            <w:tcW w:w="1959" w:type="dxa"/>
            <w:shd w:val="clear" w:color="auto" w:fill="auto"/>
          </w:tcPr>
          <w:p w14:paraId="3C16D46C" w14:textId="77777777" w:rsidR="0085622A" w:rsidRDefault="003A674F">
            <w:pPr>
              <w:jc w:val="center"/>
            </w:pPr>
            <w:r>
              <w:t>430,00</w:t>
            </w:r>
          </w:p>
        </w:tc>
        <w:tc>
          <w:tcPr>
            <w:tcW w:w="1982" w:type="dxa"/>
            <w:shd w:val="clear" w:color="auto" w:fill="auto"/>
          </w:tcPr>
          <w:p w14:paraId="52E014CA" w14:textId="77777777" w:rsidR="0085622A" w:rsidRDefault="003A674F">
            <w:pPr>
              <w:jc w:val="center"/>
            </w:pPr>
            <w:r>
              <w:t>1143</w:t>
            </w:r>
          </w:p>
        </w:tc>
        <w:tc>
          <w:tcPr>
            <w:tcW w:w="3354" w:type="dxa"/>
            <w:shd w:val="clear" w:color="auto" w:fill="auto"/>
          </w:tcPr>
          <w:p w14:paraId="798A7640" w14:textId="77777777" w:rsidR="0085622A" w:rsidRDefault="003A674F">
            <w:pPr>
              <w:jc w:val="center"/>
            </w:pPr>
            <w:r>
              <w:t>40,0</w:t>
            </w:r>
          </w:p>
        </w:tc>
      </w:tr>
      <w:tr w:rsidR="0085622A" w14:paraId="6EB583F9" w14:textId="77777777">
        <w:tc>
          <w:tcPr>
            <w:tcW w:w="1237" w:type="dxa"/>
            <w:shd w:val="clear" w:color="auto" w:fill="auto"/>
          </w:tcPr>
          <w:p w14:paraId="7D2199DA" w14:textId="77777777" w:rsidR="0085622A" w:rsidRDefault="003A674F">
            <w:pPr>
              <w:jc w:val="center"/>
            </w:pPr>
            <w:r>
              <w:t>2021</w:t>
            </w:r>
          </w:p>
        </w:tc>
        <w:tc>
          <w:tcPr>
            <w:tcW w:w="1959" w:type="dxa"/>
            <w:shd w:val="clear" w:color="auto" w:fill="auto"/>
          </w:tcPr>
          <w:p w14:paraId="0D184738" w14:textId="77777777" w:rsidR="0085622A" w:rsidRDefault="003A674F">
            <w:pPr>
              <w:jc w:val="center"/>
            </w:pPr>
            <w:r>
              <w:t>500,00</w:t>
            </w:r>
          </w:p>
        </w:tc>
        <w:tc>
          <w:tcPr>
            <w:tcW w:w="1982" w:type="dxa"/>
            <w:shd w:val="clear" w:color="auto" w:fill="auto"/>
          </w:tcPr>
          <w:p w14:paraId="7770EF1B" w14:textId="77777777" w:rsidR="0085622A" w:rsidRDefault="003A674F">
            <w:pPr>
              <w:jc w:val="center"/>
            </w:pPr>
            <w:r>
              <w:t>1277</w:t>
            </w:r>
          </w:p>
        </w:tc>
        <w:tc>
          <w:tcPr>
            <w:tcW w:w="3354" w:type="dxa"/>
            <w:shd w:val="clear" w:color="auto" w:fill="auto"/>
          </w:tcPr>
          <w:p w14:paraId="4291CEC0" w14:textId="77777777" w:rsidR="0085622A" w:rsidRDefault="003A674F">
            <w:pPr>
              <w:jc w:val="center"/>
            </w:pPr>
            <w:r>
              <w:t>43,7</w:t>
            </w:r>
          </w:p>
        </w:tc>
      </w:tr>
      <w:tr w:rsidR="0085622A" w14:paraId="34A1843E" w14:textId="77777777">
        <w:tc>
          <w:tcPr>
            <w:tcW w:w="1237" w:type="dxa"/>
            <w:shd w:val="clear" w:color="auto" w:fill="auto"/>
          </w:tcPr>
          <w:p w14:paraId="4494DAB2" w14:textId="77777777" w:rsidR="0085622A" w:rsidRDefault="003A674F">
            <w:pPr>
              <w:jc w:val="center"/>
            </w:pPr>
            <w:r>
              <w:t>2022</w:t>
            </w:r>
          </w:p>
        </w:tc>
        <w:tc>
          <w:tcPr>
            <w:tcW w:w="1959" w:type="dxa"/>
            <w:shd w:val="clear" w:color="auto" w:fill="auto"/>
          </w:tcPr>
          <w:p w14:paraId="1D96C698" w14:textId="77777777" w:rsidR="0085622A" w:rsidRDefault="003A674F">
            <w:pPr>
              <w:jc w:val="center"/>
            </w:pPr>
            <w:r>
              <w:t>500,00</w:t>
            </w:r>
          </w:p>
        </w:tc>
        <w:tc>
          <w:tcPr>
            <w:tcW w:w="1982" w:type="dxa"/>
            <w:shd w:val="clear" w:color="auto" w:fill="auto"/>
          </w:tcPr>
          <w:p w14:paraId="3C4D6639" w14:textId="77777777" w:rsidR="0085622A" w:rsidRDefault="003A674F">
            <w:pPr>
              <w:jc w:val="center"/>
            </w:pPr>
            <w:r>
              <w:t>137</w:t>
            </w:r>
            <w:r w:rsidR="003B2811">
              <w:t>3</w:t>
            </w:r>
          </w:p>
        </w:tc>
        <w:tc>
          <w:tcPr>
            <w:tcW w:w="3354" w:type="dxa"/>
            <w:shd w:val="clear" w:color="auto" w:fill="auto"/>
          </w:tcPr>
          <w:p w14:paraId="00576A9C" w14:textId="77777777" w:rsidR="0085622A" w:rsidRDefault="003A674F">
            <w:pPr>
              <w:jc w:val="center"/>
            </w:pPr>
            <w:r>
              <w:t>39,2</w:t>
            </w:r>
          </w:p>
        </w:tc>
      </w:tr>
      <w:tr w:rsidR="0085622A" w14:paraId="56CF8E7A" w14:textId="77777777">
        <w:tc>
          <w:tcPr>
            <w:tcW w:w="1237" w:type="dxa"/>
            <w:shd w:val="clear" w:color="auto" w:fill="auto"/>
          </w:tcPr>
          <w:p w14:paraId="335B0063" w14:textId="77777777" w:rsidR="0085622A" w:rsidRDefault="003A674F">
            <w:pPr>
              <w:jc w:val="center"/>
            </w:pPr>
            <w:r>
              <w:t>2023</w:t>
            </w:r>
          </w:p>
        </w:tc>
        <w:tc>
          <w:tcPr>
            <w:tcW w:w="1959" w:type="dxa"/>
            <w:shd w:val="clear" w:color="auto" w:fill="auto"/>
          </w:tcPr>
          <w:p w14:paraId="452AB13A" w14:textId="77777777" w:rsidR="0085622A" w:rsidRDefault="003A674F">
            <w:pPr>
              <w:jc w:val="center"/>
            </w:pPr>
            <w:r>
              <w:t>620,00</w:t>
            </w:r>
          </w:p>
        </w:tc>
        <w:tc>
          <w:tcPr>
            <w:tcW w:w="1982" w:type="dxa"/>
            <w:shd w:val="clear" w:color="auto" w:fill="auto"/>
          </w:tcPr>
          <w:p w14:paraId="11DDE10E" w14:textId="77777777" w:rsidR="0085622A" w:rsidRDefault="001B5D9D">
            <w:pPr>
              <w:jc w:val="center"/>
            </w:pPr>
            <w:r>
              <w:t>1524</w:t>
            </w:r>
            <w:r w:rsidR="003A674F">
              <w:t xml:space="preserve"> p</w:t>
            </w:r>
          </w:p>
        </w:tc>
        <w:tc>
          <w:tcPr>
            <w:tcW w:w="3354" w:type="dxa"/>
            <w:shd w:val="clear" w:color="auto" w:fill="auto"/>
          </w:tcPr>
          <w:p w14:paraId="080F878B" w14:textId="77777777" w:rsidR="0085622A" w:rsidRDefault="003A674F">
            <w:pPr>
              <w:jc w:val="center"/>
            </w:pPr>
            <w:r>
              <w:t>45,</w:t>
            </w:r>
            <w:r w:rsidR="003B2811">
              <w:t>2</w:t>
            </w:r>
          </w:p>
        </w:tc>
      </w:tr>
      <w:tr w:rsidR="003B2811" w14:paraId="40029D07" w14:textId="77777777">
        <w:tc>
          <w:tcPr>
            <w:tcW w:w="1237" w:type="dxa"/>
            <w:shd w:val="clear" w:color="auto" w:fill="auto"/>
          </w:tcPr>
          <w:p w14:paraId="7399B3E3" w14:textId="77777777" w:rsidR="003B2811" w:rsidRDefault="003B2811">
            <w:pPr>
              <w:jc w:val="center"/>
            </w:pPr>
            <w:r>
              <w:t>2024</w:t>
            </w:r>
          </w:p>
        </w:tc>
        <w:tc>
          <w:tcPr>
            <w:tcW w:w="1959" w:type="dxa"/>
            <w:shd w:val="clear" w:color="auto" w:fill="auto"/>
          </w:tcPr>
          <w:p w14:paraId="6A96F5F0" w14:textId="77777777" w:rsidR="003B2811" w:rsidRDefault="003B2811">
            <w:pPr>
              <w:jc w:val="center"/>
            </w:pPr>
            <w:r>
              <w:t>700,00</w:t>
            </w:r>
          </w:p>
        </w:tc>
        <w:tc>
          <w:tcPr>
            <w:tcW w:w="1982" w:type="dxa"/>
            <w:shd w:val="clear" w:color="auto" w:fill="auto"/>
          </w:tcPr>
          <w:p w14:paraId="3C65D65F" w14:textId="77777777" w:rsidR="003B2811" w:rsidRDefault="001B5D9D">
            <w:pPr>
              <w:jc w:val="center"/>
            </w:pPr>
            <w:r>
              <w:t>1638 p</w:t>
            </w:r>
          </w:p>
        </w:tc>
        <w:tc>
          <w:tcPr>
            <w:tcW w:w="3354" w:type="dxa"/>
            <w:shd w:val="clear" w:color="auto" w:fill="auto"/>
          </w:tcPr>
          <w:p w14:paraId="29DDE0B7" w14:textId="77777777" w:rsidR="003B2811" w:rsidRDefault="001B5D9D">
            <w:pPr>
              <w:jc w:val="center"/>
            </w:pPr>
            <w:r>
              <w:t>45,9</w:t>
            </w:r>
            <w:r w:rsidR="002F0478">
              <w:t xml:space="preserve"> p</w:t>
            </w:r>
          </w:p>
        </w:tc>
      </w:tr>
    </w:tbl>
    <w:p w14:paraId="3F4EF97F" w14:textId="77777777" w:rsidR="0085622A" w:rsidRDefault="003A674F">
      <w:pPr>
        <w:rPr>
          <w:sz w:val="20"/>
          <w:szCs w:val="20"/>
        </w:rPr>
      </w:pPr>
      <w:r>
        <w:rPr>
          <w:sz w:val="20"/>
          <w:szCs w:val="20"/>
        </w:rPr>
        <w:t>Datu avots: CSP, FM prognozes (p).</w:t>
      </w:r>
    </w:p>
    <w:p w14:paraId="53C662D0" w14:textId="77777777" w:rsidR="0085622A" w:rsidRDefault="0085622A">
      <w:pPr>
        <w:autoSpaceDE w:val="0"/>
        <w:autoSpaceDN w:val="0"/>
        <w:adjustRightInd w:val="0"/>
        <w:jc w:val="both"/>
      </w:pPr>
    </w:p>
    <w:p w14:paraId="62D98F44" w14:textId="58282E38" w:rsidR="0085622A" w:rsidRDefault="003A674F" w:rsidP="00593A9C">
      <w:pPr>
        <w:ind w:firstLine="720"/>
        <w:jc w:val="both"/>
      </w:pPr>
      <w:r>
        <w:t>Ņemot vērā FM prognozi par vidējo algu 202</w:t>
      </w:r>
      <w:r w:rsidR="001B5D9D">
        <w:t>3</w:t>
      </w:r>
      <w:r>
        <w:t xml:space="preserve">.gadā </w:t>
      </w:r>
      <w:r w:rsidR="001B5D9D">
        <w:t>1524</w:t>
      </w:r>
      <w:r>
        <w:t xml:space="preserve"> eiro apmērā, var secināt, ka, paaugstinot minimālo algu līdz </w:t>
      </w:r>
      <w:r w:rsidR="001B5D9D">
        <w:t>700</w:t>
      </w:r>
      <w:r>
        <w:t xml:space="preserve"> eiro 202</w:t>
      </w:r>
      <w:r w:rsidR="001B5D9D">
        <w:t>4</w:t>
      </w:r>
      <w:r>
        <w:t>.gadā, tā būtu 45,</w:t>
      </w:r>
      <w:r w:rsidR="001B5D9D">
        <w:t>9</w:t>
      </w:r>
      <w:r>
        <w:t xml:space="preserve">% apmērā no vidējās algas iepriekšējā gadā (prognoze </w:t>
      </w:r>
      <w:r w:rsidR="001B5D9D">
        <w:t>1524</w:t>
      </w:r>
      <w:r>
        <w:t xml:space="preserve"> eiro), tādējādi nepārsniedzot 50% no vidējās algas par iepriekšējo gadu un nepārsniedzot iepriekšējos 10 gados piedzīvotās maksimālās proporcijas. </w:t>
      </w:r>
    </w:p>
    <w:p w14:paraId="1881F9BB" w14:textId="4D56372D" w:rsidR="00962C57" w:rsidRDefault="00962C57">
      <w:r>
        <w:br w:type="page"/>
      </w:r>
    </w:p>
    <w:p w14:paraId="7F8F94AF" w14:textId="77777777" w:rsidR="00962C57" w:rsidRDefault="00962C57" w:rsidP="00593A9C">
      <w:pPr>
        <w:ind w:firstLine="720"/>
        <w:jc w:val="both"/>
      </w:pPr>
    </w:p>
    <w:p w14:paraId="4C4060A1" w14:textId="77777777" w:rsidR="00593A9C" w:rsidRDefault="00593A9C" w:rsidP="00593A9C">
      <w:pPr>
        <w:ind w:firstLine="720"/>
        <w:jc w:val="both"/>
      </w:pPr>
    </w:p>
    <w:p w14:paraId="4F5A0722" w14:textId="77777777" w:rsidR="0085622A" w:rsidRDefault="003A674F" w:rsidP="001F402C">
      <w:pPr>
        <w:pStyle w:val="Heading1"/>
      </w:pPr>
      <w:bookmarkStart w:id="15" w:name="_Toc148720957"/>
      <w:r>
        <w:t>6. Minimālā alga un reģistrētais bezdarbs</w:t>
      </w:r>
      <w:bookmarkEnd w:id="15"/>
    </w:p>
    <w:p w14:paraId="4BD07E9D" w14:textId="77777777" w:rsidR="0085622A" w:rsidRDefault="0085622A">
      <w:pPr>
        <w:jc w:val="both"/>
      </w:pPr>
    </w:p>
    <w:p w14:paraId="18963005" w14:textId="77777777" w:rsidR="0085622A" w:rsidRDefault="003A674F">
      <w:pPr>
        <w:ind w:firstLine="720"/>
        <w:jc w:val="both"/>
      </w:pPr>
      <w:r>
        <w:t>Analizējot reģistrētā bezdarba situāciju, var secināt, ka katru gadu gada sākumā ir tendence pieaugt reģistrētā bezdarba līmenim salīdzinājumā ar iepriekšējā gada nogali, arī tajos gados, kad minimālā alga nav paaugstināta, bet gada beigās – samazināties salīdzinājumā ar gada sākumu.</w:t>
      </w:r>
      <w:r>
        <w:rPr>
          <w:bCs/>
        </w:rPr>
        <w:t xml:space="preserve"> </w:t>
      </w:r>
    </w:p>
    <w:p w14:paraId="54BCE145" w14:textId="77777777" w:rsidR="0085622A" w:rsidRDefault="003F6C9B">
      <w:pPr>
        <w:jc w:val="right"/>
      </w:pPr>
      <w:r>
        <w:t>7</w:t>
      </w:r>
      <w:r w:rsidR="003A674F">
        <w:t>.tabula</w:t>
      </w:r>
    </w:p>
    <w:p w14:paraId="6D1AE968" w14:textId="77777777" w:rsidR="0085622A" w:rsidRDefault="003A674F">
      <w:pPr>
        <w:jc w:val="center"/>
        <w:rPr>
          <w:b/>
          <w:iCs/>
        </w:rPr>
      </w:pPr>
      <w:r>
        <w:rPr>
          <w:b/>
          <w:iCs/>
        </w:rPr>
        <w:t>Reģistrētā bezdarba līmenis perioda beigās, %</w:t>
      </w:r>
    </w:p>
    <w:tbl>
      <w:tblPr>
        <w:tblStyle w:val="GridTable4-Accent31"/>
        <w:tblW w:w="0" w:type="auto"/>
        <w:jc w:val="center"/>
        <w:tblLook w:val="04A0" w:firstRow="1" w:lastRow="0" w:firstColumn="1" w:lastColumn="0" w:noHBand="0" w:noVBand="1"/>
      </w:tblPr>
      <w:tblGrid>
        <w:gridCol w:w="665"/>
        <w:gridCol w:w="611"/>
        <w:gridCol w:w="617"/>
        <w:gridCol w:w="652"/>
        <w:gridCol w:w="726"/>
        <w:gridCol w:w="631"/>
        <w:gridCol w:w="667"/>
        <w:gridCol w:w="613"/>
        <w:gridCol w:w="638"/>
        <w:gridCol w:w="613"/>
        <w:gridCol w:w="625"/>
        <w:gridCol w:w="631"/>
        <w:gridCol w:w="617"/>
      </w:tblGrid>
      <w:tr w:rsidR="0085622A" w:rsidRPr="00023705" w14:paraId="1134CEBE" w14:textId="77777777" w:rsidTr="00593A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06" w:type="dxa"/>
            <w:gridSpan w:val="13"/>
            <w:tcBorders>
              <w:top w:val="nil"/>
              <w:left w:val="nil"/>
              <w:bottom w:val="nil"/>
              <w:right w:val="nil"/>
            </w:tcBorders>
            <w:shd w:val="clear" w:color="auto" w:fill="B4C6E7" w:themeFill="accent1" w:themeFillTint="66"/>
          </w:tcPr>
          <w:p w14:paraId="3C7936B7" w14:textId="77777777" w:rsidR="0085622A" w:rsidRPr="00023705" w:rsidRDefault="003A674F">
            <w:pPr>
              <w:jc w:val="center"/>
              <w:rPr>
                <w:rFonts w:ascii="Times New Roman" w:hAnsi="Times New Roman"/>
                <w:b w:val="0"/>
                <w:bCs w:val="0"/>
                <w:i/>
                <w:iCs/>
                <w:sz w:val="22"/>
                <w:szCs w:val="22"/>
              </w:rPr>
            </w:pPr>
            <w:bookmarkStart w:id="16" w:name="_Hlk7259689"/>
            <w:r w:rsidRPr="00023705">
              <w:rPr>
                <w:rFonts w:ascii="Times New Roman" w:hAnsi="Times New Roman"/>
                <w:b w:val="0"/>
                <w:i/>
                <w:iCs/>
                <w:sz w:val="22"/>
                <w:szCs w:val="22"/>
              </w:rPr>
              <w:t>Mēneši</w:t>
            </w:r>
          </w:p>
        </w:tc>
      </w:tr>
      <w:tr w:rsidR="0085622A" w:rsidRPr="00023705" w14:paraId="622DC611"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Borders>
              <w:top w:val="nil"/>
            </w:tcBorders>
            <w:shd w:val="clear" w:color="auto" w:fill="EDEDED" w:themeFill="accent3" w:themeFillTint="33"/>
          </w:tcPr>
          <w:p w14:paraId="31EC14B5"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i/>
                <w:iCs/>
                <w:sz w:val="20"/>
                <w:szCs w:val="20"/>
              </w:rPr>
              <w:t>Gadi</w:t>
            </w:r>
          </w:p>
        </w:tc>
        <w:tc>
          <w:tcPr>
            <w:tcW w:w="611" w:type="dxa"/>
            <w:tcBorders>
              <w:top w:val="nil"/>
            </w:tcBorders>
            <w:shd w:val="clear" w:color="auto" w:fill="EDEDED" w:themeFill="accent3" w:themeFillTint="33"/>
          </w:tcPr>
          <w:p w14:paraId="48E33ABF"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Jan</w:t>
            </w:r>
          </w:p>
        </w:tc>
        <w:tc>
          <w:tcPr>
            <w:tcW w:w="617" w:type="dxa"/>
            <w:tcBorders>
              <w:top w:val="nil"/>
            </w:tcBorders>
            <w:shd w:val="clear" w:color="auto" w:fill="EDEDED" w:themeFill="accent3" w:themeFillTint="33"/>
          </w:tcPr>
          <w:p w14:paraId="505186CE"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Feb</w:t>
            </w:r>
          </w:p>
        </w:tc>
        <w:tc>
          <w:tcPr>
            <w:tcW w:w="652" w:type="dxa"/>
            <w:tcBorders>
              <w:top w:val="nil"/>
            </w:tcBorders>
            <w:shd w:val="clear" w:color="auto" w:fill="EDEDED" w:themeFill="accent3" w:themeFillTint="33"/>
          </w:tcPr>
          <w:p w14:paraId="62AD695F"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Mar</w:t>
            </w:r>
          </w:p>
        </w:tc>
        <w:tc>
          <w:tcPr>
            <w:tcW w:w="726" w:type="dxa"/>
            <w:tcBorders>
              <w:top w:val="nil"/>
            </w:tcBorders>
            <w:shd w:val="clear" w:color="auto" w:fill="EDEDED" w:themeFill="accent3" w:themeFillTint="33"/>
          </w:tcPr>
          <w:p w14:paraId="31B047DD"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Apr</w:t>
            </w:r>
          </w:p>
        </w:tc>
        <w:tc>
          <w:tcPr>
            <w:tcW w:w="631" w:type="dxa"/>
            <w:tcBorders>
              <w:top w:val="nil"/>
            </w:tcBorders>
            <w:shd w:val="clear" w:color="auto" w:fill="EDEDED" w:themeFill="accent3" w:themeFillTint="33"/>
          </w:tcPr>
          <w:p w14:paraId="52C1C7C5"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Mai</w:t>
            </w:r>
          </w:p>
        </w:tc>
        <w:tc>
          <w:tcPr>
            <w:tcW w:w="667" w:type="dxa"/>
            <w:tcBorders>
              <w:top w:val="nil"/>
            </w:tcBorders>
            <w:shd w:val="clear" w:color="auto" w:fill="EDEDED" w:themeFill="accent3" w:themeFillTint="33"/>
          </w:tcPr>
          <w:p w14:paraId="6F19AC4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Jūn</w:t>
            </w:r>
          </w:p>
        </w:tc>
        <w:tc>
          <w:tcPr>
            <w:tcW w:w="613" w:type="dxa"/>
            <w:tcBorders>
              <w:top w:val="nil"/>
            </w:tcBorders>
            <w:shd w:val="clear" w:color="auto" w:fill="EDEDED" w:themeFill="accent3" w:themeFillTint="33"/>
          </w:tcPr>
          <w:p w14:paraId="46F3063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Jūl</w:t>
            </w:r>
          </w:p>
        </w:tc>
        <w:tc>
          <w:tcPr>
            <w:tcW w:w="638" w:type="dxa"/>
            <w:tcBorders>
              <w:top w:val="nil"/>
            </w:tcBorders>
            <w:shd w:val="clear" w:color="auto" w:fill="EDEDED" w:themeFill="accent3" w:themeFillTint="33"/>
          </w:tcPr>
          <w:p w14:paraId="744277DE"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Aug</w:t>
            </w:r>
          </w:p>
        </w:tc>
        <w:tc>
          <w:tcPr>
            <w:tcW w:w="613" w:type="dxa"/>
            <w:tcBorders>
              <w:top w:val="nil"/>
            </w:tcBorders>
            <w:shd w:val="clear" w:color="auto" w:fill="EDEDED" w:themeFill="accent3" w:themeFillTint="33"/>
          </w:tcPr>
          <w:p w14:paraId="34FD8492"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Sep</w:t>
            </w:r>
          </w:p>
        </w:tc>
        <w:tc>
          <w:tcPr>
            <w:tcW w:w="625" w:type="dxa"/>
            <w:tcBorders>
              <w:top w:val="nil"/>
            </w:tcBorders>
            <w:shd w:val="clear" w:color="auto" w:fill="EDEDED" w:themeFill="accent3" w:themeFillTint="33"/>
          </w:tcPr>
          <w:p w14:paraId="7CD3B7DE"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Okt</w:t>
            </w:r>
          </w:p>
        </w:tc>
        <w:tc>
          <w:tcPr>
            <w:tcW w:w="631" w:type="dxa"/>
            <w:tcBorders>
              <w:top w:val="nil"/>
            </w:tcBorders>
            <w:shd w:val="clear" w:color="auto" w:fill="EDEDED" w:themeFill="accent3" w:themeFillTint="33"/>
          </w:tcPr>
          <w:p w14:paraId="6141AFE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Nov</w:t>
            </w:r>
          </w:p>
        </w:tc>
        <w:tc>
          <w:tcPr>
            <w:tcW w:w="617" w:type="dxa"/>
            <w:tcBorders>
              <w:top w:val="nil"/>
            </w:tcBorders>
            <w:shd w:val="clear" w:color="auto" w:fill="EDEDED" w:themeFill="accent3" w:themeFillTint="33"/>
          </w:tcPr>
          <w:p w14:paraId="30059B91"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023705">
              <w:rPr>
                <w:rFonts w:ascii="Times New Roman" w:hAnsi="Times New Roman"/>
                <w:b/>
                <w:sz w:val="20"/>
                <w:szCs w:val="20"/>
              </w:rPr>
              <w:t>Dec</w:t>
            </w:r>
          </w:p>
        </w:tc>
      </w:tr>
      <w:tr w:rsidR="0085622A" w:rsidRPr="00023705" w14:paraId="7FAD8773"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11146374"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bCs w:val="0"/>
                <w:sz w:val="20"/>
                <w:szCs w:val="20"/>
              </w:rPr>
              <w:t>2012</w:t>
            </w:r>
          </w:p>
        </w:tc>
        <w:tc>
          <w:tcPr>
            <w:tcW w:w="611" w:type="dxa"/>
          </w:tcPr>
          <w:p w14:paraId="5638147C"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11,7</w:t>
            </w:r>
          </w:p>
        </w:tc>
        <w:tc>
          <w:tcPr>
            <w:tcW w:w="617" w:type="dxa"/>
          </w:tcPr>
          <w:p w14:paraId="4076AD7E"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11,8</w:t>
            </w:r>
          </w:p>
        </w:tc>
        <w:tc>
          <w:tcPr>
            <w:tcW w:w="652" w:type="dxa"/>
          </w:tcPr>
          <w:p w14:paraId="23EA897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11,7</w:t>
            </w:r>
          </w:p>
        </w:tc>
        <w:tc>
          <w:tcPr>
            <w:tcW w:w="726" w:type="dxa"/>
          </w:tcPr>
          <w:p w14:paraId="77A7CFF9" w14:textId="77777777" w:rsidR="0085622A" w:rsidRPr="00023705" w:rsidRDefault="003A674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11,3/</w:t>
            </w:r>
          </w:p>
          <w:p w14:paraId="7BE2836E"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12,9*</w:t>
            </w:r>
          </w:p>
        </w:tc>
        <w:tc>
          <w:tcPr>
            <w:tcW w:w="631" w:type="dxa"/>
          </w:tcPr>
          <w:p w14:paraId="3BD91C7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12,3</w:t>
            </w:r>
          </w:p>
        </w:tc>
        <w:tc>
          <w:tcPr>
            <w:tcW w:w="667" w:type="dxa"/>
          </w:tcPr>
          <w:p w14:paraId="132573F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11,9</w:t>
            </w:r>
          </w:p>
        </w:tc>
        <w:tc>
          <w:tcPr>
            <w:tcW w:w="613" w:type="dxa"/>
          </w:tcPr>
          <w:p w14:paraId="1EDEC52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11,6</w:t>
            </w:r>
          </w:p>
        </w:tc>
        <w:tc>
          <w:tcPr>
            <w:tcW w:w="638" w:type="dxa"/>
          </w:tcPr>
          <w:p w14:paraId="633EAE7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11,3</w:t>
            </w:r>
          </w:p>
        </w:tc>
        <w:tc>
          <w:tcPr>
            <w:tcW w:w="613" w:type="dxa"/>
          </w:tcPr>
          <w:p w14:paraId="76B77BF1"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11,0</w:t>
            </w:r>
          </w:p>
        </w:tc>
        <w:tc>
          <w:tcPr>
            <w:tcW w:w="625" w:type="dxa"/>
          </w:tcPr>
          <w:p w14:paraId="781ACAA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10,7</w:t>
            </w:r>
          </w:p>
        </w:tc>
        <w:tc>
          <w:tcPr>
            <w:tcW w:w="631" w:type="dxa"/>
          </w:tcPr>
          <w:p w14:paraId="36DD5D7B"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10,6</w:t>
            </w:r>
          </w:p>
        </w:tc>
        <w:tc>
          <w:tcPr>
            <w:tcW w:w="617" w:type="dxa"/>
          </w:tcPr>
          <w:p w14:paraId="6558186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10,5</w:t>
            </w:r>
          </w:p>
        </w:tc>
      </w:tr>
      <w:tr w:rsidR="0085622A" w:rsidRPr="00023705" w14:paraId="52AED114"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3F324B07"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bCs w:val="0"/>
                <w:sz w:val="20"/>
                <w:szCs w:val="20"/>
              </w:rPr>
              <w:t>2013</w:t>
            </w:r>
          </w:p>
        </w:tc>
        <w:tc>
          <w:tcPr>
            <w:tcW w:w="611" w:type="dxa"/>
            <w:shd w:val="clear" w:color="auto" w:fill="EDEDED" w:themeFill="accent3" w:themeFillTint="33"/>
          </w:tcPr>
          <w:p w14:paraId="077515F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10,9</w:t>
            </w:r>
          </w:p>
        </w:tc>
        <w:tc>
          <w:tcPr>
            <w:tcW w:w="617" w:type="dxa"/>
            <w:shd w:val="clear" w:color="auto" w:fill="EDEDED" w:themeFill="accent3" w:themeFillTint="33"/>
          </w:tcPr>
          <w:p w14:paraId="31D7CCE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10,9</w:t>
            </w:r>
          </w:p>
        </w:tc>
        <w:tc>
          <w:tcPr>
            <w:tcW w:w="652" w:type="dxa"/>
            <w:shd w:val="clear" w:color="auto" w:fill="EDEDED" w:themeFill="accent3" w:themeFillTint="33"/>
          </w:tcPr>
          <w:p w14:paraId="3EDD0B5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10,8</w:t>
            </w:r>
          </w:p>
        </w:tc>
        <w:tc>
          <w:tcPr>
            <w:tcW w:w="726" w:type="dxa"/>
            <w:shd w:val="clear" w:color="auto" w:fill="EDEDED" w:themeFill="accent3" w:themeFillTint="33"/>
          </w:tcPr>
          <w:p w14:paraId="4108FCBF"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10,4</w:t>
            </w:r>
          </w:p>
        </w:tc>
        <w:tc>
          <w:tcPr>
            <w:tcW w:w="631" w:type="dxa"/>
            <w:shd w:val="clear" w:color="auto" w:fill="EDEDED" w:themeFill="accent3" w:themeFillTint="33"/>
          </w:tcPr>
          <w:p w14:paraId="10D4F3B2"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bCs/>
                <w:sz w:val="18"/>
                <w:szCs w:val="18"/>
              </w:rPr>
              <w:t>9,9</w:t>
            </w:r>
          </w:p>
        </w:tc>
        <w:tc>
          <w:tcPr>
            <w:tcW w:w="667" w:type="dxa"/>
            <w:shd w:val="clear" w:color="auto" w:fill="EDEDED" w:themeFill="accent3" w:themeFillTint="33"/>
          </w:tcPr>
          <w:p w14:paraId="5495B201"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9,6</w:t>
            </w:r>
          </w:p>
        </w:tc>
        <w:tc>
          <w:tcPr>
            <w:tcW w:w="613" w:type="dxa"/>
            <w:shd w:val="clear" w:color="auto" w:fill="EDEDED" w:themeFill="accent3" w:themeFillTint="33"/>
          </w:tcPr>
          <w:p w14:paraId="0DDAAF00"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9,5</w:t>
            </w:r>
          </w:p>
        </w:tc>
        <w:tc>
          <w:tcPr>
            <w:tcW w:w="638" w:type="dxa"/>
            <w:shd w:val="clear" w:color="auto" w:fill="EDEDED" w:themeFill="accent3" w:themeFillTint="33"/>
          </w:tcPr>
          <w:p w14:paraId="1978564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9,3</w:t>
            </w:r>
          </w:p>
        </w:tc>
        <w:tc>
          <w:tcPr>
            <w:tcW w:w="613" w:type="dxa"/>
            <w:shd w:val="clear" w:color="auto" w:fill="EDEDED" w:themeFill="accent3" w:themeFillTint="33"/>
          </w:tcPr>
          <w:p w14:paraId="38930CB5"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9,1</w:t>
            </w:r>
          </w:p>
        </w:tc>
        <w:tc>
          <w:tcPr>
            <w:tcW w:w="625" w:type="dxa"/>
            <w:shd w:val="clear" w:color="auto" w:fill="EDEDED" w:themeFill="accent3" w:themeFillTint="33"/>
          </w:tcPr>
          <w:p w14:paraId="7C5B3B9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9,1</w:t>
            </w:r>
          </w:p>
        </w:tc>
        <w:tc>
          <w:tcPr>
            <w:tcW w:w="631" w:type="dxa"/>
            <w:shd w:val="clear" w:color="auto" w:fill="EDEDED" w:themeFill="accent3" w:themeFillTint="33"/>
          </w:tcPr>
          <w:p w14:paraId="530A06C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9,3</w:t>
            </w:r>
          </w:p>
        </w:tc>
        <w:tc>
          <w:tcPr>
            <w:tcW w:w="617" w:type="dxa"/>
            <w:shd w:val="clear" w:color="auto" w:fill="EDEDED" w:themeFill="accent3" w:themeFillTint="33"/>
          </w:tcPr>
          <w:p w14:paraId="42B2713C"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bCs/>
                <w:sz w:val="18"/>
                <w:szCs w:val="18"/>
              </w:rPr>
              <w:t>9,5</w:t>
            </w:r>
          </w:p>
        </w:tc>
      </w:tr>
      <w:tr w:rsidR="0085622A" w:rsidRPr="00023705" w14:paraId="33467B87"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1797D4A5"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bCs w:val="0"/>
                <w:sz w:val="20"/>
                <w:szCs w:val="20"/>
              </w:rPr>
              <w:t>2014</w:t>
            </w:r>
          </w:p>
        </w:tc>
        <w:tc>
          <w:tcPr>
            <w:tcW w:w="611" w:type="dxa"/>
          </w:tcPr>
          <w:p w14:paraId="36C5726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9,8</w:t>
            </w:r>
          </w:p>
        </w:tc>
        <w:tc>
          <w:tcPr>
            <w:tcW w:w="617" w:type="dxa"/>
          </w:tcPr>
          <w:p w14:paraId="4FC245DC"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9,9</w:t>
            </w:r>
          </w:p>
        </w:tc>
        <w:tc>
          <w:tcPr>
            <w:tcW w:w="652" w:type="dxa"/>
          </w:tcPr>
          <w:p w14:paraId="6AFEF976"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9,8</w:t>
            </w:r>
          </w:p>
        </w:tc>
        <w:tc>
          <w:tcPr>
            <w:tcW w:w="726" w:type="dxa"/>
          </w:tcPr>
          <w:p w14:paraId="52B51D5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9,6</w:t>
            </w:r>
          </w:p>
        </w:tc>
        <w:tc>
          <w:tcPr>
            <w:tcW w:w="631" w:type="dxa"/>
          </w:tcPr>
          <w:p w14:paraId="0932E3EE"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bCs/>
                <w:sz w:val="18"/>
                <w:szCs w:val="18"/>
              </w:rPr>
              <w:t>9,1</w:t>
            </w:r>
          </w:p>
        </w:tc>
        <w:tc>
          <w:tcPr>
            <w:tcW w:w="667" w:type="dxa"/>
          </w:tcPr>
          <w:p w14:paraId="005ECEB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8,9</w:t>
            </w:r>
          </w:p>
        </w:tc>
        <w:tc>
          <w:tcPr>
            <w:tcW w:w="613" w:type="dxa"/>
          </w:tcPr>
          <w:p w14:paraId="502D379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8,6</w:t>
            </w:r>
          </w:p>
        </w:tc>
        <w:tc>
          <w:tcPr>
            <w:tcW w:w="638" w:type="dxa"/>
          </w:tcPr>
          <w:p w14:paraId="71BA986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8,4</w:t>
            </w:r>
          </w:p>
        </w:tc>
        <w:tc>
          <w:tcPr>
            <w:tcW w:w="613" w:type="dxa"/>
          </w:tcPr>
          <w:p w14:paraId="1E74F1D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8,2</w:t>
            </w:r>
          </w:p>
        </w:tc>
        <w:tc>
          <w:tcPr>
            <w:tcW w:w="625" w:type="dxa"/>
          </w:tcPr>
          <w:p w14:paraId="076ECA42"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8,2</w:t>
            </w:r>
          </w:p>
        </w:tc>
        <w:tc>
          <w:tcPr>
            <w:tcW w:w="631" w:type="dxa"/>
          </w:tcPr>
          <w:p w14:paraId="4051F0D6"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8,3</w:t>
            </w:r>
          </w:p>
        </w:tc>
        <w:tc>
          <w:tcPr>
            <w:tcW w:w="617" w:type="dxa"/>
          </w:tcPr>
          <w:p w14:paraId="229117B0"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bCs/>
                <w:sz w:val="18"/>
                <w:szCs w:val="18"/>
              </w:rPr>
              <w:t>8,5</w:t>
            </w:r>
          </w:p>
        </w:tc>
      </w:tr>
      <w:tr w:rsidR="0085622A" w:rsidRPr="00023705" w14:paraId="0048133A"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31FDB38C"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bCs w:val="0"/>
                <w:sz w:val="20"/>
                <w:szCs w:val="20"/>
              </w:rPr>
              <w:t>2015</w:t>
            </w:r>
          </w:p>
        </w:tc>
        <w:tc>
          <w:tcPr>
            <w:tcW w:w="611" w:type="dxa"/>
            <w:shd w:val="clear" w:color="auto" w:fill="EDEDED" w:themeFill="accent3" w:themeFillTint="33"/>
          </w:tcPr>
          <w:p w14:paraId="6CDDE2F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9,0</w:t>
            </w:r>
          </w:p>
        </w:tc>
        <w:tc>
          <w:tcPr>
            <w:tcW w:w="617" w:type="dxa"/>
            <w:shd w:val="clear" w:color="auto" w:fill="EDEDED" w:themeFill="accent3" w:themeFillTint="33"/>
          </w:tcPr>
          <w:p w14:paraId="1759072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9,1</w:t>
            </w:r>
          </w:p>
        </w:tc>
        <w:tc>
          <w:tcPr>
            <w:tcW w:w="652" w:type="dxa"/>
            <w:shd w:val="clear" w:color="auto" w:fill="EDEDED" w:themeFill="accent3" w:themeFillTint="33"/>
          </w:tcPr>
          <w:p w14:paraId="4D7452E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9,2</w:t>
            </w:r>
          </w:p>
        </w:tc>
        <w:tc>
          <w:tcPr>
            <w:tcW w:w="726" w:type="dxa"/>
            <w:shd w:val="clear" w:color="auto" w:fill="EDEDED" w:themeFill="accent3" w:themeFillTint="33"/>
          </w:tcPr>
          <w:p w14:paraId="029CA1A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8,8</w:t>
            </w:r>
          </w:p>
        </w:tc>
        <w:tc>
          <w:tcPr>
            <w:tcW w:w="631" w:type="dxa"/>
            <w:shd w:val="clear" w:color="auto" w:fill="EDEDED" w:themeFill="accent3" w:themeFillTint="33"/>
          </w:tcPr>
          <w:p w14:paraId="4DF1B58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bCs/>
                <w:sz w:val="18"/>
                <w:szCs w:val="18"/>
              </w:rPr>
              <w:t>8,6</w:t>
            </w:r>
          </w:p>
        </w:tc>
        <w:tc>
          <w:tcPr>
            <w:tcW w:w="667" w:type="dxa"/>
            <w:shd w:val="clear" w:color="auto" w:fill="EDEDED" w:themeFill="accent3" w:themeFillTint="33"/>
          </w:tcPr>
          <w:p w14:paraId="4CCD77D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8,6</w:t>
            </w:r>
          </w:p>
        </w:tc>
        <w:tc>
          <w:tcPr>
            <w:tcW w:w="613" w:type="dxa"/>
            <w:shd w:val="clear" w:color="auto" w:fill="EDEDED" w:themeFill="accent3" w:themeFillTint="33"/>
          </w:tcPr>
          <w:p w14:paraId="017BAA16"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8,6</w:t>
            </w:r>
          </w:p>
        </w:tc>
        <w:tc>
          <w:tcPr>
            <w:tcW w:w="638" w:type="dxa"/>
            <w:shd w:val="clear" w:color="auto" w:fill="EDEDED" w:themeFill="accent3" w:themeFillTint="33"/>
          </w:tcPr>
          <w:p w14:paraId="0038B0D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8,5</w:t>
            </w:r>
          </w:p>
        </w:tc>
        <w:tc>
          <w:tcPr>
            <w:tcW w:w="613" w:type="dxa"/>
            <w:shd w:val="clear" w:color="auto" w:fill="EDEDED" w:themeFill="accent3" w:themeFillTint="33"/>
          </w:tcPr>
          <w:p w14:paraId="19E4C6FB"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8,3</w:t>
            </w:r>
          </w:p>
        </w:tc>
        <w:tc>
          <w:tcPr>
            <w:tcW w:w="625" w:type="dxa"/>
            <w:shd w:val="clear" w:color="auto" w:fill="EDEDED" w:themeFill="accent3" w:themeFillTint="33"/>
          </w:tcPr>
          <w:p w14:paraId="78B243DD"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8,3</w:t>
            </w:r>
          </w:p>
        </w:tc>
        <w:tc>
          <w:tcPr>
            <w:tcW w:w="631" w:type="dxa"/>
            <w:shd w:val="clear" w:color="auto" w:fill="EDEDED" w:themeFill="accent3" w:themeFillTint="33"/>
          </w:tcPr>
          <w:p w14:paraId="69E25DF5"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8,4</w:t>
            </w:r>
          </w:p>
        </w:tc>
        <w:tc>
          <w:tcPr>
            <w:tcW w:w="617" w:type="dxa"/>
            <w:shd w:val="clear" w:color="auto" w:fill="EDEDED" w:themeFill="accent3" w:themeFillTint="33"/>
          </w:tcPr>
          <w:p w14:paraId="2C3B76C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bCs/>
                <w:sz w:val="18"/>
                <w:szCs w:val="18"/>
              </w:rPr>
              <w:t>8,7</w:t>
            </w:r>
          </w:p>
        </w:tc>
      </w:tr>
      <w:tr w:rsidR="0085622A" w:rsidRPr="00023705" w14:paraId="106DD16E"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68163943"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bCs w:val="0"/>
                <w:sz w:val="20"/>
                <w:szCs w:val="20"/>
              </w:rPr>
              <w:t>2016</w:t>
            </w:r>
          </w:p>
        </w:tc>
        <w:tc>
          <w:tcPr>
            <w:tcW w:w="611" w:type="dxa"/>
          </w:tcPr>
          <w:p w14:paraId="379FAB1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9,1</w:t>
            </w:r>
          </w:p>
        </w:tc>
        <w:tc>
          <w:tcPr>
            <w:tcW w:w="617" w:type="dxa"/>
          </w:tcPr>
          <w:p w14:paraId="03735ADD"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9,2</w:t>
            </w:r>
          </w:p>
        </w:tc>
        <w:tc>
          <w:tcPr>
            <w:tcW w:w="652" w:type="dxa"/>
          </w:tcPr>
          <w:p w14:paraId="7B718B0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9,1</w:t>
            </w:r>
          </w:p>
        </w:tc>
        <w:tc>
          <w:tcPr>
            <w:tcW w:w="726" w:type="dxa"/>
          </w:tcPr>
          <w:p w14:paraId="4DEF74F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8,8</w:t>
            </w:r>
          </w:p>
        </w:tc>
        <w:tc>
          <w:tcPr>
            <w:tcW w:w="631" w:type="dxa"/>
          </w:tcPr>
          <w:p w14:paraId="76671772"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bCs/>
                <w:sz w:val="18"/>
                <w:szCs w:val="18"/>
              </w:rPr>
              <w:t>8,4</w:t>
            </w:r>
          </w:p>
        </w:tc>
        <w:tc>
          <w:tcPr>
            <w:tcW w:w="667" w:type="dxa"/>
          </w:tcPr>
          <w:p w14:paraId="6BFB69F2"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8,3</w:t>
            </w:r>
          </w:p>
        </w:tc>
        <w:tc>
          <w:tcPr>
            <w:tcW w:w="613" w:type="dxa"/>
          </w:tcPr>
          <w:p w14:paraId="271C5ABB"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8,3</w:t>
            </w:r>
          </w:p>
        </w:tc>
        <w:tc>
          <w:tcPr>
            <w:tcW w:w="638" w:type="dxa"/>
          </w:tcPr>
          <w:p w14:paraId="05D18E7B"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8,1</w:t>
            </w:r>
          </w:p>
        </w:tc>
        <w:tc>
          <w:tcPr>
            <w:tcW w:w="613" w:type="dxa"/>
          </w:tcPr>
          <w:p w14:paraId="5353B04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7,9</w:t>
            </w:r>
          </w:p>
        </w:tc>
        <w:tc>
          <w:tcPr>
            <w:tcW w:w="625" w:type="dxa"/>
          </w:tcPr>
          <w:p w14:paraId="4C9EFC25"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7,9</w:t>
            </w:r>
          </w:p>
        </w:tc>
        <w:tc>
          <w:tcPr>
            <w:tcW w:w="631" w:type="dxa"/>
          </w:tcPr>
          <w:p w14:paraId="0A3BFB8D"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8,0</w:t>
            </w:r>
          </w:p>
        </w:tc>
        <w:tc>
          <w:tcPr>
            <w:tcW w:w="617" w:type="dxa"/>
          </w:tcPr>
          <w:p w14:paraId="3A2DF71C"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bCs/>
                <w:sz w:val="18"/>
                <w:szCs w:val="18"/>
              </w:rPr>
              <w:t>8,4</w:t>
            </w:r>
          </w:p>
        </w:tc>
      </w:tr>
      <w:tr w:rsidR="0085622A" w:rsidRPr="00023705" w14:paraId="1D0FD683"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60081DC9"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bCs w:val="0"/>
                <w:sz w:val="20"/>
                <w:szCs w:val="20"/>
              </w:rPr>
              <w:t>2017</w:t>
            </w:r>
          </w:p>
        </w:tc>
        <w:tc>
          <w:tcPr>
            <w:tcW w:w="611" w:type="dxa"/>
            <w:shd w:val="clear" w:color="auto" w:fill="EDEDED" w:themeFill="accent3" w:themeFillTint="33"/>
          </w:tcPr>
          <w:p w14:paraId="326B840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8,5</w:t>
            </w:r>
          </w:p>
        </w:tc>
        <w:tc>
          <w:tcPr>
            <w:tcW w:w="617" w:type="dxa"/>
            <w:shd w:val="clear" w:color="auto" w:fill="EDEDED" w:themeFill="accent3" w:themeFillTint="33"/>
          </w:tcPr>
          <w:p w14:paraId="61B502D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8,4</w:t>
            </w:r>
          </w:p>
        </w:tc>
        <w:tc>
          <w:tcPr>
            <w:tcW w:w="652" w:type="dxa"/>
            <w:shd w:val="clear" w:color="auto" w:fill="EDEDED" w:themeFill="accent3" w:themeFillTint="33"/>
          </w:tcPr>
          <w:p w14:paraId="783AED6F"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8,3</w:t>
            </w:r>
          </w:p>
        </w:tc>
        <w:tc>
          <w:tcPr>
            <w:tcW w:w="726" w:type="dxa"/>
            <w:shd w:val="clear" w:color="auto" w:fill="EDEDED" w:themeFill="accent3" w:themeFillTint="33"/>
          </w:tcPr>
          <w:p w14:paraId="07B3BAC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7,8</w:t>
            </w:r>
          </w:p>
        </w:tc>
        <w:tc>
          <w:tcPr>
            <w:tcW w:w="631" w:type="dxa"/>
            <w:shd w:val="clear" w:color="auto" w:fill="EDEDED" w:themeFill="accent3" w:themeFillTint="33"/>
          </w:tcPr>
          <w:p w14:paraId="15113D16"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7,4</w:t>
            </w:r>
          </w:p>
        </w:tc>
        <w:tc>
          <w:tcPr>
            <w:tcW w:w="667" w:type="dxa"/>
            <w:shd w:val="clear" w:color="auto" w:fill="EDEDED" w:themeFill="accent3" w:themeFillTint="33"/>
          </w:tcPr>
          <w:p w14:paraId="516131D5"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7,2</w:t>
            </w:r>
          </w:p>
        </w:tc>
        <w:tc>
          <w:tcPr>
            <w:tcW w:w="613" w:type="dxa"/>
            <w:shd w:val="clear" w:color="auto" w:fill="EDEDED" w:themeFill="accent3" w:themeFillTint="33"/>
          </w:tcPr>
          <w:p w14:paraId="18C1A51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7,1</w:t>
            </w:r>
          </w:p>
        </w:tc>
        <w:tc>
          <w:tcPr>
            <w:tcW w:w="638" w:type="dxa"/>
            <w:shd w:val="clear" w:color="auto" w:fill="EDEDED" w:themeFill="accent3" w:themeFillTint="33"/>
          </w:tcPr>
          <w:p w14:paraId="57E79F6D"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6,9</w:t>
            </w:r>
          </w:p>
        </w:tc>
        <w:tc>
          <w:tcPr>
            <w:tcW w:w="613" w:type="dxa"/>
            <w:shd w:val="clear" w:color="auto" w:fill="EDEDED" w:themeFill="accent3" w:themeFillTint="33"/>
          </w:tcPr>
          <w:p w14:paraId="6BDBEF4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6,6</w:t>
            </w:r>
          </w:p>
        </w:tc>
        <w:tc>
          <w:tcPr>
            <w:tcW w:w="625" w:type="dxa"/>
            <w:shd w:val="clear" w:color="auto" w:fill="EDEDED" w:themeFill="accent3" w:themeFillTint="33"/>
          </w:tcPr>
          <w:p w14:paraId="6F77C9C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6,6</w:t>
            </w:r>
          </w:p>
        </w:tc>
        <w:tc>
          <w:tcPr>
            <w:tcW w:w="631" w:type="dxa"/>
            <w:shd w:val="clear" w:color="auto" w:fill="EDEDED" w:themeFill="accent3" w:themeFillTint="33"/>
          </w:tcPr>
          <w:p w14:paraId="6185376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6,7</w:t>
            </w:r>
          </w:p>
        </w:tc>
        <w:tc>
          <w:tcPr>
            <w:tcW w:w="617" w:type="dxa"/>
            <w:shd w:val="clear" w:color="auto" w:fill="EDEDED" w:themeFill="accent3" w:themeFillTint="33"/>
          </w:tcPr>
          <w:p w14:paraId="4EAB4F5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6,8</w:t>
            </w:r>
          </w:p>
        </w:tc>
      </w:tr>
      <w:tr w:rsidR="0085622A" w:rsidRPr="00023705" w14:paraId="77B20ED7"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03A51684"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bCs w:val="0"/>
                <w:sz w:val="20"/>
                <w:szCs w:val="20"/>
              </w:rPr>
              <w:t>2018</w:t>
            </w:r>
          </w:p>
        </w:tc>
        <w:tc>
          <w:tcPr>
            <w:tcW w:w="611" w:type="dxa"/>
          </w:tcPr>
          <w:p w14:paraId="6F5D7EE5"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7,0</w:t>
            </w:r>
          </w:p>
        </w:tc>
        <w:tc>
          <w:tcPr>
            <w:tcW w:w="617" w:type="dxa"/>
          </w:tcPr>
          <w:p w14:paraId="70DA1930"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7,1</w:t>
            </w:r>
          </w:p>
        </w:tc>
        <w:tc>
          <w:tcPr>
            <w:tcW w:w="652" w:type="dxa"/>
          </w:tcPr>
          <w:p w14:paraId="7A054C55"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7,0</w:t>
            </w:r>
          </w:p>
        </w:tc>
        <w:tc>
          <w:tcPr>
            <w:tcW w:w="726" w:type="dxa"/>
          </w:tcPr>
          <w:p w14:paraId="384E497F"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6,7</w:t>
            </w:r>
          </w:p>
        </w:tc>
        <w:tc>
          <w:tcPr>
            <w:tcW w:w="631" w:type="dxa"/>
          </w:tcPr>
          <w:p w14:paraId="2E66674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6,4</w:t>
            </w:r>
          </w:p>
        </w:tc>
        <w:tc>
          <w:tcPr>
            <w:tcW w:w="667" w:type="dxa"/>
          </w:tcPr>
          <w:p w14:paraId="2994D5F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6,4</w:t>
            </w:r>
          </w:p>
        </w:tc>
        <w:tc>
          <w:tcPr>
            <w:tcW w:w="613" w:type="dxa"/>
          </w:tcPr>
          <w:p w14:paraId="4DE1A0B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6,4</w:t>
            </w:r>
          </w:p>
        </w:tc>
        <w:tc>
          <w:tcPr>
            <w:tcW w:w="638" w:type="dxa"/>
          </w:tcPr>
          <w:p w14:paraId="63DFCF4B"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6,3</w:t>
            </w:r>
          </w:p>
        </w:tc>
        <w:tc>
          <w:tcPr>
            <w:tcW w:w="613" w:type="dxa"/>
          </w:tcPr>
          <w:p w14:paraId="1C20544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6,1</w:t>
            </w:r>
          </w:p>
        </w:tc>
        <w:tc>
          <w:tcPr>
            <w:tcW w:w="625" w:type="dxa"/>
          </w:tcPr>
          <w:p w14:paraId="1F4DEE1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6,1</w:t>
            </w:r>
          </w:p>
        </w:tc>
        <w:tc>
          <w:tcPr>
            <w:tcW w:w="631" w:type="dxa"/>
          </w:tcPr>
          <w:p w14:paraId="0BB3374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6,2</w:t>
            </w:r>
          </w:p>
        </w:tc>
        <w:tc>
          <w:tcPr>
            <w:tcW w:w="617" w:type="dxa"/>
          </w:tcPr>
          <w:p w14:paraId="755C799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6,4</w:t>
            </w:r>
          </w:p>
        </w:tc>
      </w:tr>
      <w:tr w:rsidR="0085622A" w:rsidRPr="00023705" w14:paraId="7E95CB42"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04F03EBA" w14:textId="77777777" w:rsidR="0085622A" w:rsidRPr="00023705" w:rsidRDefault="003A674F">
            <w:pPr>
              <w:jc w:val="center"/>
              <w:rPr>
                <w:rFonts w:ascii="Times New Roman" w:hAnsi="Times New Roman"/>
                <w:b w:val="0"/>
                <w:bCs w:val="0"/>
                <w:i/>
                <w:iCs/>
                <w:color w:val="FF0000"/>
                <w:sz w:val="22"/>
                <w:szCs w:val="22"/>
              </w:rPr>
            </w:pPr>
            <w:r w:rsidRPr="00023705">
              <w:rPr>
                <w:rFonts w:ascii="Times New Roman" w:hAnsi="Times New Roman"/>
                <w:bCs w:val="0"/>
                <w:sz w:val="20"/>
                <w:szCs w:val="20"/>
              </w:rPr>
              <w:t>2019</w:t>
            </w:r>
          </w:p>
        </w:tc>
        <w:tc>
          <w:tcPr>
            <w:tcW w:w="611" w:type="dxa"/>
            <w:shd w:val="clear" w:color="auto" w:fill="EDEDED" w:themeFill="accent3" w:themeFillTint="33"/>
          </w:tcPr>
          <w:p w14:paraId="0FA3195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6,7</w:t>
            </w:r>
          </w:p>
        </w:tc>
        <w:tc>
          <w:tcPr>
            <w:tcW w:w="617" w:type="dxa"/>
            <w:shd w:val="clear" w:color="auto" w:fill="EDEDED" w:themeFill="accent3" w:themeFillTint="33"/>
          </w:tcPr>
          <w:p w14:paraId="7F10328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6,7</w:t>
            </w:r>
          </w:p>
        </w:tc>
        <w:tc>
          <w:tcPr>
            <w:tcW w:w="652" w:type="dxa"/>
            <w:shd w:val="clear" w:color="auto" w:fill="EDEDED" w:themeFill="accent3" w:themeFillTint="33"/>
          </w:tcPr>
          <w:p w14:paraId="2B6EBADC"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sz w:val="18"/>
                <w:szCs w:val="18"/>
              </w:rPr>
              <w:t>6,6</w:t>
            </w:r>
          </w:p>
        </w:tc>
        <w:tc>
          <w:tcPr>
            <w:tcW w:w="726" w:type="dxa"/>
            <w:shd w:val="clear" w:color="auto" w:fill="EDEDED" w:themeFill="accent3" w:themeFillTint="33"/>
          </w:tcPr>
          <w:p w14:paraId="520359B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18"/>
                <w:szCs w:val="18"/>
              </w:rPr>
            </w:pPr>
            <w:r w:rsidRPr="00023705">
              <w:rPr>
                <w:rFonts w:ascii="Times New Roman" w:hAnsi="Times New Roman"/>
                <w:iCs/>
                <w:sz w:val="18"/>
                <w:szCs w:val="18"/>
              </w:rPr>
              <w:t>6,3</w:t>
            </w:r>
          </w:p>
        </w:tc>
        <w:tc>
          <w:tcPr>
            <w:tcW w:w="631" w:type="dxa"/>
            <w:shd w:val="clear" w:color="auto" w:fill="EDEDED" w:themeFill="accent3" w:themeFillTint="33"/>
          </w:tcPr>
          <w:p w14:paraId="6595D2D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iCs/>
                <w:sz w:val="18"/>
                <w:szCs w:val="18"/>
              </w:rPr>
              <w:t>6,1</w:t>
            </w:r>
          </w:p>
        </w:tc>
        <w:tc>
          <w:tcPr>
            <w:tcW w:w="667" w:type="dxa"/>
            <w:shd w:val="clear" w:color="auto" w:fill="EDEDED" w:themeFill="accent3" w:themeFillTint="33"/>
          </w:tcPr>
          <w:p w14:paraId="3FC66AA1"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023705">
              <w:rPr>
                <w:rFonts w:ascii="Times New Roman" w:hAnsi="Times New Roman"/>
                <w:iCs/>
                <w:sz w:val="18"/>
                <w:szCs w:val="18"/>
              </w:rPr>
              <w:t>6,0</w:t>
            </w:r>
          </w:p>
        </w:tc>
        <w:tc>
          <w:tcPr>
            <w:tcW w:w="613" w:type="dxa"/>
            <w:shd w:val="clear" w:color="auto" w:fill="EDEDED" w:themeFill="accent3" w:themeFillTint="33"/>
          </w:tcPr>
          <w:p w14:paraId="39F58B3D"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18"/>
                <w:szCs w:val="18"/>
              </w:rPr>
            </w:pPr>
            <w:r w:rsidRPr="00023705">
              <w:rPr>
                <w:rFonts w:ascii="Times New Roman" w:hAnsi="Times New Roman"/>
                <w:iCs/>
                <w:sz w:val="18"/>
                <w:szCs w:val="18"/>
              </w:rPr>
              <w:t>6,0</w:t>
            </w:r>
          </w:p>
        </w:tc>
        <w:tc>
          <w:tcPr>
            <w:tcW w:w="638" w:type="dxa"/>
            <w:shd w:val="clear" w:color="auto" w:fill="EDEDED" w:themeFill="accent3" w:themeFillTint="33"/>
          </w:tcPr>
          <w:p w14:paraId="1BEB7A7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iCs/>
                <w:sz w:val="18"/>
                <w:szCs w:val="18"/>
              </w:rPr>
              <w:t>5,9</w:t>
            </w:r>
          </w:p>
        </w:tc>
        <w:tc>
          <w:tcPr>
            <w:tcW w:w="613" w:type="dxa"/>
            <w:shd w:val="clear" w:color="auto" w:fill="EDEDED" w:themeFill="accent3" w:themeFillTint="33"/>
          </w:tcPr>
          <w:p w14:paraId="33C57F12"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iCs/>
                <w:sz w:val="18"/>
                <w:szCs w:val="18"/>
              </w:rPr>
              <w:t>5,7</w:t>
            </w:r>
          </w:p>
        </w:tc>
        <w:tc>
          <w:tcPr>
            <w:tcW w:w="625" w:type="dxa"/>
            <w:shd w:val="clear" w:color="auto" w:fill="EDEDED" w:themeFill="accent3" w:themeFillTint="33"/>
          </w:tcPr>
          <w:p w14:paraId="3AA8A19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023705">
              <w:rPr>
                <w:rFonts w:ascii="Times New Roman" w:hAnsi="Times New Roman"/>
                <w:iCs/>
                <w:sz w:val="18"/>
                <w:szCs w:val="18"/>
              </w:rPr>
              <w:t>5,7</w:t>
            </w:r>
          </w:p>
        </w:tc>
        <w:tc>
          <w:tcPr>
            <w:tcW w:w="631" w:type="dxa"/>
            <w:shd w:val="clear" w:color="auto" w:fill="EDEDED" w:themeFill="accent3" w:themeFillTint="33"/>
          </w:tcPr>
          <w:p w14:paraId="724C05B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18"/>
                <w:szCs w:val="18"/>
              </w:rPr>
            </w:pPr>
            <w:r w:rsidRPr="00023705">
              <w:rPr>
                <w:rFonts w:ascii="Times New Roman" w:hAnsi="Times New Roman"/>
                <w:iCs/>
                <w:sz w:val="18"/>
                <w:szCs w:val="18"/>
              </w:rPr>
              <w:t>5,8</w:t>
            </w:r>
          </w:p>
        </w:tc>
        <w:tc>
          <w:tcPr>
            <w:tcW w:w="617" w:type="dxa"/>
            <w:shd w:val="clear" w:color="auto" w:fill="EDEDED" w:themeFill="accent3" w:themeFillTint="33"/>
          </w:tcPr>
          <w:p w14:paraId="6983C126"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18"/>
                <w:szCs w:val="18"/>
              </w:rPr>
            </w:pPr>
            <w:r w:rsidRPr="00023705">
              <w:rPr>
                <w:rFonts w:ascii="Times New Roman" w:hAnsi="Times New Roman"/>
                <w:iCs/>
                <w:sz w:val="18"/>
                <w:szCs w:val="18"/>
              </w:rPr>
              <w:t>6,2</w:t>
            </w:r>
          </w:p>
        </w:tc>
      </w:tr>
      <w:tr w:rsidR="0085622A" w:rsidRPr="00023705" w14:paraId="33DB4A39"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53A397DD" w14:textId="77777777" w:rsidR="0085622A" w:rsidRPr="00023705" w:rsidRDefault="003A674F">
            <w:pPr>
              <w:jc w:val="center"/>
              <w:rPr>
                <w:rFonts w:ascii="Times New Roman" w:hAnsi="Times New Roman"/>
                <w:b w:val="0"/>
                <w:sz w:val="20"/>
                <w:szCs w:val="20"/>
              </w:rPr>
            </w:pPr>
            <w:r w:rsidRPr="00023705">
              <w:rPr>
                <w:rFonts w:ascii="Times New Roman" w:hAnsi="Times New Roman"/>
                <w:bCs w:val="0"/>
                <w:sz w:val="20"/>
                <w:szCs w:val="20"/>
              </w:rPr>
              <w:t>2020</w:t>
            </w:r>
          </w:p>
        </w:tc>
        <w:tc>
          <w:tcPr>
            <w:tcW w:w="611" w:type="dxa"/>
          </w:tcPr>
          <w:p w14:paraId="4605E0E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6,4</w:t>
            </w:r>
          </w:p>
        </w:tc>
        <w:tc>
          <w:tcPr>
            <w:tcW w:w="617" w:type="dxa"/>
          </w:tcPr>
          <w:p w14:paraId="6A922C80"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6,3</w:t>
            </w:r>
          </w:p>
        </w:tc>
        <w:tc>
          <w:tcPr>
            <w:tcW w:w="652" w:type="dxa"/>
          </w:tcPr>
          <w:p w14:paraId="04C20CE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6,8</w:t>
            </w:r>
          </w:p>
        </w:tc>
        <w:tc>
          <w:tcPr>
            <w:tcW w:w="726" w:type="dxa"/>
          </w:tcPr>
          <w:p w14:paraId="2375008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8,0</w:t>
            </w:r>
          </w:p>
        </w:tc>
        <w:tc>
          <w:tcPr>
            <w:tcW w:w="631" w:type="dxa"/>
          </w:tcPr>
          <w:p w14:paraId="5AA257B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8,4</w:t>
            </w:r>
          </w:p>
        </w:tc>
        <w:tc>
          <w:tcPr>
            <w:tcW w:w="667" w:type="dxa"/>
          </w:tcPr>
          <w:p w14:paraId="210C006B"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8,6</w:t>
            </w:r>
          </w:p>
        </w:tc>
        <w:tc>
          <w:tcPr>
            <w:tcW w:w="613" w:type="dxa"/>
          </w:tcPr>
          <w:p w14:paraId="6478C2C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8,6</w:t>
            </w:r>
          </w:p>
        </w:tc>
        <w:tc>
          <w:tcPr>
            <w:tcW w:w="638" w:type="dxa"/>
          </w:tcPr>
          <w:p w14:paraId="07D5A8E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8,2</w:t>
            </w:r>
          </w:p>
        </w:tc>
        <w:tc>
          <w:tcPr>
            <w:tcW w:w="613" w:type="dxa"/>
          </w:tcPr>
          <w:p w14:paraId="2ABCB65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7,7</w:t>
            </w:r>
          </w:p>
        </w:tc>
        <w:tc>
          <w:tcPr>
            <w:tcW w:w="625" w:type="dxa"/>
          </w:tcPr>
          <w:p w14:paraId="24AC62C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7,4</w:t>
            </w:r>
          </w:p>
        </w:tc>
        <w:tc>
          <w:tcPr>
            <w:tcW w:w="631" w:type="dxa"/>
          </w:tcPr>
          <w:p w14:paraId="04563C1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7,4</w:t>
            </w:r>
          </w:p>
        </w:tc>
        <w:tc>
          <w:tcPr>
            <w:tcW w:w="617" w:type="dxa"/>
          </w:tcPr>
          <w:p w14:paraId="7B4C295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023705">
              <w:rPr>
                <w:rFonts w:ascii="Times New Roman" w:hAnsi="Times New Roman"/>
                <w:sz w:val="18"/>
                <w:szCs w:val="18"/>
              </w:rPr>
              <w:t>7,7</w:t>
            </w:r>
          </w:p>
        </w:tc>
      </w:tr>
      <w:tr w:rsidR="0085622A" w:rsidRPr="00023705" w14:paraId="40847B39"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7EBB2F2A" w14:textId="77777777" w:rsidR="0085622A" w:rsidRPr="00023705" w:rsidRDefault="003A674F">
            <w:pPr>
              <w:jc w:val="center"/>
              <w:rPr>
                <w:rFonts w:ascii="Times New Roman" w:hAnsi="Times New Roman"/>
                <w:b w:val="0"/>
                <w:sz w:val="20"/>
                <w:szCs w:val="20"/>
              </w:rPr>
            </w:pPr>
            <w:r w:rsidRPr="00023705">
              <w:rPr>
                <w:rFonts w:ascii="Times New Roman" w:hAnsi="Times New Roman"/>
                <w:bCs w:val="0"/>
                <w:sz w:val="20"/>
                <w:szCs w:val="20"/>
              </w:rPr>
              <w:t>2021</w:t>
            </w:r>
          </w:p>
        </w:tc>
        <w:tc>
          <w:tcPr>
            <w:tcW w:w="611" w:type="dxa"/>
            <w:shd w:val="clear" w:color="auto" w:fill="EDEDED" w:themeFill="accent3" w:themeFillTint="33"/>
            <w:vAlign w:val="bottom"/>
          </w:tcPr>
          <w:p w14:paraId="6E0D62E1"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8,0</w:t>
            </w:r>
          </w:p>
        </w:tc>
        <w:tc>
          <w:tcPr>
            <w:tcW w:w="617" w:type="dxa"/>
            <w:shd w:val="clear" w:color="auto" w:fill="EDEDED" w:themeFill="accent3" w:themeFillTint="33"/>
            <w:vAlign w:val="bottom"/>
          </w:tcPr>
          <w:p w14:paraId="12973F10"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8,2</w:t>
            </w:r>
          </w:p>
        </w:tc>
        <w:tc>
          <w:tcPr>
            <w:tcW w:w="652" w:type="dxa"/>
            <w:shd w:val="clear" w:color="auto" w:fill="EDEDED" w:themeFill="accent3" w:themeFillTint="33"/>
            <w:vAlign w:val="bottom"/>
          </w:tcPr>
          <w:p w14:paraId="4F5AFCE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8,2</w:t>
            </w:r>
          </w:p>
        </w:tc>
        <w:tc>
          <w:tcPr>
            <w:tcW w:w="726" w:type="dxa"/>
            <w:shd w:val="clear" w:color="auto" w:fill="EDEDED" w:themeFill="accent3" w:themeFillTint="33"/>
          </w:tcPr>
          <w:p w14:paraId="70A47384"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7,9</w:t>
            </w:r>
          </w:p>
        </w:tc>
        <w:tc>
          <w:tcPr>
            <w:tcW w:w="631" w:type="dxa"/>
            <w:shd w:val="clear" w:color="auto" w:fill="EDEDED" w:themeFill="accent3" w:themeFillTint="33"/>
          </w:tcPr>
          <w:p w14:paraId="6FF09419"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7,6</w:t>
            </w:r>
          </w:p>
        </w:tc>
        <w:tc>
          <w:tcPr>
            <w:tcW w:w="667" w:type="dxa"/>
            <w:shd w:val="clear" w:color="auto" w:fill="EDEDED" w:themeFill="accent3" w:themeFillTint="33"/>
          </w:tcPr>
          <w:p w14:paraId="7B6E7ABD"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7,4</w:t>
            </w:r>
          </w:p>
        </w:tc>
        <w:tc>
          <w:tcPr>
            <w:tcW w:w="613" w:type="dxa"/>
            <w:shd w:val="clear" w:color="auto" w:fill="EDEDED" w:themeFill="accent3" w:themeFillTint="33"/>
          </w:tcPr>
          <w:p w14:paraId="5867A802"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7,1</w:t>
            </w:r>
          </w:p>
        </w:tc>
        <w:tc>
          <w:tcPr>
            <w:tcW w:w="638" w:type="dxa"/>
            <w:shd w:val="clear" w:color="auto" w:fill="EDEDED" w:themeFill="accent3" w:themeFillTint="33"/>
          </w:tcPr>
          <w:p w14:paraId="1BA53E9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6,5</w:t>
            </w:r>
          </w:p>
        </w:tc>
        <w:tc>
          <w:tcPr>
            <w:tcW w:w="613" w:type="dxa"/>
            <w:shd w:val="clear" w:color="auto" w:fill="EDEDED" w:themeFill="accent3" w:themeFillTint="33"/>
          </w:tcPr>
          <w:p w14:paraId="2D5F66AC"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6,0</w:t>
            </w:r>
          </w:p>
        </w:tc>
        <w:tc>
          <w:tcPr>
            <w:tcW w:w="625" w:type="dxa"/>
            <w:shd w:val="clear" w:color="auto" w:fill="EDEDED" w:themeFill="accent3" w:themeFillTint="33"/>
          </w:tcPr>
          <w:p w14:paraId="3FF2AE5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iCs/>
                <w:sz w:val="18"/>
                <w:szCs w:val="16"/>
              </w:rPr>
              <w:t>6,0</w:t>
            </w:r>
          </w:p>
        </w:tc>
        <w:tc>
          <w:tcPr>
            <w:tcW w:w="631" w:type="dxa"/>
            <w:shd w:val="clear" w:color="auto" w:fill="EDEDED" w:themeFill="accent3" w:themeFillTint="33"/>
          </w:tcPr>
          <w:p w14:paraId="5C1677D3"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iCs/>
                <w:sz w:val="18"/>
                <w:szCs w:val="16"/>
              </w:rPr>
              <w:t>6,4</w:t>
            </w:r>
          </w:p>
        </w:tc>
        <w:tc>
          <w:tcPr>
            <w:tcW w:w="617" w:type="dxa"/>
            <w:shd w:val="clear" w:color="auto" w:fill="EDEDED" w:themeFill="accent3" w:themeFillTint="33"/>
          </w:tcPr>
          <w:p w14:paraId="64FFB30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18"/>
                <w:szCs w:val="18"/>
              </w:rPr>
            </w:pPr>
            <w:r w:rsidRPr="00023705">
              <w:rPr>
                <w:rFonts w:ascii="Times New Roman" w:hAnsi="Times New Roman"/>
                <w:b/>
                <w:i/>
                <w:iCs/>
                <w:sz w:val="18"/>
                <w:szCs w:val="16"/>
              </w:rPr>
              <w:t>6,7</w:t>
            </w:r>
          </w:p>
        </w:tc>
      </w:tr>
      <w:tr w:rsidR="0085622A" w:rsidRPr="00023705" w14:paraId="018FF40C"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auto"/>
          </w:tcPr>
          <w:p w14:paraId="35780576" w14:textId="77777777" w:rsidR="0085622A" w:rsidRPr="00023705" w:rsidRDefault="003A674F">
            <w:pPr>
              <w:jc w:val="center"/>
              <w:rPr>
                <w:rFonts w:ascii="Times New Roman" w:hAnsi="Times New Roman"/>
                <w:b w:val="0"/>
                <w:sz w:val="20"/>
                <w:szCs w:val="20"/>
              </w:rPr>
            </w:pPr>
            <w:r w:rsidRPr="00023705">
              <w:rPr>
                <w:rFonts w:ascii="Times New Roman" w:hAnsi="Times New Roman"/>
                <w:bCs w:val="0"/>
                <w:sz w:val="20"/>
                <w:szCs w:val="20"/>
              </w:rPr>
              <w:t>2022</w:t>
            </w:r>
          </w:p>
        </w:tc>
        <w:tc>
          <w:tcPr>
            <w:tcW w:w="611" w:type="dxa"/>
            <w:shd w:val="clear" w:color="auto" w:fill="auto"/>
            <w:vAlign w:val="bottom"/>
          </w:tcPr>
          <w:p w14:paraId="58764BD8"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6,9</w:t>
            </w:r>
          </w:p>
        </w:tc>
        <w:tc>
          <w:tcPr>
            <w:tcW w:w="617" w:type="dxa"/>
            <w:shd w:val="clear" w:color="auto" w:fill="auto"/>
            <w:vAlign w:val="bottom"/>
          </w:tcPr>
          <w:p w14:paraId="4D487E5A"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6,8</w:t>
            </w:r>
          </w:p>
        </w:tc>
        <w:tc>
          <w:tcPr>
            <w:tcW w:w="652" w:type="dxa"/>
            <w:shd w:val="clear" w:color="auto" w:fill="auto"/>
            <w:vAlign w:val="bottom"/>
          </w:tcPr>
          <w:p w14:paraId="71241736"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6,8</w:t>
            </w:r>
          </w:p>
        </w:tc>
        <w:tc>
          <w:tcPr>
            <w:tcW w:w="726" w:type="dxa"/>
            <w:shd w:val="clear" w:color="auto" w:fill="auto"/>
          </w:tcPr>
          <w:p w14:paraId="109B6EA0"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6,5</w:t>
            </w:r>
          </w:p>
        </w:tc>
        <w:tc>
          <w:tcPr>
            <w:tcW w:w="631" w:type="dxa"/>
            <w:shd w:val="clear" w:color="auto" w:fill="auto"/>
          </w:tcPr>
          <w:p w14:paraId="35EFBB47"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6,1</w:t>
            </w:r>
          </w:p>
        </w:tc>
        <w:tc>
          <w:tcPr>
            <w:tcW w:w="667" w:type="dxa"/>
            <w:shd w:val="clear" w:color="auto" w:fill="auto"/>
          </w:tcPr>
          <w:p w14:paraId="48F073C0"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5,0</w:t>
            </w:r>
          </w:p>
        </w:tc>
        <w:tc>
          <w:tcPr>
            <w:tcW w:w="613" w:type="dxa"/>
            <w:shd w:val="clear" w:color="auto" w:fill="auto"/>
          </w:tcPr>
          <w:p w14:paraId="4B95683D"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6,0</w:t>
            </w:r>
          </w:p>
        </w:tc>
        <w:tc>
          <w:tcPr>
            <w:tcW w:w="638" w:type="dxa"/>
            <w:shd w:val="clear" w:color="auto" w:fill="auto"/>
          </w:tcPr>
          <w:p w14:paraId="3DCCBDAF"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5,8</w:t>
            </w:r>
          </w:p>
        </w:tc>
        <w:tc>
          <w:tcPr>
            <w:tcW w:w="613" w:type="dxa"/>
            <w:shd w:val="clear" w:color="auto" w:fill="auto"/>
          </w:tcPr>
          <w:p w14:paraId="7295AE06"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23705">
              <w:rPr>
                <w:rFonts w:ascii="Times New Roman" w:hAnsi="Times New Roman"/>
                <w:sz w:val="18"/>
                <w:szCs w:val="18"/>
              </w:rPr>
              <w:t>5,7</w:t>
            </w:r>
          </w:p>
        </w:tc>
        <w:tc>
          <w:tcPr>
            <w:tcW w:w="625" w:type="dxa"/>
            <w:shd w:val="clear" w:color="auto" w:fill="auto"/>
          </w:tcPr>
          <w:p w14:paraId="73421902"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6"/>
              </w:rPr>
            </w:pPr>
            <w:r w:rsidRPr="00023705">
              <w:rPr>
                <w:rFonts w:ascii="Times New Roman" w:hAnsi="Times New Roman"/>
                <w:iCs/>
                <w:sz w:val="18"/>
                <w:szCs w:val="16"/>
              </w:rPr>
              <w:t>5,7</w:t>
            </w:r>
          </w:p>
        </w:tc>
        <w:tc>
          <w:tcPr>
            <w:tcW w:w="631" w:type="dxa"/>
            <w:shd w:val="clear" w:color="auto" w:fill="auto"/>
          </w:tcPr>
          <w:p w14:paraId="49C6533E"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6"/>
              </w:rPr>
            </w:pPr>
            <w:r w:rsidRPr="00023705">
              <w:rPr>
                <w:rFonts w:ascii="Times New Roman" w:hAnsi="Times New Roman"/>
                <w:iCs/>
                <w:sz w:val="18"/>
                <w:szCs w:val="16"/>
              </w:rPr>
              <w:t>5,9</w:t>
            </w:r>
          </w:p>
        </w:tc>
        <w:tc>
          <w:tcPr>
            <w:tcW w:w="617" w:type="dxa"/>
            <w:shd w:val="clear" w:color="auto" w:fill="auto"/>
          </w:tcPr>
          <w:p w14:paraId="5874528E" w14:textId="77777777" w:rsidR="0085622A" w:rsidRPr="00023705"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sz w:val="18"/>
                <w:szCs w:val="16"/>
              </w:rPr>
            </w:pPr>
            <w:r w:rsidRPr="00023705">
              <w:rPr>
                <w:rFonts w:ascii="Times New Roman" w:hAnsi="Times New Roman"/>
                <w:b/>
                <w:i/>
                <w:iCs/>
                <w:sz w:val="18"/>
                <w:szCs w:val="16"/>
              </w:rPr>
              <w:t>6,1</w:t>
            </w:r>
          </w:p>
        </w:tc>
      </w:tr>
      <w:tr w:rsidR="0085622A" w:rsidRPr="00023705" w14:paraId="21986FE3"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8306" w:type="dxa"/>
            <w:gridSpan w:val="13"/>
          </w:tcPr>
          <w:p w14:paraId="0A921767" w14:textId="77777777" w:rsidR="0085622A" w:rsidRPr="00023705" w:rsidRDefault="003A674F">
            <w:pPr>
              <w:jc w:val="both"/>
              <w:rPr>
                <w:rFonts w:ascii="Times New Roman" w:hAnsi="Times New Roman"/>
                <w:bCs w:val="0"/>
                <w:i/>
                <w:iCs/>
                <w:sz w:val="22"/>
                <w:szCs w:val="22"/>
              </w:rPr>
            </w:pPr>
            <w:r w:rsidRPr="00023705">
              <w:rPr>
                <w:rFonts w:ascii="Times New Roman" w:hAnsi="Times New Roman"/>
                <w:b w:val="0"/>
                <w:sz w:val="18"/>
                <w:szCs w:val="18"/>
              </w:rPr>
              <w:t>* Ņemot vērā CSP aktualizēto ekonomiski aktīvo iedzīvotāju skaitu pēc CSP pārrēķina atbilstoši tautas skaitīšanas datiem</w:t>
            </w:r>
          </w:p>
        </w:tc>
      </w:tr>
    </w:tbl>
    <w:bookmarkEnd w:id="16"/>
    <w:p w14:paraId="70090F8C" w14:textId="77777777" w:rsidR="0085622A" w:rsidRDefault="003A674F">
      <w:pPr>
        <w:jc w:val="both"/>
        <w:rPr>
          <w:sz w:val="20"/>
          <w:szCs w:val="20"/>
        </w:rPr>
      </w:pPr>
      <w:r>
        <w:rPr>
          <w:sz w:val="20"/>
          <w:szCs w:val="20"/>
        </w:rPr>
        <w:t>Datu avots: Nodarbinātības valsts aģentūra</w:t>
      </w:r>
    </w:p>
    <w:p w14:paraId="26A65945" w14:textId="77777777" w:rsidR="0085622A" w:rsidRDefault="0085622A">
      <w:pPr>
        <w:jc w:val="both"/>
      </w:pPr>
    </w:p>
    <w:p w14:paraId="56BB8169" w14:textId="1EE8E461" w:rsidR="0085622A" w:rsidRDefault="0054088E">
      <w:pPr>
        <w:ind w:firstLine="720"/>
        <w:jc w:val="both"/>
        <w:rPr>
          <w:bCs/>
        </w:rPr>
      </w:pPr>
      <w:r>
        <w:rPr>
          <w:bCs/>
        </w:rPr>
        <w:t>M</w:t>
      </w:r>
      <w:r w:rsidR="003A674F">
        <w:rPr>
          <w:bCs/>
        </w:rPr>
        <w:t>inimālā alga pēdējo 10 gadu laikā ir tikusi paaugstināta vairākas reizes,</w:t>
      </w:r>
      <w:r>
        <w:rPr>
          <w:bCs/>
        </w:rPr>
        <w:t xml:space="preserve"> taču</w:t>
      </w:r>
      <w:r w:rsidR="003A674F">
        <w:rPr>
          <w:bCs/>
        </w:rPr>
        <w:t xml:space="preserve"> nav </w:t>
      </w:r>
      <w:r>
        <w:rPr>
          <w:bCs/>
        </w:rPr>
        <w:t>novērots</w:t>
      </w:r>
      <w:r w:rsidR="003A674F">
        <w:rPr>
          <w:bCs/>
        </w:rPr>
        <w:t xml:space="preserve"> bezdarba līmeņa pieaugums</w:t>
      </w:r>
      <w:r>
        <w:rPr>
          <w:bCs/>
        </w:rPr>
        <w:t xml:space="preserve"> (arī reģionāli un nozaru līmenī)</w:t>
      </w:r>
      <w:r w:rsidR="003A674F">
        <w:rPr>
          <w:bCs/>
        </w:rPr>
        <w:t xml:space="preserve">, ko būtu izraisījusi </w:t>
      </w:r>
      <w:r>
        <w:rPr>
          <w:bCs/>
        </w:rPr>
        <w:t xml:space="preserve">tieši </w:t>
      </w:r>
      <w:r w:rsidR="003A674F">
        <w:rPr>
          <w:bCs/>
        </w:rPr>
        <w:t xml:space="preserve">minimālās darba algas celšana. </w:t>
      </w:r>
    </w:p>
    <w:p w14:paraId="72606EB6" w14:textId="77777777" w:rsidR="0085622A" w:rsidRDefault="0085622A">
      <w:pPr>
        <w:jc w:val="both"/>
      </w:pPr>
    </w:p>
    <w:p w14:paraId="78842696" w14:textId="77777777" w:rsidR="0085622A" w:rsidRDefault="003F6C9B">
      <w:pPr>
        <w:jc w:val="right"/>
      </w:pPr>
      <w:r>
        <w:t>8</w:t>
      </w:r>
      <w:r w:rsidR="003A674F">
        <w:t>.tabula</w:t>
      </w:r>
    </w:p>
    <w:p w14:paraId="00C94D0B" w14:textId="77777777" w:rsidR="0085622A" w:rsidRDefault="003A674F">
      <w:pPr>
        <w:jc w:val="center"/>
      </w:pPr>
      <w:r>
        <w:rPr>
          <w:b/>
        </w:rPr>
        <w:t>Reģistrētā bezdarba līmenis un bezdarbnieku skaits</w:t>
      </w:r>
    </w:p>
    <w:tbl>
      <w:tblPr>
        <w:tblW w:w="0" w:type="auto"/>
        <w:jc w:val="center"/>
        <w:tblCellMar>
          <w:left w:w="0" w:type="dxa"/>
          <w:right w:w="0" w:type="dxa"/>
        </w:tblCellMar>
        <w:tblLook w:val="04A0" w:firstRow="1" w:lastRow="0" w:firstColumn="1" w:lastColumn="0" w:noHBand="0" w:noVBand="1"/>
      </w:tblPr>
      <w:tblGrid>
        <w:gridCol w:w="2152"/>
        <w:gridCol w:w="1990"/>
        <w:gridCol w:w="1990"/>
        <w:gridCol w:w="2154"/>
      </w:tblGrid>
      <w:tr w:rsidR="0085622A" w14:paraId="59F44302" w14:textId="77777777" w:rsidTr="00593A9C">
        <w:trPr>
          <w:jc w:val="center"/>
        </w:trPr>
        <w:tc>
          <w:tcPr>
            <w:tcW w:w="21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459D5EE9" w14:textId="77777777" w:rsidR="0085622A" w:rsidRDefault="0085622A">
            <w:pPr>
              <w:jc w:val="center"/>
            </w:pPr>
          </w:p>
        </w:tc>
        <w:tc>
          <w:tcPr>
            <w:tcW w:w="199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414EE82A" w14:textId="77777777" w:rsidR="0085622A" w:rsidRDefault="003A674F">
            <w:pPr>
              <w:jc w:val="center"/>
              <w:rPr>
                <w:b/>
              </w:rPr>
            </w:pPr>
            <w:r>
              <w:rPr>
                <w:b/>
              </w:rPr>
              <w:t>2021.gada 31.decembris</w:t>
            </w:r>
          </w:p>
        </w:tc>
        <w:tc>
          <w:tcPr>
            <w:tcW w:w="199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0B2D5832" w14:textId="77777777" w:rsidR="0085622A" w:rsidRDefault="003A674F">
            <w:pPr>
              <w:jc w:val="center"/>
              <w:rPr>
                <w:b/>
              </w:rPr>
            </w:pPr>
            <w:r>
              <w:rPr>
                <w:b/>
              </w:rPr>
              <w:t>2022.gada 31.decembris</w:t>
            </w:r>
          </w:p>
        </w:tc>
        <w:tc>
          <w:tcPr>
            <w:tcW w:w="2154"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659D2DD5" w14:textId="77777777" w:rsidR="0085622A" w:rsidRDefault="003A674F">
            <w:pPr>
              <w:jc w:val="center"/>
              <w:rPr>
                <w:b/>
              </w:rPr>
            </w:pPr>
            <w:r>
              <w:rPr>
                <w:b/>
              </w:rPr>
              <w:t>Izmaiņas gada griezumā</w:t>
            </w:r>
          </w:p>
        </w:tc>
      </w:tr>
      <w:tr w:rsidR="0085622A" w14:paraId="08BF61EA" w14:textId="77777777" w:rsidTr="00593A9C">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BB7C85" w14:textId="77777777" w:rsidR="0085622A" w:rsidRDefault="003A674F">
            <w:r>
              <w:t>Bezdarba līmenis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55A4B728" w14:textId="77777777" w:rsidR="0085622A" w:rsidRDefault="003A674F">
            <w:pPr>
              <w:jc w:val="center"/>
            </w:pPr>
            <w:r>
              <w:t>6,7%</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2B136641" w14:textId="77777777" w:rsidR="0085622A" w:rsidRDefault="003A674F">
            <w:pPr>
              <w:jc w:val="center"/>
            </w:pPr>
            <w:r>
              <w:t>6,1%</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22469498" w14:textId="77777777" w:rsidR="0085622A" w:rsidRDefault="003A674F">
            <w:r>
              <w:t>-0.6 procentpunkti</w:t>
            </w:r>
          </w:p>
        </w:tc>
      </w:tr>
      <w:tr w:rsidR="0085622A" w14:paraId="232E8DE6" w14:textId="77777777" w:rsidTr="00593A9C">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078E" w14:textId="77777777" w:rsidR="0085622A" w:rsidRDefault="003A674F">
            <w:r>
              <w:t>Bezdarbnieku skaits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1B5A993F" w14:textId="77777777" w:rsidR="0085622A" w:rsidRDefault="003A674F">
            <w:pPr>
              <w:jc w:val="center"/>
            </w:pPr>
            <w:r>
              <w:rPr>
                <w:rFonts w:eastAsia="SimSun"/>
              </w:rPr>
              <w:t>60 774</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7DB5C460" w14:textId="77777777" w:rsidR="0085622A" w:rsidRDefault="003A674F">
            <w:pPr>
              <w:tabs>
                <w:tab w:val="left" w:pos="1680"/>
              </w:tabs>
              <w:jc w:val="center"/>
            </w:pPr>
            <w:r>
              <w:rPr>
                <w:rFonts w:eastAsia="SimSun"/>
              </w:rPr>
              <w:t>53 536</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413B8372" w14:textId="77777777" w:rsidR="0085622A" w:rsidRDefault="003A674F">
            <w:r>
              <w:t>-7</w:t>
            </w:r>
            <w:r w:rsidR="00023705">
              <w:t xml:space="preserve"> </w:t>
            </w:r>
            <w:r>
              <w:t>238 personas</w:t>
            </w:r>
          </w:p>
        </w:tc>
      </w:tr>
    </w:tbl>
    <w:p w14:paraId="4C067018" w14:textId="77777777" w:rsidR="0085622A" w:rsidRDefault="003A674F">
      <w:pPr>
        <w:jc w:val="both"/>
        <w:rPr>
          <w:sz w:val="20"/>
          <w:szCs w:val="20"/>
        </w:rPr>
      </w:pPr>
      <w:r>
        <w:rPr>
          <w:sz w:val="20"/>
          <w:szCs w:val="20"/>
        </w:rPr>
        <w:t>Datu avots: Nodarbinātības valsts aģentūra</w:t>
      </w:r>
    </w:p>
    <w:p w14:paraId="2E0723C2" w14:textId="77777777" w:rsidR="0085622A" w:rsidRDefault="0085622A">
      <w:pPr>
        <w:rPr>
          <w:rFonts w:eastAsiaTheme="minorHAnsi"/>
          <w:lang w:eastAsia="en-US"/>
        </w:rPr>
      </w:pPr>
    </w:p>
    <w:p w14:paraId="33F2A3A3" w14:textId="6A498D45" w:rsidR="00962C57" w:rsidRDefault="003A674F" w:rsidP="00593A9C">
      <w:pPr>
        <w:ind w:firstLine="720"/>
        <w:jc w:val="both"/>
        <w:rPr>
          <w:rFonts w:eastAsiaTheme="minorHAnsi"/>
          <w:lang w:eastAsia="en-US"/>
        </w:rPr>
      </w:pPr>
      <w:r>
        <w:rPr>
          <w:rFonts w:eastAsiaTheme="minorHAnsi"/>
          <w:lang w:eastAsia="en-US"/>
        </w:rPr>
        <w:t>Reģistrētā bezdarba līmenis 2022.gadā, salīdzin</w:t>
      </w:r>
      <w:r w:rsidR="0054088E">
        <w:rPr>
          <w:rFonts w:eastAsiaTheme="minorHAnsi"/>
          <w:lang w:eastAsia="en-US"/>
        </w:rPr>
        <w:t>ot</w:t>
      </w:r>
      <w:r>
        <w:rPr>
          <w:rFonts w:eastAsiaTheme="minorHAnsi"/>
          <w:lang w:eastAsia="en-US"/>
        </w:rPr>
        <w:t xml:space="preserve"> ar situāciju pirms gada, bija samazinājies par 0,6 procentpunktiem jeb 7238 personām. Reģistrēt</w:t>
      </w:r>
      <w:r w:rsidR="00FB4448">
        <w:rPr>
          <w:rFonts w:eastAsiaTheme="minorHAnsi"/>
          <w:lang w:eastAsia="en-US"/>
        </w:rPr>
        <w:t>ais</w:t>
      </w:r>
      <w:r>
        <w:rPr>
          <w:rFonts w:eastAsiaTheme="minorHAnsi"/>
          <w:lang w:eastAsia="en-US"/>
        </w:rPr>
        <w:t xml:space="preserve"> bezdarb</w:t>
      </w:r>
      <w:r w:rsidR="00FB4448">
        <w:rPr>
          <w:rFonts w:eastAsiaTheme="minorHAnsi"/>
          <w:lang w:eastAsia="en-US"/>
        </w:rPr>
        <w:t>s samazinājās</w:t>
      </w:r>
      <w:r>
        <w:rPr>
          <w:rFonts w:eastAsiaTheme="minorHAnsi"/>
          <w:lang w:eastAsia="en-US"/>
        </w:rPr>
        <w:t xml:space="preserve"> saistībā ar pēc-pandēmijas situācijas uzlabošanos kopumā, ekonomi</w:t>
      </w:r>
      <w:r w:rsidR="00FB4448">
        <w:rPr>
          <w:rFonts w:eastAsiaTheme="minorHAnsi"/>
          <w:lang w:eastAsia="en-US"/>
        </w:rPr>
        <w:t>kas atgūšanos</w:t>
      </w:r>
      <w:r>
        <w:rPr>
          <w:rFonts w:eastAsiaTheme="minorHAnsi"/>
          <w:lang w:eastAsia="en-US"/>
        </w:rPr>
        <w:t xml:space="preserve"> un tai sekojošo </w:t>
      </w:r>
      <w:r w:rsidR="00FB4448">
        <w:rPr>
          <w:rFonts w:eastAsiaTheme="minorHAnsi"/>
          <w:lang w:eastAsia="en-US"/>
        </w:rPr>
        <w:t xml:space="preserve">pieaugošo </w:t>
      </w:r>
      <w:r>
        <w:rPr>
          <w:rFonts w:eastAsiaTheme="minorHAnsi"/>
          <w:lang w:eastAsia="en-US"/>
        </w:rPr>
        <w:t>pieprasījumu pēc darbaspēka. Vienlaikus gan jāatzīmē, ka situācija 2022.gadā turpināja saglabāties saspringta, ņemot vērā ģeopolitisko situāciju, straujo cenu kāpumu attiecībā uz energoresursiem, kā arī patēriņa cenu pieaugumu.</w:t>
      </w:r>
    </w:p>
    <w:p w14:paraId="67E1700B" w14:textId="77777777" w:rsidR="00962C57" w:rsidRDefault="00962C57">
      <w:pPr>
        <w:rPr>
          <w:rFonts w:eastAsiaTheme="minorHAnsi"/>
          <w:lang w:eastAsia="en-US"/>
        </w:rPr>
      </w:pPr>
      <w:r>
        <w:rPr>
          <w:rFonts w:eastAsiaTheme="minorHAnsi"/>
          <w:lang w:eastAsia="en-US"/>
        </w:rPr>
        <w:br w:type="page"/>
      </w:r>
    </w:p>
    <w:p w14:paraId="5B89D386" w14:textId="77777777" w:rsidR="0085622A" w:rsidRDefault="0085622A" w:rsidP="00593A9C">
      <w:pPr>
        <w:ind w:firstLine="720"/>
        <w:jc w:val="both"/>
        <w:rPr>
          <w:rFonts w:eastAsiaTheme="minorHAnsi"/>
          <w:lang w:eastAsia="en-US"/>
        </w:rPr>
      </w:pPr>
    </w:p>
    <w:p w14:paraId="08CC9A89" w14:textId="77777777" w:rsidR="00593A9C" w:rsidRPr="00593A9C" w:rsidRDefault="00593A9C" w:rsidP="00593A9C">
      <w:pPr>
        <w:ind w:firstLine="720"/>
        <w:jc w:val="both"/>
        <w:rPr>
          <w:rFonts w:eastAsiaTheme="minorHAnsi"/>
          <w:lang w:eastAsia="en-US"/>
        </w:rPr>
      </w:pPr>
    </w:p>
    <w:p w14:paraId="7E7C8458" w14:textId="77777777" w:rsidR="00840742" w:rsidRPr="00AD4126" w:rsidRDefault="00093D6F" w:rsidP="001F402C">
      <w:pPr>
        <w:pStyle w:val="Heading1"/>
      </w:pPr>
      <w:bookmarkStart w:id="17" w:name="_Toc148720958"/>
      <w:r w:rsidRPr="00AD4126">
        <w:t xml:space="preserve">7. </w:t>
      </w:r>
      <w:r w:rsidR="00840742" w:rsidRPr="00AD4126">
        <w:t>Ekonomikas attīstības tendences (EM informācija)</w:t>
      </w:r>
      <w:r w:rsidR="00355AE2" w:rsidRPr="00AD4126">
        <w:rPr>
          <w:rStyle w:val="FootnoteReference"/>
          <w:b w:val="0"/>
        </w:rPr>
        <w:footnoteReference w:id="2"/>
      </w:r>
      <w:bookmarkEnd w:id="17"/>
    </w:p>
    <w:p w14:paraId="09EE25E6" w14:textId="77777777" w:rsidR="00840742" w:rsidRPr="00AD4126" w:rsidRDefault="00840742" w:rsidP="00840742">
      <w:pPr>
        <w:pStyle w:val="BodyText2"/>
        <w:spacing w:after="0" w:line="240" w:lineRule="auto"/>
        <w:rPr>
          <w:b/>
        </w:rPr>
      </w:pPr>
    </w:p>
    <w:p w14:paraId="10309AD6" w14:textId="53AC5C49" w:rsidR="00355AE2" w:rsidRPr="00AD4126" w:rsidRDefault="00355AE2" w:rsidP="00840742">
      <w:pPr>
        <w:spacing w:line="276" w:lineRule="auto"/>
        <w:ind w:firstLine="720"/>
        <w:jc w:val="both"/>
      </w:pPr>
      <w:r w:rsidRPr="00AD4126">
        <w:t xml:space="preserve">Neraugoties uz ekonomikas satricinājumiem, darba tirgus saglabājas stabils. Nodarbināto skaits Latvijā 2022.gadā palielinājās par 2,6%. Gada griezumā tas ir bijis straujākais nodarbināto skaita pieaugums kopš 2007.gada, ko daļēji noteikusi gan darba tirgus atgūšanās no Covid-19 pandēmijas, gan arī arvien plašāka Ukrainas civiliedzīvotāju nodarbinātība Latvijā. Līdz ar nodarbinātības pieaugumu turpina samazināties bezdarba līmenis. Tas 2022.gadā </w:t>
      </w:r>
      <w:r w:rsidR="00616A1F" w:rsidRPr="00AD4126">
        <w:t xml:space="preserve">vidēji </w:t>
      </w:r>
      <w:r w:rsidRPr="00AD4126">
        <w:t>samazinājās līdz 6,9% (salīdzinot ar 2021.gadu – par 0,7 procentpunktiem)</w:t>
      </w:r>
      <w:r w:rsidR="00616A1F" w:rsidRPr="00AD4126">
        <w:t>, savukārt 2023.gada 2.ceturksnī – līdz 6,4%</w:t>
      </w:r>
      <w:r w:rsidRPr="00AD4126">
        <w:t>. Tomēr neskatoties uz ievērojamiem uzlabojumiem darba tirgū, nodarbināto skaits joprojām jūtami atpaliek no pirms pandēmijas līmeņa – 202</w:t>
      </w:r>
      <w:r w:rsidR="00616A1F" w:rsidRPr="00AD4126">
        <w:t>3</w:t>
      </w:r>
      <w:r w:rsidRPr="00AD4126">
        <w:t xml:space="preserve">.gada </w:t>
      </w:r>
      <w:r w:rsidR="00616A1F" w:rsidRPr="00AD4126">
        <w:t>2</w:t>
      </w:r>
      <w:r w:rsidRPr="00AD4126">
        <w:t xml:space="preserve">.ceturksnī nodarbināto skaits bija par </w:t>
      </w:r>
      <w:r w:rsidR="007217E4" w:rsidRPr="00AD4126">
        <w:t>18</w:t>
      </w:r>
      <w:r w:rsidRPr="00AD4126">
        <w:t xml:space="preserve"> tūkst. jeb 2% mazāks nekā attiecīgi 2019.gada </w:t>
      </w:r>
      <w:r w:rsidR="007217E4" w:rsidRPr="00AD4126">
        <w:t>2</w:t>
      </w:r>
      <w:r w:rsidRPr="00AD4126">
        <w:t>.ceturksnī.</w:t>
      </w:r>
    </w:p>
    <w:p w14:paraId="33B0B2A6" w14:textId="75E32B67" w:rsidR="00355AE2" w:rsidRPr="00AD4126" w:rsidRDefault="00355AE2" w:rsidP="00840742">
      <w:pPr>
        <w:spacing w:line="276" w:lineRule="auto"/>
        <w:ind w:firstLine="720"/>
        <w:jc w:val="both"/>
      </w:pPr>
      <w:r w:rsidRPr="00AD4126">
        <w:t>Neraugoties uz saspringto ģeopolitisko situāciju, kā arī prognozējamo ekonomikas izaugsmes tempu palēnināšanos, darba tirgus 2023.gadā būtiski nepasliktināsies, jo pieprasījums pēc darbaspēka joprojām ir augsts. Ekonomikas ministrija prognozē, ka kopumā bezdarba līmenis 2023.gadā varētu samazināties līdz vidēji 6,</w:t>
      </w:r>
      <w:r w:rsidR="00616A1F" w:rsidRPr="00AD4126">
        <w:t>1</w:t>
      </w:r>
      <w:r w:rsidRPr="00AD4126">
        <w:t>%, savukārt nodarbināto skaits saglabāties tuvu 2022.gada līmenim.</w:t>
      </w:r>
    </w:p>
    <w:p w14:paraId="1CC258E8" w14:textId="77777777" w:rsidR="00355AE2" w:rsidRPr="00AD4126" w:rsidRDefault="00355AE2" w:rsidP="00840742">
      <w:pPr>
        <w:spacing w:line="276" w:lineRule="auto"/>
        <w:ind w:firstLine="720"/>
        <w:jc w:val="both"/>
      </w:pPr>
      <w:r w:rsidRPr="00AD4126">
        <w:t>Mēneša vidējā bruto darba samaksa 2022.gadā turpināja palielināties, taču tās pieauguma tempi bija zemāki par inflācijas pieauguma tempu, izraisot pirktspējas samazināšanos. Vidējā neto darba samaksa bija 1 006 eiro jeb par 7,1% augstāka nekā 2021.gadā. Savukārt, ņemot vērā patēriņa cenu kāpumu, neto darba samaksa 2022.gadā samazinājās par 8,7%, kas liecina par algoto darbinieku pirktspējas straujo krišanos. Sagaidāms, ka šāda tendence īstermiņā turpināsies, kamēr straujais inflācijas pieaugums nemazināsies.</w:t>
      </w:r>
    </w:p>
    <w:p w14:paraId="66D98483" w14:textId="77777777" w:rsidR="00355AE2" w:rsidRPr="00AD4126" w:rsidRDefault="00355AE2" w:rsidP="00840742">
      <w:pPr>
        <w:spacing w:line="276" w:lineRule="auto"/>
        <w:ind w:firstLine="720"/>
        <w:jc w:val="both"/>
      </w:pPr>
      <w:r w:rsidRPr="00AD4126">
        <w:t>Vienlaikus pozitīvu spiedienu uz darba algām turpinās uzturēt gan algu konverģences process tuvāk ES ekonomiski attīstīto valstu algu līmenim, gan arvien pieaugošā kvalificēta darbaspēka nepietiekamība – darba tirgus sašaurināšanās, kas rada nepieciešamību uzņēmējiem aktīvāk domāt ne tikai kā piesaistīt jaunus speciālistus, bet ari kā noturēt esošos, t.sk. pārskatot darba atalgojuma likmes.</w:t>
      </w:r>
    </w:p>
    <w:p w14:paraId="41BD7353" w14:textId="06021BAF" w:rsidR="00355AE2" w:rsidRDefault="00355AE2" w:rsidP="00840742">
      <w:pPr>
        <w:spacing w:line="276" w:lineRule="auto"/>
        <w:ind w:firstLine="720"/>
        <w:jc w:val="both"/>
      </w:pPr>
      <w:r w:rsidRPr="00AD4126">
        <w:t>Ekonomikas tālākā attīstība vidēja termiņa periodā ir atkarīga no situācijas ārējā vidē un reformu gaitas. Lielākais Latvijas izaugsmes risks saistīts ar globālās ekonomikas attīstību, īpaši ģeopolitisko situāciju. Tāpat svarīga ir ES kopējās ekonomikas telpas turpmākā attīstība. Latvijas ekonomiskās priekšrocības vidējā termiņā galvenokārt balstīsies uz panākto makroekonomisko stabilitāti, kā rezultātā ir uzlabojušies Latvijas kredītreitingi, kā arī uz plānoto ES atbalsta programmu efektivitāti un uzlabojumiem uzņēmējdarbības vidē. Latvijas ekonomikas konkurētspējas priekšrocības pamatā balstās uz tehnoloģiskiem faktoriem, ražošanas efektivitātes uzlabošanu un inovācijām, mazākā mērā uz lētu darbaspēku un zemām resursu cenām. Vidēja termiņa periodā Latvijas izaugsmes tempi var sasniegt 4-5% pieaugumu gadā. Ieilgstot karam Ukrainā, ekonomikas atveseļošanās tempi varētu būt lēnāki.</w:t>
      </w:r>
    </w:p>
    <w:p w14:paraId="19ECCBF0" w14:textId="561E97C9" w:rsidR="009A366D" w:rsidRPr="00AD4126" w:rsidRDefault="009A366D" w:rsidP="00840742">
      <w:pPr>
        <w:spacing w:line="276" w:lineRule="auto"/>
        <w:ind w:firstLine="720"/>
        <w:jc w:val="both"/>
      </w:pPr>
      <w:r w:rsidRPr="009A366D">
        <w:t xml:space="preserve">Produktivitātes dinamika pēdējos gados ir svārstīga, ko noteica korekcijas produktu un darba tirgos, reaģējot uz Covid-19 pandēmijas ierobežošanas pasākumiem un ģeopolitiskiem satricinājumiem. Mazinoties Covid-19 pandēmijas ierobežojumiem un atjaunojoties ekonomiskām aktivitātēm, 2021.gadā produktivitāte pieauga par 7,8%, bet 2022.gadā tā </w:t>
      </w:r>
      <w:r w:rsidRPr="009A366D">
        <w:lastRenderedPageBreak/>
        <w:t xml:space="preserve">saglabājās iepriekšējā gada līmenī. Arī 2023.gada 1.pusgadā ekonomikas izaugsme bija ekstensīva, un produktivitāte, salīdzinot ar iepriekšējā gada atbilstošo periodu, samazinājās par 0,5%. Taču vienlaikus pēdējos piecos gados produktivitātes dinamika Latvijā ir bijusi gandrīz 6 reizes straujāka nekā vidēji ES, nodrošinot produktivitātes konverģenci tuvāk ES vidējam līmenim. IKP uz vienu nodarbināto faktiskajās cenās Latvijas tautsaimniecībā 2022. gadā bija 60,1% (75,3% pēc PPS) no vidējā ES līmeņa. Kopš 2017.gada produktivitātes plaisa ar ES vidējo līmeni (pēc PPS) ir samazinājusies par gandrīz 8 procentpunktiem.  </w:t>
      </w:r>
    </w:p>
    <w:p w14:paraId="5386100E" w14:textId="77777777" w:rsidR="00F07E8A" w:rsidRDefault="00F07E8A" w:rsidP="00F07E8A">
      <w:pPr>
        <w:rPr>
          <w:color w:val="FF0000"/>
        </w:rPr>
      </w:pPr>
    </w:p>
    <w:p w14:paraId="7E34C28D" w14:textId="28294D45" w:rsidR="00355AE2" w:rsidRDefault="00355AE2" w:rsidP="00F07E8A">
      <w:pPr>
        <w:rPr>
          <w:b/>
          <w:bCs/>
        </w:rPr>
      </w:pPr>
      <w:r w:rsidRPr="00AD4126">
        <w:rPr>
          <w:b/>
          <w:bCs/>
        </w:rPr>
        <w:t>Darba samaksa</w:t>
      </w:r>
    </w:p>
    <w:p w14:paraId="264F07C1" w14:textId="77777777" w:rsidR="00F07E8A" w:rsidRDefault="00F07E8A" w:rsidP="00840742">
      <w:pPr>
        <w:spacing w:line="276" w:lineRule="auto"/>
        <w:ind w:firstLine="720"/>
        <w:jc w:val="both"/>
        <w:rPr>
          <w:bCs/>
        </w:rPr>
      </w:pPr>
    </w:p>
    <w:p w14:paraId="4918A34B" w14:textId="5922C792" w:rsidR="00355AE2" w:rsidRPr="00AD4126" w:rsidRDefault="00024CA9" w:rsidP="00840742">
      <w:pPr>
        <w:spacing w:line="276" w:lineRule="auto"/>
        <w:ind w:firstLine="720"/>
        <w:jc w:val="both"/>
      </w:pPr>
      <w:r w:rsidRPr="00EE7406">
        <w:rPr>
          <w:bCs/>
        </w:rPr>
        <w:t xml:space="preserve">Ekonomisko aktivitāšu palielināšanās dēļ darbaspēka izmaksas 2021.gadā strauji pieauga, par 11,1% pārsniedzot iepriekšējā gada līmeni. Tas neradīja būtisku spiedienu uz darbaspēka vienības izmaksām, jo vienlaikus pieauga produktivitāte, un </w:t>
      </w:r>
      <w:r>
        <w:rPr>
          <w:bCs/>
        </w:rPr>
        <w:t>darbaspēka vienības izmaksas</w:t>
      </w:r>
      <w:r w:rsidRPr="00EE7406">
        <w:rPr>
          <w:bCs/>
        </w:rPr>
        <w:t xml:space="preserve"> palielinājās tikai par 3,8%. 2022.</w:t>
      </w:r>
      <w:r w:rsidR="009A366D">
        <w:rPr>
          <w:bCs/>
        </w:rPr>
        <w:t xml:space="preserve"> </w:t>
      </w:r>
      <w:r w:rsidRPr="00EE7406">
        <w:rPr>
          <w:bCs/>
        </w:rPr>
        <w:t xml:space="preserve">gadā darbaspēka izmaksas pieauga nedaudz lēnāk - par 9%. </w:t>
      </w:r>
      <w:r w:rsidR="00355AE2" w:rsidRPr="00AD4126">
        <w:t>Ņemot vērā aktivitāšu atgriešanos darba tirgū, gan arī pieaugošo darba tirgus piedāvājuma puses spiedienu, turpina pieaugt vidējā darba samaksa tautsaimniecībā. Vidējā mēneša bruto darba samaksa 2022.gadā kopumā palielinājās par 7,5%, salīdzinot ar 2021.gadu, pieaugot līdz 1 373 eiro. Vienlaikus 202</w:t>
      </w:r>
      <w:r w:rsidR="00616A1F" w:rsidRPr="00AD4126">
        <w:t>3</w:t>
      </w:r>
      <w:r w:rsidR="00355AE2" w:rsidRPr="00AD4126">
        <w:t xml:space="preserve">.gada </w:t>
      </w:r>
      <w:r w:rsidR="00616A1F" w:rsidRPr="00AD4126">
        <w:t>1</w:t>
      </w:r>
      <w:r w:rsidR="00355AE2" w:rsidRPr="00AD4126">
        <w:t xml:space="preserve">.ceturksnī algu pieaugums gada griezumā sasniedza </w:t>
      </w:r>
      <w:r w:rsidR="00616A1F" w:rsidRPr="00AD4126">
        <w:t>12,4</w:t>
      </w:r>
      <w:r w:rsidR="00355AE2" w:rsidRPr="00AD4126">
        <w:t>%, bet vidējā bruto darba samaksa palielinājās līdz 1 4</w:t>
      </w:r>
      <w:r w:rsidR="00616A1F" w:rsidRPr="00AD4126">
        <w:t>62</w:t>
      </w:r>
      <w:r w:rsidR="00355AE2" w:rsidRPr="00AD4126">
        <w:t xml:space="preserve"> eiro. Jāatzīmē, ka jau 2021.gadā vidējās bruto darba algas pieaugums veidoja gandrīz 12%, kas bija straujākais algu palielinājums pēdējo 13 gadu laikā, līdz ar to kopējais algu kāpums aizvadīto 2 gadu laikā pārsniedz 1/5.</w:t>
      </w:r>
    </w:p>
    <w:p w14:paraId="513D48B1" w14:textId="77777777" w:rsidR="00355AE2" w:rsidRPr="00AD4126" w:rsidRDefault="00355AE2" w:rsidP="00840742">
      <w:pPr>
        <w:spacing w:line="276" w:lineRule="auto"/>
        <w:ind w:firstLine="720"/>
        <w:jc w:val="both"/>
      </w:pPr>
      <w:r w:rsidRPr="00AD4126">
        <w:t>Savukārt 2022.gadā algu pieaugumu lielā mērā turpina noteikt gan akūtais darba roku trūkums, gan arī pieaugošais inflācijas spiediens. Jāatzīmē, ka inflācijas ietekmē, pirmo reizi kopš 2010.gada Latvijā gada griezumā vērojams reālas darba samaksas samazinājums. 2022.gada reālā darba samaksa samazinājās par vidēji 8,7%, salīdzinot ar 2021.gadu. 2022.gadā darba algas ir augušas gan privātajā, gan sabiedriskajā sektorā strādājošiem. Salīdzinot ar 2021.gadu, vidējā bruto alga sabiedriskajā sektorā (bez nodibinājumiem, biedrībām, fondiem un to komercsabiedrībām) pieauga par 6,2% (līdz vidēji 1 373 eiro), bet privātajā sektorā – par 8% (līdz vidēji 1 375 eiro).</w:t>
      </w:r>
    </w:p>
    <w:p w14:paraId="371A7CFA" w14:textId="43FE22A2" w:rsidR="00355AE2" w:rsidRPr="00AD4126" w:rsidRDefault="00355AE2" w:rsidP="00840742">
      <w:pPr>
        <w:spacing w:line="276" w:lineRule="auto"/>
        <w:ind w:firstLine="720"/>
        <w:jc w:val="both"/>
      </w:pPr>
      <w:r w:rsidRPr="00AD4126">
        <w:t xml:space="preserve">Savukārt gada </w:t>
      </w:r>
      <w:r w:rsidR="00616A1F" w:rsidRPr="00AD4126">
        <w:t>2023.gada 1</w:t>
      </w:r>
      <w:r w:rsidRPr="00AD4126">
        <w:t xml:space="preserve">.ceturksnī vidējā darba samaksa sabiedriskā sektorā strādājošiem palielinājās par vidēji </w:t>
      </w:r>
      <w:r w:rsidR="00616A1F" w:rsidRPr="00AD4126">
        <w:t>10,5</w:t>
      </w:r>
      <w:r w:rsidRPr="00AD4126">
        <w:t>% (līdz 1 4</w:t>
      </w:r>
      <w:r w:rsidR="00616A1F" w:rsidRPr="00AD4126">
        <w:t>22</w:t>
      </w:r>
      <w:r w:rsidRPr="00AD4126">
        <w:t xml:space="preserve"> eiro), bet privātajā par </w:t>
      </w:r>
      <w:r w:rsidR="00616A1F" w:rsidRPr="00AD4126">
        <w:t>1</w:t>
      </w:r>
      <w:r w:rsidRPr="00AD4126">
        <w:t>3% (līdz 1 4</w:t>
      </w:r>
      <w:r w:rsidR="00616A1F" w:rsidRPr="00AD4126">
        <w:t>83</w:t>
      </w:r>
      <w:r w:rsidRPr="00AD4126">
        <w:t xml:space="preserve"> eiro). Kopumā darba algu pieaugums privātajā sektorā pēdējo 4 gadu laikā saglabājies straujāks nekā sabiedriskajā sektorā strādājošiem un 2022.gadā vidējā bruto alga privātajā sektorā gada griezumā pirmo reizi pēdējo 2 dekāžu laikā pārsniedza vidējo bruto darba algu sabiedriskajā sektorā.</w:t>
      </w:r>
    </w:p>
    <w:p w14:paraId="0E395206" w14:textId="77777777" w:rsidR="00355AE2" w:rsidRPr="00AD4126" w:rsidRDefault="00355AE2" w:rsidP="00840742">
      <w:pPr>
        <w:spacing w:line="276" w:lineRule="auto"/>
        <w:ind w:firstLine="720"/>
        <w:jc w:val="both"/>
      </w:pPr>
      <w:r w:rsidRPr="00AD4126">
        <w:t>Kopumā joprojām stabili saglabājās tendence samazināties zemi apmaksātu darbinieku īpatsvaram, par ko liecina arvien pieaugoša tendence nodarbināto īpatsvarā, kas saņem algu virs 1 000 eiro mēnesī. 2022.gadā vairāk nekā pusei (53%) no visiem nodarbinātajiem bruto atalgojums pārsniedza 1 000 eiro.</w:t>
      </w:r>
    </w:p>
    <w:p w14:paraId="480C636E" w14:textId="77777777" w:rsidR="00355AE2" w:rsidRPr="00AD4126" w:rsidRDefault="00355AE2" w:rsidP="00840742">
      <w:pPr>
        <w:spacing w:line="276" w:lineRule="auto"/>
        <w:ind w:firstLine="720"/>
        <w:jc w:val="both"/>
      </w:pPr>
      <w:r w:rsidRPr="00AD4126">
        <w:t>2022.gadā atalgojuma pieaugums bija vērojams visās tautsaimniecības nozarēs. Nozīmīgākais atalgojuma pieaugums bija ūdensapgāde un atkritumu apsaimniekošanā – salīdzinot ar 2021.gadu, vidējā bruto alga pieauga par 13,1%, kā arī izmitināšanas un ēdināšanas pakalpojumos (pieaugums par 11,8%), kur vidējais atalgojums līdz šim ir bijis jūtami zemāks nekā vidēji tautsaimniecībā.</w:t>
      </w:r>
    </w:p>
    <w:p w14:paraId="65D97D45" w14:textId="7004BE7C" w:rsidR="00355AE2" w:rsidRPr="001F402C" w:rsidRDefault="00355AE2" w:rsidP="001F402C">
      <w:pPr>
        <w:spacing w:line="276" w:lineRule="auto"/>
        <w:ind w:firstLine="720"/>
        <w:jc w:val="both"/>
      </w:pPr>
      <w:r w:rsidRPr="00AD4126">
        <w:lastRenderedPageBreak/>
        <w:t>Vienlaikus lēnāk algas augušas veselības un sociālās aprūpes nozarē (vidējā bruto alga 2022.gadā pieauga par 2,5%, salīdzinot ar 2021.gadu), kas lielā mērā skaidrojams ar piemaksu mazināšanos nozarē, kas bija izplatītas Covid19 pandēmijas laikā. Tomēr neskatoties uz lēnāku algu pieaugumu 2022.gadā, kopumā veselības un sociālā aprūpē joprojām saglabājās otrais straujākais atalgojuma kāpums salīdzinot ar pirms pandēmijas periodu – salīdzinot ar 2019.gadu, algas veselības un sociālā aprūpē augušas par aptuveni 44%. Augstākais atalgojuma līmenis 2022.gada joprojām saglabājās finanšu pakalpojumu nozarē – vidējā mēneša bruto alga 2 437 eiro, savukārt zemākā darba samaksa bija izmitināšanas un ēdināšanas pakalpojumu nozarē – vidēji 889 eiro mēnesī.</w:t>
      </w:r>
    </w:p>
    <w:p w14:paraId="2F7ABCE2" w14:textId="47B21469" w:rsidR="00C74545" w:rsidRDefault="00C74545" w:rsidP="00C74545">
      <w:pPr>
        <w:pStyle w:val="BodyText2"/>
        <w:spacing w:after="0" w:line="276" w:lineRule="auto"/>
        <w:ind w:firstLine="720"/>
        <w:jc w:val="both"/>
        <w:rPr>
          <w:bCs/>
        </w:rPr>
      </w:pPr>
      <w:r w:rsidRPr="006C72E9">
        <w:t>Sagaidāms, ka arī 2023.</w:t>
      </w:r>
      <w:r>
        <w:t xml:space="preserve"> </w:t>
      </w:r>
      <w:r w:rsidRPr="006C72E9">
        <w:t>gada 2.</w:t>
      </w:r>
      <w:r>
        <w:t xml:space="preserve"> </w:t>
      </w:r>
      <w:r w:rsidRPr="006C72E9">
        <w:t>pusgadā būs vērojami mēreni pieauguma tempi, bet 2024.gadā ekonomika sāks pieaugt nedaudz straujāk.</w:t>
      </w:r>
      <w:r w:rsidRPr="00345C63">
        <w:rPr>
          <w:b/>
        </w:rPr>
        <w:t xml:space="preserve"> </w:t>
      </w:r>
      <w:r w:rsidRPr="00345C63">
        <w:rPr>
          <w:bCs/>
        </w:rPr>
        <w:t>Ekonomikas ministrija prognozē, ka kopumā 2023.</w:t>
      </w:r>
      <w:r>
        <w:rPr>
          <w:bCs/>
        </w:rPr>
        <w:t xml:space="preserve"> </w:t>
      </w:r>
      <w:r w:rsidRPr="00345C63">
        <w:rPr>
          <w:bCs/>
        </w:rPr>
        <w:t>gadā IKP saglabāsies tuvu 2022</w:t>
      </w:r>
      <w:r>
        <w:rPr>
          <w:bCs/>
        </w:rPr>
        <w:t xml:space="preserve">. </w:t>
      </w:r>
      <w:r w:rsidRPr="00345C63">
        <w:rPr>
          <w:bCs/>
        </w:rPr>
        <w:t>gada apjomiem</w:t>
      </w:r>
      <w:r>
        <w:rPr>
          <w:bCs/>
        </w:rPr>
        <w:t>, bet 2024. gadā IKP pieaugums būs 3,9%</w:t>
      </w:r>
      <w:r w:rsidRPr="00345C63">
        <w:rPr>
          <w:bCs/>
        </w:rPr>
        <w:t>.</w:t>
      </w:r>
      <w:r w:rsidRPr="003655F1">
        <w:rPr>
          <w:bCs/>
        </w:rPr>
        <w:t xml:space="preserve"> </w:t>
      </w:r>
    </w:p>
    <w:p w14:paraId="12AD07D7" w14:textId="77777777" w:rsidR="00C74545" w:rsidRDefault="00C74545" w:rsidP="00C74545">
      <w:pPr>
        <w:pStyle w:val="BodyText2"/>
        <w:spacing w:after="0" w:line="276" w:lineRule="auto"/>
        <w:ind w:firstLine="720"/>
        <w:jc w:val="both"/>
        <w:rPr>
          <w:bCs/>
        </w:rPr>
      </w:pPr>
      <w:r w:rsidRPr="00F94CD0">
        <w:rPr>
          <w:bCs/>
        </w:rPr>
        <w:t xml:space="preserve">Ekonomikas tālākā attīstība vidēja termiņa periodā ir atkarīga no situācijas ārējā vidē un reformu gaitas. </w:t>
      </w:r>
      <w:r w:rsidRPr="00345C63">
        <w:rPr>
          <w:bCs/>
        </w:rPr>
        <w:t>Lielākais Latvijas izaugsmes risks saistīts ar globālās ekonomikas attīstību, īpaši ģeopolitisko situāciju. Tāpat svarīga ir ES kopējās ekonomikas telpas turpmākā attīstība. Latvijas ekonomiskās priekšrocības vidējā termiņā galvenokārt balstīsies uz panākto makroekonomisko stabilitāti, kā rezultātā ir uzlabojušies Latvijas kredītreitingi, kā arī uz plānoto ES atbalsta programmu efektivitāti un uzlabojumiem uzņēmējdarbības vidē.</w:t>
      </w:r>
    </w:p>
    <w:p w14:paraId="13127F80" w14:textId="77777777" w:rsidR="00C74545" w:rsidRPr="006529BC" w:rsidRDefault="00C74545">
      <w:pPr>
        <w:pStyle w:val="BodyText2"/>
        <w:spacing w:after="0" w:line="276" w:lineRule="auto"/>
        <w:ind w:firstLine="720"/>
        <w:jc w:val="both"/>
        <w:rPr>
          <w:bCs/>
        </w:rPr>
      </w:pPr>
      <w:r w:rsidRPr="00345C63">
        <w:rPr>
          <w:bCs/>
        </w:rPr>
        <w:t>Latvijas ekonomikas konkurētspējas priekšrocības pamatā balstās uz tehnoloģiskiem faktoriem, ražošanas efektivitātes uzlabošanu un inovācijām, mazākā mērā uz lētu darbaspēku un zemām resursu cenām. Vidēja termiņa periodā Latvijas izaugsmes tempi var sasniegt 4</w:t>
      </w:r>
      <w:r>
        <w:rPr>
          <w:bCs/>
        </w:rPr>
        <w:t xml:space="preserve"> – </w:t>
      </w:r>
      <w:r w:rsidRPr="00345C63">
        <w:rPr>
          <w:bCs/>
        </w:rPr>
        <w:t>5% pieaugumu gadā</w:t>
      </w:r>
      <w:r w:rsidRPr="006529BC">
        <w:rPr>
          <w:bCs/>
        </w:rPr>
        <w:t>. Ieilgstot karam Ukrainā, ekonomikas atveseļošanās tempi varētu būt lēnāki.</w:t>
      </w:r>
    </w:p>
    <w:p w14:paraId="1222CB98" w14:textId="2C5CE675" w:rsidR="006529BC" w:rsidRPr="006529BC" w:rsidRDefault="006529BC" w:rsidP="004720BC">
      <w:pPr>
        <w:spacing w:line="276" w:lineRule="auto"/>
        <w:ind w:firstLine="720"/>
        <w:jc w:val="both"/>
        <w:rPr>
          <w:bCs/>
        </w:rPr>
      </w:pPr>
      <w:r w:rsidRPr="004720BC">
        <w:t xml:space="preserve">Jāatzīmē, ka minimālās algas kāpums, </w:t>
      </w:r>
      <w:bookmarkStart w:id="18" w:name="_Hlk99111976"/>
      <w:r w:rsidRPr="004720BC">
        <w:t xml:space="preserve">palielinot minimālo algu par 80 </w:t>
      </w:r>
      <w:r w:rsidR="00A00EA7">
        <w:t>eiro (līdz 700 eiro)</w:t>
      </w:r>
      <w:r w:rsidRPr="004720BC">
        <w:t>, kopējo algu kāpumu ietekmēs aptuveni par 1 procentpunkt</w:t>
      </w:r>
      <w:bookmarkEnd w:id="18"/>
      <w:r w:rsidRPr="004720BC">
        <w:t>u.</w:t>
      </w:r>
      <w:r w:rsidRPr="006529BC">
        <w:rPr>
          <w:bCs/>
        </w:rPr>
        <w:t xml:space="preserve">  Gan minimālās algas, gan kopējā algu līmeņa pieaugums palielina uzņēmēju darbaspēka izmaksas un, iespējams, rada izvairīšanās no nodokļu nomaksas riskus, kā arī var veicināt patēriņa cenu pieaugumu.</w:t>
      </w:r>
    </w:p>
    <w:p w14:paraId="63A7BCBF" w14:textId="049801C2" w:rsidR="00962C57" w:rsidRDefault="006529BC" w:rsidP="00A00EA7">
      <w:pPr>
        <w:spacing w:line="276" w:lineRule="auto"/>
        <w:ind w:firstLine="720"/>
        <w:jc w:val="both"/>
        <w:rPr>
          <w:bCs/>
        </w:rPr>
      </w:pPr>
      <w:r w:rsidRPr="006529BC">
        <w:rPr>
          <w:bCs/>
        </w:rPr>
        <w:t>Vienlaikus ir vairāki faktori, kuru dēļ minimālās algas celšana ir atbalstāma. Minimālās algas pieaugums tiešā veidā palielina mazo algu saņēmēju pirktspēju, pozitīvi ietekmējot iekšējo pieprasījumu, kas ir viens no balstiem ekonomikas izaugsmei. Tāpat tas veicina algu izlīdzināšanos starp Baltijas valstīm, kā arī algu tuvināšanos pārējo ES valstu vidējam līmenim, kas ir viens no instrumentiem emigrācijas plūsmas samazināšanai. Vienlaikus algu pieaugums var kļūt par nopietnu stimulu jaunu konkurētspējas priekšrocību (kas nav saistītas ar zemām darbaspēka izmaksām) radīšanai, kā arī veicināt inovāciju un investīcijas jaunajās tehnoloģijās, lai samazinātu izmaksas un palielinātu ražošanas resursu produktivitāti.</w:t>
      </w:r>
    </w:p>
    <w:p w14:paraId="30A45A97" w14:textId="0936F611" w:rsidR="00F07E8A" w:rsidRDefault="00A00EA7" w:rsidP="004720BC">
      <w:pPr>
        <w:spacing w:line="276" w:lineRule="auto"/>
        <w:ind w:firstLine="720"/>
        <w:jc w:val="both"/>
        <w:rPr>
          <w:bCs/>
        </w:rPr>
      </w:pPr>
      <w:r w:rsidRPr="00A00EA7">
        <w:rPr>
          <w:bCs/>
        </w:rPr>
        <w:t xml:space="preserve">Pamatojoties uz augstāk minēto, Ekonomikas ministrija uzskata, ka minimālo mēneša darba algu valstī no 2024.gada 1.janvāra būtu vēlams paaugstināt ne vairāk kā līdz 700 eiro, kā arī atbalsta minimālās algas izmaiņas katru gadu ar mērenu kāpumu, kā arī nepieciešamību ieviest izmaiņu plānu vidējam termiņam, ka ļautu uzņēmējiem savlaicīgi un paredzami plānot savas nākotnes izmaksas.   </w:t>
      </w:r>
    </w:p>
    <w:p w14:paraId="1C8AAA9E" w14:textId="77777777" w:rsidR="00F07E8A" w:rsidRDefault="00F07E8A">
      <w:pPr>
        <w:rPr>
          <w:bCs/>
        </w:rPr>
      </w:pPr>
      <w:r>
        <w:rPr>
          <w:bCs/>
        </w:rPr>
        <w:br w:type="page"/>
      </w:r>
    </w:p>
    <w:p w14:paraId="4DF69ECD" w14:textId="77777777" w:rsidR="00A00EA7" w:rsidRPr="004720BC" w:rsidRDefault="00A00EA7" w:rsidP="004720BC">
      <w:pPr>
        <w:spacing w:line="276" w:lineRule="auto"/>
        <w:ind w:firstLine="720"/>
        <w:jc w:val="both"/>
        <w:rPr>
          <w:bCs/>
        </w:rPr>
      </w:pPr>
    </w:p>
    <w:p w14:paraId="2B4019C3" w14:textId="77777777" w:rsidR="00840742" w:rsidRDefault="00840742">
      <w:pPr>
        <w:jc w:val="both"/>
      </w:pPr>
    </w:p>
    <w:p w14:paraId="3500CED1" w14:textId="77777777" w:rsidR="0085622A" w:rsidRDefault="00093D6F" w:rsidP="001F402C">
      <w:pPr>
        <w:pStyle w:val="Heading1"/>
      </w:pPr>
      <w:bookmarkStart w:id="19" w:name="_Toc148720959"/>
      <w:r>
        <w:t>8</w:t>
      </w:r>
      <w:r w:rsidR="003A674F">
        <w:t>. Makroekonomiskās prognozes</w:t>
      </w:r>
      <w:bookmarkEnd w:id="19"/>
    </w:p>
    <w:p w14:paraId="7B0B032F" w14:textId="77777777" w:rsidR="0085622A" w:rsidRDefault="0085622A">
      <w:pPr>
        <w:pStyle w:val="BodyText2"/>
        <w:spacing w:after="0" w:line="240" w:lineRule="auto"/>
        <w:rPr>
          <w:b/>
        </w:rPr>
      </w:pPr>
    </w:p>
    <w:p w14:paraId="70862B6A" w14:textId="77777777" w:rsidR="0085622A" w:rsidRDefault="00093D6F" w:rsidP="001F402C">
      <w:pPr>
        <w:pStyle w:val="Heading2"/>
      </w:pPr>
      <w:bookmarkStart w:id="20" w:name="_Toc148720960"/>
      <w:r>
        <w:t>8</w:t>
      </w:r>
      <w:r w:rsidR="003A674F">
        <w:t>.1. Darba samaksas rādītāju prognozes</w:t>
      </w:r>
      <w:bookmarkEnd w:id="20"/>
    </w:p>
    <w:p w14:paraId="663C7FC3" w14:textId="77777777" w:rsidR="0085622A" w:rsidRDefault="0085622A">
      <w:pPr>
        <w:pStyle w:val="BodyText2"/>
        <w:spacing w:after="0" w:line="240" w:lineRule="auto"/>
      </w:pPr>
    </w:p>
    <w:p w14:paraId="39FE383A" w14:textId="77777777" w:rsidR="0085622A" w:rsidRDefault="003A674F">
      <w:pPr>
        <w:autoSpaceDE w:val="0"/>
        <w:autoSpaceDN w:val="0"/>
        <w:adjustRightInd w:val="0"/>
        <w:ind w:firstLine="720"/>
        <w:jc w:val="both"/>
      </w:pPr>
      <w:r>
        <w:t>Saskaņā ar Finanšu ministrijas prognozēm (sagatavotas 202</w:t>
      </w:r>
      <w:r w:rsidR="00921B6E">
        <w:t>3</w:t>
      </w:r>
      <w:r>
        <w:t>.gada augustā), arī turpmāk tiek prognozēts vidējās darba samaksas pieaugums.</w:t>
      </w:r>
    </w:p>
    <w:p w14:paraId="68BFE17C" w14:textId="77777777" w:rsidR="0085622A" w:rsidRDefault="003F6C9B">
      <w:pPr>
        <w:spacing w:after="120"/>
        <w:jc w:val="right"/>
      </w:pPr>
      <w:r>
        <w:t>9</w:t>
      </w:r>
      <w:r w:rsidR="003A674F">
        <w:t>.tabula</w:t>
      </w:r>
    </w:p>
    <w:p w14:paraId="243A38C7" w14:textId="77777777" w:rsidR="0085622A" w:rsidRDefault="003A674F">
      <w:pPr>
        <w:spacing w:after="120"/>
        <w:jc w:val="center"/>
        <w:rPr>
          <w:b/>
        </w:rPr>
      </w:pPr>
      <w:r>
        <w:rPr>
          <w:b/>
        </w:rPr>
        <w:t>Darba tirgus rādītāju prognozes 202</w:t>
      </w:r>
      <w:r w:rsidR="00200273">
        <w:rPr>
          <w:b/>
        </w:rPr>
        <w:t>3</w:t>
      </w:r>
      <w:r>
        <w:rPr>
          <w:b/>
        </w:rPr>
        <w:t>. – 202</w:t>
      </w:r>
      <w:r w:rsidR="00200273">
        <w:rPr>
          <w:b/>
        </w:rPr>
        <w:t>6</w:t>
      </w:r>
      <w:r>
        <w:rPr>
          <w:b/>
        </w:rPr>
        <w:t>.gadam</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903"/>
        <w:gridCol w:w="1067"/>
        <w:gridCol w:w="1090"/>
        <w:gridCol w:w="1130"/>
        <w:gridCol w:w="1114"/>
      </w:tblGrid>
      <w:tr w:rsidR="00893C93" w14:paraId="68FD4B69" w14:textId="77777777" w:rsidTr="00893C93">
        <w:trPr>
          <w:trHeight w:val="290"/>
          <w:tblHeader/>
          <w:jc w:val="center"/>
        </w:trPr>
        <w:tc>
          <w:tcPr>
            <w:tcW w:w="3712" w:type="dxa"/>
            <w:shd w:val="clear" w:color="auto" w:fill="B4C6E7" w:themeFill="accent1" w:themeFillTint="66"/>
            <w:vAlign w:val="center"/>
          </w:tcPr>
          <w:p w14:paraId="68A0DEE4" w14:textId="77777777" w:rsidR="00341FA4" w:rsidRDefault="00341FA4">
            <w:pPr>
              <w:rPr>
                <w:b/>
              </w:rPr>
            </w:pPr>
          </w:p>
        </w:tc>
        <w:tc>
          <w:tcPr>
            <w:tcW w:w="903" w:type="dxa"/>
            <w:shd w:val="clear" w:color="auto" w:fill="B4C6E7" w:themeFill="accent1" w:themeFillTint="66"/>
          </w:tcPr>
          <w:p w14:paraId="7E93BE4B" w14:textId="77777777" w:rsidR="00341FA4" w:rsidRDefault="00341FA4">
            <w:pPr>
              <w:jc w:val="center"/>
              <w:rPr>
                <w:b/>
              </w:rPr>
            </w:pPr>
            <w:r>
              <w:rPr>
                <w:b/>
              </w:rPr>
              <w:t>2022</w:t>
            </w:r>
          </w:p>
          <w:p w14:paraId="04F851EA" w14:textId="77777777" w:rsidR="00893C93" w:rsidRDefault="00893C93">
            <w:pPr>
              <w:jc w:val="center"/>
              <w:rPr>
                <w:b/>
              </w:rPr>
            </w:pPr>
            <w:r>
              <w:rPr>
                <w:b/>
              </w:rPr>
              <w:t>(fakts)</w:t>
            </w:r>
          </w:p>
        </w:tc>
        <w:tc>
          <w:tcPr>
            <w:tcW w:w="1067" w:type="dxa"/>
            <w:shd w:val="clear" w:color="auto" w:fill="B4C6E7" w:themeFill="accent1" w:themeFillTint="66"/>
          </w:tcPr>
          <w:p w14:paraId="456B2B7D" w14:textId="77777777" w:rsidR="00341FA4" w:rsidRDefault="00341FA4">
            <w:pPr>
              <w:jc w:val="center"/>
              <w:rPr>
                <w:b/>
              </w:rPr>
            </w:pPr>
            <w:r>
              <w:rPr>
                <w:b/>
              </w:rPr>
              <w:t>2023</w:t>
            </w:r>
          </w:p>
        </w:tc>
        <w:tc>
          <w:tcPr>
            <w:tcW w:w="1090" w:type="dxa"/>
            <w:shd w:val="clear" w:color="auto" w:fill="B4C6E7" w:themeFill="accent1" w:themeFillTint="66"/>
          </w:tcPr>
          <w:p w14:paraId="3B703E11" w14:textId="77777777" w:rsidR="00341FA4" w:rsidRDefault="00341FA4">
            <w:pPr>
              <w:jc w:val="center"/>
              <w:rPr>
                <w:b/>
              </w:rPr>
            </w:pPr>
            <w:r>
              <w:rPr>
                <w:b/>
              </w:rPr>
              <w:t>2024</w:t>
            </w:r>
          </w:p>
        </w:tc>
        <w:tc>
          <w:tcPr>
            <w:tcW w:w="1130" w:type="dxa"/>
            <w:shd w:val="clear" w:color="auto" w:fill="B4C6E7" w:themeFill="accent1" w:themeFillTint="66"/>
          </w:tcPr>
          <w:p w14:paraId="5C09DBFB" w14:textId="77777777" w:rsidR="00341FA4" w:rsidRDefault="00341FA4">
            <w:pPr>
              <w:jc w:val="center"/>
              <w:rPr>
                <w:b/>
              </w:rPr>
            </w:pPr>
            <w:r>
              <w:rPr>
                <w:b/>
              </w:rPr>
              <w:t>2025</w:t>
            </w:r>
          </w:p>
        </w:tc>
        <w:tc>
          <w:tcPr>
            <w:tcW w:w="1114" w:type="dxa"/>
            <w:shd w:val="clear" w:color="auto" w:fill="B4C6E7" w:themeFill="accent1" w:themeFillTint="66"/>
          </w:tcPr>
          <w:p w14:paraId="014902CE" w14:textId="77777777" w:rsidR="00341FA4" w:rsidRDefault="00341FA4">
            <w:pPr>
              <w:jc w:val="center"/>
              <w:rPr>
                <w:b/>
              </w:rPr>
            </w:pPr>
            <w:r>
              <w:rPr>
                <w:b/>
              </w:rPr>
              <w:t>2026</w:t>
            </w:r>
          </w:p>
        </w:tc>
      </w:tr>
      <w:tr w:rsidR="00893C93" w14:paraId="509754CB" w14:textId="77777777" w:rsidTr="00893C93">
        <w:trPr>
          <w:trHeight w:val="582"/>
          <w:jc w:val="center"/>
        </w:trPr>
        <w:tc>
          <w:tcPr>
            <w:tcW w:w="3712" w:type="dxa"/>
            <w:shd w:val="clear" w:color="auto" w:fill="D9E2F3" w:themeFill="accent1" w:themeFillTint="33"/>
          </w:tcPr>
          <w:p w14:paraId="5842EC49" w14:textId="77777777" w:rsidR="00341FA4" w:rsidRDefault="00341FA4">
            <w:r>
              <w:t>Tautsaimniecībā nodarbināto mēneša vidējā bruto darba samaksa (</w:t>
            </w:r>
            <w:r>
              <w:rPr>
                <w:i/>
              </w:rPr>
              <w:t>euro</w:t>
            </w:r>
            <w:r>
              <w:t>)</w:t>
            </w:r>
          </w:p>
        </w:tc>
        <w:tc>
          <w:tcPr>
            <w:tcW w:w="903" w:type="dxa"/>
            <w:shd w:val="clear" w:color="auto" w:fill="D9E2F3" w:themeFill="accent1" w:themeFillTint="33"/>
          </w:tcPr>
          <w:p w14:paraId="1A6F9C77" w14:textId="77777777" w:rsidR="00893C93" w:rsidRDefault="00893C93" w:rsidP="00341FA4">
            <w:pPr>
              <w:jc w:val="right"/>
            </w:pPr>
          </w:p>
          <w:p w14:paraId="46D242F1" w14:textId="77777777" w:rsidR="00341FA4" w:rsidRDefault="00341FA4" w:rsidP="00341FA4">
            <w:pPr>
              <w:jc w:val="right"/>
            </w:pPr>
            <w:r>
              <w:t>1373</w:t>
            </w:r>
          </w:p>
        </w:tc>
        <w:tc>
          <w:tcPr>
            <w:tcW w:w="1067" w:type="dxa"/>
            <w:shd w:val="clear" w:color="auto" w:fill="D9E2F3" w:themeFill="accent1" w:themeFillTint="33"/>
            <w:vAlign w:val="center"/>
          </w:tcPr>
          <w:p w14:paraId="0B5EFCDB" w14:textId="77777777" w:rsidR="00341FA4" w:rsidRDefault="00341FA4">
            <w:pPr>
              <w:ind w:firstLineChars="100" w:firstLine="240"/>
              <w:jc w:val="right"/>
            </w:pPr>
            <w:r>
              <w:t>1 524</w:t>
            </w:r>
          </w:p>
        </w:tc>
        <w:tc>
          <w:tcPr>
            <w:tcW w:w="1090" w:type="dxa"/>
            <w:shd w:val="clear" w:color="auto" w:fill="D9E2F3" w:themeFill="accent1" w:themeFillTint="33"/>
            <w:vAlign w:val="center"/>
          </w:tcPr>
          <w:p w14:paraId="56172736" w14:textId="77777777" w:rsidR="00341FA4" w:rsidRDefault="00341FA4">
            <w:pPr>
              <w:ind w:firstLineChars="100" w:firstLine="240"/>
              <w:jc w:val="right"/>
            </w:pPr>
            <w:r>
              <w:t>1 638</w:t>
            </w:r>
          </w:p>
        </w:tc>
        <w:tc>
          <w:tcPr>
            <w:tcW w:w="1130" w:type="dxa"/>
            <w:shd w:val="clear" w:color="auto" w:fill="D9E2F3" w:themeFill="accent1" w:themeFillTint="33"/>
            <w:vAlign w:val="center"/>
          </w:tcPr>
          <w:p w14:paraId="514831A9" w14:textId="77777777" w:rsidR="00341FA4" w:rsidRDefault="00341FA4">
            <w:pPr>
              <w:ind w:firstLineChars="100" w:firstLine="240"/>
              <w:jc w:val="right"/>
            </w:pPr>
            <w:r>
              <w:t>1 720</w:t>
            </w:r>
          </w:p>
        </w:tc>
        <w:tc>
          <w:tcPr>
            <w:tcW w:w="1114" w:type="dxa"/>
            <w:shd w:val="clear" w:color="auto" w:fill="D9E2F3" w:themeFill="accent1" w:themeFillTint="33"/>
            <w:vAlign w:val="center"/>
          </w:tcPr>
          <w:p w14:paraId="59A60193" w14:textId="77777777" w:rsidR="00341FA4" w:rsidRDefault="00341FA4">
            <w:pPr>
              <w:ind w:firstLineChars="100" w:firstLine="240"/>
              <w:jc w:val="right"/>
            </w:pPr>
            <w:r>
              <w:t>1 806</w:t>
            </w:r>
          </w:p>
        </w:tc>
      </w:tr>
      <w:tr w:rsidR="00893C93" w14:paraId="70FBBC58" w14:textId="77777777" w:rsidTr="00893C93">
        <w:trPr>
          <w:trHeight w:val="290"/>
          <w:jc w:val="center"/>
        </w:trPr>
        <w:tc>
          <w:tcPr>
            <w:tcW w:w="3712" w:type="dxa"/>
            <w:shd w:val="clear" w:color="auto" w:fill="auto"/>
          </w:tcPr>
          <w:p w14:paraId="589CDB44" w14:textId="77777777" w:rsidR="00341FA4" w:rsidRDefault="00341FA4">
            <w:r>
              <w:t xml:space="preserve">    pieaugums faktiskajās cenās, %</w:t>
            </w:r>
          </w:p>
        </w:tc>
        <w:tc>
          <w:tcPr>
            <w:tcW w:w="903" w:type="dxa"/>
          </w:tcPr>
          <w:p w14:paraId="1494B2A5" w14:textId="77777777" w:rsidR="00341FA4" w:rsidRDefault="00341FA4" w:rsidP="00341FA4">
            <w:pPr>
              <w:ind w:firstLineChars="100" w:firstLine="240"/>
              <w:jc w:val="right"/>
            </w:pPr>
            <w:r>
              <w:t>7,5</w:t>
            </w:r>
          </w:p>
        </w:tc>
        <w:tc>
          <w:tcPr>
            <w:tcW w:w="1067" w:type="dxa"/>
          </w:tcPr>
          <w:p w14:paraId="27962FD8" w14:textId="77777777" w:rsidR="00341FA4" w:rsidRDefault="00341FA4">
            <w:pPr>
              <w:ind w:firstLineChars="100" w:firstLine="240"/>
              <w:jc w:val="right"/>
            </w:pPr>
            <w:r>
              <w:t>11,0</w:t>
            </w:r>
          </w:p>
        </w:tc>
        <w:tc>
          <w:tcPr>
            <w:tcW w:w="1090" w:type="dxa"/>
          </w:tcPr>
          <w:p w14:paraId="47B64B62" w14:textId="77777777" w:rsidR="00341FA4" w:rsidRDefault="00341FA4">
            <w:pPr>
              <w:ind w:firstLineChars="100" w:firstLine="240"/>
              <w:jc w:val="right"/>
            </w:pPr>
            <w:r>
              <w:t>7,5</w:t>
            </w:r>
          </w:p>
        </w:tc>
        <w:tc>
          <w:tcPr>
            <w:tcW w:w="1130" w:type="dxa"/>
          </w:tcPr>
          <w:p w14:paraId="3776C73E" w14:textId="77777777" w:rsidR="00341FA4" w:rsidRDefault="00341FA4">
            <w:pPr>
              <w:ind w:firstLineChars="100" w:firstLine="240"/>
              <w:jc w:val="right"/>
            </w:pPr>
            <w:r>
              <w:t>5,0</w:t>
            </w:r>
          </w:p>
        </w:tc>
        <w:tc>
          <w:tcPr>
            <w:tcW w:w="1114" w:type="dxa"/>
          </w:tcPr>
          <w:p w14:paraId="62C66ACA" w14:textId="77777777" w:rsidR="00341FA4" w:rsidRDefault="00341FA4">
            <w:pPr>
              <w:ind w:firstLineChars="100" w:firstLine="240"/>
              <w:jc w:val="right"/>
            </w:pPr>
            <w:r>
              <w:t>5,0</w:t>
            </w:r>
          </w:p>
        </w:tc>
      </w:tr>
      <w:tr w:rsidR="00893C93" w14:paraId="26FF843F" w14:textId="77777777" w:rsidTr="00893C93">
        <w:trPr>
          <w:trHeight w:val="278"/>
          <w:jc w:val="center"/>
        </w:trPr>
        <w:tc>
          <w:tcPr>
            <w:tcW w:w="3712" w:type="dxa"/>
            <w:shd w:val="clear" w:color="auto" w:fill="auto"/>
          </w:tcPr>
          <w:p w14:paraId="04756A91" w14:textId="77777777" w:rsidR="00341FA4" w:rsidRDefault="00341FA4">
            <w:r>
              <w:t xml:space="preserve">    pieaugums salīdzināmās cenās, %</w:t>
            </w:r>
          </w:p>
        </w:tc>
        <w:tc>
          <w:tcPr>
            <w:tcW w:w="903" w:type="dxa"/>
          </w:tcPr>
          <w:p w14:paraId="2785F40D" w14:textId="77777777" w:rsidR="00341FA4" w:rsidRDefault="00341FA4" w:rsidP="00341FA4">
            <w:pPr>
              <w:ind w:firstLineChars="100" w:firstLine="240"/>
              <w:jc w:val="right"/>
            </w:pPr>
            <w:r>
              <w:t>-8,4</w:t>
            </w:r>
          </w:p>
        </w:tc>
        <w:tc>
          <w:tcPr>
            <w:tcW w:w="1067" w:type="dxa"/>
          </w:tcPr>
          <w:p w14:paraId="58F0531D" w14:textId="77777777" w:rsidR="00341FA4" w:rsidRDefault="00341FA4">
            <w:pPr>
              <w:ind w:firstLineChars="100" w:firstLine="240"/>
              <w:jc w:val="right"/>
            </w:pPr>
            <w:r>
              <w:t>0,9</w:t>
            </w:r>
          </w:p>
        </w:tc>
        <w:tc>
          <w:tcPr>
            <w:tcW w:w="1090" w:type="dxa"/>
          </w:tcPr>
          <w:p w14:paraId="16B168D0" w14:textId="77777777" w:rsidR="00341FA4" w:rsidRDefault="00341FA4">
            <w:pPr>
              <w:ind w:firstLineChars="100" w:firstLine="240"/>
              <w:jc w:val="right"/>
            </w:pPr>
            <w:r>
              <w:t>5,2</w:t>
            </w:r>
          </w:p>
        </w:tc>
        <w:tc>
          <w:tcPr>
            <w:tcW w:w="1130" w:type="dxa"/>
          </w:tcPr>
          <w:p w14:paraId="2F0EAEE8" w14:textId="77777777" w:rsidR="00341FA4" w:rsidRDefault="00341FA4">
            <w:pPr>
              <w:ind w:firstLineChars="100" w:firstLine="240"/>
              <w:jc w:val="right"/>
            </w:pPr>
            <w:r>
              <w:t>2,4</w:t>
            </w:r>
          </w:p>
        </w:tc>
        <w:tc>
          <w:tcPr>
            <w:tcW w:w="1114" w:type="dxa"/>
          </w:tcPr>
          <w:p w14:paraId="6158CEB9" w14:textId="77777777" w:rsidR="00341FA4" w:rsidRDefault="00341FA4">
            <w:pPr>
              <w:ind w:firstLineChars="100" w:firstLine="240"/>
              <w:jc w:val="right"/>
            </w:pPr>
            <w:r>
              <w:t>2,6</w:t>
            </w:r>
          </w:p>
        </w:tc>
      </w:tr>
      <w:tr w:rsidR="00893C93" w14:paraId="0EC4C9A6" w14:textId="77777777" w:rsidTr="00893C93">
        <w:trPr>
          <w:trHeight w:val="873"/>
          <w:jc w:val="center"/>
        </w:trPr>
        <w:tc>
          <w:tcPr>
            <w:tcW w:w="3712" w:type="dxa"/>
            <w:shd w:val="clear" w:color="auto" w:fill="D9E2F3" w:themeFill="accent1" w:themeFillTint="33"/>
          </w:tcPr>
          <w:p w14:paraId="33813416" w14:textId="77777777" w:rsidR="00341FA4" w:rsidRDefault="00341FA4">
            <w:r>
              <w:t>Nodarbinātība, tūkst. iedzīvotāju (atbilstoši darbaspēka apsekojumiem)</w:t>
            </w:r>
          </w:p>
        </w:tc>
        <w:tc>
          <w:tcPr>
            <w:tcW w:w="903" w:type="dxa"/>
            <w:shd w:val="clear" w:color="auto" w:fill="D9E2F3" w:themeFill="accent1" w:themeFillTint="33"/>
          </w:tcPr>
          <w:p w14:paraId="7EB8099A" w14:textId="77777777" w:rsidR="00893C93" w:rsidRDefault="00893C93" w:rsidP="00341FA4">
            <w:pPr>
              <w:ind w:firstLineChars="100" w:firstLine="240"/>
              <w:jc w:val="right"/>
              <w:rPr>
                <w:color w:val="000000"/>
              </w:rPr>
            </w:pPr>
          </w:p>
          <w:p w14:paraId="75556270" w14:textId="77777777" w:rsidR="00341FA4" w:rsidRDefault="00341FA4" w:rsidP="00341FA4">
            <w:pPr>
              <w:ind w:firstLineChars="100" w:firstLine="240"/>
              <w:jc w:val="right"/>
              <w:rPr>
                <w:color w:val="000000"/>
              </w:rPr>
            </w:pPr>
            <w:r>
              <w:rPr>
                <w:color w:val="000000"/>
              </w:rPr>
              <w:t>886</w:t>
            </w:r>
          </w:p>
        </w:tc>
        <w:tc>
          <w:tcPr>
            <w:tcW w:w="1067" w:type="dxa"/>
            <w:shd w:val="clear" w:color="auto" w:fill="D9E2F3" w:themeFill="accent1" w:themeFillTint="33"/>
          </w:tcPr>
          <w:p w14:paraId="67AE4883" w14:textId="77777777" w:rsidR="00893C93" w:rsidRDefault="00893C93">
            <w:pPr>
              <w:ind w:firstLineChars="100" w:firstLine="240"/>
              <w:jc w:val="right"/>
              <w:rPr>
                <w:color w:val="000000"/>
              </w:rPr>
            </w:pPr>
          </w:p>
          <w:p w14:paraId="2420C41A" w14:textId="77777777" w:rsidR="00341FA4" w:rsidRDefault="00341FA4">
            <w:pPr>
              <w:ind w:firstLineChars="100" w:firstLine="240"/>
              <w:jc w:val="right"/>
            </w:pPr>
            <w:r>
              <w:rPr>
                <w:color w:val="000000"/>
              </w:rPr>
              <w:t>887</w:t>
            </w:r>
          </w:p>
        </w:tc>
        <w:tc>
          <w:tcPr>
            <w:tcW w:w="1090" w:type="dxa"/>
            <w:shd w:val="clear" w:color="auto" w:fill="D9E2F3" w:themeFill="accent1" w:themeFillTint="33"/>
          </w:tcPr>
          <w:p w14:paraId="180FCC40" w14:textId="77777777" w:rsidR="00893C93" w:rsidRDefault="00893C93">
            <w:pPr>
              <w:ind w:firstLineChars="100" w:firstLine="240"/>
              <w:jc w:val="right"/>
              <w:rPr>
                <w:color w:val="000000"/>
              </w:rPr>
            </w:pPr>
          </w:p>
          <w:p w14:paraId="311B6C92" w14:textId="77777777" w:rsidR="00341FA4" w:rsidRDefault="00341FA4">
            <w:pPr>
              <w:ind w:firstLineChars="100" w:firstLine="240"/>
              <w:jc w:val="right"/>
            </w:pPr>
            <w:r>
              <w:rPr>
                <w:color w:val="000000"/>
              </w:rPr>
              <w:t>887</w:t>
            </w:r>
          </w:p>
        </w:tc>
        <w:tc>
          <w:tcPr>
            <w:tcW w:w="1130" w:type="dxa"/>
            <w:shd w:val="clear" w:color="auto" w:fill="D9E2F3" w:themeFill="accent1" w:themeFillTint="33"/>
          </w:tcPr>
          <w:p w14:paraId="0420F529" w14:textId="77777777" w:rsidR="00893C93" w:rsidRDefault="00893C93">
            <w:pPr>
              <w:ind w:firstLineChars="100" w:firstLine="240"/>
              <w:jc w:val="right"/>
              <w:rPr>
                <w:color w:val="000000"/>
              </w:rPr>
            </w:pPr>
          </w:p>
          <w:p w14:paraId="7F69CA62" w14:textId="77777777" w:rsidR="00341FA4" w:rsidRDefault="00341FA4">
            <w:pPr>
              <w:ind w:firstLineChars="100" w:firstLine="240"/>
              <w:jc w:val="right"/>
            </w:pPr>
            <w:r>
              <w:rPr>
                <w:color w:val="000000"/>
              </w:rPr>
              <w:t>884</w:t>
            </w:r>
          </w:p>
        </w:tc>
        <w:tc>
          <w:tcPr>
            <w:tcW w:w="1114" w:type="dxa"/>
            <w:shd w:val="clear" w:color="auto" w:fill="D9E2F3" w:themeFill="accent1" w:themeFillTint="33"/>
          </w:tcPr>
          <w:p w14:paraId="1885FD0D" w14:textId="77777777" w:rsidR="00893C93" w:rsidRDefault="00893C93">
            <w:pPr>
              <w:ind w:firstLineChars="100" w:firstLine="240"/>
              <w:jc w:val="right"/>
              <w:rPr>
                <w:color w:val="000000"/>
              </w:rPr>
            </w:pPr>
          </w:p>
          <w:p w14:paraId="6749A17B" w14:textId="77777777" w:rsidR="00341FA4" w:rsidRDefault="00341FA4">
            <w:pPr>
              <w:ind w:firstLineChars="100" w:firstLine="240"/>
              <w:jc w:val="right"/>
            </w:pPr>
            <w:r>
              <w:rPr>
                <w:color w:val="000000"/>
              </w:rPr>
              <w:t>879</w:t>
            </w:r>
          </w:p>
        </w:tc>
      </w:tr>
      <w:tr w:rsidR="00893C93" w14:paraId="2266E22C" w14:textId="77777777" w:rsidTr="00893C93">
        <w:trPr>
          <w:trHeight w:val="290"/>
          <w:jc w:val="center"/>
        </w:trPr>
        <w:tc>
          <w:tcPr>
            <w:tcW w:w="3712" w:type="dxa"/>
            <w:shd w:val="clear" w:color="auto" w:fill="auto"/>
          </w:tcPr>
          <w:p w14:paraId="2E78903D" w14:textId="77777777" w:rsidR="00341FA4" w:rsidRDefault="00341FA4">
            <w:r>
              <w:t xml:space="preserve">    pieaugums, %</w:t>
            </w:r>
          </w:p>
        </w:tc>
        <w:tc>
          <w:tcPr>
            <w:tcW w:w="903" w:type="dxa"/>
          </w:tcPr>
          <w:p w14:paraId="62425112" w14:textId="77777777" w:rsidR="00341FA4" w:rsidRDefault="00341FA4" w:rsidP="00341FA4">
            <w:pPr>
              <w:ind w:firstLineChars="100" w:firstLine="240"/>
              <w:jc w:val="right"/>
              <w:rPr>
                <w:color w:val="000000"/>
              </w:rPr>
            </w:pPr>
            <w:r>
              <w:rPr>
                <w:color w:val="000000"/>
              </w:rPr>
              <w:t>2,6</w:t>
            </w:r>
          </w:p>
        </w:tc>
        <w:tc>
          <w:tcPr>
            <w:tcW w:w="1067" w:type="dxa"/>
          </w:tcPr>
          <w:p w14:paraId="252D025F" w14:textId="77777777" w:rsidR="00341FA4" w:rsidRDefault="00341FA4">
            <w:pPr>
              <w:ind w:firstLineChars="100" w:firstLine="240"/>
              <w:jc w:val="right"/>
            </w:pPr>
            <w:r>
              <w:rPr>
                <w:color w:val="000000"/>
              </w:rPr>
              <w:t>0,1</w:t>
            </w:r>
          </w:p>
        </w:tc>
        <w:tc>
          <w:tcPr>
            <w:tcW w:w="1090" w:type="dxa"/>
          </w:tcPr>
          <w:p w14:paraId="4AC0C064" w14:textId="77777777" w:rsidR="00341FA4" w:rsidRDefault="00341FA4">
            <w:pPr>
              <w:ind w:firstLineChars="100" w:firstLine="240"/>
              <w:jc w:val="right"/>
            </w:pPr>
            <w:r>
              <w:rPr>
                <w:color w:val="000000"/>
              </w:rPr>
              <w:t>0,0</w:t>
            </w:r>
          </w:p>
        </w:tc>
        <w:tc>
          <w:tcPr>
            <w:tcW w:w="1130" w:type="dxa"/>
          </w:tcPr>
          <w:p w14:paraId="5FA199E9" w14:textId="77777777" w:rsidR="00341FA4" w:rsidRDefault="00341FA4">
            <w:pPr>
              <w:ind w:firstLineChars="100" w:firstLine="240"/>
              <w:jc w:val="right"/>
            </w:pPr>
            <w:r>
              <w:rPr>
                <w:color w:val="000000"/>
              </w:rPr>
              <w:t>-0,3</w:t>
            </w:r>
          </w:p>
        </w:tc>
        <w:tc>
          <w:tcPr>
            <w:tcW w:w="1114" w:type="dxa"/>
          </w:tcPr>
          <w:p w14:paraId="559A7AD3" w14:textId="77777777" w:rsidR="00341FA4" w:rsidRDefault="00341FA4">
            <w:pPr>
              <w:ind w:firstLineChars="100" w:firstLine="240"/>
              <w:jc w:val="right"/>
            </w:pPr>
            <w:r>
              <w:rPr>
                <w:color w:val="000000"/>
              </w:rPr>
              <w:t>-0,6</w:t>
            </w:r>
          </w:p>
        </w:tc>
      </w:tr>
      <w:tr w:rsidR="00893C93" w14:paraId="67261CBF" w14:textId="77777777" w:rsidTr="00893C93">
        <w:trPr>
          <w:trHeight w:val="582"/>
          <w:jc w:val="center"/>
        </w:trPr>
        <w:tc>
          <w:tcPr>
            <w:tcW w:w="3712" w:type="dxa"/>
            <w:shd w:val="clear" w:color="auto" w:fill="D9E2F3" w:themeFill="accent1" w:themeFillTint="33"/>
          </w:tcPr>
          <w:p w14:paraId="5FFF6C94" w14:textId="77777777" w:rsidR="00341FA4" w:rsidRDefault="00341FA4">
            <w:pPr>
              <w:rPr>
                <w:rFonts w:eastAsia="Calibri"/>
              </w:rPr>
            </w:pPr>
            <w:r>
              <w:t>Darba meklētāju īpatsvars, % no ekonomiski aktīvajiem iedzīvotājiem</w:t>
            </w:r>
          </w:p>
        </w:tc>
        <w:tc>
          <w:tcPr>
            <w:tcW w:w="903" w:type="dxa"/>
            <w:shd w:val="clear" w:color="auto" w:fill="D9E2F3" w:themeFill="accent1" w:themeFillTint="33"/>
          </w:tcPr>
          <w:p w14:paraId="64F54540" w14:textId="77777777" w:rsidR="00893C93" w:rsidRDefault="00893C93" w:rsidP="00341FA4">
            <w:pPr>
              <w:ind w:firstLineChars="100" w:firstLine="240"/>
              <w:jc w:val="right"/>
              <w:rPr>
                <w:color w:val="000000"/>
              </w:rPr>
            </w:pPr>
          </w:p>
          <w:p w14:paraId="306EA023" w14:textId="77777777" w:rsidR="00341FA4" w:rsidRDefault="00341FA4" w:rsidP="00341FA4">
            <w:pPr>
              <w:ind w:firstLineChars="100" w:firstLine="240"/>
              <w:jc w:val="right"/>
              <w:rPr>
                <w:color w:val="000000"/>
              </w:rPr>
            </w:pPr>
            <w:r>
              <w:rPr>
                <w:color w:val="000000"/>
              </w:rPr>
              <w:t>6,9</w:t>
            </w:r>
          </w:p>
        </w:tc>
        <w:tc>
          <w:tcPr>
            <w:tcW w:w="1067" w:type="dxa"/>
            <w:shd w:val="clear" w:color="auto" w:fill="D9E2F3" w:themeFill="accent1" w:themeFillTint="33"/>
          </w:tcPr>
          <w:p w14:paraId="1F022A2C" w14:textId="77777777" w:rsidR="00893C93" w:rsidRDefault="00893C93">
            <w:pPr>
              <w:ind w:firstLineChars="100" w:firstLine="240"/>
              <w:jc w:val="right"/>
              <w:rPr>
                <w:color w:val="000000"/>
              </w:rPr>
            </w:pPr>
          </w:p>
          <w:p w14:paraId="31188A17" w14:textId="77777777" w:rsidR="00341FA4" w:rsidRDefault="00341FA4">
            <w:pPr>
              <w:ind w:firstLineChars="100" w:firstLine="240"/>
              <w:jc w:val="right"/>
            </w:pPr>
            <w:r>
              <w:rPr>
                <w:color w:val="000000"/>
              </w:rPr>
              <w:t>6,5</w:t>
            </w:r>
          </w:p>
        </w:tc>
        <w:tc>
          <w:tcPr>
            <w:tcW w:w="1090" w:type="dxa"/>
            <w:shd w:val="clear" w:color="auto" w:fill="D9E2F3" w:themeFill="accent1" w:themeFillTint="33"/>
          </w:tcPr>
          <w:p w14:paraId="15765F5D" w14:textId="77777777" w:rsidR="00893C93" w:rsidRDefault="00893C93">
            <w:pPr>
              <w:ind w:firstLineChars="100" w:firstLine="240"/>
              <w:jc w:val="right"/>
              <w:rPr>
                <w:color w:val="000000"/>
              </w:rPr>
            </w:pPr>
          </w:p>
          <w:p w14:paraId="79351F70" w14:textId="77777777" w:rsidR="00341FA4" w:rsidRDefault="00341FA4">
            <w:pPr>
              <w:ind w:firstLineChars="100" w:firstLine="240"/>
              <w:jc w:val="right"/>
            </w:pPr>
            <w:r>
              <w:rPr>
                <w:color w:val="000000"/>
              </w:rPr>
              <w:t>6,6</w:t>
            </w:r>
          </w:p>
        </w:tc>
        <w:tc>
          <w:tcPr>
            <w:tcW w:w="1130" w:type="dxa"/>
            <w:shd w:val="clear" w:color="auto" w:fill="D9E2F3" w:themeFill="accent1" w:themeFillTint="33"/>
          </w:tcPr>
          <w:p w14:paraId="060415C9" w14:textId="77777777" w:rsidR="00893C93" w:rsidRDefault="00893C93">
            <w:pPr>
              <w:ind w:firstLineChars="100" w:firstLine="240"/>
              <w:jc w:val="right"/>
              <w:rPr>
                <w:color w:val="000000"/>
              </w:rPr>
            </w:pPr>
          </w:p>
          <w:p w14:paraId="65C46A80" w14:textId="77777777" w:rsidR="00341FA4" w:rsidRDefault="00341FA4">
            <w:pPr>
              <w:ind w:firstLineChars="100" w:firstLine="240"/>
              <w:jc w:val="right"/>
            </w:pPr>
            <w:r>
              <w:rPr>
                <w:color w:val="000000"/>
              </w:rPr>
              <w:t>6,4</w:t>
            </w:r>
          </w:p>
        </w:tc>
        <w:tc>
          <w:tcPr>
            <w:tcW w:w="1114" w:type="dxa"/>
            <w:shd w:val="clear" w:color="auto" w:fill="D9E2F3" w:themeFill="accent1" w:themeFillTint="33"/>
          </w:tcPr>
          <w:p w14:paraId="3B36B054" w14:textId="77777777" w:rsidR="00893C93" w:rsidRDefault="00893C93">
            <w:pPr>
              <w:ind w:firstLineChars="100" w:firstLine="240"/>
              <w:jc w:val="right"/>
              <w:rPr>
                <w:color w:val="000000"/>
              </w:rPr>
            </w:pPr>
          </w:p>
          <w:p w14:paraId="3C175BB6" w14:textId="77777777" w:rsidR="00341FA4" w:rsidRDefault="00341FA4">
            <w:pPr>
              <w:ind w:firstLineChars="100" w:firstLine="240"/>
              <w:jc w:val="right"/>
            </w:pPr>
            <w:r>
              <w:rPr>
                <w:color w:val="000000"/>
              </w:rPr>
              <w:t>6,4</w:t>
            </w:r>
          </w:p>
        </w:tc>
      </w:tr>
    </w:tbl>
    <w:p w14:paraId="3C29BE1A" w14:textId="77777777" w:rsidR="0085622A" w:rsidRDefault="003A674F">
      <w:pPr>
        <w:jc w:val="both"/>
        <w:rPr>
          <w:sz w:val="20"/>
          <w:szCs w:val="20"/>
        </w:rPr>
      </w:pPr>
      <w:r>
        <w:rPr>
          <w:sz w:val="20"/>
          <w:szCs w:val="20"/>
        </w:rPr>
        <w:t>Datu avots: Finanšu ministrija</w:t>
      </w:r>
    </w:p>
    <w:p w14:paraId="286EC8CF" w14:textId="77777777" w:rsidR="0085622A" w:rsidRDefault="0085622A">
      <w:pPr>
        <w:jc w:val="both"/>
      </w:pPr>
    </w:p>
    <w:p w14:paraId="3D1A6D1D" w14:textId="77777777" w:rsidR="00FC5FA1" w:rsidRDefault="00FC5FA1" w:rsidP="00FC5FA1">
      <w:pPr>
        <w:ind w:firstLine="720"/>
        <w:jc w:val="both"/>
      </w:pPr>
      <w:r w:rsidRPr="00FC5FA1">
        <w:rPr>
          <w:bCs/>
        </w:rPr>
        <w:t>Bezdarba līmenis</w:t>
      </w:r>
      <w:r w:rsidRPr="00FC5FA1">
        <w:t>,</w:t>
      </w:r>
      <w:r>
        <w:t xml:space="preserve"> saglabājoties relatīvi stabilai </w:t>
      </w:r>
      <w:r w:rsidRPr="00161BAE">
        <w:t>ekonomikas izaugsme</w:t>
      </w:r>
      <w:r>
        <w:t>i</w:t>
      </w:r>
      <w:r w:rsidRPr="00161BAE">
        <w:t xml:space="preserve">, </w:t>
      </w:r>
      <w:r>
        <w:t xml:space="preserve">turpinās samazināties, </w:t>
      </w:r>
      <w:r w:rsidRPr="00161BAE">
        <w:t>2023</w:t>
      </w:r>
      <w:r>
        <w:t xml:space="preserve">. gadā sasniedzot </w:t>
      </w:r>
      <w:r w:rsidRPr="00161BAE">
        <w:t>6,5%</w:t>
      </w:r>
      <w:r>
        <w:t>, un aptuveni šajā</w:t>
      </w:r>
      <w:r w:rsidRPr="00161BAE">
        <w:t xml:space="preserve"> līmen</w:t>
      </w:r>
      <w:r>
        <w:t>ī</w:t>
      </w:r>
      <w:r w:rsidRPr="00161BAE">
        <w:t xml:space="preserve"> </w:t>
      </w:r>
      <w:r>
        <w:t>saglabājoties</w:t>
      </w:r>
      <w:r w:rsidRPr="00161BAE">
        <w:t xml:space="preserve"> arī nākamajos trīs gados. Tautsaimniecībā nodarbināto iedzīvotāju skaits šogad un nākamgad </w:t>
      </w:r>
      <w:r>
        <w:t xml:space="preserve">vēl </w:t>
      </w:r>
      <w:r w:rsidRPr="00161BAE">
        <w:t>saglabāsies stabils, bet no 2025</w:t>
      </w:r>
      <w:r>
        <w:t>. gad</w:t>
      </w:r>
      <w:r w:rsidRPr="00161BAE">
        <w:t>a gaidāma neliela nodarbinātības samazināšanās, kas būs galvenokārt saistīta ar darbspējas vecuma iedzīvotāju skaita samazināšanos.</w:t>
      </w:r>
    </w:p>
    <w:p w14:paraId="4CA5D78E" w14:textId="1AD94370" w:rsidR="00FC5FA1" w:rsidRDefault="00C524E5" w:rsidP="00593A9C">
      <w:pPr>
        <w:ind w:firstLine="720"/>
        <w:jc w:val="both"/>
      </w:pPr>
      <w:r>
        <w:t xml:space="preserve">Tā kā 2023. gada sākumā </w:t>
      </w:r>
      <w:r w:rsidRPr="008E38DC">
        <w:t xml:space="preserve">mēneša </w:t>
      </w:r>
      <w:r w:rsidRPr="00FC5FA1">
        <w:t xml:space="preserve">vidējā </w:t>
      </w:r>
      <w:r w:rsidRPr="00FC5FA1">
        <w:rPr>
          <w:bCs/>
        </w:rPr>
        <w:t>darba samaksa</w:t>
      </w:r>
      <w:r w:rsidRPr="00FC5FA1">
        <w:t xml:space="preserve"> turpināja</w:t>
      </w:r>
      <w:r w:rsidRPr="008E38DC">
        <w:t xml:space="preserve"> strauji augt, </w:t>
      </w:r>
      <w:r>
        <w:t xml:space="preserve">pateicoties gan </w:t>
      </w:r>
      <w:r w:rsidRPr="008E38DC">
        <w:t>minimālā</w:t>
      </w:r>
      <w:r>
        <w:t>s</w:t>
      </w:r>
      <w:r w:rsidRPr="008E38DC">
        <w:t xml:space="preserve"> darba samaksa</w:t>
      </w:r>
      <w:r>
        <w:t>s</w:t>
      </w:r>
      <w:r w:rsidRPr="008E38DC">
        <w:t xml:space="preserve"> paaugstinā</w:t>
      </w:r>
      <w:r>
        <w:t>šanai par 24%</w:t>
      </w:r>
      <w:r w:rsidRPr="008E38DC">
        <w:t xml:space="preserve">, </w:t>
      </w:r>
      <w:r>
        <w:t xml:space="preserve">gan </w:t>
      </w:r>
      <w:r w:rsidRPr="008E38DC">
        <w:t>valsts budžeta izdevum</w:t>
      </w:r>
      <w:r>
        <w:t>u palielināšanai</w:t>
      </w:r>
      <w:r w:rsidRPr="008E38DC">
        <w:t xml:space="preserve"> sabiedriskā sektora darbinieku algām, </w:t>
      </w:r>
      <w:r>
        <w:t xml:space="preserve">gan arī </w:t>
      </w:r>
      <w:r w:rsidRPr="008E38DC">
        <w:t>privāt</w:t>
      </w:r>
      <w:r>
        <w:t>o</w:t>
      </w:r>
      <w:r w:rsidRPr="008E38DC">
        <w:t xml:space="preserve"> uzņēmum</w:t>
      </w:r>
      <w:r>
        <w:t>u</w:t>
      </w:r>
      <w:r w:rsidRPr="008E38DC">
        <w:t xml:space="preserve"> snie</w:t>
      </w:r>
      <w:r>
        <w:t>gtajam</w:t>
      </w:r>
      <w:r w:rsidRPr="008E38DC">
        <w:t xml:space="preserve"> sav</w:t>
      </w:r>
      <w:r>
        <w:t>iem</w:t>
      </w:r>
      <w:r w:rsidRPr="008E38DC">
        <w:t xml:space="preserve"> darbiniek</w:t>
      </w:r>
      <w:r>
        <w:t>iem</w:t>
      </w:r>
      <w:r w:rsidRPr="008E38DC">
        <w:t xml:space="preserve"> enerģijas atbalst</w:t>
      </w:r>
      <w:r>
        <w:t xml:space="preserve">am, tad </w:t>
      </w:r>
      <w:r w:rsidRPr="008E38DC">
        <w:t>2023</w:t>
      </w:r>
      <w:r>
        <w:t>. gad</w:t>
      </w:r>
      <w:r w:rsidRPr="008E38DC">
        <w:t>a kopēj</w:t>
      </w:r>
      <w:r>
        <w:t>ais</w:t>
      </w:r>
      <w:r w:rsidRPr="008E38DC">
        <w:t xml:space="preserve"> algu pieaugum</w:t>
      </w:r>
      <w:r>
        <w:t xml:space="preserve">s sasniegtu </w:t>
      </w:r>
      <w:r w:rsidRPr="008E38DC">
        <w:t>11%</w:t>
      </w:r>
      <w:r>
        <w:t xml:space="preserve">, un </w:t>
      </w:r>
      <w:r w:rsidRPr="008E38DC">
        <w:t>2024</w:t>
      </w:r>
      <w:r>
        <w:t xml:space="preserve">. gadā – </w:t>
      </w:r>
      <w:r w:rsidRPr="008E38DC">
        <w:t xml:space="preserve">7,5%. </w:t>
      </w:r>
      <w:r>
        <w:t>Vidējā termiņā gan sagaidāms</w:t>
      </w:r>
      <w:r w:rsidRPr="008E38DC">
        <w:t>, ka algu pieauguma temps palēnināsies</w:t>
      </w:r>
      <w:r>
        <w:t xml:space="preserve"> un </w:t>
      </w:r>
      <w:r w:rsidRPr="008E38DC">
        <w:t>tuvo</w:t>
      </w:r>
      <w:r>
        <w:t>sies</w:t>
      </w:r>
      <w:r w:rsidRPr="008E38DC">
        <w:t xml:space="preserve"> produktivitātes pieauguma tempam</w:t>
      </w:r>
      <w:r>
        <w:t xml:space="preserve">, </w:t>
      </w:r>
      <w:r w:rsidRPr="008E38DC">
        <w:t>stabilizējoties 5% līmenī</w:t>
      </w:r>
      <w:r w:rsidR="00FC5FA1">
        <w:rPr>
          <w:rStyle w:val="FootnoteReference"/>
        </w:rPr>
        <w:footnoteReference w:id="3"/>
      </w:r>
      <w:r w:rsidRPr="008E38DC">
        <w:t>.</w:t>
      </w:r>
    </w:p>
    <w:p w14:paraId="114B48A4" w14:textId="1E5B9C97" w:rsidR="00962C57" w:rsidRDefault="00962C57">
      <w:r>
        <w:br w:type="page"/>
      </w:r>
    </w:p>
    <w:p w14:paraId="3B92FC6F" w14:textId="77777777" w:rsidR="002B745C" w:rsidRDefault="002B745C">
      <w:pPr>
        <w:jc w:val="both"/>
      </w:pPr>
    </w:p>
    <w:p w14:paraId="102E7E31" w14:textId="77777777" w:rsidR="0085622A" w:rsidRDefault="00093D6F" w:rsidP="001F402C">
      <w:pPr>
        <w:pStyle w:val="Heading2"/>
      </w:pPr>
      <w:bookmarkStart w:id="21" w:name="_Toc148720961"/>
      <w:r>
        <w:t>8</w:t>
      </w:r>
      <w:r w:rsidR="003A674F">
        <w:t>.2. Inflācijas prognozes</w:t>
      </w:r>
      <w:bookmarkEnd w:id="21"/>
    </w:p>
    <w:p w14:paraId="62ABE3A2" w14:textId="77777777" w:rsidR="0085622A" w:rsidRDefault="0085622A">
      <w:pPr>
        <w:pStyle w:val="BodyText2"/>
        <w:spacing w:after="0" w:line="240" w:lineRule="auto"/>
        <w:jc w:val="both"/>
        <w:rPr>
          <w:bCs/>
        </w:rPr>
      </w:pPr>
    </w:p>
    <w:p w14:paraId="7748A2C7" w14:textId="77777777" w:rsidR="0085622A" w:rsidRDefault="003A674F">
      <w:pPr>
        <w:autoSpaceDE w:val="0"/>
        <w:autoSpaceDN w:val="0"/>
        <w:adjustRightInd w:val="0"/>
        <w:ind w:firstLine="720"/>
        <w:jc w:val="both"/>
      </w:pPr>
      <w:r>
        <w:t>Saskaņā ar Finanšu ministrijas prognozēm (sagatavotas 202</w:t>
      </w:r>
      <w:r w:rsidR="0043761D">
        <w:t>3</w:t>
      </w:r>
      <w:r>
        <w:t>.gada augustā), patēriņa cenu indeksa izmaiņas 202</w:t>
      </w:r>
      <w:r w:rsidR="0043761D">
        <w:t>3</w:t>
      </w:r>
      <w:r>
        <w:t>.-202</w:t>
      </w:r>
      <w:r w:rsidR="0043761D">
        <w:t>6</w:t>
      </w:r>
      <w:r>
        <w:t>.gadā</w:t>
      </w:r>
      <w:r w:rsidR="002B745C">
        <w:t xml:space="preserve"> atspoguļotas </w:t>
      </w:r>
      <w:r w:rsidR="007C3139">
        <w:t>10</w:t>
      </w:r>
      <w:r w:rsidR="002B745C">
        <w:t>.tabulā</w:t>
      </w:r>
      <w:r>
        <w:t xml:space="preserve">. </w:t>
      </w:r>
    </w:p>
    <w:p w14:paraId="38999FD5" w14:textId="77777777" w:rsidR="0085622A" w:rsidRDefault="003F6C9B">
      <w:pPr>
        <w:spacing w:after="160" w:line="259" w:lineRule="auto"/>
        <w:jc w:val="right"/>
      </w:pPr>
      <w:r>
        <w:t>10</w:t>
      </w:r>
      <w:r w:rsidR="003A674F">
        <w:t>.tabula</w:t>
      </w:r>
    </w:p>
    <w:p w14:paraId="78958BD0" w14:textId="77777777" w:rsidR="0085622A" w:rsidRDefault="003A674F">
      <w:pPr>
        <w:jc w:val="center"/>
        <w:rPr>
          <w:b/>
        </w:rPr>
      </w:pPr>
      <w:r>
        <w:rPr>
          <w:b/>
        </w:rPr>
        <w:t>Prognozētie patēriņa cenu indeksi 202</w:t>
      </w:r>
      <w:r w:rsidR="0043761D">
        <w:rPr>
          <w:b/>
        </w:rPr>
        <w:t>3</w:t>
      </w:r>
      <w:r>
        <w:rPr>
          <w:b/>
        </w:rPr>
        <w:t>. – 202</w:t>
      </w:r>
      <w:r w:rsidR="0043761D">
        <w:rPr>
          <w:b/>
        </w:rPr>
        <w:t>6</w:t>
      </w:r>
      <w:r>
        <w:rPr>
          <w:b/>
        </w:rPr>
        <w:t xml:space="preserve">.gadā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947"/>
      </w:tblGrid>
      <w:tr w:rsidR="0085622A" w14:paraId="08016E2C" w14:textId="77777777">
        <w:trPr>
          <w:trHeight w:val="443"/>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2197CF" w14:textId="77777777" w:rsidR="0085622A" w:rsidRDefault="003A674F" w:rsidP="00EE598D">
            <w:pPr>
              <w:pStyle w:val="author"/>
              <w:rPr>
                <w:b/>
              </w:rPr>
            </w:pPr>
            <w:bookmarkStart w:id="22" w:name="_Toc145280802"/>
            <w:r>
              <w:t>Gads</w:t>
            </w:r>
            <w:bookmarkEnd w:id="22"/>
          </w:p>
        </w:tc>
        <w:tc>
          <w:tcPr>
            <w:tcW w:w="394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C9B3BE" w14:textId="77777777" w:rsidR="0085622A" w:rsidRDefault="003A674F">
            <w:pPr>
              <w:jc w:val="center"/>
            </w:pPr>
            <w:r>
              <w:t>PCI, % gads pret gadu</w:t>
            </w:r>
          </w:p>
        </w:tc>
      </w:tr>
      <w:tr w:rsidR="0085622A" w14:paraId="77588BDD" w14:textId="7777777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C41E9" w14:textId="77777777" w:rsidR="0085622A" w:rsidRDefault="003A674F" w:rsidP="00EE598D">
            <w:pPr>
              <w:pStyle w:val="author"/>
            </w:pPr>
            <w:bookmarkStart w:id="23" w:name="_Toc145280803"/>
            <w:r>
              <w:t>202</w:t>
            </w:r>
            <w:r w:rsidR="0043761D">
              <w:t>3</w:t>
            </w:r>
            <w:bookmarkEnd w:id="23"/>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95CC4" w14:textId="77777777" w:rsidR="0085622A" w:rsidRDefault="003A674F">
            <w:pPr>
              <w:jc w:val="center"/>
            </w:pPr>
            <w:r>
              <w:t>1</w:t>
            </w:r>
            <w:r w:rsidR="0043761D">
              <w:t>0</w:t>
            </w:r>
            <w:r>
              <w:t>,</w:t>
            </w:r>
            <w:r w:rsidR="0043761D">
              <w:t>0</w:t>
            </w:r>
          </w:p>
        </w:tc>
      </w:tr>
      <w:tr w:rsidR="0085622A" w14:paraId="23C6886E" w14:textId="7777777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A9420" w14:textId="77777777" w:rsidR="0085622A" w:rsidRDefault="003A674F" w:rsidP="00EE598D">
            <w:pPr>
              <w:pStyle w:val="author"/>
            </w:pPr>
            <w:bookmarkStart w:id="24" w:name="_Toc145280804"/>
            <w:r>
              <w:t>202</w:t>
            </w:r>
            <w:r w:rsidR="0043761D">
              <w:t>4</w:t>
            </w:r>
            <w:bookmarkEnd w:id="24"/>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14666" w14:textId="77777777" w:rsidR="0085622A" w:rsidRDefault="0043761D">
            <w:pPr>
              <w:jc w:val="center"/>
            </w:pPr>
            <w:r>
              <w:t>2</w:t>
            </w:r>
            <w:r w:rsidR="003A674F">
              <w:t>,</w:t>
            </w:r>
            <w:r>
              <w:t>2</w:t>
            </w:r>
          </w:p>
        </w:tc>
      </w:tr>
      <w:tr w:rsidR="0085622A" w14:paraId="5E509129" w14:textId="77777777">
        <w:trPr>
          <w:trHeight w:val="21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A17B" w14:textId="77777777" w:rsidR="0085622A" w:rsidRDefault="003A674F" w:rsidP="00EE598D">
            <w:pPr>
              <w:pStyle w:val="author"/>
            </w:pPr>
            <w:bookmarkStart w:id="25" w:name="_Toc145280805"/>
            <w:r>
              <w:t>202</w:t>
            </w:r>
            <w:r w:rsidR="0043761D">
              <w:t>5</w:t>
            </w:r>
            <w:bookmarkEnd w:id="25"/>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BA407" w14:textId="77777777" w:rsidR="0085622A" w:rsidRDefault="0043761D">
            <w:pPr>
              <w:jc w:val="center"/>
            </w:pPr>
            <w:r>
              <w:t>2</w:t>
            </w:r>
            <w:r w:rsidR="003A674F">
              <w:t>,</w:t>
            </w:r>
            <w:r>
              <w:t>5</w:t>
            </w:r>
          </w:p>
        </w:tc>
      </w:tr>
      <w:tr w:rsidR="0085622A" w14:paraId="5D07D70B" w14:textId="7777777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DAC08" w14:textId="77777777" w:rsidR="0085622A" w:rsidRDefault="003A674F" w:rsidP="00EE598D">
            <w:pPr>
              <w:pStyle w:val="author"/>
            </w:pPr>
            <w:bookmarkStart w:id="26" w:name="_Toc145280806"/>
            <w:r>
              <w:t>202</w:t>
            </w:r>
            <w:r w:rsidR="0043761D">
              <w:t>6</w:t>
            </w:r>
            <w:bookmarkEnd w:id="26"/>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D9C73" w14:textId="77777777" w:rsidR="0085622A" w:rsidRDefault="003A674F">
            <w:pPr>
              <w:jc w:val="center"/>
            </w:pPr>
            <w:r>
              <w:t>2,</w:t>
            </w:r>
            <w:r w:rsidR="0043761D">
              <w:t>3</w:t>
            </w:r>
          </w:p>
        </w:tc>
      </w:tr>
    </w:tbl>
    <w:p w14:paraId="10D1B729" w14:textId="77777777" w:rsidR="0085622A" w:rsidRDefault="003A674F">
      <w:pPr>
        <w:jc w:val="both"/>
        <w:rPr>
          <w:sz w:val="20"/>
          <w:szCs w:val="20"/>
        </w:rPr>
      </w:pPr>
      <w:r>
        <w:rPr>
          <w:sz w:val="20"/>
          <w:szCs w:val="20"/>
        </w:rPr>
        <w:t>Datu avots: Finanšu ministrija</w:t>
      </w:r>
    </w:p>
    <w:p w14:paraId="586C6487" w14:textId="77777777" w:rsidR="0085622A" w:rsidRDefault="0085622A">
      <w:pPr>
        <w:pStyle w:val="Footer"/>
        <w:tabs>
          <w:tab w:val="clear" w:pos="4153"/>
          <w:tab w:val="clear" w:pos="8306"/>
        </w:tabs>
        <w:jc w:val="both"/>
      </w:pPr>
    </w:p>
    <w:p w14:paraId="51597791" w14:textId="4846866D" w:rsidR="00FC5FA1" w:rsidRDefault="002B745C" w:rsidP="00FC5FA1">
      <w:pPr>
        <w:autoSpaceDE w:val="0"/>
        <w:autoSpaceDN w:val="0"/>
        <w:adjustRightInd w:val="0"/>
        <w:ind w:firstLine="720"/>
        <w:jc w:val="both"/>
      </w:pPr>
      <w:r>
        <w:t>Saskaņā ar Finanšu ministrijas prognozēm, patēriņa cenas 2023.gadā varētu pieaugt par 10%, savukārt</w:t>
      </w:r>
      <w:r w:rsidR="00FB4448">
        <w:t>,</w:t>
      </w:r>
      <w:r>
        <w:t xml:space="preserve"> sākot ar 2024.gadu</w:t>
      </w:r>
      <w:r w:rsidR="00FB4448">
        <w:t>,</w:t>
      </w:r>
      <w:r>
        <w:t xml:space="preserve"> patēriņa cenu pieaugums nākamajos trīs gados varētu svārstīties 2,2-2,5% robežās.</w:t>
      </w:r>
      <w:r w:rsidR="00FC5FA1">
        <w:t xml:space="preserve"> I</w:t>
      </w:r>
      <w:r w:rsidR="00FC5FA1" w:rsidRPr="00DB7F16">
        <w:t xml:space="preserve">nflāciju ietekmēs enerģijas resursu un neapstrādātās pārtikas cenu </w:t>
      </w:r>
      <w:r w:rsidR="00FC5FA1">
        <w:t>inflācijas</w:t>
      </w:r>
      <w:r w:rsidR="00FC5FA1" w:rsidRPr="00DB7F16">
        <w:t xml:space="preserve"> samazinājums 2023. gada otrajā pusē un, saglabājoties pašreizējai situācijai pasaules tirgos, cenu līmenis saglabāsies pašreizējā līmenī</w:t>
      </w:r>
      <w:r w:rsidR="00FC5FA1">
        <w:rPr>
          <w:rStyle w:val="FootnoteReference"/>
        </w:rPr>
        <w:footnoteReference w:id="4"/>
      </w:r>
      <w:r w:rsidR="00FC5FA1" w:rsidRPr="00DB7F16">
        <w:t>.</w:t>
      </w:r>
    </w:p>
    <w:p w14:paraId="4FFDD2E3" w14:textId="68A4B5F5" w:rsidR="009842A5" w:rsidRDefault="003C4B23" w:rsidP="00593A9C">
      <w:pPr>
        <w:rPr>
          <w:bCs/>
          <w:color w:val="000000" w:themeColor="text1"/>
        </w:rPr>
      </w:pPr>
      <w:r>
        <w:rPr>
          <w:bCs/>
          <w:color w:val="000000" w:themeColor="text1"/>
        </w:rPr>
        <w:br w:type="page"/>
      </w:r>
    </w:p>
    <w:p w14:paraId="57903FD5" w14:textId="77777777" w:rsidR="007C3139" w:rsidRDefault="00093D6F" w:rsidP="001F402C">
      <w:pPr>
        <w:pStyle w:val="Heading2"/>
      </w:pPr>
      <w:bookmarkStart w:id="27" w:name="_Toc148720962"/>
      <w:r>
        <w:lastRenderedPageBreak/>
        <w:t>8.3.</w:t>
      </w:r>
      <w:r w:rsidR="007C3139">
        <w:t xml:space="preserve"> Makroekonomisko rādītāju prognozes</w:t>
      </w:r>
      <w:bookmarkEnd w:id="27"/>
      <w:r w:rsidR="007C3139">
        <w:t xml:space="preserve"> </w:t>
      </w:r>
    </w:p>
    <w:p w14:paraId="53EDA166" w14:textId="77777777" w:rsidR="007C3139" w:rsidRDefault="007C3139" w:rsidP="007C3139">
      <w:pPr>
        <w:autoSpaceDE w:val="0"/>
        <w:autoSpaceDN w:val="0"/>
        <w:adjustRightInd w:val="0"/>
        <w:ind w:firstLine="720"/>
        <w:jc w:val="both"/>
      </w:pPr>
    </w:p>
    <w:p w14:paraId="5E55A9C8" w14:textId="77777777" w:rsidR="007C3139" w:rsidRPr="007C3139" w:rsidRDefault="007C3139" w:rsidP="007C3139">
      <w:pPr>
        <w:autoSpaceDE w:val="0"/>
        <w:autoSpaceDN w:val="0"/>
        <w:adjustRightInd w:val="0"/>
        <w:ind w:firstLine="720"/>
        <w:jc w:val="both"/>
      </w:pPr>
      <w:r w:rsidRPr="007C3139">
        <w:t xml:space="preserve">Ekonomikas ministrijas un Finanšu ministrijas </w:t>
      </w:r>
      <w:r w:rsidRPr="007C3139">
        <w:rPr>
          <w:bCs/>
          <w:color w:val="000000" w:themeColor="text1"/>
        </w:rPr>
        <w:t>makroekonomisko rādītāju prognozes 2023. un 2024.gadam</w:t>
      </w:r>
      <w:r w:rsidRPr="007C3139">
        <w:t xml:space="preserve"> (sagatavotas 2023.gada augustā) atspoguļotas 11.tabulā. </w:t>
      </w:r>
    </w:p>
    <w:p w14:paraId="175F54CC" w14:textId="77777777" w:rsidR="007C3139" w:rsidRDefault="007C3139" w:rsidP="007C3139">
      <w:pPr>
        <w:autoSpaceDE w:val="0"/>
        <w:autoSpaceDN w:val="0"/>
        <w:adjustRightInd w:val="0"/>
        <w:ind w:firstLine="720"/>
        <w:jc w:val="right"/>
      </w:pPr>
    </w:p>
    <w:p w14:paraId="3F44C23E" w14:textId="77777777" w:rsidR="003F6C9B" w:rsidRDefault="003F6C9B" w:rsidP="007C3139">
      <w:pPr>
        <w:autoSpaceDE w:val="0"/>
        <w:autoSpaceDN w:val="0"/>
        <w:adjustRightInd w:val="0"/>
        <w:ind w:firstLine="720"/>
        <w:jc w:val="right"/>
      </w:pPr>
      <w:r>
        <w:t>11.tabula</w:t>
      </w:r>
    </w:p>
    <w:p w14:paraId="4BDC9DD6" w14:textId="37DCE587" w:rsidR="007C3139" w:rsidRDefault="007C3139" w:rsidP="007C3139">
      <w:pPr>
        <w:jc w:val="center"/>
        <w:rPr>
          <w:b/>
          <w:bCs/>
          <w:color w:val="000000" w:themeColor="text1"/>
        </w:rPr>
      </w:pPr>
      <w:bookmarkStart w:id="28" w:name="_Hlk143004158"/>
      <w:r>
        <w:rPr>
          <w:b/>
          <w:bCs/>
          <w:color w:val="000000" w:themeColor="text1"/>
        </w:rPr>
        <w:t>Makroekonomiskie rādītāji 2021. un 2022. gadā un Ekonomikas ministrijas (EM) un Finanšu ministrijas (FM) makroekonomisko rādītāju prognozes 2023. un 2024. gadam</w:t>
      </w:r>
    </w:p>
    <w:p w14:paraId="305E44D6" w14:textId="71B6C62C" w:rsidR="00C74545" w:rsidRDefault="00C74545" w:rsidP="007C3139">
      <w:pPr>
        <w:jc w:val="center"/>
        <w:rPr>
          <w:b/>
          <w:bCs/>
          <w:color w:val="000000" w:themeColor="text1"/>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098"/>
        <w:gridCol w:w="955"/>
        <w:gridCol w:w="961"/>
        <w:gridCol w:w="1018"/>
        <w:gridCol w:w="929"/>
        <w:gridCol w:w="992"/>
      </w:tblGrid>
      <w:tr w:rsidR="00C74545" w:rsidRPr="00E022DA" w14:paraId="55945FA9" w14:textId="77777777" w:rsidTr="00F07E8A">
        <w:tc>
          <w:tcPr>
            <w:tcW w:w="3261" w:type="dxa"/>
            <w:tcBorders>
              <w:top w:val="nil"/>
              <w:left w:val="nil"/>
              <w:bottom w:val="nil"/>
              <w:right w:val="nil"/>
            </w:tcBorders>
            <w:shd w:val="clear" w:color="auto" w:fill="auto"/>
          </w:tcPr>
          <w:p w14:paraId="4BFEB65B" w14:textId="77777777" w:rsidR="00C74545" w:rsidRPr="00E022DA" w:rsidRDefault="00C74545" w:rsidP="004720BC">
            <w:pPr>
              <w:pStyle w:val="BodyText2"/>
              <w:spacing w:after="0" w:line="240" w:lineRule="auto"/>
              <w:jc w:val="both"/>
            </w:pPr>
          </w:p>
        </w:tc>
        <w:tc>
          <w:tcPr>
            <w:tcW w:w="1098" w:type="dxa"/>
            <w:tcBorders>
              <w:top w:val="nil"/>
              <w:left w:val="nil"/>
              <w:bottom w:val="single" w:sz="4" w:space="0" w:color="auto"/>
              <w:right w:val="nil"/>
            </w:tcBorders>
            <w:shd w:val="clear" w:color="auto" w:fill="auto"/>
          </w:tcPr>
          <w:p w14:paraId="05A6ACCF" w14:textId="77777777" w:rsidR="00C74545" w:rsidRPr="00E022DA" w:rsidRDefault="00C74545" w:rsidP="004720BC">
            <w:pPr>
              <w:pStyle w:val="BodyText2"/>
              <w:spacing w:after="0" w:line="240" w:lineRule="auto"/>
              <w:jc w:val="center"/>
              <w:rPr>
                <w:b/>
              </w:rPr>
            </w:pPr>
          </w:p>
        </w:tc>
        <w:tc>
          <w:tcPr>
            <w:tcW w:w="955" w:type="dxa"/>
            <w:tcBorders>
              <w:top w:val="nil"/>
              <w:left w:val="nil"/>
              <w:bottom w:val="single" w:sz="4" w:space="0" w:color="auto"/>
              <w:right w:val="single" w:sz="18" w:space="0" w:color="auto"/>
            </w:tcBorders>
            <w:shd w:val="clear" w:color="auto" w:fill="auto"/>
          </w:tcPr>
          <w:p w14:paraId="66403C51" w14:textId="77777777" w:rsidR="00C74545" w:rsidRPr="00E022DA" w:rsidRDefault="00C74545" w:rsidP="004720BC">
            <w:pPr>
              <w:pStyle w:val="BodyText2"/>
              <w:spacing w:after="0" w:line="240" w:lineRule="auto"/>
              <w:jc w:val="center"/>
              <w:rPr>
                <w:b/>
              </w:rPr>
            </w:pPr>
          </w:p>
        </w:tc>
        <w:tc>
          <w:tcPr>
            <w:tcW w:w="1979"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4956D554" w14:textId="77777777" w:rsidR="00C74545" w:rsidRPr="00E022DA" w:rsidRDefault="00C74545" w:rsidP="004720BC">
            <w:pPr>
              <w:pStyle w:val="BodyText2"/>
              <w:spacing w:after="0" w:line="240" w:lineRule="auto"/>
              <w:jc w:val="center"/>
              <w:rPr>
                <w:b/>
              </w:rPr>
            </w:pPr>
            <w:r>
              <w:rPr>
                <w:b/>
                <w:bCs/>
                <w:color w:val="000000"/>
              </w:rPr>
              <w:t>EM prognoze</w:t>
            </w:r>
          </w:p>
        </w:tc>
        <w:tc>
          <w:tcPr>
            <w:tcW w:w="1921"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2342D28E" w14:textId="77777777" w:rsidR="00C74545" w:rsidRPr="00E022DA" w:rsidRDefault="00C74545" w:rsidP="004720BC">
            <w:pPr>
              <w:pStyle w:val="BodyText2"/>
              <w:spacing w:after="0" w:line="240" w:lineRule="auto"/>
              <w:jc w:val="center"/>
              <w:rPr>
                <w:b/>
              </w:rPr>
            </w:pPr>
            <w:r>
              <w:rPr>
                <w:b/>
                <w:bCs/>
                <w:color w:val="000000"/>
              </w:rPr>
              <w:t>FM prognoze</w:t>
            </w:r>
          </w:p>
        </w:tc>
      </w:tr>
      <w:tr w:rsidR="00C74545" w:rsidRPr="00E022DA" w14:paraId="17AA29EF" w14:textId="77777777" w:rsidTr="00F07E8A">
        <w:tc>
          <w:tcPr>
            <w:tcW w:w="3261" w:type="dxa"/>
            <w:tcBorders>
              <w:top w:val="nil"/>
              <w:left w:val="nil"/>
              <w:bottom w:val="single" w:sz="4" w:space="0" w:color="auto"/>
              <w:right w:val="single" w:sz="4" w:space="0" w:color="auto"/>
            </w:tcBorders>
            <w:shd w:val="clear" w:color="auto" w:fill="auto"/>
          </w:tcPr>
          <w:p w14:paraId="3826BA93" w14:textId="77777777" w:rsidR="00C74545" w:rsidRPr="00E022DA" w:rsidRDefault="00C74545" w:rsidP="004720BC">
            <w:pPr>
              <w:pStyle w:val="BodyText2"/>
              <w:spacing w:after="0" w:line="240" w:lineRule="auto"/>
              <w:jc w:val="both"/>
            </w:pPr>
          </w:p>
        </w:tc>
        <w:tc>
          <w:tcPr>
            <w:tcW w:w="1098" w:type="dxa"/>
            <w:tcBorders>
              <w:top w:val="single" w:sz="4" w:space="0" w:color="auto"/>
              <w:left w:val="single" w:sz="4" w:space="0" w:color="auto"/>
            </w:tcBorders>
            <w:shd w:val="clear" w:color="auto" w:fill="E2EFD9" w:themeFill="accent6" w:themeFillTint="33"/>
          </w:tcPr>
          <w:p w14:paraId="40D06D9F" w14:textId="77777777" w:rsidR="00C74545" w:rsidRPr="00E022DA" w:rsidRDefault="00C74545" w:rsidP="004720BC">
            <w:pPr>
              <w:pStyle w:val="BodyText2"/>
              <w:spacing w:after="0" w:line="240" w:lineRule="auto"/>
              <w:jc w:val="center"/>
              <w:rPr>
                <w:b/>
              </w:rPr>
            </w:pPr>
            <w:r w:rsidRPr="00E022DA">
              <w:rPr>
                <w:b/>
              </w:rPr>
              <w:t>2021</w:t>
            </w:r>
          </w:p>
        </w:tc>
        <w:tc>
          <w:tcPr>
            <w:tcW w:w="955" w:type="dxa"/>
            <w:tcBorders>
              <w:top w:val="single" w:sz="4" w:space="0" w:color="auto"/>
              <w:right w:val="single" w:sz="18" w:space="0" w:color="auto"/>
            </w:tcBorders>
            <w:shd w:val="clear" w:color="auto" w:fill="E2EFD9" w:themeFill="accent6" w:themeFillTint="33"/>
          </w:tcPr>
          <w:p w14:paraId="170A4CE6" w14:textId="77777777" w:rsidR="00C74545" w:rsidRPr="00E022DA" w:rsidRDefault="00C74545" w:rsidP="004720BC">
            <w:pPr>
              <w:pStyle w:val="BodyText2"/>
              <w:spacing w:after="0" w:line="240" w:lineRule="auto"/>
              <w:jc w:val="center"/>
              <w:rPr>
                <w:b/>
              </w:rPr>
            </w:pPr>
            <w:r w:rsidRPr="00E022DA">
              <w:rPr>
                <w:b/>
              </w:rPr>
              <w:t>2022</w:t>
            </w:r>
          </w:p>
        </w:tc>
        <w:tc>
          <w:tcPr>
            <w:tcW w:w="961"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0134C8C2" w14:textId="77777777" w:rsidR="00C74545" w:rsidRPr="00E022DA" w:rsidRDefault="00C74545" w:rsidP="004720BC">
            <w:pPr>
              <w:pStyle w:val="BodyText2"/>
              <w:spacing w:after="0" w:line="240" w:lineRule="auto"/>
              <w:jc w:val="center"/>
              <w:rPr>
                <w:b/>
              </w:rPr>
            </w:pPr>
            <w:r w:rsidRPr="00E022DA">
              <w:rPr>
                <w:b/>
              </w:rPr>
              <w:t>2023p</w:t>
            </w:r>
          </w:p>
        </w:tc>
        <w:tc>
          <w:tcPr>
            <w:tcW w:w="1018"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61066C9A" w14:textId="77777777" w:rsidR="00C74545" w:rsidRPr="00E022DA" w:rsidRDefault="00C74545" w:rsidP="004720BC">
            <w:pPr>
              <w:pStyle w:val="BodyText2"/>
              <w:spacing w:after="0" w:line="240" w:lineRule="auto"/>
              <w:jc w:val="center"/>
              <w:rPr>
                <w:b/>
              </w:rPr>
            </w:pPr>
            <w:r w:rsidRPr="00E022DA">
              <w:rPr>
                <w:b/>
              </w:rPr>
              <w:t>2024p</w:t>
            </w:r>
          </w:p>
        </w:tc>
        <w:tc>
          <w:tcPr>
            <w:tcW w:w="929"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4E813DA4" w14:textId="77777777" w:rsidR="00C74545" w:rsidRPr="00E022DA" w:rsidRDefault="00C74545" w:rsidP="004720BC">
            <w:pPr>
              <w:pStyle w:val="BodyText2"/>
              <w:spacing w:after="0" w:line="240" w:lineRule="auto"/>
              <w:jc w:val="center"/>
              <w:rPr>
                <w:b/>
              </w:rPr>
            </w:pPr>
            <w:r>
              <w:rPr>
                <w:b/>
              </w:rPr>
              <w:t>2023p</w:t>
            </w:r>
          </w:p>
        </w:tc>
        <w:tc>
          <w:tcPr>
            <w:tcW w:w="992"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4F269EE2" w14:textId="77777777" w:rsidR="00C74545" w:rsidRPr="00E022DA" w:rsidRDefault="00C74545" w:rsidP="004720BC">
            <w:pPr>
              <w:pStyle w:val="BodyText2"/>
              <w:spacing w:after="0" w:line="240" w:lineRule="auto"/>
              <w:jc w:val="center"/>
              <w:rPr>
                <w:b/>
              </w:rPr>
            </w:pPr>
            <w:r>
              <w:rPr>
                <w:b/>
              </w:rPr>
              <w:t>2024p</w:t>
            </w:r>
          </w:p>
        </w:tc>
      </w:tr>
      <w:tr w:rsidR="00C74545" w:rsidRPr="00E022DA" w14:paraId="7A2D8AC9" w14:textId="77777777" w:rsidTr="004720BC">
        <w:tc>
          <w:tcPr>
            <w:tcW w:w="3261" w:type="dxa"/>
            <w:tcBorders>
              <w:top w:val="single" w:sz="4" w:space="0" w:color="auto"/>
            </w:tcBorders>
            <w:shd w:val="clear" w:color="auto" w:fill="auto"/>
          </w:tcPr>
          <w:p w14:paraId="76176387" w14:textId="77777777" w:rsidR="00C74545" w:rsidRPr="00E022DA" w:rsidRDefault="00C74545" w:rsidP="004720BC">
            <w:pPr>
              <w:pStyle w:val="BodyText2"/>
              <w:spacing w:after="0" w:line="240" w:lineRule="auto"/>
            </w:pPr>
            <w:r w:rsidRPr="00E022DA">
              <w:t>Iekšzemes kopprodukts (IKP) (salīdzināmās cenās, milj. Eiro)</w:t>
            </w:r>
          </w:p>
        </w:tc>
        <w:tc>
          <w:tcPr>
            <w:tcW w:w="1098" w:type="dxa"/>
            <w:shd w:val="clear" w:color="auto" w:fill="auto"/>
            <w:vAlign w:val="center"/>
          </w:tcPr>
          <w:p w14:paraId="7A522A99" w14:textId="77777777" w:rsidR="00C74545" w:rsidRPr="006B785B" w:rsidRDefault="00C74545" w:rsidP="004720BC">
            <w:pPr>
              <w:pStyle w:val="BodyText2"/>
              <w:spacing w:after="0" w:line="240" w:lineRule="auto"/>
              <w:jc w:val="center"/>
              <w:rPr>
                <w:b/>
              </w:rPr>
            </w:pPr>
            <w:r w:rsidRPr="006B785B">
              <w:t>28 240</w:t>
            </w:r>
          </w:p>
        </w:tc>
        <w:tc>
          <w:tcPr>
            <w:tcW w:w="955" w:type="dxa"/>
            <w:tcBorders>
              <w:right w:val="single" w:sz="18" w:space="0" w:color="auto"/>
            </w:tcBorders>
            <w:shd w:val="clear" w:color="auto" w:fill="auto"/>
            <w:vAlign w:val="center"/>
          </w:tcPr>
          <w:p w14:paraId="3D3939D3" w14:textId="77777777" w:rsidR="00C74545" w:rsidRPr="006B785B" w:rsidRDefault="00C74545" w:rsidP="004720BC">
            <w:pPr>
              <w:pStyle w:val="BodyText2"/>
              <w:spacing w:after="0" w:line="240" w:lineRule="auto"/>
              <w:jc w:val="center"/>
              <w:rPr>
                <w:b/>
              </w:rPr>
            </w:pPr>
            <w:r w:rsidRPr="006B785B">
              <w:t>29 021</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576C326F" w14:textId="77777777" w:rsidR="00C74545" w:rsidRPr="006B785B" w:rsidRDefault="00C74545" w:rsidP="004720BC">
            <w:pPr>
              <w:pStyle w:val="BodyText2"/>
              <w:spacing w:after="0" w:line="240" w:lineRule="auto"/>
              <w:jc w:val="center"/>
              <w:rPr>
                <w:b/>
              </w:rPr>
            </w:pPr>
            <w:r w:rsidRPr="006B785B">
              <w:t>29 242</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6CD7C3E8" w14:textId="77777777" w:rsidR="00C74545" w:rsidRPr="006B785B" w:rsidRDefault="00C74545" w:rsidP="004720BC">
            <w:pPr>
              <w:pStyle w:val="BodyText2"/>
              <w:spacing w:after="0" w:line="240" w:lineRule="auto"/>
              <w:jc w:val="center"/>
              <w:rPr>
                <w:b/>
              </w:rPr>
            </w:pPr>
            <w:r w:rsidRPr="006B785B">
              <w:t>30 375</w:t>
            </w:r>
          </w:p>
        </w:tc>
        <w:tc>
          <w:tcPr>
            <w:tcW w:w="929" w:type="dxa"/>
            <w:tcBorders>
              <w:top w:val="single" w:sz="6" w:space="0" w:color="auto"/>
              <w:left w:val="single" w:sz="18" w:space="0" w:color="auto"/>
              <w:bottom w:val="single" w:sz="6" w:space="0" w:color="auto"/>
              <w:right w:val="single" w:sz="6" w:space="0" w:color="auto"/>
            </w:tcBorders>
            <w:vAlign w:val="center"/>
          </w:tcPr>
          <w:p w14:paraId="2C839797" w14:textId="77777777" w:rsidR="00C74545" w:rsidRPr="006B785B" w:rsidRDefault="00C74545" w:rsidP="004720BC">
            <w:pPr>
              <w:pStyle w:val="BodyText2"/>
              <w:spacing w:after="0" w:line="240" w:lineRule="auto"/>
              <w:jc w:val="center"/>
            </w:pPr>
            <w:r w:rsidRPr="006B785B">
              <w:t>29 308</w:t>
            </w:r>
          </w:p>
        </w:tc>
        <w:tc>
          <w:tcPr>
            <w:tcW w:w="992" w:type="dxa"/>
            <w:tcBorders>
              <w:top w:val="single" w:sz="6" w:space="0" w:color="auto"/>
              <w:left w:val="single" w:sz="6" w:space="0" w:color="auto"/>
              <w:bottom w:val="single" w:sz="6" w:space="0" w:color="auto"/>
              <w:right w:val="single" w:sz="18" w:space="0" w:color="auto"/>
            </w:tcBorders>
            <w:vAlign w:val="center"/>
          </w:tcPr>
          <w:p w14:paraId="4F5B3C85" w14:textId="77777777" w:rsidR="00C74545" w:rsidRPr="006B785B" w:rsidRDefault="00C74545" w:rsidP="004720BC">
            <w:pPr>
              <w:pStyle w:val="BodyText2"/>
              <w:spacing w:after="0" w:line="240" w:lineRule="auto"/>
              <w:jc w:val="center"/>
            </w:pPr>
            <w:r w:rsidRPr="006B785B">
              <w:t>30 035</w:t>
            </w:r>
          </w:p>
        </w:tc>
      </w:tr>
      <w:tr w:rsidR="00C74545" w:rsidRPr="00E022DA" w14:paraId="295A1CE1" w14:textId="77777777" w:rsidTr="004720BC">
        <w:tc>
          <w:tcPr>
            <w:tcW w:w="3261" w:type="dxa"/>
            <w:shd w:val="clear" w:color="auto" w:fill="auto"/>
          </w:tcPr>
          <w:p w14:paraId="4032445F" w14:textId="77777777" w:rsidR="00C74545" w:rsidRPr="00E022DA" w:rsidRDefault="00C74545" w:rsidP="004720BC">
            <w:r w:rsidRPr="00E022DA">
              <w:t>IKP (faktiskajās cenās, milj. Eiro)</w:t>
            </w:r>
          </w:p>
        </w:tc>
        <w:tc>
          <w:tcPr>
            <w:tcW w:w="1098" w:type="dxa"/>
            <w:shd w:val="clear" w:color="auto" w:fill="auto"/>
            <w:vAlign w:val="center"/>
          </w:tcPr>
          <w:p w14:paraId="6375B405" w14:textId="77777777" w:rsidR="00C74545" w:rsidRPr="006B785B" w:rsidRDefault="00C74545" w:rsidP="004720BC">
            <w:pPr>
              <w:pStyle w:val="BodyText2"/>
              <w:spacing w:after="0" w:line="240" w:lineRule="auto"/>
              <w:jc w:val="center"/>
            </w:pPr>
            <w:r w:rsidRPr="006B785B">
              <w:t>33 617</w:t>
            </w:r>
          </w:p>
        </w:tc>
        <w:tc>
          <w:tcPr>
            <w:tcW w:w="955" w:type="dxa"/>
            <w:tcBorders>
              <w:right w:val="single" w:sz="18" w:space="0" w:color="auto"/>
            </w:tcBorders>
            <w:shd w:val="clear" w:color="auto" w:fill="auto"/>
            <w:vAlign w:val="center"/>
          </w:tcPr>
          <w:p w14:paraId="358816E8" w14:textId="77777777" w:rsidR="00C74545" w:rsidRPr="006B785B" w:rsidRDefault="00C74545" w:rsidP="004720BC">
            <w:pPr>
              <w:pStyle w:val="BodyText2"/>
              <w:spacing w:after="0" w:line="240" w:lineRule="auto"/>
              <w:jc w:val="center"/>
            </w:pPr>
            <w:r w:rsidRPr="006B785B">
              <w:t>39 063</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40E39C1F" w14:textId="77777777" w:rsidR="00C74545" w:rsidRPr="006B785B" w:rsidRDefault="00C74545" w:rsidP="004720BC">
            <w:pPr>
              <w:pStyle w:val="BodyText2"/>
              <w:spacing w:after="0" w:line="240" w:lineRule="auto"/>
              <w:jc w:val="center"/>
            </w:pPr>
            <w:r w:rsidRPr="006B785B">
              <w:t>42 813</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76E922EE" w14:textId="77777777" w:rsidR="00C74545" w:rsidRPr="006B785B" w:rsidRDefault="00C74545" w:rsidP="004720BC">
            <w:pPr>
              <w:pStyle w:val="BodyText2"/>
              <w:spacing w:after="0" w:line="240" w:lineRule="auto"/>
              <w:jc w:val="center"/>
            </w:pPr>
            <w:r w:rsidRPr="006B785B">
              <w:t>45 652</w:t>
            </w:r>
          </w:p>
        </w:tc>
        <w:tc>
          <w:tcPr>
            <w:tcW w:w="929" w:type="dxa"/>
            <w:tcBorders>
              <w:top w:val="single" w:sz="6" w:space="0" w:color="auto"/>
              <w:left w:val="single" w:sz="18" w:space="0" w:color="auto"/>
              <w:bottom w:val="single" w:sz="6" w:space="0" w:color="auto"/>
              <w:right w:val="single" w:sz="6" w:space="0" w:color="auto"/>
            </w:tcBorders>
            <w:vAlign w:val="center"/>
          </w:tcPr>
          <w:p w14:paraId="68EE0436" w14:textId="77777777" w:rsidR="00C74545" w:rsidRPr="006B785B" w:rsidRDefault="00C74545" w:rsidP="004720BC">
            <w:pPr>
              <w:pStyle w:val="BodyText2"/>
              <w:spacing w:after="0" w:line="240" w:lineRule="auto"/>
              <w:jc w:val="center"/>
            </w:pPr>
            <w:r w:rsidRPr="006B785B">
              <w:t>43 368</w:t>
            </w:r>
          </w:p>
        </w:tc>
        <w:tc>
          <w:tcPr>
            <w:tcW w:w="992" w:type="dxa"/>
            <w:tcBorders>
              <w:top w:val="single" w:sz="6" w:space="0" w:color="auto"/>
              <w:left w:val="single" w:sz="6" w:space="0" w:color="auto"/>
              <w:bottom w:val="single" w:sz="6" w:space="0" w:color="auto"/>
              <w:right w:val="single" w:sz="18" w:space="0" w:color="auto"/>
            </w:tcBorders>
            <w:vAlign w:val="center"/>
          </w:tcPr>
          <w:p w14:paraId="0E248049" w14:textId="77777777" w:rsidR="00C74545" w:rsidRPr="006B785B" w:rsidRDefault="00C74545" w:rsidP="004720BC">
            <w:pPr>
              <w:pStyle w:val="BodyText2"/>
              <w:spacing w:after="0" w:line="240" w:lineRule="auto"/>
              <w:jc w:val="center"/>
            </w:pPr>
            <w:r w:rsidRPr="006B785B">
              <w:t>45 750</w:t>
            </w:r>
          </w:p>
        </w:tc>
      </w:tr>
      <w:tr w:rsidR="00C74545" w:rsidRPr="00E022DA" w14:paraId="51B550A9" w14:textId="77777777" w:rsidTr="004720BC">
        <w:tc>
          <w:tcPr>
            <w:tcW w:w="3261" w:type="dxa"/>
            <w:shd w:val="clear" w:color="auto" w:fill="auto"/>
          </w:tcPr>
          <w:p w14:paraId="0112AB99" w14:textId="77777777" w:rsidR="00C74545" w:rsidRPr="00E022DA" w:rsidRDefault="00C74545" w:rsidP="004720BC">
            <w:r w:rsidRPr="00E022DA">
              <w:t>IKP pieaugums (salīdzināmās cenās, %)</w:t>
            </w:r>
          </w:p>
        </w:tc>
        <w:tc>
          <w:tcPr>
            <w:tcW w:w="1098" w:type="dxa"/>
            <w:shd w:val="clear" w:color="auto" w:fill="auto"/>
            <w:vAlign w:val="center"/>
          </w:tcPr>
          <w:p w14:paraId="444DC77A" w14:textId="77777777" w:rsidR="00C74545" w:rsidRPr="006B785B" w:rsidRDefault="00C74545" w:rsidP="004720BC">
            <w:pPr>
              <w:pStyle w:val="BodyText2"/>
              <w:spacing w:after="0" w:line="240" w:lineRule="auto"/>
              <w:jc w:val="center"/>
            </w:pPr>
            <w:r w:rsidRPr="006B785B">
              <w:t>4,3</w:t>
            </w:r>
          </w:p>
        </w:tc>
        <w:tc>
          <w:tcPr>
            <w:tcW w:w="955" w:type="dxa"/>
            <w:tcBorders>
              <w:right w:val="single" w:sz="18" w:space="0" w:color="auto"/>
            </w:tcBorders>
            <w:shd w:val="clear" w:color="auto" w:fill="auto"/>
            <w:vAlign w:val="center"/>
          </w:tcPr>
          <w:p w14:paraId="76EA6451" w14:textId="77777777" w:rsidR="00C74545" w:rsidRPr="006B785B" w:rsidRDefault="00C74545" w:rsidP="004720BC">
            <w:pPr>
              <w:pStyle w:val="BodyText2"/>
              <w:spacing w:after="0" w:line="240" w:lineRule="auto"/>
              <w:jc w:val="center"/>
            </w:pPr>
            <w:r w:rsidRPr="006B785B">
              <w:t>2,8</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19176A4B" w14:textId="77777777" w:rsidR="00C74545" w:rsidRPr="006B785B" w:rsidRDefault="00C74545" w:rsidP="004720BC">
            <w:pPr>
              <w:pStyle w:val="BodyText2"/>
              <w:spacing w:after="0" w:line="240" w:lineRule="auto"/>
              <w:jc w:val="center"/>
            </w:pPr>
            <w:r w:rsidRPr="006B785B">
              <w:t>0,8</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32558442" w14:textId="77777777" w:rsidR="00C74545" w:rsidRPr="006B785B" w:rsidRDefault="00C74545" w:rsidP="004720BC">
            <w:pPr>
              <w:pStyle w:val="BodyText2"/>
              <w:spacing w:after="0" w:line="240" w:lineRule="auto"/>
              <w:jc w:val="center"/>
            </w:pPr>
            <w:r w:rsidRPr="006B785B">
              <w:t>3,9</w:t>
            </w:r>
          </w:p>
        </w:tc>
        <w:tc>
          <w:tcPr>
            <w:tcW w:w="929" w:type="dxa"/>
            <w:tcBorders>
              <w:top w:val="single" w:sz="6" w:space="0" w:color="auto"/>
              <w:left w:val="single" w:sz="18" w:space="0" w:color="auto"/>
              <w:bottom w:val="single" w:sz="6" w:space="0" w:color="auto"/>
              <w:right w:val="single" w:sz="6" w:space="0" w:color="auto"/>
            </w:tcBorders>
            <w:vAlign w:val="center"/>
          </w:tcPr>
          <w:p w14:paraId="15BF969F" w14:textId="77777777" w:rsidR="00C74545" w:rsidRPr="006B785B" w:rsidRDefault="00C74545" w:rsidP="004720BC">
            <w:pPr>
              <w:pStyle w:val="BodyText2"/>
              <w:spacing w:after="0" w:line="240" w:lineRule="auto"/>
              <w:jc w:val="center"/>
            </w:pPr>
            <w:r w:rsidRPr="006B785B">
              <w:t>1,0</w:t>
            </w:r>
          </w:p>
        </w:tc>
        <w:tc>
          <w:tcPr>
            <w:tcW w:w="992" w:type="dxa"/>
            <w:tcBorders>
              <w:top w:val="single" w:sz="6" w:space="0" w:color="auto"/>
              <w:left w:val="single" w:sz="6" w:space="0" w:color="auto"/>
              <w:bottom w:val="single" w:sz="6" w:space="0" w:color="auto"/>
              <w:right w:val="single" w:sz="18" w:space="0" w:color="auto"/>
            </w:tcBorders>
            <w:vAlign w:val="center"/>
          </w:tcPr>
          <w:p w14:paraId="7201FF8A" w14:textId="77777777" w:rsidR="00C74545" w:rsidRPr="006B785B" w:rsidRDefault="00C74545" w:rsidP="004720BC">
            <w:pPr>
              <w:pStyle w:val="BodyText2"/>
              <w:spacing w:after="0" w:line="240" w:lineRule="auto"/>
              <w:jc w:val="center"/>
            </w:pPr>
            <w:r w:rsidRPr="006B785B">
              <w:t>2,5</w:t>
            </w:r>
          </w:p>
        </w:tc>
      </w:tr>
      <w:tr w:rsidR="00C74545" w:rsidRPr="00E022DA" w14:paraId="27BB2B38" w14:textId="77777777" w:rsidTr="004720BC">
        <w:tc>
          <w:tcPr>
            <w:tcW w:w="3261" w:type="dxa"/>
            <w:shd w:val="clear" w:color="auto" w:fill="auto"/>
          </w:tcPr>
          <w:p w14:paraId="33E4433B" w14:textId="77777777" w:rsidR="00C74545" w:rsidRPr="00E022DA" w:rsidRDefault="00C74545" w:rsidP="004720BC">
            <w:r w:rsidRPr="00E022DA">
              <w:t>IKP pieaugums (faktiskajās cenās, %)</w:t>
            </w:r>
          </w:p>
        </w:tc>
        <w:tc>
          <w:tcPr>
            <w:tcW w:w="1098" w:type="dxa"/>
            <w:shd w:val="clear" w:color="auto" w:fill="auto"/>
            <w:vAlign w:val="center"/>
          </w:tcPr>
          <w:p w14:paraId="56F3EE1F" w14:textId="77777777" w:rsidR="00C74545" w:rsidRPr="006B785B" w:rsidRDefault="00C74545" w:rsidP="004720BC">
            <w:pPr>
              <w:pStyle w:val="BodyText2"/>
              <w:spacing w:after="0" w:line="240" w:lineRule="auto"/>
              <w:jc w:val="center"/>
            </w:pPr>
            <w:r w:rsidRPr="006B785B">
              <w:t>11,1</w:t>
            </w:r>
          </w:p>
        </w:tc>
        <w:tc>
          <w:tcPr>
            <w:tcW w:w="955" w:type="dxa"/>
            <w:tcBorders>
              <w:right w:val="single" w:sz="18" w:space="0" w:color="auto"/>
            </w:tcBorders>
            <w:shd w:val="clear" w:color="auto" w:fill="auto"/>
            <w:vAlign w:val="center"/>
          </w:tcPr>
          <w:p w14:paraId="6703043C" w14:textId="77777777" w:rsidR="00C74545" w:rsidRPr="006B785B" w:rsidRDefault="00C74545" w:rsidP="004720BC">
            <w:pPr>
              <w:pStyle w:val="BodyText2"/>
              <w:spacing w:after="0" w:line="240" w:lineRule="auto"/>
              <w:jc w:val="center"/>
            </w:pPr>
            <w:r w:rsidRPr="006B785B">
              <w:t>16,2</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79C65DFD" w14:textId="77777777" w:rsidR="00C74545" w:rsidRPr="006B785B" w:rsidRDefault="00C74545" w:rsidP="004720BC">
            <w:pPr>
              <w:pStyle w:val="BodyText2"/>
              <w:spacing w:after="0" w:line="240" w:lineRule="auto"/>
              <w:jc w:val="center"/>
            </w:pPr>
            <w:r w:rsidRPr="006B785B">
              <w:t>9,6</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4A10BE34" w14:textId="77777777" w:rsidR="00C74545" w:rsidRPr="006B785B" w:rsidRDefault="00C74545" w:rsidP="004720BC">
            <w:pPr>
              <w:pStyle w:val="BodyText2"/>
              <w:spacing w:after="0" w:line="240" w:lineRule="auto"/>
              <w:jc w:val="center"/>
            </w:pPr>
            <w:r w:rsidRPr="006B785B">
              <w:t>6,6</w:t>
            </w:r>
          </w:p>
        </w:tc>
        <w:tc>
          <w:tcPr>
            <w:tcW w:w="929" w:type="dxa"/>
            <w:tcBorders>
              <w:top w:val="single" w:sz="6" w:space="0" w:color="auto"/>
              <w:left w:val="single" w:sz="18" w:space="0" w:color="auto"/>
              <w:bottom w:val="single" w:sz="6" w:space="0" w:color="auto"/>
              <w:right w:val="single" w:sz="6" w:space="0" w:color="auto"/>
            </w:tcBorders>
            <w:vAlign w:val="center"/>
          </w:tcPr>
          <w:p w14:paraId="7F5D9E23" w14:textId="77777777" w:rsidR="00C74545" w:rsidRPr="006B785B" w:rsidRDefault="00C74545" w:rsidP="004720BC">
            <w:pPr>
              <w:pStyle w:val="BodyText2"/>
              <w:spacing w:after="0" w:line="240" w:lineRule="auto"/>
              <w:jc w:val="center"/>
            </w:pPr>
            <w:r w:rsidRPr="006B785B">
              <w:t>11,0</w:t>
            </w:r>
          </w:p>
        </w:tc>
        <w:tc>
          <w:tcPr>
            <w:tcW w:w="992" w:type="dxa"/>
            <w:tcBorders>
              <w:top w:val="single" w:sz="6" w:space="0" w:color="auto"/>
              <w:left w:val="single" w:sz="6" w:space="0" w:color="auto"/>
              <w:bottom w:val="single" w:sz="6" w:space="0" w:color="auto"/>
              <w:right w:val="single" w:sz="18" w:space="0" w:color="auto"/>
            </w:tcBorders>
            <w:vAlign w:val="center"/>
          </w:tcPr>
          <w:p w14:paraId="4588AF55" w14:textId="77777777" w:rsidR="00C74545" w:rsidRPr="006B785B" w:rsidRDefault="00C74545" w:rsidP="004720BC">
            <w:pPr>
              <w:pStyle w:val="BodyText2"/>
              <w:spacing w:after="0" w:line="240" w:lineRule="auto"/>
              <w:jc w:val="center"/>
            </w:pPr>
            <w:r w:rsidRPr="006B785B">
              <w:t>5,5</w:t>
            </w:r>
          </w:p>
        </w:tc>
      </w:tr>
      <w:tr w:rsidR="00C74545" w:rsidRPr="00E022DA" w14:paraId="062D351A" w14:textId="77777777" w:rsidTr="004720BC">
        <w:tc>
          <w:tcPr>
            <w:tcW w:w="3261" w:type="dxa"/>
            <w:shd w:val="clear" w:color="auto" w:fill="auto"/>
          </w:tcPr>
          <w:p w14:paraId="5275C6EE" w14:textId="77777777" w:rsidR="00C74545" w:rsidRPr="00E022DA" w:rsidRDefault="00C74545" w:rsidP="004720BC">
            <w:r w:rsidRPr="00E022DA">
              <w:t xml:space="preserve">Nodarbināto iedzīvotāju vidējais skaits (tūkst.) </w:t>
            </w:r>
          </w:p>
        </w:tc>
        <w:tc>
          <w:tcPr>
            <w:tcW w:w="1098" w:type="dxa"/>
            <w:shd w:val="clear" w:color="auto" w:fill="auto"/>
            <w:vAlign w:val="center"/>
          </w:tcPr>
          <w:p w14:paraId="0B5D6C29" w14:textId="77777777" w:rsidR="00C74545" w:rsidRPr="006B785B" w:rsidRDefault="00C74545" w:rsidP="004720BC">
            <w:pPr>
              <w:pStyle w:val="BodyText2"/>
              <w:spacing w:after="0" w:line="240" w:lineRule="auto"/>
              <w:jc w:val="center"/>
            </w:pPr>
            <w:r w:rsidRPr="006B785B">
              <w:t>864,0</w:t>
            </w:r>
          </w:p>
        </w:tc>
        <w:tc>
          <w:tcPr>
            <w:tcW w:w="955" w:type="dxa"/>
            <w:tcBorders>
              <w:right w:val="single" w:sz="18" w:space="0" w:color="auto"/>
            </w:tcBorders>
            <w:shd w:val="clear" w:color="auto" w:fill="auto"/>
            <w:vAlign w:val="center"/>
          </w:tcPr>
          <w:p w14:paraId="1A0B1040" w14:textId="77777777" w:rsidR="00C74545" w:rsidRPr="006B785B" w:rsidRDefault="00C74545" w:rsidP="004720BC">
            <w:pPr>
              <w:pStyle w:val="BodyText2"/>
              <w:spacing w:after="0" w:line="240" w:lineRule="auto"/>
              <w:jc w:val="center"/>
            </w:pPr>
            <w:r w:rsidRPr="006B785B">
              <w:t>886,2</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357B394C" w14:textId="77777777" w:rsidR="00C74545" w:rsidRPr="006B785B" w:rsidRDefault="00C74545" w:rsidP="004720BC">
            <w:pPr>
              <w:pStyle w:val="BodyText2"/>
              <w:spacing w:after="0" w:line="240" w:lineRule="auto"/>
              <w:jc w:val="center"/>
            </w:pPr>
            <w:r w:rsidRPr="006B785B">
              <w:t>888,9</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5351EE7A" w14:textId="77777777" w:rsidR="00C74545" w:rsidRPr="006B785B" w:rsidRDefault="00C74545" w:rsidP="004720BC">
            <w:pPr>
              <w:pStyle w:val="BodyText2"/>
              <w:spacing w:after="0" w:line="240" w:lineRule="auto"/>
              <w:jc w:val="center"/>
            </w:pPr>
            <w:r w:rsidRPr="006B785B">
              <w:t>891,6</w:t>
            </w:r>
          </w:p>
        </w:tc>
        <w:tc>
          <w:tcPr>
            <w:tcW w:w="929" w:type="dxa"/>
            <w:tcBorders>
              <w:top w:val="single" w:sz="6" w:space="0" w:color="auto"/>
              <w:left w:val="single" w:sz="18" w:space="0" w:color="auto"/>
              <w:bottom w:val="single" w:sz="6" w:space="0" w:color="auto"/>
              <w:right w:val="single" w:sz="6" w:space="0" w:color="auto"/>
            </w:tcBorders>
            <w:vAlign w:val="center"/>
          </w:tcPr>
          <w:p w14:paraId="09369E4F" w14:textId="77777777" w:rsidR="00C74545" w:rsidRPr="006B785B" w:rsidRDefault="00C74545" w:rsidP="004720BC">
            <w:pPr>
              <w:pStyle w:val="BodyText2"/>
              <w:spacing w:after="0" w:line="240" w:lineRule="auto"/>
              <w:jc w:val="center"/>
            </w:pPr>
            <w:r w:rsidRPr="006B785B">
              <w:t>887</w:t>
            </w:r>
          </w:p>
        </w:tc>
        <w:tc>
          <w:tcPr>
            <w:tcW w:w="992" w:type="dxa"/>
            <w:tcBorders>
              <w:top w:val="single" w:sz="6" w:space="0" w:color="auto"/>
              <w:left w:val="single" w:sz="6" w:space="0" w:color="auto"/>
              <w:bottom w:val="single" w:sz="6" w:space="0" w:color="auto"/>
              <w:right w:val="single" w:sz="18" w:space="0" w:color="auto"/>
            </w:tcBorders>
            <w:vAlign w:val="center"/>
          </w:tcPr>
          <w:p w14:paraId="0F63E3F7" w14:textId="77777777" w:rsidR="00C74545" w:rsidRPr="006B785B" w:rsidRDefault="00C74545" w:rsidP="004720BC">
            <w:pPr>
              <w:pStyle w:val="BodyText2"/>
              <w:spacing w:after="0" w:line="240" w:lineRule="auto"/>
              <w:jc w:val="center"/>
            </w:pPr>
            <w:r w:rsidRPr="006B785B">
              <w:t>887</w:t>
            </w:r>
          </w:p>
        </w:tc>
      </w:tr>
      <w:tr w:rsidR="00C74545" w:rsidRPr="00E022DA" w14:paraId="6AB21DAA" w14:textId="77777777" w:rsidTr="004720BC">
        <w:tc>
          <w:tcPr>
            <w:tcW w:w="3261" w:type="dxa"/>
            <w:shd w:val="clear" w:color="auto" w:fill="auto"/>
          </w:tcPr>
          <w:p w14:paraId="0F5AED08" w14:textId="77777777" w:rsidR="00C74545" w:rsidRPr="00E022DA" w:rsidRDefault="00C74545" w:rsidP="004720BC">
            <w:r w:rsidRPr="00E022DA">
              <w:t>Bezdarba līmenis, %</w:t>
            </w:r>
          </w:p>
        </w:tc>
        <w:tc>
          <w:tcPr>
            <w:tcW w:w="1098" w:type="dxa"/>
            <w:shd w:val="clear" w:color="auto" w:fill="auto"/>
            <w:vAlign w:val="center"/>
          </w:tcPr>
          <w:p w14:paraId="2E44036E" w14:textId="77777777" w:rsidR="00C74545" w:rsidRPr="006B785B" w:rsidRDefault="00C74545" w:rsidP="004720BC">
            <w:pPr>
              <w:pStyle w:val="BodyText2"/>
              <w:spacing w:after="0" w:line="240" w:lineRule="auto"/>
              <w:jc w:val="center"/>
            </w:pPr>
            <w:r w:rsidRPr="006B785B">
              <w:t>7,6</w:t>
            </w:r>
          </w:p>
        </w:tc>
        <w:tc>
          <w:tcPr>
            <w:tcW w:w="955" w:type="dxa"/>
            <w:tcBorders>
              <w:right w:val="single" w:sz="18" w:space="0" w:color="auto"/>
            </w:tcBorders>
            <w:shd w:val="clear" w:color="auto" w:fill="auto"/>
            <w:vAlign w:val="center"/>
          </w:tcPr>
          <w:p w14:paraId="02445D4B" w14:textId="77777777" w:rsidR="00C74545" w:rsidRPr="006B785B" w:rsidRDefault="00C74545" w:rsidP="004720BC">
            <w:pPr>
              <w:pStyle w:val="BodyText2"/>
              <w:spacing w:after="0" w:line="240" w:lineRule="auto"/>
              <w:jc w:val="center"/>
            </w:pPr>
            <w:r w:rsidRPr="006B785B">
              <w:t>6,9</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13BBC0EB" w14:textId="77777777" w:rsidR="00C74545" w:rsidRPr="006B785B" w:rsidRDefault="00C74545" w:rsidP="004720BC">
            <w:pPr>
              <w:pStyle w:val="BodyText2"/>
              <w:spacing w:after="0" w:line="240" w:lineRule="auto"/>
              <w:jc w:val="center"/>
            </w:pPr>
            <w:r w:rsidRPr="006B785B">
              <w:t>6,1</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24E4B378" w14:textId="77777777" w:rsidR="00C74545" w:rsidRPr="006B785B" w:rsidRDefault="00C74545" w:rsidP="004720BC">
            <w:pPr>
              <w:pStyle w:val="BodyText2"/>
              <w:spacing w:after="0" w:line="240" w:lineRule="auto"/>
              <w:jc w:val="center"/>
            </w:pPr>
            <w:r w:rsidRPr="006B785B">
              <w:t>6,0</w:t>
            </w:r>
          </w:p>
        </w:tc>
        <w:tc>
          <w:tcPr>
            <w:tcW w:w="929" w:type="dxa"/>
            <w:tcBorders>
              <w:top w:val="single" w:sz="6" w:space="0" w:color="auto"/>
              <w:left w:val="single" w:sz="18" w:space="0" w:color="auto"/>
              <w:bottom w:val="single" w:sz="6" w:space="0" w:color="auto"/>
              <w:right w:val="single" w:sz="6" w:space="0" w:color="auto"/>
            </w:tcBorders>
            <w:vAlign w:val="center"/>
          </w:tcPr>
          <w:p w14:paraId="74C5C0A2" w14:textId="77777777" w:rsidR="00C74545" w:rsidRPr="006B785B" w:rsidRDefault="00C74545" w:rsidP="004720BC">
            <w:pPr>
              <w:pStyle w:val="BodyText2"/>
              <w:spacing w:after="0" w:line="240" w:lineRule="auto"/>
              <w:jc w:val="center"/>
            </w:pPr>
            <w:r w:rsidRPr="006B785B">
              <w:t>6,5</w:t>
            </w:r>
          </w:p>
        </w:tc>
        <w:tc>
          <w:tcPr>
            <w:tcW w:w="992" w:type="dxa"/>
            <w:tcBorders>
              <w:top w:val="single" w:sz="6" w:space="0" w:color="auto"/>
              <w:left w:val="single" w:sz="6" w:space="0" w:color="auto"/>
              <w:bottom w:val="single" w:sz="6" w:space="0" w:color="auto"/>
              <w:right w:val="single" w:sz="18" w:space="0" w:color="auto"/>
            </w:tcBorders>
            <w:vAlign w:val="center"/>
          </w:tcPr>
          <w:p w14:paraId="617BEFF9" w14:textId="77777777" w:rsidR="00C74545" w:rsidRPr="006B785B" w:rsidRDefault="00C74545" w:rsidP="004720BC">
            <w:pPr>
              <w:pStyle w:val="BodyText2"/>
              <w:spacing w:after="0" w:line="240" w:lineRule="auto"/>
              <w:jc w:val="center"/>
            </w:pPr>
            <w:r w:rsidRPr="006B785B">
              <w:t>6,6</w:t>
            </w:r>
          </w:p>
        </w:tc>
      </w:tr>
      <w:tr w:rsidR="00C74545" w:rsidRPr="00E022DA" w14:paraId="7272AD88" w14:textId="77777777" w:rsidTr="004720BC">
        <w:tc>
          <w:tcPr>
            <w:tcW w:w="3261" w:type="dxa"/>
            <w:shd w:val="clear" w:color="auto" w:fill="auto"/>
          </w:tcPr>
          <w:p w14:paraId="4E28E669" w14:textId="77777777" w:rsidR="00C74545" w:rsidRPr="00E022DA" w:rsidRDefault="00C74545" w:rsidP="004720BC">
            <w:r w:rsidRPr="00E022DA">
              <w:t>Produktivitāte (salīdzināmās cenās)</w:t>
            </w:r>
          </w:p>
        </w:tc>
        <w:tc>
          <w:tcPr>
            <w:tcW w:w="1098" w:type="dxa"/>
            <w:shd w:val="clear" w:color="auto" w:fill="auto"/>
            <w:vAlign w:val="center"/>
          </w:tcPr>
          <w:p w14:paraId="121C3A51" w14:textId="77777777" w:rsidR="00C74545" w:rsidRPr="006B785B" w:rsidRDefault="00C74545" w:rsidP="004720BC">
            <w:pPr>
              <w:pStyle w:val="BodyText2"/>
              <w:spacing w:after="0" w:line="240" w:lineRule="auto"/>
              <w:jc w:val="center"/>
            </w:pPr>
            <w:r w:rsidRPr="006B785B">
              <w:t>32685</w:t>
            </w:r>
          </w:p>
        </w:tc>
        <w:tc>
          <w:tcPr>
            <w:tcW w:w="955" w:type="dxa"/>
            <w:tcBorders>
              <w:right w:val="single" w:sz="18" w:space="0" w:color="auto"/>
            </w:tcBorders>
            <w:shd w:val="clear" w:color="auto" w:fill="auto"/>
            <w:vAlign w:val="center"/>
          </w:tcPr>
          <w:p w14:paraId="5FF5E5AE" w14:textId="77777777" w:rsidR="00C74545" w:rsidRPr="006B785B" w:rsidRDefault="00C74545" w:rsidP="004720BC">
            <w:pPr>
              <w:pStyle w:val="BodyText2"/>
              <w:spacing w:after="0" w:line="240" w:lineRule="auto"/>
              <w:jc w:val="center"/>
            </w:pPr>
            <w:r w:rsidRPr="006B785B">
              <w:t>32747</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77791D26" w14:textId="77777777" w:rsidR="00C74545" w:rsidRPr="006B785B" w:rsidRDefault="00C74545" w:rsidP="004720BC">
            <w:pPr>
              <w:pStyle w:val="BodyText2"/>
              <w:spacing w:after="0" w:line="240" w:lineRule="auto"/>
              <w:jc w:val="center"/>
            </w:pPr>
            <w:r w:rsidRPr="006B785B">
              <w:t>32896</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7C602BF1" w14:textId="77777777" w:rsidR="00C74545" w:rsidRPr="006B785B" w:rsidRDefault="00C74545" w:rsidP="004720BC">
            <w:pPr>
              <w:pStyle w:val="BodyText2"/>
              <w:spacing w:after="0" w:line="240" w:lineRule="auto"/>
              <w:jc w:val="center"/>
            </w:pPr>
            <w:r w:rsidRPr="006B785B">
              <w:t>34068</w:t>
            </w:r>
          </w:p>
        </w:tc>
        <w:tc>
          <w:tcPr>
            <w:tcW w:w="929" w:type="dxa"/>
            <w:tcBorders>
              <w:top w:val="single" w:sz="6" w:space="0" w:color="auto"/>
              <w:left w:val="single" w:sz="18" w:space="0" w:color="auto"/>
              <w:bottom w:val="single" w:sz="6" w:space="0" w:color="auto"/>
              <w:right w:val="single" w:sz="6" w:space="0" w:color="auto"/>
            </w:tcBorders>
            <w:vAlign w:val="center"/>
          </w:tcPr>
          <w:p w14:paraId="1082C78C" w14:textId="77777777" w:rsidR="00C74545" w:rsidRPr="006B785B" w:rsidRDefault="00C74545" w:rsidP="004720BC">
            <w:pPr>
              <w:pStyle w:val="BodyText2"/>
              <w:spacing w:after="0" w:line="240" w:lineRule="auto"/>
              <w:jc w:val="center"/>
            </w:pPr>
            <w:r w:rsidRPr="006B785B">
              <w:t>33,0</w:t>
            </w:r>
          </w:p>
        </w:tc>
        <w:tc>
          <w:tcPr>
            <w:tcW w:w="992" w:type="dxa"/>
            <w:tcBorders>
              <w:top w:val="single" w:sz="6" w:space="0" w:color="auto"/>
              <w:left w:val="single" w:sz="6" w:space="0" w:color="auto"/>
              <w:bottom w:val="single" w:sz="6" w:space="0" w:color="auto"/>
              <w:right w:val="single" w:sz="18" w:space="0" w:color="auto"/>
            </w:tcBorders>
            <w:vAlign w:val="center"/>
          </w:tcPr>
          <w:p w14:paraId="042DF73E" w14:textId="77777777" w:rsidR="00C74545" w:rsidRPr="006B785B" w:rsidRDefault="00C74545" w:rsidP="004720BC">
            <w:pPr>
              <w:pStyle w:val="BodyText2"/>
              <w:spacing w:after="0" w:line="240" w:lineRule="auto"/>
              <w:jc w:val="center"/>
            </w:pPr>
            <w:r w:rsidRPr="006B785B">
              <w:t>33,9</w:t>
            </w:r>
          </w:p>
        </w:tc>
      </w:tr>
      <w:tr w:rsidR="00C74545" w:rsidRPr="00E022DA" w14:paraId="70D88682" w14:textId="77777777" w:rsidTr="004720BC">
        <w:tc>
          <w:tcPr>
            <w:tcW w:w="3261" w:type="dxa"/>
            <w:shd w:val="clear" w:color="auto" w:fill="auto"/>
          </w:tcPr>
          <w:p w14:paraId="34783A76" w14:textId="77777777" w:rsidR="00C74545" w:rsidRPr="00E022DA" w:rsidRDefault="00C74545" w:rsidP="004720BC">
            <w:r w:rsidRPr="00E022DA">
              <w:t>Produktivitātes pieaugums (salīdzināmās cenās, %)</w:t>
            </w:r>
          </w:p>
        </w:tc>
        <w:tc>
          <w:tcPr>
            <w:tcW w:w="1098" w:type="dxa"/>
            <w:shd w:val="clear" w:color="auto" w:fill="auto"/>
            <w:vAlign w:val="center"/>
          </w:tcPr>
          <w:p w14:paraId="036784AE" w14:textId="77777777" w:rsidR="00C74545" w:rsidRPr="006B785B" w:rsidRDefault="00C74545" w:rsidP="004720BC">
            <w:pPr>
              <w:pStyle w:val="BodyText2"/>
              <w:spacing w:after="0" w:line="240" w:lineRule="auto"/>
              <w:jc w:val="center"/>
            </w:pPr>
            <w:r w:rsidRPr="006B785B">
              <w:t>7,8</w:t>
            </w:r>
          </w:p>
        </w:tc>
        <w:tc>
          <w:tcPr>
            <w:tcW w:w="955" w:type="dxa"/>
            <w:tcBorders>
              <w:right w:val="single" w:sz="18" w:space="0" w:color="auto"/>
            </w:tcBorders>
            <w:shd w:val="clear" w:color="auto" w:fill="auto"/>
            <w:vAlign w:val="center"/>
          </w:tcPr>
          <w:p w14:paraId="3559C973" w14:textId="77777777" w:rsidR="00C74545" w:rsidRPr="006B785B" w:rsidRDefault="00C74545" w:rsidP="004720BC">
            <w:pPr>
              <w:pStyle w:val="BodyText2"/>
              <w:spacing w:after="0" w:line="240" w:lineRule="auto"/>
              <w:jc w:val="center"/>
            </w:pPr>
            <w:r w:rsidRPr="006B785B">
              <w:t>0,2</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50920A22" w14:textId="77777777" w:rsidR="00C74545" w:rsidRPr="006B785B" w:rsidRDefault="00C74545" w:rsidP="004720BC">
            <w:pPr>
              <w:pStyle w:val="BodyText2"/>
              <w:spacing w:after="0" w:line="240" w:lineRule="auto"/>
              <w:jc w:val="center"/>
            </w:pPr>
            <w:r w:rsidRPr="006B785B">
              <w:t>0,5</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0D9B8D86" w14:textId="77777777" w:rsidR="00C74545" w:rsidRPr="006B785B" w:rsidRDefault="00C74545" w:rsidP="004720BC">
            <w:pPr>
              <w:pStyle w:val="BodyText2"/>
              <w:spacing w:after="0" w:line="240" w:lineRule="auto"/>
              <w:jc w:val="center"/>
            </w:pPr>
            <w:r w:rsidRPr="006B785B">
              <w:t>3,6</w:t>
            </w:r>
          </w:p>
        </w:tc>
        <w:tc>
          <w:tcPr>
            <w:tcW w:w="929" w:type="dxa"/>
            <w:tcBorders>
              <w:top w:val="single" w:sz="6" w:space="0" w:color="auto"/>
              <w:left w:val="single" w:sz="18" w:space="0" w:color="auto"/>
              <w:bottom w:val="single" w:sz="6" w:space="0" w:color="auto"/>
              <w:right w:val="single" w:sz="6" w:space="0" w:color="auto"/>
            </w:tcBorders>
            <w:vAlign w:val="center"/>
          </w:tcPr>
          <w:p w14:paraId="239118FC" w14:textId="77777777" w:rsidR="00C74545" w:rsidRPr="006B785B" w:rsidRDefault="00C74545" w:rsidP="004720BC">
            <w:pPr>
              <w:pStyle w:val="BodyText2"/>
              <w:spacing w:after="0" w:line="240" w:lineRule="auto"/>
              <w:jc w:val="center"/>
            </w:pPr>
            <w:r w:rsidRPr="006B785B">
              <w:t>0,9</w:t>
            </w:r>
          </w:p>
        </w:tc>
        <w:tc>
          <w:tcPr>
            <w:tcW w:w="992" w:type="dxa"/>
            <w:tcBorders>
              <w:top w:val="single" w:sz="6" w:space="0" w:color="auto"/>
              <w:left w:val="single" w:sz="6" w:space="0" w:color="auto"/>
              <w:bottom w:val="single" w:sz="6" w:space="0" w:color="auto"/>
              <w:right w:val="single" w:sz="18" w:space="0" w:color="auto"/>
            </w:tcBorders>
            <w:vAlign w:val="center"/>
          </w:tcPr>
          <w:p w14:paraId="10784415" w14:textId="77777777" w:rsidR="00C74545" w:rsidRPr="006B785B" w:rsidRDefault="00C74545" w:rsidP="004720BC">
            <w:pPr>
              <w:pStyle w:val="BodyText2"/>
              <w:spacing w:after="0" w:line="240" w:lineRule="auto"/>
              <w:jc w:val="center"/>
            </w:pPr>
            <w:r w:rsidRPr="006B785B">
              <w:t>2,5</w:t>
            </w:r>
          </w:p>
        </w:tc>
      </w:tr>
      <w:tr w:rsidR="00C74545" w:rsidRPr="00E022DA" w14:paraId="06E7CC82" w14:textId="77777777" w:rsidTr="004720BC">
        <w:tc>
          <w:tcPr>
            <w:tcW w:w="3261" w:type="dxa"/>
            <w:shd w:val="clear" w:color="auto" w:fill="auto"/>
          </w:tcPr>
          <w:p w14:paraId="3DAD21DD" w14:textId="77777777" w:rsidR="00C74545" w:rsidRPr="00E022DA" w:rsidRDefault="00C74545" w:rsidP="004720BC">
            <w:r w:rsidRPr="00E022DA">
              <w:t>Vidējā bruto alga (mēnesī, Eiro)</w:t>
            </w:r>
          </w:p>
        </w:tc>
        <w:tc>
          <w:tcPr>
            <w:tcW w:w="1098" w:type="dxa"/>
            <w:shd w:val="clear" w:color="auto" w:fill="auto"/>
            <w:vAlign w:val="center"/>
          </w:tcPr>
          <w:p w14:paraId="35F8DFD8" w14:textId="77777777" w:rsidR="00C74545" w:rsidRPr="006B785B" w:rsidRDefault="00C74545" w:rsidP="004720BC">
            <w:pPr>
              <w:pStyle w:val="BodyText2"/>
              <w:spacing w:after="0" w:line="240" w:lineRule="auto"/>
              <w:jc w:val="center"/>
            </w:pPr>
            <w:r w:rsidRPr="006B785B">
              <w:t>1 277</w:t>
            </w:r>
          </w:p>
        </w:tc>
        <w:tc>
          <w:tcPr>
            <w:tcW w:w="955" w:type="dxa"/>
            <w:tcBorders>
              <w:right w:val="single" w:sz="18" w:space="0" w:color="auto"/>
            </w:tcBorders>
            <w:shd w:val="clear" w:color="auto" w:fill="auto"/>
            <w:vAlign w:val="center"/>
          </w:tcPr>
          <w:p w14:paraId="27B04307" w14:textId="77777777" w:rsidR="00C74545" w:rsidRPr="006B785B" w:rsidRDefault="00C74545" w:rsidP="004720BC">
            <w:pPr>
              <w:pStyle w:val="BodyText2"/>
              <w:spacing w:after="0" w:line="240" w:lineRule="auto"/>
              <w:jc w:val="center"/>
            </w:pPr>
            <w:r w:rsidRPr="006B785B">
              <w:t>1 373</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30082A0D" w14:textId="77777777" w:rsidR="00C74545" w:rsidRPr="006B785B" w:rsidRDefault="00C74545" w:rsidP="004720BC">
            <w:pPr>
              <w:pStyle w:val="BodyText2"/>
              <w:spacing w:after="0" w:line="240" w:lineRule="auto"/>
              <w:jc w:val="center"/>
            </w:pPr>
            <w:r w:rsidRPr="006B785B">
              <w:t>1 531</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44420BA4" w14:textId="77777777" w:rsidR="00C74545" w:rsidRPr="006B785B" w:rsidRDefault="00C74545" w:rsidP="004720BC">
            <w:pPr>
              <w:pStyle w:val="BodyText2"/>
              <w:spacing w:after="0" w:line="240" w:lineRule="auto"/>
              <w:jc w:val="center"/>
            </w:pPr>
            <w:r w:rsidRPr="006B785B">
              <w:t>1 647</w:t>
            </w:r>
          </w:p>
        </w:tc>
        <w:tc>
          <w:tcPr>
            <w:tcW w:w="929" w:type="dxa"/>
            <w:tcBorders>
              <w:top w:val="single" w:sz="6" w:space="0" w:color="auto"/>
              <w:left w:val="single" w:sz="18" w:space="0" w:color="auto"/>
              <w:bottom w:val="single" w:sz="6" w:space="0" w:color="auto"/>
              <w:right w:val="single" w:sz="6" w:space="0" w:color="auto"/>
            </w:tcBorders>
            <w:vAlign w:val="center"/>
          </w:tcPr>
          <w:p w14:paraId="34C56107" w14:textId="77777777" w:rsidR="00C74545" w:rsidRPr="006B785B" w:rsidRDefault="00C74545" w:rsidP="004720BC">
            <w:pPr>
              <w:pStyle w:val="BodyText2"/>
              <w:spacing w:after="0" w:line="240" w:lineRule="auto"/>
              <w:jc w:val="center"/>
            </w:pPr>
            <w:r w:rsidRPr="006B785B">
              <w:t>1 524</w:t>
            </w:r>
          </w:p>
        </w:tc>
        <w:tc>
          <w:tcPr>
            <w:tcW w:w="992" w:type="dxa"/>
            <w:tcBorders>
              <w:top w:val="single" w:sz="6" w:space="0" w:color="auto"/>
              <w:left w:val="single" w:sz="6" w:space="0" w:color="auto"/>
              <w:bottom w:val="single" w:sz="6" w:space="0" w:color="auto"/>
              <w:right w:val="single" w:sz="18" w:space="0" w:color="auto"/>
            </w:tcBorders>
            <w:vAlign w:val="center"/>
          </w:tcPr>
          <w:p w14:paraId="13282A34" w14:textId="77777777" w:rsidR="00C74545" w:rsidRPr="006B785B" w:rsidRDefault="00C74545" w:rsidP="004720BC">
            <w:pPr>
              <w:pStyle w:val="BodyText2"/>
              <w:spacing w:after="0" w:line="240" w:lineRule="auto"/>
              <w:jc w:val="center"/>
            </w:pPr>
            <w:r w:rsidRPr="006B785B">
              <w:t>1 638</w:t>
            </w:r>
          </w:p>
        </w:tc>
      </w:tr>
      <w:tr w:rsidR="00C74545" w:rsidRPr="00E022DA" w14:paraId="0AD32988" w14:textId="77777777" w:rsidTr="004720BC">
        <w:tc>
          <w:tcPr>
            <w:tcW w:w="3261" w:type="dxa"/>
            <w:shd w:val="clear" w:color="auto" w:fill="auto"/>
          </w:tcPr>
          <w:p w14:paraId="059D52E0" w14:textId="77777777" w:rsidR="00C74545" w:rsidRPr="00E022DA" w:rsidRDefault="00C74545" w:rsidP="004720BC">
            <w:r w:rsidRPr="00E022DA">
              <w:t>Vidējās bruto algas pieaugums, %</w:t>
            </w:r>
          </w:p>
        </w:tc>
        <w:tc>
          <w:tcPr>
            <w:tcW w:w="1098" w:type="dxa"/>
            <w:shd w:val="clear" w:color="auto" w:fill="auto"/>
            <w:vAlign w:val="center"/>
          </w:tcPr>
          <w:p w14:paraId="7F80FEF6" w14:textId="77777777" w:rsidR="00C74545" w:rsidRPr="006B785B" w:rsidRDefault="00C74545" w:rsidP="004720BC">
            <w:pPr>
              <w:pStyle w:val="BodyText2"/>
              <w:spacing w:after="0" w:line="240" w:lineRule="auto"/>
              <w:jc w:val="center"/>
            </w:pPr>
            <w:r w:rsidRPr="006B785B">
              <w:t>11,8</w:t>
            </w:r>
          </w:p>
        </w:tc>
        <w:tc>
          <w:tcPr>
            <w:tcW w:w="955" w:type="dxa"/>
            <w:tcBorders>
              <w:right w:val="single" w:sz="18" w:space="0" w:color="auto"/>
            </w:tcBorders>
            <w:shd w:val="clear" w:color="auto" w:fill="auto"/>
            <w:vAlign w:val="center"/>
          </w:tcPr>
          <w:p w14:paraId="12C22E4A" w14:textId="77777777" w:rsidR="00C74545" w:rsidRPr="006B785B" w:rsidRDefault="00C74545" w:rsidP="004720BC">
            <w:pPr>
              <w:pStyle w:val="BodyText2"/>
              <w:spacing w:after="0" w:line="240" w:lineRule="auto"/>
              <w:jc w:val="center"/>
            </w:pPr>
            <w:r w:rsidRPr="006B785B">
              <w:t>7,5</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3E76775E" w14:textId="77777777" w:rsidR="00C74545" w:rsidRPr="006B785B" w:rsidRDefault="00C74545" w:rsidP="004720BC">
            <w:pPr>
              <w:pStyle w:val="BodyText2"/>
              <w:spacing w:after="0" w:line="240" w:lineRule="auto"/>
              <w:jc w:val="center"/>
            </w:pPr>
            <w:r w:rsidRPr="006B785B">
              <w:t>11,5</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61CE2A9C" w14:textId="77777777" w:rsidR="00C74545" w:rsidRPr="006B785B" w:rsidRDefault="00C74545" w:rsidP="004720BC">
            <w:pPr>
              <w:pStyle w:val="BodyText2"/>
              <w:spacing w:after="0" w:line="240" w:lineRule="auto"/>
              <w:jc w:val="center"/>
            </w:pPr>
            <w:r w:rsidRPr="006B785B">
              <w:t>7,6</w:t>
            </w:r>
          </w:p>
        </w:tc>
        <w:tc>
          <w:tcPr>
            <w:tcW w:w="929" w:type="dxa"/>
            <w:tcBorders>
              <w:top w:val="single" w:sz="6" w:space="0" w:color="auto"/>
              <w:left w:val="single" w:sz="18" w:space="0" w:color="auto"/>
              <w:bottom w:val="single" w:sz="6" w:space="0" w:color="auto"/>
              <w:right w:val="single" w:sz="6" w:space="0" w:color="auto"/>
            </w:tcBorders>
            <w:vAlign w:val="center"/>
          </w:tcPr>
          <w:p w14:paraId="3D459E3B" w14:textId="77777777" w:rsidR="00C74545" w:rsidRPr="006B785B" w:rsidRDefault="00C74545" w:rsidP="004720BC">
            <w:pPr>
              <w:pStyle w:val="BodyText2"/>
              <w:spacing w:after="0" w:line="240" w:lineRule="auto"/>
              <w:jc w:val="center"/>
            </w:pPr>
            <w:r w:rsidRPr="006B785B">
              <w:t>11,0</w:t>
            </w:r>
          </w:p>
        </w:tc>
        <w:tc>
          <w:tcPr>
            <w:tcW w:w="992" w:type="dxa"/>
            <w:tcBorders>
              <w:top w:val="single" w:sz="6" w:space="0" w:color="auto"/>
              <w:left w:val="single" w:sz="6" w:space="0" w:color="auto"/>
              <w:bottom w:val="single" w:sz="6" w:space="0" w:color="auto"/>
              <w:right w:val="single" w:sz="18" w:space="0" w:color="auto"/>
            </w:tcBorders>
            <w:vAlign w:val="center"/>
          </w:tcPr>
          <w:p w14:paraId="32D40511" w14:textId="77777777" w:rsidR="00C74545" w:rsidRPr="006B785B" w:rsidRDefault="00C74545" w:rsidP="004720BC">
            <w:pPr>
              <w:pStyle w:val="BodyText2"/>
              <w:spacing w:after="0" w:line="240" w:lineRule="auto"/>
              <w:jc w:val="center"/>
            </w:pPr>
            <w:r w:rsidRPr="006B785B">
              <w:t>7,5</w:t>
            </w:r>
          </w:p>
        </w:tc>
      </w:tr>
      <w:tr w:rsidR="00C74545" w:rsidRPr="00E022DA" w14:paraId="6E5E38B2" w14:textId="77777777" w:rsidTr="004720BC">
        <w:tc>
          <w:tcPr>
            <w:tcW w:w="3261" w:type="dxa"/>
            <w:shd w:val="clear" w:color="auto" w:fill="auto"/>
          </w:tcPr>
          <w:p w14:paraId="61ECFD67" w14:textId="77777777" w:rsidR="00C74545" w:rsidRPr="00E022DA" w:rsidRDefault="00C74545" w:rsidP="004720BC">
            <w:r w:rsidRPr="00E022DA">
              <w:t>Patēriņa cenu indekss (gada vidējais, %)</w:t>
            </w:r>
          </w:p>
        </w:tc>
        <w:tc>
          <w:tcPr>
            <w:tcW w:w="1098" w:type="dxa"/>
            <w:shd w:val="clear" w:color="auto" w:fill="auto"/>
            <w:vAlign w:val="center"/>
          </w:tcPr>
          <w:p w14:paraId="5BC23EB2" w14:textId="77777777" w:rsidR="00C74545" w:rsidRPr="006B785B" w:rsidRDefault="00C74545" w:rsidP="004720BC">
            <w:pPr>
              <w:pStyle w:val="BodyText2"/>
              <w:spacing w:after="0" w:line="240" w:lineRule="auto"/>
              <w:jc w:val="center"/>
            </w:pPr>
            <w:r w:rsidRPr="006B785B">
              <w:t>3.3</w:t>
            </w:r>
          </w:p>
        </w:tc>
        <w:tc>
          <w:tcPr>
            <w:tcW w:w="955" w:type="dxa"/>
            <w:tcBorders>
              <w:right w:val="single" w:sz="18" w:space="0" w:color="auto"/>
            </w:tcBorders>
            <w:shd w:val="clear" w:color="auto" w:fill="auto"/>
            <w:vAlign w:val="center"/>
          </w:tcPr>
          <w:p w14:paraId="45EC0A2E" w14:textId="77777777" w:rsidR="00C74545" w:rsidRPr="006B785B" w:rsidRDefault="00C74545" w:rsidP="004720BC">
            <w:pPr>
              <w:pStyle w:val="BodyText2"/>
              <w:spacing w:after="0" w:line="240" w:lineRule="auto"/>
              <w:jc w:val="center"/>
            </w:pPr>
            <w:r w:rsidRPr="006B785B">
              <w:t>17.3</w:t>
            </w:r>
          </w:p>
        </w:tc>
        <w:tc>
          <w:tcPr>
            <w:tcW w:w="961" w:type="dxa"/>
            <w:tcBorders>
              <w:top w:val="single" w:sz="6" w:space="0" w:color="auto"/>
              <w:left w:val="single" w:sz="18" w:space="0" w:color="auto"/>
              <w:bottom w:val="single" w:sz="18" w:space="0" w:color="auto"/>
              <w:right w:val="single" w:sz="6" w:space="0" w:color="auto"/>
            </w:tcBorders>
            <w:shd w:val="clear" w:color="auto" w:fill="auto"/>
            <w:vAlign w:val="center"/>
          </w:tcPr>
          <w:p w14:paraId="0B4F668C" w14:textId="77777777" w:rsidR="00C74545" w:rsidRPr="006B785B" w:rsidRDefault="00C74545" w:rsidP="004720BC">
            <w:pPr>
              <w:pStyle w:val="BodyText2"/>
              <w:spacing w:after="0" w:line="240" w:lineRule="auto"/>
              <w:jc w:val="center"/>
            </w:pPr>
            <w:r w:rsidRPr="006B785B">
              <w:t>9.5</w:t>
            </w:r>
          </w:p>
        </w:tc>
        <w:tc>
          <w:tcPr>
            <w:tcW w:w="1018" w:type="dxa"/>
            <w:tcBorders>
              <w:top w:val="single" w:sz="6" w:space="0" w:color="auto"/>
              <w:left w:val="single" w:sz="6" w:space="0" w:color="auto"/>
              <w:bottom w:val="single" w:sz="18" w:space="0" w:color="auto"/>
              <w:right w:val="single" w:sz="18" w:space="0" w:color="auto"/>
            </w:tcBorders>
            <w:shd w:val="clear" w:color="auto" w:fill="auto"/>
            <w:vAlign w:val="center"/>
          </w:tcPr>
          <w:p w14:paraId="001DC88D" w14:textId="77777777" w:rsidR="00C74545" w:rsidRPr="006B785B" w:rsidRDefault="00C74545" w:rsidP="004720BC">
            <w:pPr>
              <w:pStyle w:val="BodyText2"/>
              <w:spacing w:after="0" w:line="240" w:lineRule="auto"/>
              <w:jc w:val="center"/>
            </w:pPr>
            <w:r w:rsidRPr="006B785B">
              <w:t>2.1</w:t>
            </w:r>
          </w:p>
        </w:tc>
        <w:tc>
          <w:tcPr>
            <w:tcW w:w="929" w:type="dxa"/>
            <w:tcBorders>
              <w:top w:val="single" w:sz="6" w:space="0" w:color="auto"/>
              <w:left w:val="single" w:sz="18" w:space="0" w:color="auto"/>
              <w:bottom w:val="single" w:sz="18" w:space="0" w:color="auto"/>
              <w:right w:val="single" w:sz="6" w:space="0" w:color="auto"/>
            </w:tcBorders>
            <w:vAlign w:val="center"/>
          </w:tcPr>
          <w:p w14:paraId="11A38BD6" w14:textId="77777777" w:rsidR="00C74545" w:rsidRPr="006B785B" w:rsidRDefault="00C74545" w:rsidP="004720BC">
            <w:pPr>
              <w:pStyle w:val="BodyText2"/>
              <w:spacing w:after="0" w:line="240" w:lineRule="auto"/>
              <w:jc w:val="center"/>
            </w:pPr>
            <w:r w:rsidRPr="006B785B">
              <w:t>10,0</w:t>
            </w:r>
          </w:p>
        </w:tc>
        <w:tc>
          <w:tcPr>
            <w:tcW w:w="992" w:type="dxa"/>
            <w:tcBorders>
              <w:top w:val="single" w:sz="6" w:space="0" w:color="auto"/>
              <w:left w:val="single" w:sz="6" w:space="0" w:color="auto"/>
              <w:bottom w:val="single" w:sz="18" w:space="0" w:color="auto"/>
              <w:right w:val="single" w:sz="18" w:space="0" w:color="auto"/>
            </w:tcBorders>
            <w:vAlign w:val="center"/>
          </w:tcPr>
          <w:p w14:paraId="4A385694" w14:textId="77777777" w:rsidR="00C74545" w:rsidRPr="006B785B" w:rsidRDefault="00C74545" w:rsidP="004720BC">
            <w:pPr>
              <w:pStyle w:val="BodyText2"/>
              <w:spacing w:after="0" w:line="240" w:lineRule="auto"/>
              <w:jc w:val="center"/>
            </w:pPr>
            <w:r w:rsidRPr="006B785B">
              <w:t>2,2</w:t>
            </w:r>
          </w:p>
        </w:tc>
      </w:tr>
    </w:tbl>
    <w:bookmarkEnd w:id="28"/>
    <w:p w14:paraId="33B1CA53" w14:textId="77777777" w:rsidR="009842A5" w:rsidRDefault="009842A5" w:rsidP="009842A5">
      <w:pPr>
        <w:tabs>
          <w:tab w:val="left" w:pos="322"/>
          <w:tab w:val="left" w:pos="3334"/>
          <w:tab w:val="left" w:pos="4060"/>
          <w:tab w:val="left" w:pos="4786"/>
          <w:tab w:val="left" w:pos="5512"/>
        </w:tabs>
        <w:spacing w:line="276" w:lineRule="auto"/>
        <w:jc w:val="both"/>
        <w:rPr>
          <w:i/>
          <w:color w:val="000000" w:themeColor="text1"/>
          <w:sz w:val="20"/>
          <w:szCs w:val="20"/>
        </w:rPr>
      </w:pPr>
      <w:r>
        <w:rPr>
          <w:i/>
          <w:color w:val="000000" w:themeColor="text1"/>
          <w:sz w:val="20"/>
          <w:szCs w:val="20"/>
        </w:rPr>
        <w:t>p-prognoze</w:t>
      </w:r>
    </w:p>
    <w:p w14:paraId="46ABA998" w14:textId="77777777" w:rsidR="00F673D4" w:rsidRDefault="00F673D4" w:rsidP="00F673D4">
      <w:pPr>
        <w:jc w:val="both"/>
        <w:rPr>
          <w:sz w:val="20"/>
          <w:szCs w:val="20"/>
        </w:rPr>
      </w:pPr>
      <w:r>
        <w:rPr>
          <w:sz w:val="20"/>
          <w:szCs w:val="20"/>
        </w:rPr>
        <w:t>Datu avots: Ekonomikas ministrija, Finanšu ministrija</w:t>
      </w:r>
    </w:p>
    <w:p w14:paraId="104DE0CE" w14:textId="293BF235" w:rsidR="009842A5" w:rsidRDefault="009842A5" w:rsidP="00593A9C"/>
    <w:p w14:paraId="16B60113" w14:textId="77777777" w:rsidR="002C2528" w:rsidRDefault="00093D6F" w:rsidP="001F402C">
      <w:pPr>
        <w:pStyle w:val="Heading2"/>
      </w:pPr>
      <w:bookmarkStart w:id="29" w:name="_Toc148720963"/>
      <w:r>
        <w:t>8</w:t>
      </w:r>
      <w:r w:rsidR="002C2528">
        <w:t>.</w:t>
      </w:r>
      <w:r>
        <w:t>4</w:t>
      </w:r>
      <w:r w:rsidR="002C2528">
        <w:t>. Latvijas Bankas vērtējums</w:t>
      </w:r>
      <w:bookmarkEnd w:id="29"/>
    </w:p>
    <w:p w14:paraId="5F53FF41" w14:textId="77777777" w:rsidR="002C2528" w:rsidRDefault="002C2528" w:rsidP="002C2528">
      <w:pPr>
        <w:jc w:val="both"/>
      </w:pPr>
    </w:p>
    <w:p w14:paraId="47C8BB4E" w14:textId="1EC4C28B" w:rsidR="00FC52B7" w:rsidRDefault="00FC52B7" w:rsidP="00FC52B7">
      <w:pPr>
        <w:ind w:firstLine="720"/>
        <w:jc w:val="both"/>
      </w:pPr>
      <w:bookmarkStart w:id="30" w:name="_Hlk143878385"/>
      <w:r>
        <w:t>Saskaņā ar Latvijas Bankas aprēķiniem, kas veikti izmantojot CGE-EUROMOD modeli</w:t>
      </w:r>
      <w:r>
        <w:rPr>
          <w:rStyle w:val="FootnoteReference"/>
        </w:rPr>
        <w:footnoteReference w:id="5"/>
      </w:r>
      <w:r>
        <w:t xml:space="preserve">, minimālās darba algas paaugstināšana no 620 eiro līdz 700 eiro varētu atspoguļoties </w:t>
      </w:r>
      <w:r>
        <w:rPr>
          <w:bCs/>
        </w:rPr>
        <w:t>vidējās bruto alga pieaugumā par 1% un vidējā mājsaimniecību rīcībā esošā ienākuma pieaugumā par 0.5%</w:t>
      </w:r>
      <w:r>
        <w:rPr>
          <w:rStyle w:val="FootnoteReference"/>
          <w:bCs/>
        </w:rPr>
        <w:footnoteReference w:id="6"/>
      </w:r>
      <w:r>
        <w:rPr>
          <w:bCs/>
        </w:rPr>
        <w:t xml:space="preserve">. </w:t>
      </w:r>
      <w:r>
        <w:t>Aprēķini liecina, ka līdz ar augstāku</w:t>
      </w:r>
      <w:r w:rsidRPr="00BA51F1">
        <w:t xml:space="preserve"> minimāl</w:t>
      </w:r>
      <w:r>
        <w:t>o</w:t>
      </w:r>
      <w:r w:rsidRPr="00BA51F1">
        <w:t xml:space="preserve"> alg</w:t>
      </w:r>
      <w:r>
        <w:t>u</w:t>
      </w:r>
      <w:r w:rsidRPr="00BA51F1">
        <w:t xml:space="preserve"> atalgojums </w:t>
      </w:r>
      <w:r>
        <w:t xml:space="preserve">palielinātos ne tikai </w:t>
      </w:r>
      <w:r w:rsidRPr="00BA51F1">
        <w:t>minimāl</w:t>
      </w:r>
      <w:r>
        <w:t>ās</w:t>
      </w:r>
      <w:r w:rsidRPr="00BA51F1">
        <w:t xml:space="preserve"> alg</w:t>
      </w:r>
      <w:r>
        <w:t>as saņēmējiem</w:t>
      </w:r>
      <w:r w:rsidRPr="00BA51F1">
        <w:t xml:space="preserve">, </w:t>
      </w:r>
      <w:r>
        <w:t xml:space="preserve">bet arī </w:t>
      </w:r>
      <w:r w:rsidRPr="00BA51F1">
        <w:t>tiem</w:t>
      </w:r>
      <w:r>
        <w:t xml:space="preserve"> nodarbinātajiem</w:t>
      </w:r>
      <w:r w:rsidRPr="00BA51F1">
        <w:t xml:space="preserve">, kuriem atalgojums ir tuvu </w:t>
      </w:r>
      <w:r>
        <w:t>minimālajai algai</w:t>
      </w:r>
      <w:r w:rsidRPr="00BA51F1">
        <w:t xml:space="preserve">. </w:t>
      </w:r>
      <w:r>
        <w:t>Tāpat sagaidāms, ka, p</w:t>
      </w:r>
      <w:r w:rsidRPr="00BA51F1">
        <w:t>alielinot minimālo algu, samazinātos ēnu ekonomikas īpatsvars</w:t>
      </w:r>
      <w:r>
        <w:t xml:space="preserve">, jo samazinātos gan nodarbināto skaits, kas saņem </w:t>
      </w:r>
      <w:r w:rsidRPr="00123237">
        <w:rPr>
          <w:i/>
          <w:iCs/>
        </w:rPr>
        <w:t>aplokšņu</w:t>
      </w:r>
      <w:r>
        <w:t xml:space="preserve"> algu, gan arī vidējais izmaksātais </w:t>
      </w:r>
      <w:r w:rsidRPr="00123237">
        <w:rPr>
          <w:i/>
          <w:iCs/>
        </w:rPr>
        <w:t>aplokšņu</w:t>
      </w:r>
      <w:r>
        <w:t xml:space="preserve"> algas īpatsvars kopējā algā</w:t>
      </w:r>
      <w:r w:rsidRPr="00BA51F1">
        <w:t xml:space="preserve">. </w:t>
      </w:r>
      <w:r>
        <w:t>Vienlaicīgi m</w:t>
      </w:r>
      <w:r w:rsidRPr="00BA51F1">
        <w:t xml:space="preserve">inimālās algas paaugstināšana </w:t>
      </w:r>
      <w:r>
        <w:t>varētu veicināt</w:t>
      </w:r>
      <w:r w:rsidRPr="00BA51F1">
        <w:t xml:space="preserve"> bezdarb</w:t>
      </w:r>
      <w:r>
        <w:t>u</w:t>
      </w:r>
      <w:r w:rsidRPr="00BA51F1">
        <w:t xml:space="preserve"> </w:t>
      </w:r>
      <w:r w:rsidRPr="00307202">
        <w:t>(</w:t>
      </w:r>
      <w:r>
        <w:t xml:space="preserve">aprēķini liecina par </w:t>
      </w:r>
      <w:r w:rsidRPr="00307202">
        <w:t>nodarbinātība</w:t>
      </w:r>
      <w:r>
        <w:t>s</w:t>
      </w:r>
      <w:r w:rsidRPr="00307202">
        <w:t xml:space="preserve"> </w:t>
      </w:r>
      <w:r w:rsidRPr="00307202">
        <w:lastRenderedPageBreak/>
        <w:t>samazinā</w:t>
      </w:r>
      <w:r>
        <w:t>šanos</w:t>
      </w:r>
      <w:r w:rsidRPr="00307202">
        <w:t xml:space="preserve"> par 0.8%), atsevišķi</w:t>
      </w:r>
      <w:r>
        <w:t>em</w:t>
      </w:r>
      <w:r w:rsidRPr="00307202">
        <w:t xml:space="preserve"> uzņēmumi</w:t>
      </w:r>
      <w:r>
        <w:t>em</w:t>
      </w:r>
      <w:r w:rsidRPr="00307202">
        <w:t xml:space="preserve"> izmaksu un </w:t>
      </w:r>
      <w:r>
        <w:t>konkurētspējas</w:t>
      </w:r>
      <w:r w:rsidRPr="00307202">
        <w:t xml:space="preserve"> dēļ </w:t>
      </w:r>
      <w:r>
        <w:t xml:space="preserve">esot </w:t>
      </w:r>
      <w:r w:rsidRPr="00307202">
        <w:t>spiesti</w:t>
      </w:r>
      <w:r>
        <w:t>em</w:t>
      </w:r>
      <w:r w:rsidRPr="00307202">
        <w:t xml:space="preserve"> samazināt nodarbināto skaitu</w:t>
      </w:r>
      <w:r>
        <w:t xml:space="preserve">. Līdz ar to ietekme uz </w:t>
      </w:r>
      <w:r w:rsidRPr="00307202">
        <w:t xml:space="preserve">IKP </w:t>
      </w:r>
      <w:r>
        <w:t>lēšama aptuveni -</w:t>
      </w:r>
      <w:r w:rsidRPr="00307202">
        <w:t>0.3%</w:t>
      </w:r>
      <w:r>
        <w:t xml:space="preserve"> apmērā</w:t>
      </w:r>
      <w:r w:rsidRPr="00307202">
        <w:t xml:space="preserve">. </w:t>
      </w:r>
    </w:p>
    <w:p w14:paraId="7AC678F2" w14:textId="1BACA602" w:rsidR="00FC52B7" w:rsidRDefault="00FC52B7" w:rsidP="00FC52B7">
      <w:pPr>
        <w:ind w:firstLine="720"/>
        <w:jc w:val="both"/>
      </w:pPr>
      <w:r w:rsidRPr="00307202">
        <w:t xml:space="preserve">Latvijas Bankas </w:t>
      </w:r>
      <w:r>
        <w:t xml:space="preserve">2017.gada </w:t>
      </w:r>
      <w:r w:rsidRPr="00307202">
        <w:t>pētījums</w:t>
      </w:r>
      <w:r>
        <w:rPr>
          <w:rStyle w:val="FootnoteReference"/>
        </w:rPr>
        <w:footnoteReference w:id="7"/>
      </w:r>
      <w:r w:rsidRPr="00307202">
        <w:t>, izmantojot uzņēmumu apsekojumu dat</w:t>
      </w:r>
      <w:r>
        <w:t>us</w:t>
      </w:r>
      <w:r w:rsidR="00FB4448">
        <w:t>,</w:t>
      </w:r>
      <w:r>
        <w:t xml:space="preserve"> l</w:t>
      </w:r>
      <w:r w:rsidRPr="00307202">
        <w:t xml:space="preserve">iecina ka nodarbināto skaita samazināšana galvenokārt </w:t>
      </w:r>
      <w:r>
        <w:t>izpaužas</w:t>
      </w:r>
      <w:r w:rsidRPr="00307202">
        <w:t xml:space="preserve"> </w:t>
      </w:r>
      <w:r w:rsidR="00FB4448">
        <w:t xml:space="preserve">kā mazāk no jauna </w:t>
      </w:r>
      <w:r w:rsidRPr="00307202">
        <w:t xml:space="preserve">darbā </w:t>
      </w:r>
      <w:r w:rsidR="00FB4448">
        <w:t>pieņemti</w:t>
      </w:r>
      <w:r w:rsidRPr="00307202">
        <w:t xml:space="preserve"> darbiniek</w:t>
      </w:r>
      <w:r w:rsidR="00FB4448">
        <w:t>i</w:t>
      </w:r>
      <w:r w:rsidRPr="00307202">
        <w:t>,</w:t>
      </w:r>
      <w:r>
        <w:t xml:space="preserve"> </w:t>
      </w:r>
      <w:r w:rsidRPr="00307202">
        <w:t xml:space="preserve">ne tik daudz atlaižot esošos. </w:t>
      </w:r>
      <w:r>
        <w:t>Vienlaikus</w:t>
      </w:r>
      <w:r w:rsidRPr="00307202">
        <w:t xml:space="preserve"> vairums uzņēmumu minimālās algas paaugstināšanas gadījumā cenšas samazināt ar darbaspēku nesaistītas izmaksas</w:t>
      </w:r>
      <w:r>
        <w:t xml:space="preserve">, uzlabot </w:t>
      </w:r>
      <w:r w:rsidRPr="00307202">
        <w:t xml:space="preserve">produktivitāti, </w:t>
      </w:r>
      <w:r>
        <w:t>kā arī</w:t>
      </w:r>
      <w:r w:rsidRPr="00307202">
        <w:t xml:space="preserve"> paaugstināt </w:t>
      </w:r>
      <w:r>
        <w:t xml:space="preserve">savu </w:t>
      </w:r>
      <w:r w:rsidRPr="00307202">
        <w:t>produktu vai pakalpojumu cenas, kas savukārt mazin</w:t>
      </w:r>
      <w:r>
        <w:t>a</w:t>
      </w:r>
      <w:r w:rsidRPr="00307202">
        <w:t xml:space="preserve"> </w:t>
      </w:r>
      <w:r>
        <w:t>to</w:t>
      </w:r>
      <w:r w:rsidRPr="00307202">
        <w:t xml:space="preserve"> konkurētspēju eksporta tirgos. </w:t>
      </w:r>
    </w:p>
    <w:bookmarkEnd w:id="30"/>
    <w:p w14:paraId="7D41E39E" w14:textId="77777777" w:rsidR="0060042C" w:rsidRDefault="0060042C"/>
    <w:p w14:paraId="6B230DB3" w14:textId="77777777" w:rsidR="00093D6F" w:rsidRPr="00093D6F" w:rsidRDefault="00093D6F" w:rsidP="001F402C">
      <w:pPr>
        <w:pStyle w:val="Heading2"/>
      </w:pPr>
      <w:bookmarkStart w:id="31" w:name="_Toc148720964"/>
      <w:r w:rsidRPr="00093D6F">
        <w:t>8.5. Ietekme uz valsts un pašvaldību budžetiem</w:t>
      </w:r>
      <w:bookmarkEnd w:id="31"/>
    </w:p>
    <w:p w14:paraId="3AD185A3" w14:textId="77777777" w:rsidR="00093D6F" w:rsidRDefault="00093D6F"/>
    <w:p w14:paraId="567EE8CC" w14:textId="33E5CDEE" w:rsidR="0085622A" w:rsidRDefault="00073318" w:rsidP="001F402C">
      <w:pPr>
        <w:ind w:firstLine="720"/>
        <w:jc w:val="both"/>
      </w:pPr>
      <w:r>
        <w:t>I</w:t>
      </w:r>
      <w:r w:rsidR="00093D6F">
        <w:t>nformācija par minimālās darba algas paaugstināšanas līdz 700 eiro 2024.gadā iespējamo ietekmi uz valsts budžet</w:t>
      </w:r>
      <w:r>
        <w:t>u</w:t>
      </w:r>
      <w:r w:rsidR="00093D6F">
        <w:t xml:space="preserve"> tiks atspoguļota Ministru kabineta 2015.gada 24.novembra noteikumu Nr.656 “Noteikumi par minimālās mēneša darba algas apmēru normālā darba laika ietvaros un minimālās stundas tarifa likmes aprēķināšanu” grozījumu anotācijā. </w:t>
      </w:r>
    </w:p>
    <w:p w14:paraId="01365CDC" w14:textId="7DA7C5D7" w:rsidR="00962C57" w:rsidRDefault="00962C57">
      <w:r>
        <w:br w:type="page"/>
      </w:r>
    </w:p>
    <w:p w14:paraId="285DD573" w14:textId="77777777" w:rsidR="0060042C" w:rsidRDefault="0060042C">
      <w:pPr>
        <w:jc w:val="both"/>
      </w:pPr>
    </w:p>
    <w:p w14:paraId="5DB5CF98" w14:textId="77777777" w:rsidR="0085622A" w:rsidRDefault="00093D6F" w:rsidP="001F402C">
      <w:pPr>
        <w:pStyle w:val="Heading1"/>
      </w:pPr>
      <w:bookmarkStart w:id="32" w:name="_Toc148720965"/>
      <w:r>
        <w:t>9</w:t>
      </w:r>
      <w:r w:rsidR="003A674F">
        <w:t>. Minimāla alga un ienākumi mājsaimniecībām</w:t>
      </w:r>
      <w:bookmarkEnd w:id="32"/>
    </w:p>
    <w:p w14:paraId="22E9F33B" w14:textId="77777777" w:rsidR="0085622A" w:rsidRDefault="0085622A">
      <w:pPr>
        <w:jc w:val="both"/>
      </w:pPr>
    </w:p>
    <w:p w14:paraId="0424DF53" w14:textId="77777777" w:rsidR="0085622A" w:rsidRDefault="003A674F">
      <w:pPr>
        <w:ind w:firstLine="720"/>
        <w:jc w:val="both"/>
      </w:pPr>
      <w:r>
        <w:t xml:space="preserve">Alga ir būtisks mājsaimniecības ienākumu veids. </w:t>
      </w:r>
      <w:r>
        <w:rPr>
          <w:color w:val="000000"/>
        </w:rPr>
        <w:t xml:space="preserve">Pēdējo gadu laikā ir palielinājušies mājsaimniecību rīcībā esošie ienākumi, tomēr neto ienākumu līmeni ietekmē </w:t>
      </w:r>
      <w:r>
        <w:t xml:space="preserve">iedzīvotāju ienākuma nodokļa likmes, ar iedzīvotāju ienākuma nodokli neapliekamā minimuma likmes un valsts sociālās apdrošināšanas obligātās iemaksu likmes. </w:t>
      </w:r>
    </w:p>
    <w:p w14:paraId="1598322C" w14:textId="77777777" w:rsidR="0085622A" w:rsidRDefault="003A674F">
      <w:pPr>
        <w:ind w:firstLine="720"/>
        <w:jc w:val="both"/>
      </w:pPr>
      <w:r>
        <w:t>2022.</w:t>
      </w:r>
      <w:r w:rsidR="00B94948">
        <w:t>-2023.</w:t>
      </w:r>
      <w:r>
        <w:t>gadā netika pieņemti lēmumi attiecībā uz izmaiņām, kas varētu skart iedzīvotāju ienākuma nodokļa likmes (20%) un v</w:t>
      </w:r>
      <w:r>
        <w:rPr>
          <w:bCs/>
        </w:rPr>
        <w:t>alsts sociālās apdrošināšanas obligāto iemaksu (VSAOI) likmes (</w:t>
      </w:r>
      <w:r>
        <w:t xml:space="preserve">23,59% maksā darba devējs un 10,5% maksā darba ņēmējs). </w:t>
      </w:r>
    </w:p>
    <w:p w14:paraId="0AC96C3F" w14:textId="2167654C" w:rsidR="00B94948" w:rsidRDefault="003A674F">
      <w:pPr>
        <w:ind w:right="-109" w:firstLine="720"/>
        <w:jc w:val="both"/>
      </w:pPr>
      <w:r>
        <w:t xml:space="preserve">Būtisks neto minimālās algas pieaugums ir iespējams, ja paaugstina gan bruto minimālo algu, gan neapliekamo minimumu. Lai arī neapliekamais minimums no 2022.gada 1.jūlija </w:t>
      </w:r>
      <w:r w:rsidR="00B94948">
        <w:t xml:space="preserve">tika </w:t>
      </w:r>
      <w:r>
        <w:t xml:space="preserve">paaugstināts līdz minimālās algas apmēram (500 eiro), </w:t>
      </w:r>
      <w:r w:rsidR="00B94948">
        <w:t>tomēr</w:t>
      </w:r>
      <w:r w:rsidR="00FB4448">
        <w:t>,</w:t>
      </w:r>
      <w:r w:rsidR="00B94948">
        <w:t xml:space="preserve"> minimālajai algai 2023.gadā pieaugot līdz 620 eiro, neapliekamais minimums palika iepriekšējā 500 eiro līmenī. </w:t>
      </w:r>
    </w:p>
    <w:p w14:paraId="7EEF03F8" w14:textId="5B9F0ED4" w:rsidR="00F673D4" w:rsidRPr="00593A9C" w:rsidRDefault="00FB4448" w:rsidP="00593A9C">
      <w:pPr>
        <w:ind w:right="-109" w:firstLine="720"/>
        <w:jc w:val="both"/>
      </w:pPr>
      <w:r>
        <w:t>Līdz ar turpmāku</w:t>
      </w:r>
      <w:r w:rsidR="003A674F">
        <w:t xml:space="preserve"> minimālās algas paaugstināšan</w:t>
      </w:r>
      <w:r>
        <w:t>u</w:t>
      </w:r>
      <w:r w:rsidR="003A674F">
        <w:t xml:space="preserve"> būtu jāpaaugstina arī neapliekamais minimums, lai mazo algu saņēmēji gūtu lielākus neto ienākumus un mazinātos strādājošo nabadzības riski. </w:t>
      </w:r>
    </w:p>
    <w:p w14:paraId="32782E1E" w14:textId="77777777" w:rsidR="0085622A" w:rsidRDefault="003A674F" w:rsidP="00F673D4">
      <w:pPr>
        <w:jc w:val="right"/>
        <w:rPr>
          <w:color w:val="000000"/>
        </w:rPr>
      </w:pPr>
      <w:r>
        <w:rPr>
          <w:color w:val="000000"/>
        </w:rPr>
        <w:t>1</w:t>
      </w:r>
      <w:r w:rsidR="003F6C9B">
        <w:rPr>
          <w:color w:val="000000"/>
        </w:rPr>
        <w:t>2</w:t>
      </w:r>
      <w:r>
        <w:rPr>
          <w:color w:val="000000"/>
        </w:rPr>
        <w:t>.tabula</w:t>
      </w:r>
    </w:p>
    <w:p w14:paraId="478DF377" w14:textId="77777777" w:rsidR="0085622A" w:rsidRDefault="003A674F">
      <w:pPr>
        <w:ind w:right="-108"/>
        <w:jc w:val="center"/>
        <w:rPr>
          <w:b/>
        </w:rPr>
      </w:pPr>
      <w:bookmarkStart w:id="33" w:name="_Hlk13556291"/>
      <w:r>
        <w:rPr>
          <w:b/>
        </w:rPr>
        <w:t>Neto ienākumi no 2022.gada 1.jūlija</w:t>
      </w:r>
    </w:p>
    <w:tbl>
      <w:tblPr>
        <w:tblStyle w:val="TableGrid"/>
        <w:tblW w:w="0" w:type="auto"/>
        <w:jc w:val="center"/>
        <w:tblLook w:val="04A0" w:firstRow="1" w:lastRow="0" w:firstColumn="1" w:lastColumn="0" w:noHBand="0" w:noVBand="1"/>
      </w:tblPr>
      <w:tblGrid>
        <w:gridCol w:w="1856"/>
        <w:gridCol w:w="1560"/>
        <w:gridCol w:w="1723"/>
        <w:gridCol w:w="1377"/>
        <w:gridCol w:w="2126"/>
      </w:tblGrid>
      <w:tr w:rsidR="0085622A" w14:paraId="2972A2C0" w14:textId="77777777" w:rsidTr="00593A9C">
        <w:trPr>
          <w:jc w:val="center"/>
        </w:trPr>
        <w:tc>
          <w:tcPr>
            <w:tcW w:w="1856" w:type="dxa"/>
            <w:shd w:val="clear" w:color="auto" w:fill="B4C6E7" w:themeFill="accent1" w:themeFillTint="66"/>
          </w:tcPr>
          <w:p w14:paraId="2BC1E968" w14:textId="77777777" w:rsidR="0085622A" w:rsidRDefault="003A674F">
            <w:pPr>
              <w:jc w:val="center"/>
              <w:rPr>
                <w:b/>
              </w:rPr>
            </w:pPr>
            <w:r>
              <w:rPr>
                <w:b/>
              </w:rPr>
              <w:t>Mājsaimniecība</w:t>
            </w:r>
          </w:p>
        </w:tc>
        <w:tc>
          <w:tcPr>
            <w:tcW w:w="1560" w:type="dxa"/>
            <w:shd w:val="clear" w:color="auto" w:fill="B4C6E7" w:themeFill="accent1" w:themeFillTint="66"/>
          </w:tcPr>
          <w:p w14:paraId="49241811" w14:textId="77777777" w:rsidR="0085622A" w:rsidRDefault="003A674F">
            <w:pPr>
              <w:jc w:val="center"/>
              <w:rPr>
                <w:b/>
              </w:rPr>
            </w:pPr>
            <w:r>
              <w:rPr>
                <w:b/>
              </w:rPr>
              <w:t xml:space="preserve">Minimālā mēneša bruto darba alga, </w:t>
            </w:r>
          </w:p>
          <w:p w14:paraId="08BC237D" w14:textId="77777777" w:rsidR="0085622A" w:rsidRDefault="003A674F">
            <w:pPr>
              <w:jc w:val="center"/>
              <w:rPr>
                <w:b/>
              </w:rPr>
            </w:pPr>
            <w:r>
              <w:rPr>
                <w:b/>
              </w:rPr>
              <w:t>EUR</w:t>
            </w:r>
          </w:p>
        </w:tc>
        <w:tc>
          <w:tcPr>
            <w:tcW w:w="1723" w:type="dxa"/>
            <w:shd w:val="clear" w:color="auto" w:fill="B4C6E7" w:themeFill="accent1" w:themeFillTint="66"/>
          </w:tcPr>
          <w:p w14:paraId="34AA27AF" w14:textId="77777777" w:rsidR="0085622A" w:rsidRDefault="003A674F">
            <w:pPr>
              <w:jc w:val="center"/>
            </w:pPr>
            <w:r>
              <w:rPr>
                <w:b/>
              </w:rPr>
              <w:t>Neapliekamais minimums, EUR</w:t>
            </w:r>
          </w:p>
        </w:tc>
        <w:tc>
          <w:tcPr>
            <w:tcW w:w="1377" w:type="dxa"/>
            <w:shd w:val="clear" w:color="auto" w:fill="B4C6E7" w:themeFill="accent1" w:themeFillTint="66"/>
          </w:tcPr>
          <w:p w14:paraId="7EC14408" w14:textId="77777777" w:rsidR="0085622A" w:rsidRDefault="003A674F">
            <w:pPr>
              <w:jc w:val="center"/>
              <w:rPr>
                <w:b/>
              </w:rPr>
            </w:pPr>
            <w:r>
              <w:rPr>
                <w:b/>
              </w:rPr>
              <w:t xml:space="preserve">Minimālā mēneša neto darba alga, </w:t>
            </w:r>
          </w:p>
          <w:p w14:paraId="575BD07B" w14:textId="77777777" w:rsidR="0085622A" w:rsidRDefault="003A674F">
            <w:pPr>
              <w:jc w:val="center"/>
            </w:pPr>
            <w:r>
              <w:rPr>
                <w:b/>
              </w:rPr>
              <w:t>EUR</w:t>
            </w:r>
          </w:p>
        </w:tc>
        <w:tc>
          <w:tcPr>
            <w:tcW w:w="2126" w:type="dxa"/>
            <w:shd w:val="clear" w:color="auto" w:fill="B4C6E7" w:themeFill="accent1" w:themeFillTint="66"/>
          </w:tcPr>
          <w:p w14:paraId="7859D5F9" w14:textId="77777777" w:rsidR="0085622A" w:rsidRDefault="003A674F">
            <w:pPr>
              <w:jc w:val="center"/>
              <w:rPr>
                <w:b/>
              </w:rPr>
            </w:pPr>
            <w:r>
              <w:rPr>
                <w:b/>
              </w:rPr>
              <w:t>Minimālās mēneša neto darba algas pieaugums no 01.07.2022., EUR</w:t>
            </w:r>
          </w:p>
        </w:tc>
      </w:tr>
      <w:tr w:rsidR="0085622A" w14:paraId="340B5303" w14:textId="77777777" w:rsidTr="00593A9C">
        <w:trPr>
          <w:trHeight w:val="700"/>
          <w:jc w:val="center"/>
        </w:trPr>
        <w:tc>
          <w:tcPr>
            <w:tcW w:w="1856" w:type="dxa"/>
          </w:tcPr>
          <w:p w14:paraId="2DDA6BCE" w14:textId="77777777" w:rsidR="0085622A" w:rsidRDefault="003A674F">
            <w:pPr>
              <w:rPr>
                <w:b/>
              </w:rPr>
            </w:pPr>
            <w:r>
              <w:rPr>
                <w:b/>
              </w:rPr>
              <w:t>Bez apgādājamiem</w:t>
            </w:r>
          </w:p>
        </w:tc>
        <w:tc>
          <w:tcPr>
            <w:tcW w:w="1560" w:type="dxa"/>
          </w:tcPr>
          <w:p w14:paraId="2F667F53" w14:textId="77777777" w:rsidR="0085622A" w:rsidRDefault="003A674F">
            <w:pPr>
              <w:jc w:val="center"/>
            </w:pPr>
            <w:r>
              <w:t>500</w:t>
            </w:r>
          </w:p>
        </w:tc>
        <w:tc>
          <w:tcPr>
            <w:tcW w:w="1723" w:type="dxa"/>
          </w:tcPr>
          <w:p w14:paraId="0A2F638E" w14:textId="77777777" w:rsidR="0085622A" w:rsidRDefault="003A674F">
            <w:pPr>
              <w:jc w:val="center"/>
            </w:pPr>
            <w:r>
              <w:t>500</w:t>
            </w:r>
          </w:p>
        </w:tc>
        <w:tc>
          <w:tcPr>
            <w:tcW w:w="1377" w:type="dxa"/>
          </w:tcPr>
          <w:p w14:paraId="570AEE3D" w14:textId="77777777" w:rsidR="0085622A" w:rsidRDefault="003A674F">
            <w:pPr>
              <w:jc w:val="center"/>
            </w:pPr>
            <w:r>
              <w:t>447,50</w:t>
            </w:r>
          </w:p>
        </w:tc>
        <w:tc>
          <w:tcPr>
            <w:tcW w:w="2126" w:type="dxa"/>
          </w:tcPr>
          <w:p w14:paraId="59628814" w14:textId="77777777" w:rsidR="0085622A" w:rsidRDefault="003A674F">
            <w:pPr>
              <w:jc w:val="center"/>
            </w:pPr>
            <w:r>
              <w:t>29,50</w:t>
            </w:r>
          </w:p>
        </w:tc>
      </w:tr>
    </w:tbl>
    <w:p w14:paraId="317C7B93" w14:textId="77777777" w:rsidR="0085622A" w:rsidRDefault="003A674F">
      <w:pPr>
        <w:shd w:val="clear" w:color="auto" w:fill="FFFFFF"/>
        <w:rPr>
          <w:iCs/>
          <w:sz w:val="20"/>
          <w:szCs w:val="20"/>
        </w:rPr>
      </w:pPr>
      <w:r>
        <w:rPr>
          <w:iCs/>
          <w:sz w:val="20"/>
          <w:szCs w:val="20"/>
        </w:rPr>
        <w:t>Datu avots: LM aprēķini</w:t>
      </w:r>
    </w:p>
    <w:p w14:paraId="0F9D75F2" w14:textId="77777777" w:rsidR="0085622A" w:rsidRDefault="0085622A">
      <w:pPr>
        <w:shd w:val="clear" w:color="auto" w:fill="FFFFFF"/>
        <w:jc w:val="both"/>
        <w:rPr>
          <w:iCs/>
        </w:rPr>
      </w:pPr>
    </w:p>
    <w:p w14:paraId="26C27997" w14:textId="77777777" w:rsidR="0085622A" w:rsidRDefault="003A674F">
      <w:pPr>
        <w:shd w:val="clear" w:color="auto" w:fill="FFFFFF"/>
        <w:ind w:firstLine="720"/>
        <w:jc w:val="both"/>
        <w:rPr>
          <w:iCs/>
        </w:rPr>
      </w:pPr>
      <w:r>
        <w:rPr>
          <w:iCs/>
        </w:rPr>
        <w:t xml:space="preserve">Ņemot vērā, ka no 2022.gada 1.jūlija </w:t>
      </w:r>
      <w:r w:rsidR="003A46AA">
        <w:rPr>
          <w:iCs/>
        </w:rPr>
        <w:t>tika</w:t>
      </w:r>
      <w:r>
        <w:rPr>
          <w:iCs/>
        </w:rPr>
        <w:t xml:space="preserve"> paaugstināts neapliekamais minimums līdz 500 eiro, tad darba ņēmēja bez apgādājamiem neto ieguvums </w:t>
      </w:r>
      <w:r w:rsidR="003A46AA">
        <w:t>2022.gadā bija</w:t>
      </w:r>
      <w:r>
        <w:t xml:space="preserve"> 29,50 eiro jeb pieaugums par 7,0%, jo no 500 eiro algas jāmaksā tikai VSAOI </w:t>
      </w:r>
      <w:r>
        <w:rPr>
          <w:iCs/>
        </w:rPr>
        <w:t>10,5% jeb 52,50 eiro. Turpretī mājsaimniecība ar apgādājamiem papildus neto ienākumu no 2022.gada 1.jūlija neg</w:t>
      </w:r>
      <w:r w:rsidR="003A46AA">
        <w:rPr>
          <w:iCs/>
        </w:rPr>
        <w:t>uva</w:t>
      </w:r>
      <w:r>
        <w:rPr>
          <w:iCs/>
        </w:rPr>
        <w:t xml:space="preserve">. </w:t>
      </w:r>
    </w:p>
    <w:p w14:paraId="0DBF63EF" w14:textId="77777777" w:rsidR="007C3139" w:rsidRDefault="007C3139" w:rsidP="007C3139">
      <w:pPr>
        <w:rPr>
          <w:iCs/>
        </w:rPr>
      </w:pPr>
    </w:p>
    <w:p w14:paraId="026985A5" w14:textId="77777777" w:rsidR="0085622A" w:rsidRDefault="003A674F" w:rsidP="007C3139">
      <w:pPr>
        <w:jc w:val="right"/>
        <w:rPr>
          <w:color w:val="000000"/>
        </w:rPr>
      </w:pPr>
      <w:r>
        <w:rPr>
          <w:color w:val="000000"/>
        </w:rPr>
        <w:t>1</w:t>
      </w:r>
      <w:r w:rsidR="003F6C9B">
        <w:rPr>
          <w:color w:val="000000"/>
        </w:rPr>
        <w:t>3</w:t>
      </w:r>
      <w:r>
        <w:rPr>
          <w:color w:val="000000"/>
        </w:rPr>
        <w:t>.tabula</w:t>
      </w:r>
    </w:p>
    <w:p w14:paraId="2538B8CD" w14:textId="77777777" w:rsidR="0085622A" w:rsidRDefault="003A674F">
      <w:pPr>
        <w:ind w:right="-108"/>
        <w:jc w:val="center"/>
        <w:rPr>
          <w:b/>
        </w:rPr>
      </w:pPr>
      <w:r>
        <w:rPr>
          <w:b/>
        </w:rPr>
        <w:t>Neto ienākumi no 2023.gada 1.janvāra</w:t>
      </w:r>
    </w:p>
    <w:tbl>
      <w:tblPr>
        <w:tblStyle w:val="TableGrid"/>
        <w:tblW w:w="9301" w:type="dxa"/>
        <w:jc w:val="center"/>
        <w:tblLook w:val="04A0" w:firstRow="1" w:lastRow="0" w:firstColumn="1" w:lastColumn="0" w:noHBand="0" w:noVBand="1"/>
      </w:tblPr>
      <w:tblGrid>
        <w:gridCol w:w="1908"/>
        <w:gridCol w:w="1251"/>
        <w:gridCol w:w="1771"/>
        <w:gridCol w:w="1457"/>
        <w:gridCol w:w="1457"/>
        <w:gridCol w:w="1457"/>
      </w:tblGrid>
      <w:tr w:rsidR="0085622A" w14:paraId="17E5643B" w14:textId="77777777" w:rsidTr="00593A9C">
        <w:trPr>
          <w:trHeight w:val="2146"/>
          <w:jc w:val="center"/>
        </w:trPr>
        <w:tc>
          <w:tcPr>
            <w:tcW w:w="1908" w:type="dxa"/>
            <w:shd w:val="clear" w:color="auto" w:fill="B4C6E7" w:themeFill="accent1" w:themeFillTint="66"/>
          </w:tcPr>
          <w:p w14:paraId="0C164A40" w14:textId="77777777" w:rsidR="0085622A" w:rsidRDefault="003A674F">
            <w:pPr>
              <w:jc w:val="center"/>
              <w:rPr>
                <w:b/>
              </w:rPr>
            </w:pPr>
            <w:r>
              <w:rPr>
                <w:b/>
              </w:rPr>
              <w:t>Mājsaimniecība</w:t>
            </w:r>
          </w:p>
        </w:tc>
        <w:tc>
          <w:tcPr>
            <w:tcW w:w="1251" w:type="dxa"/>
            <w:shd w:val="clear" w:color="auto" w:fill="B4C6E7" w:themeFill="accent1" w:themeFillTint="66"/>
          </w:tcPr>
          <w:p w14:paraId="4E2B1F17" w14:textId="77777777" w:rsidR="0085622A" w:rsidRDefault="003A674F">
            <w:pPr>
              <w:jc w:val="center"/>
              <w:rPr>
                <w:b/>
              </w:rPr>
            </w:pPr>
            <w:r>
              <w:rPr>
                <w:b/>
              </w:rPr>
              <w:t>Minimālā mēneša bruto darba alga, EUR</w:t>
            </w:r>
          </w:p>
        </w:tc>
        <w:tc>
          <w:tcPr>
            <w:tcW w:w="1771" w:type="dxa"/>
            <w:shd w:val="clear" w:color="auto" w:fill="B4C6E7" w:themeFill="accent1" w:themeFillTint="66"/>
          </w:tcPr>
          <w:p w14:paraId="675484C7" w14:textId="77777777" w:rsidR="0085622A" w:rsidRDefault="003A674F">
            <w:pPr>
              <w:jc w:val="center"/>
            </w:pPr>
            <w:r>
              <w:rPr>
                <w:b/>
              </w:rPr>
              <w:t>Neapliekamais minimums, EUR</w:t>
            </w:r>
          </w:p>
        </w:tc>
        <w:tc>
          <w:tcPr>
            <w:tcW w:w="1457" w:type="dxa"/>
            <w:shd w:val="clear" w:color="auto" w:fill="B4C6E7" w:themeFill="accent1" w:themeFillTint="66"/>
          </w:tcPr>
          <w:p w14:paraId="3076B4D0" w14:textId="77777777" w:rsidR="0085622A" w:rsidRDefault="003A674F">
            <w:pPr>
              <w:jc w:val="center"/>
            </w:pPr>
            <w:r>
              <w:rPr>
                <w:b/>
              </w:rPr>
              <w:t>Minimālā mēneša neto darba alga no 01.07.2022., EUR</w:t>
            </w:r>
          </w:p>
        </w:tc>
        <w:tc>
          <w:tcPr>
            <w:tcW w:w="1457" w:type="dxa"/>
            <w:shd w:val="clear" w:color="auto" w:fill="B4C6E7" w:themeFill="accent1" w:themeFillTint="66"/>
          </w:tcPr>
          <w:p w14:paraId="55036654" w14:textId="77777777" w:rsidR="0085622A" w:rsidRDefault="003A674F">
            <w:pPr>
              <w:jc w:val="center"/>
              <w:rPr>
                <w:b/>
              </w:rPr>
            </w:pPr>
            <w:r>
              <w:rPr>
                <w:b/>
              </w:rPr>
              <w:t>Minimālā mēneša neto darba alga no 01.01.2023., EUR</w:t>
            </w:r>
          </w:p>
        </w:tc>
        <w:tc>
          <w:tcPr>
            <w:tcW w:w="1457" w:type="dxa"/>
            <w:shd w:val="clear" w:color="auto" w:fill="B4C6E7" w:themeFill="accent1" w:themeFillTint="66"/>
          </w:tcPr>
          <w:p w14:paraId="7E798B64" w14:textId="77777777" w:rsidR="0085622A" w:rsidRDefault="003A674F">
            <w:pPr>
              <w:jc w:val="center"/>
              <w:rPr>
                <w:b/>
              </w:rPr>
            </w:pPr>
            <w:r>
              <w:rPr>
                <w:b/>
              </w:rPr>
              <w:t>Minimālās mēneša neto darba algas pieaugums no 01.01.2023., EUR</w:t>
            </w:r>
          </w:p>
        </w:tc>
      </w:tr>
      <w:tr w:rsidR="0085622A" w14:paraId="7CD73479" w14:textId="77777777" w:rsidTr="00593A9C">
        <w:trPr>
          <w:trHeight w:val="681"/>
          <w:jc w:val="center"/>
        </w:trPr>
        <w:tc>
          <w:tcPr>
            <w:tcW w:w="1908" w:type="dxa"/>
          </w:tcPr>
          <w:p w14:paraId="5642EA4C" w14:textId="77777777" w:rsidR="0085622A" w:rsidRDefault="003A674F">
            <w:pPr>
              <w:rPr>
                <w:b/>
              </w:rPr>
            </w:pPr>
            <w:r>
              <w:rPr>
                <w:b/>
              </w:rPr>
              <w:t>Bez apgādājamiem</w:t>
            </w:r>
          </w:p>
        </w:tc>
        <w:tc>
          <w:tcPr>
            <w:tcW w:w="1251" w:type="dxa"/>
          </w:tcPr>
          <w:p w14:paraId="60234EA8" w14:textId="77777777" w:rsidR="0085622A" w:rsidRDefault="003A674F">
            <w:pPr>
              <w:jc w:val="center"/>
            </w:pPr>
            <w:r>
              <w:t>620</w:t>
            </w:r>
          </w:p>
        </w:tc>
        <w:tc>
          <w:tcPr>
            <w:tcW w:w="1771" w:type="dxa"/>
          </w:tcPr>
          <w:p w14:paraId="458D7632" w14:textId="77777777" w:rsidR="0085622A" w:rsidRDefault="003A674F">
            <w:pPr>
              <w:jc w:val="center"/>
            </w:pPr>
            <w:r>
              <w:t>500</w:t>
            </w:r>
          </w:p>
        </w:tc>
        <w:tc>
          <w:tcPr>
            <w:tcW w:w="1457" w:type="dxa"/>
          </w:tcPr>
          <w:p w14:paraId="5EFC3CF8" w14:textId="77777777" w:rsidR="0085622A" w:rsidRDefault="003A674F">
            <w:pPr>
              <w:jc w:val="center"/>
            </w:pPr>
            <w:r>
              <w:t>447,50</w:t>
            </w:r>
          </w:p>
        </w:tc>
        <w:tc>
          <w:tcPr>
            <w:tcW w:w="1457" w:type="dxa"/>
          </w:tcPr>
          <w:p w14:paraId="0DBBEA03" w14:textId="77777777" w:rsidR="0085622A" w:rsidRDefault="003A674F">
            <w:pPr>
              <w:jc w:val="center"/>
            </w:pPr>
            <w:r>
              <w:t>543,92</w:t>
            </w:r>
          </w:p>
        </w:tc>
        <w:tc>
          <w:tcPr>
            <w:tcW w:w="1457" w:type="dxa"/>
          </w:tcPr>
          <w:p w14:paraId="7D0D287D" w14:textId="77777777" w:rsidR="0085622A" w:rsidRDefault="003A674F">
            <w:pPr>
              <w:jc w:val="center"/>
            </w:pPr>
            <w:r>
              <w:t>96,42</w:t>
            </w:r>
          </w:p>
        </w:tc>
      </w:tr>
    </w:tbl>
    <w:p w14:paraId="670509E7" w14:textId="77777777" w:rsidR="0085622A" w:rsidRDefault="003A674F">
      <w:pPr>
        <w:shd w:val="clear" w:color="auto" w:fill="FFFFFF"/>
        <w:rPr>
          <w:iCs/>
          <w:sz w:val="20"/>
          <w:szCs w:val="20"/>
        </w:rPr>
      </w:pPr>
      <w:r>
        <w:rPr>
          <w:iCs/>
          <w:sz w:val="20"/>
          <w:szCs w:val="20"/>
        </w:rPr>
        <w:t>Datu avots: LM aprēķini</w:t>
      </w:r>
    </w:p>
    <w:p w14:paraId="4759DE2D" w14:textId="77777777" w:rsidR="0085622A" w:rsidRDefault="0085622A">
      <w:pPr>
        <w:shd w:val="clear" w:color="auto" w:fill="FFFFFF"/>
        <w:jc w:val="both"/>
        <w:rPr>
          <w:iCs/>
        </w:rPr>
      </w:pPr>
    </w:p>
    <w:p w14:paraId="5DAD3678" w14:textId="77777777" w:rsidR="003A46AA" w:rsidRDefault="003A46AA">
      <w:pPr>
        <w:shd w:val="clear" w:color="auto" w:fill="FFFFFF"/>
        <w:ind w:firstLine="720"/>
        <w:jc w:val="both"/>
      </w:pPr>
      <w:r>
        <w:rPr>
          <w:iCs/>
        </w:rPr>
        <w:t>N</w:t>
      </w:r>
      <w:r w:rsidR="003A674F">
        <w:rPr>
          <w:iCs/>
        </w:rPr>
        <w:t>o 2023.gada 1.janvāra</w:t>
      </w:r>
      <w:r w:rsidR="00871985">
        <w:rPr>
          <w:iCs/>
        </w:rPr>
        <w:t>,</w:t>
      </w:r>
      <w:r w:rsidR="003A674F">
        <w:rPr>
          <w:iCs/>
        </w:rPr>
        <w:t xml:space="preserve"> paaugstin</w:t>
      </w:r>
      <w:r>
        <w:rPr>
          <w:iCs/>
        </w:rPr>
        <w:t>ot</w:t>
      </w:r>
      <w:r w:rsidR="003A674F">
        <w:rPr>
          <w:iCs/>
        </w:rPr>
        <w:t xml:space="preserve"> minimālo algu līdz 620 eiro, neapliekamais minimums </w:t>
      </w:r>
      <w:r>
        <w:rPr>
          <w:iCs/>
        </w:rPr>
        <w:t xml:space="preserve">nemainījās un </w:t>
      </w:r>
      <w:r w:rsidR="003A674F">
        <w:rPr>
          <w:iCs/>
        </w:rPr>
        <w:t>palik</w:t>
      </w:r>
      <w:r>
        <w:rPr>
          <w:iCs/>
        </w:rPr>
        <w:t>a</w:t>
      </w:r>
      <w:r w:rsidR="003A674F">
        <w:rPr>
          <w:iCs/>
        </w:rPr>
        <w:t xml:space="preserve"> </w:t>
      </w:r>
      <w:r>
        <w:rPr>
          <w:iCs/>
        </w:rPr>
        <w:t xml:space="preserve">iepriekšējā līmenī </w:t>
      </w:r>
      <w:r w:rsidR="003A674F">
        <w:rPr>
          <w:iCs/>
        </w:rPr>
        <w:t xml:space="preserve">500 eiro, </w:t>
      </w:r>
      <w:r>
        <w:rPr>
          <w:iCs/>
        </w:rPr>
        <w:t xml:space="preserve">līdz ar to </w:t>
      </w:r>
      <w:r w:rsidR="003A674F">
        <w:rPr>
          <w:iCs/>
        </w:rPr>
        <w:t xml:space="preserve">darba ņēmēja bez apgādājamiem neto ieguvums </w:t>
      </w:r>
      <w:r w:rsidR="00871985">
        <w:rPr>
          <w:iCs/>
        </w:rPr>
        <w:t xml:space="preserve">no minimālās algas paaugstinājuma </w:t>
      </w:r>
      <w:r>
        <w:rPr>
          <w:iCs/>
        </w:rPr>
        <w:t xml:space="preserve">bija </w:t>
      </w:r>
      <w:r w:rsidR="003A674F">
        <w:t>96,42 eiro jeb pieaugums par 21,6%</w:t>
      </w:r>
      <w:r>
        <w:t xml:space="preserve">. </w:t>
      </w:r>
    </w:p>
    <w:p w14:paraId="413F35D3" w14:textId="44E5793E" w:rsidR="007C3139" w:rsidRDefault="003A674F" w:rsidP="0060042C">
      <w:pPr>
        <w:shd w:val="clear" w:color="auto" w:fill="FFFFFF"/>
        <w:ind w:firstLine="720"/>
        <w:jc w:val="both"/>
        <w:rPr>
          <w:color w:val="000000"/>
        </w:rPr>
      </w:pPr>
      <w:r>
        <w:lastRenderedPageBreak/>
        <w:t xml:space="preserve">  </w:t>
      </w:r>
      <w:bookmarkEnd w:id="33"/>
    </w:p>
    <w:p w14:paraId="3100ADA7" w14:textId="77777777" w:rsidR="000E6338" w:rsidRDefault="000E6338" w:rsidP="000E6338">
      <w:pPr>
        <w:jc w:val="right"/>
        <w:rPr>
          <w:color w:val="000000"/>
        </w:rPr>
      </w:pPr>
      <w:r>
        <w:rPr>
          <w:color w:val="000000"/>
        </w:rPr>
        <w:t>1</w:t>
      </w:r>
      <w:r w:rsidR="003F6C9B">
        <w:rPr>
          <w:color w:val="000000"/>
        </w:rPr>
        <w:t>4</w:t>
      </w:r>
      <w:r>
        <w:rPr>
          <w:color w:val="000000"/>
        </w:rPr>
        <w:t>.tabula</w:t>
      </w:r>
    </w:p>
    <w:p w14:paraId="0212BCE2" w14:textId="77777777" w:rsidR="000E6338" w:rsidRDefault="000E6338" w:rsidP="000E6338">
      <w:pPr>
        <w:ind w:right="-108"/>
        <w:jc w:val="center"/>
        <w:rPr>
          <w:b/>
        </w:rPr>
      </w:pPr>
      <w:r>
        <w:rPr>
          <w:b/>
        </w:rPr>
        <w:t>Neto ienākumi no 2024.gada 1.janvāra</w:t>
      </w:r>
    </w:p>
    <w:tbl>
      <w:tblPr>
        <w:tblStyle w:val="TableGrid"/>
        <w:tblW w:w="9301" w:type="dxa"/>
        <w:jc w:val="center"/>
        <w:tblLook w:val="04A0" w:firstRow="1" w:lastRow="0" w:firstColumn="1" w:lastColumn="0" w:noHBand="0" w:noVBand="1"/>
      </w:tblPr>
      <w:tblGrid>
        <w:gridCol w:w="1908"/>
        <w:gridCol w:w="1251"/>
        <w:gridCol w:w="1771"/>
        <w:gridCol w:w="1457"/>
        <w:gridCol w:w="1457"/>
        <w:gridCol w:w="1457"/>
      </w:tblGrid>
      <w:tr w:rsidR="000E6338" w14:paraId="045C2EE5" w14:textId="77777777" w:rsidTr="00593A9C">
        <w:trPr>
          <w:trHeight w:val="2146"/>
          <w:jc w:val="center"/>
        </w:trPr>
        <w:tc>
          <w:tcPr>
            <w:tcW w:w="1908" w:type="dxa"/>
            <w:shd w:val="clear" w:color="auto" w:fill="B4C6E7" w:themeFill="accent1" w:themeFillTint="66"/>
          </w:tcPr>
          <w:p w14:paraId="23E4DC15" w14:textId="77777777" w:rsidR="000E6338" w:rsidRDefault="000E6338" w:rsidP="00605D2A">
            <w:pPr>
              <w:jc w:val="center"/>
              <w:rPr>
                <w:b/>
              </w:rPr>
            </w:pPr>
            <w:r>
              <w:rPr>
                <w:b/>
              </w:rPr>
              <w:t>Mājsaimniecība</w:t>
            </w:r>
          </w:p>
        </w:tc>
        <w:tc>
          <w:tcPr>
            <w:tcW w:w="1251" w:type="dxa"/>
            <w:shd w:val="clear" w:color="auto" w:fill="B4C6E7" w:themeFill="accent1" w:themeFillTint="66"/>
          </w:tcPr>
          <w:p w14:paraId="1DDBCB07" w14:textId="77777777" w:rsidR="000E6338" w:rsidRDefault="000E6338" w:rsidP="00605D2A">
            <w:pPr>
              <w:jc w:val="center"/>
              <w:rPr>
                <w:b/>
              </w:rPr>
            </w:pPr>
            <w:r>
              <w:rPr>
                <w:b/>
              </w:rPr>
              <w:t>Minimālā mēneša bruto darba alga, EUR</w:t>
            </w:r>
          </w:p>
        </w:tc>
        <w:tc>
          <w:tcPr>
            <w:tcW w:w="1771" w:type="dxa"/>
            <w:shd w:val="clear" w:color="auto" w:fill="B4C6E7" w:themeFill="accent1" w:themeFillTint="66"/>
          </w:tcPr>
          <w:p w14:paraId="14089B45" w14:textId="77777777" w:rsidR="000E6338" w:rsidRDefault="000E6338" w:rsidP="00605D2A">
            <w:pPr>
              <w:jc w:val="center"/>
            </w:pPr>
            <w:r>
              <w:rPr>
                <w:b/>
              </w:rPr>
              <w:t>Neapliekamais minimums, EUR</w:t>
            </w:r>
          </w:p>
        </w:tc>
        <w:tc>
          <w:tcPr>
            <w:tcW w:w="1457" w:type="dxa"/>
            <w:shd w:val="clear" w:color="auto" w:fill="B4C6E7" w:themeFill="accent1" w:themeFillTint="66"/>
          </w:tcPr>
          <w:p w14:paraId="293963BC" w14:textId="77777777" w:rsidR="000E6338" w:rsidRDefault="000E6338" w:rsidP="00605D2A">
            <w:pPr>
              <w:jc w:val="center"/>
            </w:pPr>
            <w:r>
              <w:rPr>
                <w:b/>
              </w:rPr>
              <w:t>Minimālā mēneša neto darba alga no 01.01.2023., EUR</w:t>
            </w:r>
          </w:p>
        </w:tc>
        <w:tc>
          <w:tcPr>
            <w:tcW w:w="1457" w:type="dxa"/>
            <w:shd w:val="clear" w:color="auto" w:fill="B4C6E7" w:themeFill="accent1" w:themeFillTint="66"/>
          </w:tcPr>
          <w:p w14:paraId="19B3E995" w14:textId="77777777" w:rsidR="000E6338" w:rsidRDefault="000E6338" w:rsidP="00605D2A">
            <w:pPr>
              <w:jc w:val="center"/>
              <w:rPr>
                <w:b/>
              </w:rPr>
            </w:pPr>
            <w:r>
              <w:rPr>
                <w:b/>
              </w:rPr>
              <w:t>Minimālā mēneša neto darba alga no 01.01.2024., EUR</w:t>
            </w:r>
          </w:p>
        </w:tc>
        <w:tc>
          <w:tcPr>
            <w:tcW w:w="1457" w:type="dxa"/>
            <w:shd w:val="clear" w:color="auto" w:fill="B4C6E7" w:themeFill="accent1" w:themeFillTint="66"/>
          </w:tcPr>
          <w:p w14:paraId="2614BB25" w14:textId="77777777" w:rsidR="000E6338" w:rsidRDefault="000E6338" w:rsidP="00605D2A">
            <w:pPr>
              <w:jc w:val="center"/>
              <w:rPr>
                <w:b/>
              </w:rPr>
            </w:pPr>
            <w:r>
              <w:rPr>
                <w:b/>
              </w:rPr>
              <w:t>Minimālās mēneša neto darba algas pieaugums no 01.01.2024., EUR</w:t>
            </w:r>
          </w:p>
        </w:tc>
      </w:tr>
      <w:tr w:rsidR="000E6338" w14:paraId="0FF73EB0" w14:textId="77777777" w:rsidTr="00593A9C">
        <w:trPr>
          <w:trHeight w:val="681"/>
          <w:jc w:val="center"/>
        </w:trPr>
        <w:tc>
          <w:tcPr>
            <w:tcW w:w="1908" w:type="dxa"/>
          </w:tcPr>
          <w:p w14:paraId="5F7FC05C" w14:textId="77777777" w:rsidR="000E6338" w:rsidRDefault="000E6338" w:rsidP="00605D2A">
            <w:pPr>
              <w:rPr>
                <w:b/>
              </w:rPr>
            </w:pPr>
            <w:r>
              <w:rPr>
                <w:b/>
              </w:rPr>
              <w:t>Bez apgādājamiem</w:t>
            </w:r>
          </w:p>
        </w:tc>
        <w:tc>
          <w:tcPr>
            <w:tcW w:w="1251" w:type="dxa"/>
          </w:tcPr>
          <w:p w14:paraId="430379F7" w14:textId="77777777" w:rsidR="000E6338" w:rsidRDefault="000E6338" w:rsidP="00605D2A">
            <w:pPr>
              <w:jc w:val="center"/>
            </w:pPr>
            <w:r>
              <w:t>700</w:t>
            </w:r>
          </w:p>
        </w:tc>
        <w:tc>
          <w:tcPr>
            <w:tcW w:w="1771" w:type="dxa"/>
          </w:tcPr>
          <w:p w14:paraId="776ACBD3" w14:textId="77777777" w:rsidR="000E6338" w:rsidRDefault="000E6338" w:rsidP="00605D2A">
            <w:pPr>
              <w:jc w:val="center"/>
            </w:pPr>
            <w:r>
              <w:t>500</w:t>
            </w:r>
          </w:p>
        </w:tc>
        <w:tc>
          <w:tcPr>
            <w:tcW w:w="1457" w:type="dxa"/>
          </w:tcPr>
          <w:p w14:paraId="571A4859" w14:textId="77777777" w:rsidR="000E6338" w:rsidRDefault="000E6338" w:rsidP="00605D2A">
            <w:pPr>
              <w:jc w:val="center"/>
            </w:pPr>
            <w:r>
              <w:t>543,92</w:t>
            </w:r>
          </w:p>
        </w:tc>
        <w:tc>
          <w:tcPr>
            <w:tcW w:w="1457" w:type="dxa"/>
          </w:tcPr>
          <w:p w14:paraId="26567159" w14:textId="77777777" w:rsidR="000E6338" w:rsidRDefault="000E6338" w:rsidP="00605D2A">
            <w:pPr>
              <w:jc w:val="center"/>
            </w:pPr>
            <w:r>
              <w:t>601,20</w:t>
            </w:r>
          </w:p>
        </w:tc>
        <w:tc>
          <w:tcPr>
            <w:tcW w:w="1457" w:type="dxa"/>
          </w:tcPr>
          <w:p w14:paraId="5D473634" w14:textId="77777777" w:rsidR="000E6338" w:rsidRDefault="00E11C61" w:rsidP="00605D2A">
            <w:pPr>
              <w:jc w:val="center"/>
            </w:pPr>
            <w:r>
              <w:t>57,28</w:t>
            </w:r>
          </w:p>
        </w:tc>
      </w:tr>
      <w:tr w:rsidR="00E11C61" w14:paraId="7201E1E5" w14:textId="77777777" w:rsidTr="00593A9C">
        <w:trPr>
          <w:trHeight w:val="681"/>
          <w:jc w:val="center"/>
        </w:trPr>
        <w:tc>
          <w:tcPr>
            <w:tcW w:w="1908" w:type="dxa"/>
          </w:tcPr>
          <w:p w14:paraId="1B2C9897" w14:textId="77777777" w:rsidR="00E11C61" w:rsidRDefault="00E11C61" w:rsidP="00605D2A">
            <w:pPr>
              <w:rPr>
                <w:b/>
              </w:rPr>
            </w:pPr>
            <w:r>
              <w:rPr>
                <w:b/>
              </w:rPr>
              <w:t>Bez apgādājamiem</w:t>
            </w:r>
          </w:p>
        </w:tc>
        <w:tc>
          <w:tcPr>
            <w:tcW w:w="1251" w:type="dxa"/>
          </w:tcPr>
          <w:p w14:paraId="18E6AA9B" w14:textId="77777777" w:rsidR="00E11C61" w:rsidRDefault="00E11C61" w:rsidP="00605D2A">
            <w:pPr>
              <w:jc w:val="center"/>
            </w:pPr>
            <w:r>
              <w:t>700</w:t>
            </w:r>
          </w:p>
        </w:tc>
        <w:tc>
          <w:tcPr>
            <w:tcW w:w="1771" w:type="dxa"/>
          </w:tcPr>
          <w:p w14:paraId="642BB64D" w14:textId="77777777" w:rsidR="00E11C61" w:rsidRDefault="00E11C61" w:rsidP="00605D2A">
            <w:pPr>
              <w:jc w:val="center"/>
            </w:pPr>
            <w:r>
              <w:t>600</w:t>
            </w:r>
          </w:p>
        </w:tc>
        <w:tc>
          <w:tcPr>
            <w:tcW w:w="1457" w:type="dxa"/>
          </w:tcPr>
          <w:p w14:paraId="7BFD9870" w14:textId="77777777" w:rsidR="00E11C61" w:rsidRDefault="00E11C61" w:rsidP="00605D2A">
            <w:pPr>
              <w:jc w:val="center"/>
            </w:pPr>
            <w:r>
              <w:t>543,92</w:t>
            </w:r>
          </w:p>
        </w:tc>
        <w:tc>
          <w:tcPr>
            <w:tcW w:w="1457" w:type="dxa"/>
          </w:tcPr>
          <w:p w14:paraId="4ACDF32D" w14:textId="77777777" w:rsidR="00E11C61" w:rsidRDefault="00E11C61" w:rsidP="00605D2A">
            <w:pPr>
              <w:jc w:val="center"/>
            </w:pPr>
            <w:r>
              <w:t>621,20</w:t>
            </w:r>
          </w:p>
        </w:tc>
        <w:tc>
          <w:tcPr>
            <w:tcW w:w="1457" w:type="dxa"/>
          </w:tcPr>
          <w:p w14:paraId="59F6F42A" w14:textId="77777777" w:rsidR="00E11C61" w:rsidRDefault="00E11C61" w:rsidP="00605D2A">
            <w:pPr>
              <w:jc w:val="center"/>
            </w:pPr>
            <w:r>
              <w:t>77,28</w:t>
            </w:r>
          </w:p>
        </w:tc>
      </w:tr>
      <w:tr w:rsidR="00E11C61" w14:paraId="2454FBA7" w14:textId="77777777" w:rsidTr="00593A9C">
        <w:trPr>
          <w:trHeight w:val="681"/>
          <w:jc w:val="center"/>
        </w:trPr>
        <w:tc>
          <w:tcPr>
            <w:tcW w:w="1908" w:type="dxa"/>
          </w:tcPr>
          <w:p w14:paraId="4D440AF2" w14:textId="77777777" w:rsidR="00E11C61" w:rsidRDefault="00E11C61" w:rsidP="00605D2A">
            <w:pPr>
              <w:rPr>
                <w:b/>
              </w:rPr>
            </w:pPr>
            <w:r>
              <w:rPr>
                <w:b/>
              </w:rPr>
              <w:t>Bez apgādājamiem</w:t>
            </w:r>
          </w:p>
        </w:tc>
        <w:tc>
          <w:tcPr>
            <w:tcW w:w="1251" w:type="dxa"/>
          </w:tcPr>
          <w:p w14:paraId="4664D063" w14:textId="77777777" w:rsidR="00E11C61" w:rsidRDefault="00E11C61" w:rsidP="00605D2A">
            <w:pPr>
              <w:jc w:val="center"/>
            </w:pPr>
            <w:r>
              <w:t>700</w:t>
            </w:r>
          </w:p>
        </w:tc>
        <w:tc>
          <w:tcPr>
            <w:tcW w:w="1771" w:type="dxa"/>
          </w:tcPr>
          <w:p w14:paraId="249B4414" w14:textId="77777777" w:rsidR="00E11C61" w:rsidRDefault="00E11C61" w:rsidP="00605D2A">
            <w:pPr>
              <w:jc w:val="center"/>
            </w:pPr>
            <w:r>
              <w:t>700</w:t>
            </w:r>
          </w:p>
        </w:tc>
        <w:tc>
          <w:tcPr>
            <w:tcW w:w="1457" w:type="dxa"/>
          </w:tcPr>
          <w:p w14:paraId="738F6C22" w14:textId="77777777" w:rsidR="00E11C61" w:rsidRDefault="00E11C61" w:rsidP="00605D2A">
            <w:pPr>
              <w:jc w:val="center"/>
            </w:pPr>
            <w:r>
              <w:t>543,92</w:t>
            </w:r>
          </w:p>
        </w:tc>
        <w:tc>
          <w:tcPr>
            <w:tcW w:w="1457" w:type="dxa"/>
          </w:tcPr>
          <w:p w14:paraId="60344F62" w14:textId="77777777" w:rsidR="00E11C61" w:rsidRDefault="00E11C61" w:rsidP="00605D2A">
            <w:pPr>
              <w:jc w:val="center"/>
            </w:pPr>
            <w:r>
              <w:t>626,50</w:t>
            </w:r>
          </w:p>
        </w:tc>
        <w:tc>
          <w:tcPr>
            <w:tcW w:w="1457" w:type="dxa"/>
          </w:tcPr>
          <w:p w14:paraId="51D64655" w14:textId="77777777" w:rsidR="00E11C61" w:rsidRDefault="00E11C61" w:rsidP="00605D2A">
            <w:pPr>
              <w:jc w:val="center"/>
            </w:pPr>
            <w:r>
              <w:t>82,58</w:t>
            </w:r>
          </w:p>
        </w:tc>
      </w:tr>
    </w:tbl>
    <w:p w14:paraId="6B470829" w14:textId="77777777" w:rsidR="000E6338" w:rsidRDefault="000E6338" w:rsidP="000E6338">
      <w:pPr>
        <w:shd w:val="clear" w:color="auto" w:fill="FFFFFF"/>
        <w:rPr>
          <w:iCs/>
          <w:sz w:val="20"/>
          <w:szCs w:val="20"/>
        </w:rPr>
      </w:pPr>
      <w:r>
        <w:rPr>
          <w:iCs/>
          <w:sz w:val="20"/>
          <w:szCs w:val="20"/>
        </w:rPr>
        <w:t>Datu avots: LM aprēķini</w:t>
      </w:r>
    </w:p>
    <w:p w14:paraId="1F110C93" w14:textId="77777777" w:rsidR="0085622A" w:rsidRDefault="0085622A">
      <w:pPr>
        <w:jc w:val="both"/>
      </w:pPr>
    </w:p>
    <w:p w14:paraId="6C1C2AA8" w14:textId="10CE9B70" w:rsidR="000E6338" w:rsidRDefault="00CE1369" w:rsidP="000E6338">
      <w:pPr>
        <w:shd w:val="clear" w:color="auto" w:fill="FFFFFF"/>
        <w:ind w:firstLine="720"/>
        <w:jc w:val="both"/>
      </w:pPr>
      <w:r>
        <w:rPr>
          <w:iCs/>
        </w:rPr>
        <w:t>Ja n</w:t>
      </w:r>
      <w:r w:rsidR="000E6338">
        <w:rPr>
          <w:iCs/>
        </w:rPr>
        <w:t>o 202</w:t>
      </w:r>
      <w:r>
        <w:rPr>
          <w:iCs/>
        </w:rPr>
        <w:t>4</w:t>
      </w:r>
      <w:r w:rsidR="000E6338">
        <w:rPr>
          <w:iCs/>
        </w:rPr>
        <w:t>.gada 1.janvāra</w:t>
      </w:r>
      <w:r>
        <w:rPr>
          <w:iCs/>
        </w:rPr>
        <w:t xml:space="preserve"> </w:t>
      </w:r>
      <w:r w:rsidR="000E6338">
        <w:rPr>
          <w:iCs/>
        </w:rPr>
        <w:t>paaugstin</w:t>
      </w:r>
      <w:r>
        <w:rPr>
          <w:iCs/>
        </w:rPr>
        <w:t>a</w:t>
      </w:r>
      <w:r w:rsidR="000E6338">
        <w:rPr>
          <w:iCs/>
        </w:rPr>
        <w:t xml:space="preserve"> minimālo algu līdz </w:t>
      </w:r>
      <w:r>
        <w:rPr>
          <w:iCs/>
        </w:rPr>
        <w:t>700</w:t>
      </w:r>
      <w:r w:rsidR="000E6338">
        <w:rPr>
          <w:iCs/>
        </w:rPr>
        <w:t xml:space="preserve"> eiro,</w:t>
      </w:r>
      <w:r>
        <w:rPr>
          <w:iCs/>
        </w:rPr>
        <w:t xml:space="preserve"> bet</w:t>
      </w:r>
      <w:r w:rsidR="000E6338">
        <w:rPr>
          <w:iCs/>
        </w:rPr>
        <w:t xml:space="preserve"> neapliekamais minimums nemain</w:t>
      </w:r>
      <w:r>
        <w:rPr>
          <w:iCs/>
        </w:rPr>
        <w:t xml:space="preserve">ās </w:t>
      </w:r>
      <w:r w:rsidR="000E6338">
        <w:rPr>
          <w:iCs/>
        </w:rPr>
        <w:t>un pali</w:t>
      </w:r>
      <w:r>
        <w:rPr>
          <w:iCs/>
        </w:rPr>
        <w:t xml:space="preserve">ek </w:t>
      </w:r>
      <w:r w:rsidR="000E6338">
        <w:rPr>
          <w:iCs/>
        </w:rPr>
        <w:t>iepriekšējā līmenī 500 eiro</w:t>
      </w:r>
      <w:r>
        <w:rPr>
          <w:iCs/>
        </w:rPr>
        <w:t xml:space="preserve"> līmenī</w:t>
      </w:r>
      <w:r w:rsidR="000E6338">
        <w:rPr>
          <w:iCs/>
        </w:rPr>
        <w:t>,</w:t>
      </w:r>
      <w:r>
        <w:rPr>
          <w:iCs/>
        </w:rPr>
        <w:t xml:space="preserve"> tad </w:t>
      </w:r>
      <w:r w:rsidR="000E6338">
        <w:rPr>
          <w:iCs/>
        </w:rPr>
        <w:t xml:space="preserve"> darba ņēmēja bez apgādājamiem neto ieguvums no minimālās algas paaugstinājuma </w:t>
      </w:r>
      <w:r>
        <w:rPr>
          <w:iCs/>
        </w:rPr>
        <w:t>varētu būt 57</w:t>
      </w:r>
      <w:r w:rsidR="000E6338">
        <w:t>,</w:t>
      </w:r>
      <w:r>
        <w:t>28</w:t>
      </w:r>
      <w:r w:rsidR="000E6338">
        <w:t xml:space="preserve"> eiro jeb pieaugums par </w:t>
      </w:r>
      <w:r w:rsidR="00CF6FED">
        <w:t>10,5</w:t>
      </w:r>
      <w:r w:rsidR="000E6338">
        <w:t xml:space="preserve">%. </w:t>
      </w:r>
      <w:r w:rsidR="000777D1">
        <w:t>Ja neapliekamais minimums palielinātos līdz 600 vai 700 eiro,</w:t>
      </w:r>
      <w:r w:rsidR="00FB4448">
        <w:t xml:space="preserve"> tad</w:t>
      </w:r>
      <w:r w:rsidR="000777D1">
        <w:t xml:space="preserve"> attiecīgi neto ieguvums būtu 77,28 eiro vai 82,58 eiro. </w:t>
      </w:r>
    </w:p>
    <w:p w14:paraId="2442D3D2" w14:textId="09F60CE3" w:rsidR="00962C57" w:rsidRDefault="00962C57">
      <w:r>
        <w:br w:type="page"/>
      </w:r>
    </w:p>
    <w:p w14:paraId="3F590B2D" w14:textId="64413F95" w:rsidR="00CE1369" w:rsidRDefault="00CE1369"/>
    <w:p w14:paraId="36311F48" w14:textId="77777777" w:rsidR="00962C57" w:rsidRDefault="00962C57"/>
    <w:p w14:paraId="7225FF02" w14:textId="77777777" w:rsidR="0085622A" w:rsidRDefault="003A674F" w:rsidP="001F402C">
      <w:pPr>
        <w:pStyle w:val="Heading1"/>
      </w:pPr>
      <w:bookmarkStart w:id="34" w:name="_Toc148720966"/>
      <w:r>
        <w:t>10. Kopsavilkums un secinājumi</w:t>
      </w:r>
      <w:bookmarkEnd w:id="34"/>
    </w:p>
    <w:p w14:paraId="36B4EBBC" w14:textId="77777777" w:rsidR="0085622A" w:rsidRDefault="0085622A">
      <w:pPr>
        <w:jc w:val="center"/>
        <w:rPr>
          <w:b/>
          <w:bCs/>
        </w:rPr>
      </w:pPr>
    </w:p>
    <w:p w14:paraId="50AB0415" w14:textId="674CCE5F" w:rsidR="00F8174C" w:rsidRPr="00F8174C" w:rsidRDefault="002C2AE7" w:rsidP="00495DD2">
      <w:pPr>
        <w:pStyle w:val="NormalWeb"/>
        <w:numPr>
          <w:ilvl w:val="0"/>
          <w:numId w:val="5"/>
        </w:numPr>
        <w:shd w:val="clear" w:color="auto" w:fill="FFFFFF"/>
        <w:spacing w:before="0" w:beforeAutospacing="0" w:after="0" w:afterAutospacing="0" w:line="210" w:lineRule="atLeast"/>
        <w:jc w:val="both"/>
        <w:textAlignment w:val="baseline"/>
        <w:rPr>
          <w:color w:val="000000"/>
        </w:rPr>
      </w:pPr>
      <w:r>
        <w:t>M</w:t>
      </w:r>
      <w:r w:rsidRPr="002C2AE7">
        <w:t>inimāl</w:t>
      </w:r>
      <w:r>
        <w:t>ā</w:t>
      </w:r>
      <w:r w:rsidRPr="002C2AE7">
        <w:t xml:space="preserve"> alg</w:t>
      </w:r>
      <w:r>
        <w:t>a</w:t>
      </w:r>
      <w:r w:rsidRPr="002C2AE7">
        <w:t xml:space="preserve"> 2023.gadā </w:t>
      </w:r>
      <w:r>
        <w:t xml:space="preserve">tika paaugstināta no 500 eiro līdz </w:t>
      </w:r>
      <w:r w:rsidRPr="002C2AE7">
        <w:t xml:space="preserve">620 eiro </w:t>
      </w:r>
      <w:r>
        <w:t>jeb par 24%</w:t>
      </w:r>
      <w:r w:rsidR="00F8174C">
        <w:t>.</w:t>
      </w:r>
    </w:p>
    <w:p w14:paraId="7D8D085A" w14:textId="77777777" w:rsidR="00F8174C" w:rsidRPr="00F12724" w:rsidRDefault="00F8174C" w:rsidP="00F8174C">
      <w:pPr>
        <w:pStyle w:val="NormalWeb"/>
        <w:numPr>
          <w:ilvl w:val="0"/>
          <w:numId w:val="5"/>
        </w:numPr>
        <w:shd w:val="clear" w:color="auto" w:fill="FFFFFF"/>
        <w:spacing w:before="0" w:beforeAutospacing="0" w:after="0" w:afterAutospacing="0" w:line="210" w:lineRule="atLeast"/>
        <w:jc w:val="both"/>
        <w:textAlignment w:val="baseline"/>
        <w:rPr>
          <w:color w:val="000000"/>
        </w:rPr>
      </w:pPr>
      <w:r w:rsidRPr="00F12724">
        <w:rPr>
          <w:color w:val="000000"/>
        </w:rPr>
        <w:t>Salīdzinot minimālo darba algu pret vidējo darba samaksu par iepriekšējo jeb 202</w:t>
      </w:r>
      <w:r>
        <w:rPr>
          <w:color w:val="000000"/>
        </w:rPr>
        <w:t>2</w:t>
      </w:r>
      <w:r w:rsidRPr="00F12724">
        <w:rPr>
          <w:color w:val="000000"/>
        </w:rPr>
        <w:t>.gadu, var secināt, ka 202</w:t>
      </w:r>
      <w:r>
        <w:rPr>
          <w:color w:val="000000"/>
        </w:rPr>
        <w:t>3</w:t>
      </w:r>
      <w:r w:rsidRPr="00F12724">
        <w:rPr>
          <w:color w:val="000000"/>
        </w:rPr>
        <w:t>.gadā minimālā alga (</w:t>
      </w:r>
      <w:r>
        <w:rPr>
          <w:color w:val="000000"/>
        </w:rPr>
        <w:t>620</w:t>
      </w:r>
      <w:r w:rsidRPr="00F12724">
        <w:rPr>
          <w:color w:val="000000"/>
        </w:rPr>
        <w:t xml:space="preserve"> eiro) </w:t>
      </w:r>
      <w:r>
        <w:rPr>
          <w:color w:val="000000"/>
        </w:rPr>
        <w:t>ir</w:t>
      </w:r>
      <w:r w:rsidRPr="00F12724">
        <w:rPr>
          <w:color w:val="000000"/>
        </w:rPr>
        <w:t xml:space="preserve"> </w:t>
      </w:r>
      <w:r>
        <w:rPr>
          <w:color w:val="000000"/>
        </w:rPr>
        <w:t>45</w:t>
      </w:r>
      <w:r w:rsidRPr="00F12724">
        <w:rPr>
          <w:color w:val="000000"/>
        </w:rPr>
        <w:t>,2</w:t>
      </w:r>
      <w:r>
        <w:rPr>
          <w:color w:val="000000"/>
        </w:rPr>
        <w:t xml:space="preserve"> </w:t>
      </w:r>
      <w:r w:rsidRPr="00F12724">
        <w:rPr>
          <w:color w:val="000000"/>
        </w:rPr>
        <w:t>% no vidējās darba algas (</w:t>
      </w:r>
      <w:r>
        <w:rPr>
          <w:color w:val="000000"/>
        </w:rPr>
        <w:t>1373</w:t>
      </w:r>
      <w:r w:rsidRPr="00F12724">
        <w:rPr>
          <w:color w:val="000000"/>
        </w:rPr>
        <w:t xml:space="preserve"> eiro)</w:t>
      </w:r>
      <w:r>
        <w:rPr>
          <w:color w:val="000000"/>
        </w:rPr>
        <w:t xml:space="preserve"> iepriekšējā gadā</w:t>
      </w:r>
      <w:r w:rsidRPr="00F12724">
        <w:rPr>
          <w:color w:val="000000"/>
        </w:rPr>
        <w:t>.</w:t>
      </w:r>
    </w:p>
    <w:p w14:paraId="68355ABC" w14:textId="77777777" w:rsidR="00495DD2" w:rsidRDefault="00495DD2" w:rsidP="00495DD2">
      <w:pPr>
        <w:pStyle w:val="ListParagraph"/>
        <w:numPr>
          <w:ilvl w:val="0"/>
          <w:numId w:val="5"/>
        </w:numPr>
        <w:spacing w:line="240" w:lineRule="auto"/>
        <w:ind w:left="714" w:hanging="357"/>
        <w:rPr>
          <w:sz w:val="24"/>
          <w:szCs w:val="24"/>
          <w:lang w:val="lv-LV"/>
        </w:rPr>
      </w:pPr>
      <w:r w:rsidRPr="002C2AE7">
        <w:rPr>
          <w:sz w:val="24"/>
          <w:szCs w:val="24"/>
          <w:lang w:val="lv-LV"/>
        </w:rPr>
        <w:t>202</w:t>
      </w:r>
      <w:r>
        <w:rPr>
          <w:sz w:val="24"/>
          <w:szCs w:val="24"/>
          <w:lang w:val="lv-LV"/>
        </w:rPr>
        <w:t>3</w:t>
      </w:r>
      <w:r w:rsidRPr="002C2AE7">
        <w:rPr>
          <w:sz w:val="24"/>
          <w:szCs w:val="24"/>
          <w:lang w:val="lv-LV"/>
        </w:rPr>
        <w:t xml:space="preserve">. gadā </w:t>
      </w:r>
      <w:r w:rsidR="00204041">
        <w:rPr>
          <w:sz w:val="24"/>
          <w:szCs w:val="24"/>
          <w:lang w:val="lv-LV"/>
        </w:rPr>
        <w:t xml:space="preserve">arī pārējās </w:t>
      </w:r>
      <w:r w:rsidRPr="002C2AE7">
        <w:rPr>
          <w:sz w:val="24"/>
          <w:szCs w:val="24"/>
          <w:lang w:val="lv-LV"/>
        </w:rPr>
        <w:t>Baltijas valst</w:t>
      </w:r>
      <w:r>
        <w:rPr>
          <w:sz w:val="24"/>
          <w:szCs w:val="24"/>
          <w:lang w:val="lv-LV"/>
        </w:rPr>
        <w:t xml:space="preserve">is </w:t>
      </w:r>
      <w:r w:rsidRPr="002C2AE7">
        <w:rPr>
          <w:sz w:val="24"/>
          <w:szCs w:val="24"/>
          <w:lang w:val="lv-LV"/>
        </w:rPr>
        <w:t>paaugstināja minimālo algu</w:t>
      </w:r>
      <w:r>
        <w:rPr>
          <w:sz w:val="24"/>
          <w:szCs w:val="24"/>
          <w:lang w:val="lv-LV"/>
        </w:rPr>
        <w:t xml:space="preserve"> -</w:t>
      </w:r>
      <w:r w:rsidRPr="002C2AE7">
        <w:rPr>
          <w:sz w:val="24"/>
          <w:szCs w:val="24"/>
          <w:lang w:val="lv-LV"/>
        </w:rPr>
        <w:t xml:space="preserve"> </w:t>
      </w:r>
      <w:r>
        <w:rPr>
          <w:sz w:val="24"/>
          <w:szCs w:val="24"/>
          <w:lang w:val="lv-LV"/>
        </w:rPr>
        <w:t xml:space="preserve">Igaunija no 654 eiro līdz 725 eiro jeb </w:t>
      </w:r>
      <w:r w:rsidR="00D60F87">
        <w:rPr>
          <w:sz w:val="24"/>
          <w:szCs w:val="24"/>
          <w:lang w:val="lv-LV"/>
        </w:rPr>
        <w:t xml:space="preserve">par </w:t>
      </w:r>
      <w:r>
        <w:rPr>
          <w:sz w:val="24"/>
          <w:szCs w:val="24"/>
          <w:lang w:val="lv-LV"/>
        </w:rPr>
        <w:t>10,9%</w:t>
      </w:r>
      <w:r w:rsidRPr="002C2AE7">
        <w:rPr>
          <w:sz w:val="24"/>
          <w:szCs w:val="24"/>
          <w:lang w:val="lv-LV"/>
        </w:rPr>
        <w:t>,</w:t>
      </w:r>
      <w:r>
        <w:rPr>
          <w:sz w:val="24"/>
          <w:szCs w:val="24"/>
          <w:lang w:val="lv-LV"/>
        </w:rPr>
        <w:t xml:space="preserve"> Lietuva no 730 eiro līdz 840 eiro jeb </w:t>
      </w:r>
      <w:r w:rsidR="00D60F87">
        <w:rPr>
          <w:sz w:val="24"/>
          <w:szCs w:val="24"/>
          <w:lang w:val="lv-LV"/>
        </w:rPr>
        <w:t xml:space="preserve">par </w:t>
      </w:r>
      <w:r>
        <w:rPr>
          <w:sz w:val="24"/>
          <w:szCs w:val="24"/>
          <w:lang w:val="lv-LV"/>
        </w:rPr>
        <w:t>15,1%.</w:t>
      </w:r>
    </w:p>
    <w:p w14:paraId="61E6B9C8" w14:textId="1219E34E" w:rsidR="00495DD2" w:rsidRDefault="00495DD2" w:rsidP="00495DD2">
      <w:pPr>
        <w:pStyle w:val="ListParagraph"/>
        <w:numPr>
          <w:ilvl w:val="0"/>
          <w:numId w:val="5"/>
        </w:numPr>
        <w:spacing w:line="240" w:lineRule="auto"/>
        <w:ind w:left="714" w:hanging="357"/>
        <w:rPr>
          <w:sz w:val="24"/>
          <w:szCs w:val="24"/>
          <w:lang w:val="lv-LV"/>
        </w:rPr>
      </w:pPr>
      <w:r w:rsidRPr="002C2AE7">
        <w:rPr>
          <w:sz w:val="24"/>
          <w:szCs w:val="24"/>
          <w:lang w:val="lv-LV"/>
        </w:rPr>
        <w:t>Latvijā 202</w:t>
      </w:r>
      <w:r>
        <w:rPr>
          <w:sz w:val="24"/>
          <w:szCs w:val="24"/>
          <w:lang w:val="lv-LV"/>
        </w:rPr>
        <w:t>3</w:t>
      </w:r>
      <w:r w:rsidRPr="002C2AE7">
        <w:rPr>
          <w:sz w:val="24"/>
          <w:szCs w:val="24"/>
          <w:lang w:val="lv-LV"/>
        </w:rPr>
        <w:t xml:space="preserve">.gadā ir </w:t>
      </w:r>
      <w:r>
        <w:rPr>
          <w:sz w:val="24"/>
          <w:szCs w:val="24"/>
          <w:lang w:val="lv-LV"/>
        </w:rPr>
        <w:t xml:space="preserve">ceturtā </w:t>
      </w:r>
      <w:r w:rsidRPr="002C2AE7">
        <w:rPr>
          <w:sz w:val="24"/>
          <w:szCs w:val="24"/>
          <w:lang w:val="lv-LV"/>
        </w:rPr>
        <w:t>zemākā minimālā alga Eiropas Savienībā</w:t>
      </w:r>
      <w:r w:rsidR="0026011D">
        <w:rPr>
          <w:sz w:val="24"/>
          <w:szCs w:val="24"/>
          <w:lang w:val="lv-LV"/>
        </w:rPr>
        <w:t>.</w:t>
      </w:r>
    </w:p>
    <w:p w14:paraId="75F95265" w14:textId="05EC90B3" w:rsidR="00890E78" w:rsidRPr="00890E78" w:rsidRDefault="00890E78" w:rsidP="004B54C2">
      <w:pPr>
        <w:pStyle w:val="ListParagraph"/>
        <w:numPr>
          <w:ilvl w:val="0"/>
          <w:numId w:val="5"/>
        </w:numPr>
        <w:spacing w:line="240" w:lineRule="auto"/>
        <w:ind w:left="714" w:hanging="357"/>
        <w:rPr>
          <w:sz w:val="24"/>
          <w:szCs w:val="24"/>
          <w:lang w:val="lv-LV"/>
        </w:rPr>
      </w:pPr>
      <w:r w:rsidRPr="00890E78">
        <w:rPr>
          <w:sz w:val="24"/>
          <w:szCs w:val="24"/>
          <w:lang w:val="lv-LV"/>
        </w:rPr>
        <w:t>Saskaņā ar FM prognozēm 2023.gada kopējais algu pieaugums varētu sasniegt  11% un 2024. gadā – 7,5%. Savukārt, vidējā termiņā sagaidāms, ka algu pieauguma temps palēnināsies un tuvosies produktivitātes pieauguma tempam, stabilizējoties 5% līmenī.</w:t>
      </w:r>
    </w:p>
    <w:p w14:paraId="6B72258A" w14:textId="261F0FF8" w:rsidR="00495DD2" w:rsidRPr="002C2AE7" w:rsidRDefault="00495DD2" w:rsidP="00495DD2">
      <w:pPr>
        <w:pStyle w:val="ListParagraph"/>
        <w:numPr>
          <w:ilvl w:val="0"/>
          <w:numId w:val="5"/>
        </w:numPr>
        <w:spacing w:line="240" w:lineRule="auto"/>
        <w:ind w:left="714" w:hanging="357"/>
        <w:rPr>
          <w:sz w:val="24"/>
          <w:szCs w:val="24"/>
          <w:lang w:val="lv-LV"/>
        </w:rPr>
      </w:pPr>
      <w:r w:rsidRPr="002C2AE7">
        <w:rPr>
          <w:sz w:val="24"/>
          <w:szCs w:val="24"/>
          <w:lang w:val="lv-LV"/>
        </w:rPr>
        <w:t>Saskaņā ar CSP datiem patēriņa cenu pieaugums 202</w:t>
      </w:r>
      <w:r w:rsidR="00D60F87">
        <w:rPr>
          <w:sz w:val="24"/>
          <w:szCs w:val="24"/>
          <w:lang w:val="lv-LV"/>
        </w:rPr>
        <w:t>2</w:t>
      </w:r>
      <w:r w:rsidRPr="002C2AE7">
        <w:rPr>
          <w:sz w:val="24"/>
          <w:szCs w:val="24"/>
          <w:lang w:val="lv-LV"/>
        </w:rPr>
        <w:t>. gad</w:t>
      </w:r>
      <w:r w:rsidR="00D60F87">
        <w:rPr>
          <w:sz w:val="24"/>
          <w:szCs w:val="24"/>
          <w:lang w:val="lv-LV"/>
        </w:rPr>
        <w:t xml:space="preserve">ā </w:t>
      </w:r>
      <w:r w:rsidR="00357145">
        <w:rPr>
          <w:sz w:val="24"/>
          <w:szCs w:val="24"/>
          <w:lang w:val="lv-LV"/>
        </w:rPr>
        <w:t>bija 17,3</w:t>
      </w:r>
      <w:r w:rsidRPr="002C2AE7">
        <w:rPr>
          <w:sz w:val="24"/>
          <w:szCs w:val="24"/>
          <w:lang w:val="lv-LV"/>
        </w:rPr>
        <w:t>%,</w:t>
      </w:r>
      <w:r w:rsidR="006F61A6">
        <w:rPr>
          <w:sz w:val="24"/>
          <w:szCs w:val="24"/>
          <w:lang w:val="lv-LV"/>
        </w:rPr>
        <w:t xml:space="preserve"> savukārt, 2023.gada vidējā inflācija tiek prognozēta 10% apmērā, </w:t>
      </w:r>
      <w:r w:rsidR="00FB4448">
        <w:rPr>
          <w:sz w:val="24"/>
          <w:szCs w:val="24"/>
          <w:lang w:val="lv-LV"/>
        </w:rPr>
        <w:t>svarīgi uzsvērt, ka paaugstinātas</w:t>
      </w:r>
      <w:r w:rsidR="00357145">
        <w:rPr>
          <w:sz w:val="24"/>
          <w:szCs w:val="24"/>
          <w:lang w:val="lv-LV"/>
        </w:rPr>
        <w:t xml:space="preserve"> </w:t>
      </w:r>
      <w:r w:rsidRPr="002C2AE7">
        <w:rPr>
          <w:sz w:val="24"/>
          <w:szCs w:val="24"/>
          <w:lang w:val="lv-LV"/>
        </w:rPr>
        <w:t>inflācijas apstākļos minimālās algas saņēmēji ir vairāk pakļauti nabadzības riskam, nekā lielāku algu saņēmēji.</w:t>
      </w:r>
    </w:p>
    <w:p w14:paraId="4BC868D0" w14:textId="10B45DAF" w:rsidR="00FB4448" w:rsidRDefault="003A674F" w:rsidP="00EE1B8B">
      <w:pPr>
        <w:pStyle w:val="ListParagraph"/>
        <w:numPr>
          <w:ilvl w:val="0"/>
          <w:numId w:val="5"/>
        </w:numPr>
        <w:spacing w:line="240" w:lineRule="auto"/>
        <w:ind w:left="714" w:hanging="357"/>
        <w:rPr>
          <w:sz w:val="24"/>
          <w:szCs w:val="24"/>
          <w:lang w:val="lv-LV"/>
        </w:rPr>
      </w:pPr>
      <w:r w:rsidRPr="002C2AE7">
        <w:rPr>
          <w:sz w:val="24"/>
          <w:szCs w:val="24"/>
          <w:lang w:val="lv-LV"/>
        </w:rPr>
        <w:t xml:space="preserve">Lai mazo algu saņēmēji saglabātu pirktspēju un mazinātos strādājošo nabadzības riski, kā arī ņemtu vērā vidējās darba samaksas </w:t>
      </w:r>
      <w:r w:rsidR="00FB4448">
        <w:rPr>
          <w:sz w:val="24"/>
          <w:szCs w:val="24"/>
          <w:lang w:val="lv-LV"/>
        </w:rPr>
        <w:t>un</w:t>
      </w:r>
      <w:r w:rsidRPr="002C2AE7">
        <w:rPr>
          <w:sz w:val="24"/>
          <w:szCs w:val="24"/>
          <w:lang w:val="lv-LV"/>
        </w:rPr>
        <w:t xml:space="preserve"> inflācijas pieaugumu, nepieciešams </w:t>
      </w:r>
      <w:r w:rsidR="002F59C5" w:rsidRPr="002C2AE7">
        <w:rPr>
          <w:sz w:val="24"/>
          <w:szCs w:val="24"/>
          <w:lang w:val="lv-LV"/>
        </w:rPr>
        <w:t>no 2024.gada 1.janvāra minimāl</w:t>
      </w:r>
      <w:r w:rsidR="00751139">
        <w:rPr>
          <w:sz w:val="24"/>
          <w:szCs w:val="24"/>
          <w:lang w:val="lv-LV"/>
        </w:rPr>
        <w:t>o</w:t>
      </w:r>
      <w:r w:rsidR="002F59C5" w:rsidRPr="002C2AE7">
        <w:rPr>
          <w:sz w:val="24"/>
          <w:szCs w:val="24"/>
          <w:lang w:val="lv-LV"/>
        </w:rPr>
        <w:t xml:space="preserve"> darba alg</w:t>
      </w:r>
      <w:r w:rsidR="00751139">
        <w:rPr>
          <w:sz w:val="24"/>
          <w:szCs w:val="24"/>
          <w:lang w:val="lv-LV"/>
        </w:rPr>
        <w:t>u</w:t>
      </w:r>
      <w:r w:rsidR="002F59C5" w:rsidRPr="002C2AE7">
        <w:rPr>
          <w:sz w:val="24"/>
          <w:szCs w:val="24"/>
          <w:lang w:val="lv-LV"/>
        </w:rPr>
        <w:t xml:space="preserve"> </w:t>
      </w:r>
      <w:r w:rsidR="002F59C5">
        <w:rPr>
          <w:sz w:val="24"/>
          <w:szCs w:val="24"/>
          <w:lang w:val="lv-LV"/>
        </w:rPr>
        <w:t xml:space="preserve">noteikt </w:t>
      </w:r>
      <w:r w:rsidR="002F59C5" w:rsidRPr="002C2AE7">
        <w:rPr>
          <w:sz w:val="24"/>
          <w:szCs w:val="24"/>
          <w:lang w:val="lv-LV"/>
        </w:rPr>
        <w:t>700 eiro</w:t>
      </w:r>
      <w:r w:rsidR="00751139" w:rsidRPr="00751139">
        <w:rPr>
          <w:sz w:val="24"/>
          <w:szCs w:val="24"/>
          <w:lang w:val="lv-LV"/>
        </w:rPr>
        <w:t xml:space="preserve"> </w:t>
      </w:r>
      <w:r w:rsidR="00751139" w:rsidRPr="002C2AE7">
        <w:rPr>
          <w:sz w:val="24"/>
          <w:szCs w:val="24"/>
          <w:lang w:val="lv-LV"/>
        </w:rPr>
        <w:t>apmēr</w:t>
      </w:r>
      <w:r w:rsidR="00751139">
        <w:rPr>
          <w:sz w:val="24"/>
          <w:szCs w:val="24"/>
          <w:lang w:val="lv-LV"/>
        </w:rPr>
        <w:t>ā</w:t>
      </w:r>
      <w:r w:rsidRPr="002C2AE7">
        <w:rPr>
          <w:sz w:val="24"/>
          <w:szCs w:val="24"/>
          <w:lang w:val="lv-LV"/>
        </w:rPr>
        <w:t>.</w:t>
      </w:r>
    </w:p>
    <w:p w14:paraId="151710F4" w14:textId="403FBF45" w:rsidR="0085622A" w:rsidRDefault="00FB4448" w:rsidP="00EE1B8B">
      <w:pPr>
        <w:pStyle w:val="ListParagraph"/>
        <w:numPr>
          <w:ilvl w:val="0"/>
          <w:numId w:val="5"/>
        </w:numPr>
        <w:spacing w:line="240" w:lineRule="auto"/>
        <w:ind w:left="714" w:hanging="357"/>
        <w:rPr>
          <w:sz w:val="24"/>
          <w:szCs w:val="24"/>
          <w:lang w:val="lv-LV"/>
        </w:rPr>
      </w:pPr>
      <w:r>
        <w:rPr>
          <w:sz w:val="24"/>
          <w:szCs w:val="24"/>
          <w:lang w:val="lv-LV"/>
        </w:rPr>
        <w:t>Saskaņā ar</w:t>
      </w:r>
      <w:r w:rsidR="00753A1D">
        <w:rPr>
          <w:sz w:val="24"/>
          <w:szCs w:val="24"/>
          <w:lang w:val="lv-LV"/>
        </w:rPr>
        <w:t xml:space="preserve"> </w:t>
      </w:r>
      <w:r w:rsidR="00753A1D" w:rsidRPr="00753A1D">
        <w:rPr>
          <w:sz w:val="24"/>
          <w:szCs w:val="24"/>
          <w:lang w:val="lv-LV"/>
        </w:rPr>
        <w:t>Latvijas Bankas aprēķiniem</w:t>
      </w:r>
      <w:r w:rsidR="00753A1D">
        <w:rPr>
          <w:sz w:val="24"/>
          <w:szCs w:val="24"/>
          <w:lang w:val="lv-LV"/>
        </w:rPr>
        <w:t xml:space="preserve"> </w:t>
      </w:r>
      <w:r w:rsidR="00753A1D" w:rsidRPr="00753A1D">
        <w:rPr>
          <w:sz w:val="24"/>
          <w:szCs w:val="24"/>
          <w:lang w:val="lv-LV"/>
        </w:rPr>
        <w:t>minimālās darba algas paaugstināšana no 620 eiro līdz 700 eiro varētu atspoguļoties vidējās bruto alga pieaugumā par 1% un vidējā mājsaimniecību rīcībā esošā ienākuma pieaugumā par 0</w:t>
      </w:r>
      <w:r w:rsidR="00073318">
        <w:rPr>
          <w:sz w:val="24"/>
          <w:szCs w:val="24"/>
          <w:lang w:val="lv-LV"/>
        </w:rPr>
        <w:t>,</w:t>
      </w:r>
      <w:r w:rsidR="00753A1D" w:rsidRPr="00753A1D">
        <w:rPr>
          <w:sz w:val="24"/>
          <w:szCs w:val="24"/>
          <w:lang w:val="lv-LV"/>
        </w:rPr>
        <w:t xml:space="preserve">5% </w:t>
      </w:r>
      <w:r w:rsidR="00753A1D">
        <w:rPr>
          <w:sz w:val="24"/>
          <w:szCs w:val="24"/>
          <w:lang w:val="lv-LV"/>
        </w:rPr>
        <w:t xml:space="preserve">, </w:t>
      </w:r>
      <w:r w:rsidR="00753A1D" w:rsidRPr="00753A1D">
        <w:rPr>
          <w:sz w:val="24"/>
          <w:szCs w:val="24"/>
          <w:lang w:val="lv-LV"/>
        </w:rPr>
        <w:t>atalgojums palielinātos ne tikai minimālās algas saņēmējiem, bet arī tiem nodarbinātajiem, kuriem atalgojums ir tuvu minimālajai algai</w:t>
      </w:r>
      <w:r w:rsidR="0026011D">
        <w:rPr>
          <w:sz w:val="24"/>
          <w:szCs w:val="24"/>
          <w:lang w:val="lv-LV"/>
        </w:rPr>
        <w:t xml:space="preserve">, samazinātos ēnu </w:t>
      </w:r>
      <w:r w:rsidR="00753A1D" w:rsidRPr="00753A1D">
        <w:rPr>
          <w:sz w:val="24"/>
          <w:szCs w:val="24"/>
          <w:lang w:val="lv-LV"/>
        </w:rPr>
        <w:t>ekonomikas īpatsvars</w:t>
      </w:r>
      <w:r w:rsidR="0026011D">
        <w:rPr>
          <w:sz w:val="24"/>
          <w:szCs w:val="24"/>
          <w:lang w:val="lv-LV"/>
        </w:rPr>
        <w:t>. Tāpat atbilstoši Latvijas Bankas vērtējumam minimālās algas paaugstināšana līdz 700 eiro</w:t>
      </w:r>
      <w:r w:rsidR="00753A1D" w:rsidRPr="00753A1D">
        <w:rPr>
          <w:sz w:val="24"/>
          <w:szCs w:val="24"/>
          <w:lang w:val="lv-LV"/>
        </w:rPr>
        <w:t xml:space="preserve"> varētu</w:t>
      </w:r>
      <w:r w:rsidR="0026011D">
        <w:rPr>
          <w:sz w:val="24"/>
          <w:szCs w:val="24"/>
          <w:lang w:val="lv-LV"/>
        </w:rPr>
        <w:t xml:space="preserve"> nedaudz</w:t>
      </w:r>
      <w:r w:rsidR="00753A1D" w:rsidRPr="00753A1D">
        <w:rPr>
          <w:sz w:val="24"/>
          <w:szCs w:val="24"/>
          <w:lang w:val="lv-LV"/>
        </w:rPr>
        <w:t xml:space="preserve"> </w:t>
      </w:r>
      <w:r w:rsidR="0026011D">
        <w:rPr>
          <w:sz w:val="24"/>
          <w:szCs w:val="24"/>
          <w:lang w:val="lv-LV"/>
        </w:rPr>
        <w:t>palielināt</w:t>
      </w:r>
      <w:r w:rsidR="00753A1D" w:rsidRPr="00753A1D">
        <w:rPr>
          <w:sz w:val="24"/>
          <w:szCs w:val="24"/>
          <w:lang w:val="lv-LV"/>
        </w:rPr>
        <w:t xml:space="preserve"> bezdarbu (nodarbinātības samazināšan</w:t>
      </w:r>
      <w:r w:rsidR="0026011D">
        <w:rPr>
          <w:sz w:val="24"/>
          <w:szCs w:val="24"/>
          <w:lang w:val="lv-LV"/>
        </w:rPr>
        <w:t>ā</w:t>
      </w:r>
      <w:r w:rsidR="00753A1D" w:rsidRPr="00753A1D">
        <w:rPr>
          <w:sz w:val="24"/>
          <w:szCs w:val="24"/>
          <w:lang w:val="lv-LV"/>
        </w:rPr>
        <w:t>s par 0</w:t>
      </w:r>
      <w:r w:rsidR="004720BC">
        <w:rPr>
          <w:sz w:val="24"/>
          <w:szCs w:val="24"/>
          <w:lang w:val="lv-LV"/>
        </w:rPr>
        <w:t>,</w:t>
      </w:r>
      <w:r w:rsidR="00753A1D" w:rsidRPr="00753A1D">
        <w:rPr>
          <w:sz w:val="24"/>
          <w:szCs w:val="24"/>
          <w:lang w:val="lv-LV"/>
        </w:rPr>
        <w:t xml:space="preserve">8%), </w:t>
      </w:r>
      <w:r w:rsidR="0026011D">
        <w:rPr>
          <w:sz w:val="24"/>
          <w:szCs w:val="24"/>
          <w:lang w:val="lv-LV"/>
        </w:rPr>
        <w:t xml:space="preserve">ietekmi uz </w:t>
      </w:r>
      <w:r w:rsidR="00753A1D" w:rsidRPr="00753A1D">
        <w:rPr>
          <w:sz w:val="24"/>
          <w:szCs w:val="24"/>
          <w:lang w:val="lv-LV"/>
        </w:rPr>
        <w:t>IKP lēš</w:t>
      </w:r>
      <w:r w:rsidR="0026011D">
        <w:rPr>
          <w:sz w:val="24"/>
          <w:szCs w:val="24"/>
          <w:lang w:val="lv-LV"/>
        </w:rPr>
        <w:t>ot</w:t>
      </w:r>
      <w:r w:rsidR="00753A1D" w:rsidRPr="00753A1D">
        <w:rPr>
          <w:sz w:val="24"/>
          <w:szCs w:val="24"/>
          <w:lang w:val="lv-LV"/>
        </w:rPr>
        <w:t xml:space="preserve"> aptuveni</w:t>
      </w:r>
      <w:r w:rsidR="0026011D">
        <w:rPr>
          <w:sz w:val="24"/>
          <w:szCs w:val="24"/>
          <w:lang w:val="lv-LV"/>
        </w:rPr>
        <w:t xml:space="preserve"> </w:t>
      </w:r>
      <w:r w:rsidR="00753A1D" w:rsidRPr="00753A1D">
        <w:rPr>
          <w:sz w:val="24"/>
          <w:szCs w:val="24"/>
          <w:lang w:val="lv-LV"/>
        </w:rPr>
        <w:t>0</w:t>
      </w:r>
      <w:r w:rsidR="004720BC">
        <w:rPr>
          <w:sz w:val="24"/>
          <w:szCs w:val="24"/>
          <w:lang w:val="lv-LV"/>
        </w:rPr>
        <w:t>,</w:t>
      </w:r>
      <w:r w:rsidR="00753A1D" w:rsidRPr="00753A1D">
        <w:rPr>
          <w:sz w:val="24"/>
          <w:szCs w:val="24"/>
          <w:lang w:val="lv-LV"/>
        </w:rPr>
        <w:t>3% apmērā.</w:t>
      </w:r>
    </w:p>
    <w:p w14:paraId="49439D05" w14:textId="2E507E37" w:rsidR="0026011D" w:rsidRPr="002C2AE7" w:rsidRDefault="0026011D" w:rsidP="00EE1B8B">
      <w:pPr>
        <w:pStyle w:val="ListParagraph"/>
        <w:numPr>
          <w:ilvl w:val="0"/>
          <w:numId w:val="5"/>
        </w:numPr>
        <w:spacing w:line="240" w:lineRule="auto"/>
        <w:ind w:left="714" w:hanging="357"/>
        <w:rPr>
          <w:sz w:val="24"/>
          <w:szCs w:val="24"/>
          <w:lang w:val="lv-LV"/>
        </w:rPr>
      </w:pPr>
      <w:r>
        <w:rPr>
          <w:sz w:val="24"/>
          <w:szCs w:val="24"/>
          <w:lang w:val="lv-LV"/>
        </w:rPr>
        <w:t xml:space="preserve">Nozaru ģenerālvienošanām var būt nozīmīga loma, atkarībā no </w:t>
      </w:r>
      <w:r w:rsidR="0060571B">
        <w:rPr>
          <w:sz w:val="24"/>
          <w:szCs w:val="24"/>
          <w:lang w:val="lv-LV"/>
        </w:rPr>
        <w:t xml:space="preserve">situācijas </w:t>
      </w:r>
      <w:r>
        <w:rPr>
          <w:sz w:val="24"/>
          <w:szCs w:val="24"/>
          <w:lang w:val="lv-LV"/>
        </w:rPr>
        <w:t>nozar</w:t>
      </w:r>
      <w:r w:rsidR="00CE0820">
        <w:rPr>
          <w:sz w:val="24"/>
          <w:szCs w:val="24"/>
          <w:lang w:val="lv-LV"/>
        </w:rPr>
        <w:t>ē,</w:t>
      </w:r>
      <w:r>
        <w:rPr>
          <w:sz w:val="24"/>
          <w:szCs w:val="24"/>
          <w:lang w:val="lv-LV"/>
        </w:rPr>
        <w:t xml:space="preserve"> nosakot arī augstāku minimālās algas līmeni.</w:t>
      </w:r>
    </w:p>
    <w:p w14:paraId="30F210D2" w14:textId="77777777" w:rsidR="0085622A" w:rsidRPr="002C2AE7" w:rsidRDefault="0085622A" w:rsidP="00EE1B8B">
      <w:pPr>
        <w:jc w:val="both"/>
      </w:pPr>
    </w:p>
    <w:p w14:paraId="32FB08F0" w14:textId="6392B4FB" w:rsidR="00C6444F" w:rsidRDefault="00C6444F">
      <w:pPr>
        <w:spacing w:after="160" w:line="259" w:lineRule="auto"/>
        <w:rPr>
          <w:bCs/>
          <w:color w:val="FF0000"/>
        </w:rPr>
      </w:pPr>
    </w:p>
    <w:p w14:paraId="0E35DA34" w14:textId="4300A846" w:rsidR="00C6444F" w:rsidRPr="00C6444F" w:rsidRDefault="00C6444F">
      <w:pPr>
        <w:spacing w:after="160" w:line="259" w:lineRule="auto"/>
        <w:rPr>
          <w:bCs/>
        </w:rPr>
      </w:pPr>
    </w:p>
    <w:p w14:paraId="0B4465CA" w14:textId="5A01C07C" w:rsidR="00C6444F" w:rsidRPr="00C6444F" w:rsidRDefault="00C6444F">
      <w:pPr>
        <w:spacing w:after="160" w:line="259" w:lineRule="auto"/>
        <w:rPr>
          <w:bCs/>
        </w:rPr>
      </w:pPr>
    </w:p>
    <w:p w14:paraId="1042478A" w14:textId="59BF4196" w:rsidR="00C6444F" w:rsidRPr="00C6444F" w:rsidRDefault="00C6444F">
      <w:pPr>
        <w:spacing w:after="160" w:line="259" w:lineRule="auto"/>
        <w:rPr>
          <w:bCs/>
        </w:rPr>
      </w:pPr>
    </w:p>
    <w:p w14:paraId="19440A23" w14:textId="624590BE" w:rsidR="00C6444F" w:rsidRPr="00C6444F" w:rsidRDefault="00C6444F">
      <w:pPr>
        <w:spacing w:after="160" w:line="259" w:lineRule="auto"/>
        <w:rPr>
          <w:bCs/>
        </w:rPr>
      </w:pPr>
    </w:p>
    <w:p w14:paraId="4555CBDA" w14:textId="386E8E2D" w:rsidR="00C6444F" w:rsidRDefault="00C6444F">
      <w:pPr>
        <w:spacing w:after="160" w:line="259" w:lineRule="auto"/>
        <w:rPr>
          <w:bCs/>
        </w:rPr>
      </w:pPr>
    </w:p>
    <w:p w14:paraId="04512726" w14:textId="38578544" w:rsidR="00C6444F" w:rsidRDefault="00C6444F">
      <w:pPr>
        <w:rPr>
          <w:bCs/>
        </w:rPr>
      </w:pPr>
      <w:r>
        <w:rPr>
          <w:bCs/>
        </w:rPr>
        <w:br w:type="page"/>
      </w:r>
    </w:p>
    <w:p w14:paraId="683AF24E" w14:textId="4CBC272C" w:rsidR="00C6444F" w:rsidRDefault="00C6444F" w:rsidP="00EE598D">
      <w:pPr>
        <w:pStyle w:val="Heading1"/>
      </w:pPr>
      <w:bookmarkStart w:id="35" w:name="_Toc148720967"/>
      <w:r w:rsidRPr="0026288F">
        <w:lastRenderedPageBreak/>
        <w:t>Noderīgas saites:</w:t>
      </w:r>
      <w:bookmarkEnd w:id="35"/>
    </w:p>
    <w:p w14:paraId="6937A0A4" w14:textId="77777777" w:rsidR="00962C57" w:rsidRPr="00962C57" w:rsidRDefault="00962C57" w:rsidP="00962C57">
      <w:pPr>
        <w:rPr>
          <w:lang w:eastAsia="en-US"/>
        </w:rPr>
      </w:pPr>
    </w:p>
    <w:p w14:paraId="7985C535" w14:textId="1E74E836" w:rsidR="00EE0558" w:rsidRPr="00157881" w:rsidRDefault="00EE0558" w:rsidP="00634F9E">
      <w:pPr>
        <w:pStyle w:val="ListParagraph"/>
        <w:numPr>
          <w:ilvl w:val="0"/>
          <w:numId w:val="6"/>
        </w:numPr>
        <w:spacing w:before="0" w:after="160" w:line="276" w:lineRule="auto"/>
        <w:rPr>
          <w:bCs/>
          <w:sz w:val="24"/>
          <w:szCs w:val="24"/>
          <w:lang w:val="lv-LV"/>
        </w:rPr>
      </w:pPr>
      <w:r w:rsidRPr="00157881">
        <w:rPr>
          <w:bCs/>
          <w:sz w:val="24"/>
          <w:szCs w:val="24"/>
          <w:lang w:val="lv-LV"/>
        </w:rPr>
        <w:t>Ministru kabineta 2015.gada 24.novembra noteikumi Nr. 656 “Noteikumi par minimālās mēneša darba algas apmēru normālā darba laika ietvaros un minimālās stundas tarifa likmes aprēķināšanu”:</w:t>
      </w:r>
    </w:p>
    <w:p w14:paraId="7CE254B8" w14:textId="12ECCFAC" w:rsidR="00EE0558" w:rsidRDefault="00CC4F9C" w:rsidP="00634F9E">
      <w:pPr>
        <w:spacing w:after="160" w:line="276" w:lineRule="auto"/>
        <w:ind w:left="720"/>
        <w:jc w:val="both"/>
        <w:rPr>
          <w:bCs/>
        </w:rPr>
      </w:pPr>
      <w:hyperlink r:id="rId11" w:history="1">
        <w:r w:rsidR="0026288F" w:rsidRPr="00E92571">
          <w:rPr>
            <w:rStyle w:val="Hyperlink"/>
            <w:bCs/>
          </w:rPr>
          <w:t>https://likumi.lv/ta/id/278067-noteikumi-par-minimalas-menesa-darba-algas-apmeru-normala-darba-laika-ietvaros-un-minimalas-stundas-tarifa-likmes-aprekinasanu</w:t>
        </w:r>
      </w:hyperlink>
    </w:p>
    <w:p w14:paraId="38C75AEF" w14:textId="452FC89B" w:rsidR="00EE0558" w:rsidRPr="00157881" w:rsidRDefault="00EE0558" w:rsidP="00634F9E">
      <w:pPr>
        <w:pStyle w:val="ListParagraph"/>
        <w:numPr>
          <w:ilvl w:val="0"/>
          <w:numId w:val="6"/>
        </w:numPr>
        <w:spacing w:before="0" w:after="160" w:line="276" w:lineRule="auto"/>
        <w:rPr>
          <w:bCs/>
          <w:sz w:val="24"/>
          <w:szCs w:val="24"/>
          <w:lang w:val="lv-LV"/>
        </w:rPr>
      </w:pPr>
      <w:r w:rsidRPr="00157881">
        <w:rPr>
          <w:bCs/>
          <w:sz w:val="24"/>
          <w:szCs w:val="24"/>
          <w:lang w:val="lv-LV"/>
        </w:rPr>
        <w:t>Minimālās darba algas izmaiņas pa gadiem skatīt LM mājas lapā:</w:t>
      </w:r>
    </w:p>
    <w:p w14:paraId="5FF27E2E" w14:textId="21E7BEA5" w:rsidR="00EE0558" w:rsidRDefault="00CC4F9C" w:rsidP="00634F9E">
      <w:pPr>
        <w:spacing w:after="160" w:line="276" w:lineRule="auto"/>
        <w:ind w:firstLine="720"/>
        <w:jc w:val="both"/>
        <w:rPr>
          <w:bCs/>
        </w:rPr>
      </w:pPr>
      <w:hyperlink r:id="rId12" w:history="1">
        <w:r w:rsidR="00EE0558" w:rsidRPr="00E92571">
          <w:rPr>
            <w:rStyle w:val="Hyperlink"/>
            <w:bCs/>
          </w:rPr>
          <w:t>https://www.lm.gov.lv/lv/minimala-darba-alga</w:t>
        </w:r>
      </w:hyperlink>
      <w:r w:rsidR="00EE0558">
        <w:rPr>
          <w:bCs/>
        </w:rPr>
        <w:t xml:space="preserve"> </w:t>
      </w:r>
    </w:p>
    <w:p w14:paraId="079A27FE" w14:textId="488FC4C6" w:rsidR="0026288F" w:rsidRPr="0026288F" w:rsidRDefault="0026288F" w:rsidP="00634F9E">
      <w:pPr>
        <w:pStyle w:val="ListParagraph"/>
        <w:numPr>
          <w:ilvl w:val="0"/>
          <w:numId w:val="6"/>
        </w:numPr>
        <w:spacing w:before="0" w:after="160" w:line="276" w:lineRule="auto"/>
        <w:rPr>
          <w:sz w:val="24"/>
          <w:szCs w:val="24"/>
        </w:rPr>
      </w:pPr>
      <w:r w:rsidRPr="0026288F">
        <w:rPr>
          <w:sz w:val="24"/>
          <w:szCs w:val="24"/>
        </w:rPr>
        <w:t>Centrālās statistikas pārvaldes dati par strādājošo mēneša vidējo darba samaksu:</w:t>
      </w:r>
    </w:p>
    <w:p w14:paraId="50919B20" w14:textId="52898C84" w:rsidR="0026288F" w:rsidRDefault="00CC4F9C" w:rsidP="00634F9E">
      <w:pPr>
        <w:spacing w:after="160" w:line="276" w:lineRule="auto"/>
        <w:ind w:firstLine="720"/>
        <w:jc w:val="both"/>
        <w:rPr>
          <w:bCs/>
        </w:rPr>
      </w:pPr>
      <w:hyperlink r:id="rId13" w:history="1">
        <w:r w:rsidR="0026288F" w:rsidRPr="00E92571">
          <w:rPr>
            <w:rStyle w:val="Hyperlink"/>
            <w:bCs/>
          </w:rPr>
          <w:t>https://stat.gov.lv/lv/statistikas-temas/darbs/alga</w:t>
        </w:r>
      </w:hyperlink>
      <w:r w:rsidR="0026288F">
        <w:rPr>
          <w:bCs/>
        </w:rPr>
        <w:t xml:space="preserve"> </w:t>
      </w:r>
    </w:p>
    <w:p w14:paraId="608D441D" w14:textId="5B2A9FAC" w:rsidR="0026288F" w:rsidRPr="00157881" w:rsidRDefault="0026288F" w:rsidP="00634F9E">
      <w:pPr>
        <w:pStyle w:val="ListParagraph"/>
        <w:numPr>
          <w:ilvl w:val="0"/>
          <w:numId w:val="6"/>
        </w:numPr>
        <w:spacing w:before="0" w:after="160" w:line="276" w:lineRule="auto"/>
        <w:rPr>
          <w:sz w:val="24"/>
          <w:szCs w:val="24"/>
          <w:lang w:val="lv-LV"/>
        </w:rPr>
      </w:pPr>
      <w:r w:rsidRPr="00157881">
        <w:rPr>
          <w:sz w:val="24"/>
          <w:szCs w:val="24"/>
          <w:lang w:val="lv-LV"/>
        </w:rPr>
        <w:t>Valsts ieņēmumu dienesta apkopotā informācija par vidējām stundu tarifa likmēm sadalījumā pa profesijām:</w:t>
      </w:r>
    </w:p>
    <w:p w14:paraId="4402D3B7" w14:textId="01E09639" w:rsidR="0026288F" w:rsidRDefault="00CC4F9C" w:rsidP="00634F9E">
      <w:pPr>
        <w:spacing w:after="160" w:line="276" w:lineRule="auto"/>
        <w:ind w:firstLine="720"/>
        <w:jc w:val="both"/>
        <w:rPr>
          <w:bCs/>
        </w:rPr>
      </w:pPr>
      <w:hyperlink r:id="rId14" w:history="1">
        <w:r w:rsidR="0026288F" w:rsidRPr="00E92571">
          <w:rPr>
            <w:rStyle w:val="Hyperlink"/>
            <w:bCs/>
          </w:rPr>
          <w:t>https://www.vid.gov.lv/lv/profesiju-atalgojums</w:t>
        </w:r>
      </w:hyperlink>
    </w:p>
    <w:p w14:paraId="1A801267" w14:textId="64920E1C" w:rsidR="00593A9C" w:rsidRDefault="0026288F" w:rsidP="00634F9E">
      <w:pPr>
        <w:pStyle w:val="ListParagraph"/>
        <w:numPr>
          <w:ilvl w:val="0"/>
          <w:numId w:val="6"/>
        </w:numPr>
        <w:spacing w:before="0" w:after="160" w:line="276" w:lineRule="auto"/>
        <w:ind w:left="714" w:hanging="357"/>
        <w:rPr>
          <w:bCs/>
          <w:sz w:val="24"/>
          <w:szCs w:val="24"/>
        </w:rPr>
      </w:pPr>
      <w:r w:rsidRPr="0026288F">
        <w:rPr>
          <w:bCs/>
          <w:sz w:val="24"/>
          <w:szCs w:val="24"/>
        </w:rPr>
        <w:t>EIROPAS PARLAMENTA UN PADOMES DIREKTĪVA (ES) 2022/2041 (2022. gada 19. oktobris) par adekvātām minimālajām algām Eiropas Savienībā:</w:t>
      </w:r>
    </w:p>
    <w:p w14:paraId="523437AA" w14:textId="77777777" w:rsidR="00634F9E" w:rsidRPr="00634F9E" w:rsidRDefault="00634F9E" w:rsidP="00634F9E">
      <w:pPr>
        <w:pStyle w:val="ListParagraph"/>
        <w:spacing w:before="0" w:after="160" w:line="276" w:lineRule="auto"/>
        <w:ind w:left="714" w:firstLine="0"/>
        <w:rPr>
          <w:bCs/>
          <w:sz w:val="24"/>
          <w:szCs w:val="24"/>
        </w:rPr>
      </w:pPr>
    </w:p>
    <w:p w14:paraId="0EE9FB70" w14:textId="301CB121" w:rsidR="0026288F" w:rsidRDefault="00CC4F9C" w:rsidP="00634F9E">
      <w:pPr>
        <w:pStyle w:val="ListParagraph"/>
        <w:spacing w:before="0" w:after="160" w:line="276" w:lineRule="auto"/>
        <w:ind w:firstLine="0"/>
        <w:rPr>
          <w:bCs/>
          <w:sz w:val="24"/>
          <w:szCs w:val="24"/>
        </w:rPr>
      </w:pPr>
      <w:hyperlink r:id="rId15" w:history="1">
        <w:r w:rsidR="00593A9C" w:rsidRPr="00634F9E">
          <w:rPr>
            <w:rStyle w:val="Hyperlink"/>
            <w:bCs/>
            <w:sz w:val="24"/>
            <w:szCs w:val="24"/>
          </w:rPr>
          <w:t>https://eur-lex.europa.eu/legal-content/LV/TXT/PDF/?uri=CELEX:32022L2041</w:t>
        </w:r>
      </w:hyperlink>
      <w:r w:rsidR="0026288F" w:rsidRPr="00634F9E">
        <w:rPr>
          <w:bCs/>
          <w:sz w:val="24"/>
          <w:szCs w:val="24"/>
        </w:rPr>
        <w:t xml:space="preserve"> </w:t>
      </w:r>
    </w:p>
    <w:p w14:paraId="57C401C0" w14:textId="77777777" w:rsidR="00634F9E" w:rsidRPr="00634F9E" w:rsidRDefault="00634F9E" w:rsidP="00634F9E">
      <w:pPr>
        <w:pStyle w:val="ListParagraph"/>
        <w:spacing w:before="0" w:after="160" w:line="276" w:lineRule="auto"/>
        <w:ind w:firstLine="0"/>
        <w:rPr>
          <w:bCs/>
          <w:sz w:val="24"/>
          <w:szCs w:val="24"/>
        </w:rPr>
      </w:pPr>
    </w:p>
    <w:p w14:paraId="415FAAA4" w14:textId="77777777" w:rsidR="0026288F" w:rsidRPr="0026288F" w:rsidRDefault="0026288F" w:rsidP="00634F9E">
      <w:pPr>
        <w:pStyle w:val="ListParagraph"/>
        <w:numPr>
          <w:ilvl w:val="0"/>
          <w:numId w:val="6"/>
        </w:numPr>
        <w:spacing w:before="0" w:after="160" w:line="276" w:lineRule="auto"/>
        <w:rPr>
          <w:bCs/>
          <w:sz w:val="24"/>
          <w:szCs w:val="24"/>
        </w:rPr>
      </w:pPr>
      <w:r w:rsidRPr="0026288F">
        <w:rPr>
          <w:sz w:val="24"/>
          <w:szCs w:val="24"/>
        </w:rPr>
        <w:t>Starptautiskās darba organizācijas konvencija Nr.131 Par minimālo algu:</w:t>
      </w:r>
    </w:p>
    <w:p w14:paraId="5B2898B1" w14:textId="5DF11853" w:rsidR="0026288F" w:rsidRDefault="00CC4F9C" w:rsidP="00634F9E">
      <w:pPr>
        <w:spacing w:after="160" w:line="276" w:lineRule="auto"/>
        <w:ind w:left="720"/>
        <w:jc w:val="both"/>
        <w:rPr>
          <w:bCs/>
        </w:rPr>
      </w:pPr>
      <w:hyperlink r:id="rId16" w:history="1">
        <w:r w:rsidR="0026288F" w:rsidRPr="00E92571">
          <w:rPr>
            <w:rStyle w:val="Hyperlink"/>
            <w:bCs/>
          </w:rPr>
          <w:t>https://www.ilo.org/dyn/normlex/en/f?p=NORMLEXPUB:12100:0::NO::P12100_INSTRUMENT_ID:312276</w:t>
        </w:r>
      </w:hyperlink>
    </w:p>
    <w:p w14:paraId="053F031F" w14:textId="5D675D01" w:rsidR="0026288F" w:rsidRDefault="0026288F" w:rsidP="0026288F">
      <w:pPr>
        <w:spacing w:after="160" w:line="259" w:lineRule="auto"/>
        <w:rPr>
          <w:bCs/>
        </w:rPr>
      </w:pPr>
    </w:p>
    <w:p w14:paraId="6167D7A9" w14:textId="77777777" w:rsidR="0026288F" w:rsidRDefault="0026288F" w:rsidP="0026288F">
      <w:pPr>
        <w:spacing w:after="160" w:line="259" w:lineRule="auto"/>
        <w:rPr>
          <w:bCs/>
        </w:rPr>
      </w:pPr>
    </w:p>
    <w:sectPr w:rsidR="0026288F" w:rsidSect="00157881">
      <w:headerReference w:type="default" r:id="rId1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2310F" w14:textId="77777777" w:rsidR="00CC4F9C" w:rsidRDefault="00CC4F9C">
      <w:r>
        <w:separator/>
      </w:r>
    </w:p>
  </w:endnote>
  <w:endnote w:type="continuationSeparator" w:id="0">
    <w:p w14:paraId="14C15345" w14:textId="77777777" w:rsidR="00CC4F9C" w:rsidRDefault="00CC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8B23D" w14:textId="77777777" w:rsidR="00CC4F9C" w:rsidRDefault="00CC4F9C">
      <w:r>
        <w:separator/>
      </w:r>
    </w:p>
  </w:footnote>
  <w:footnote w:type="continuationSeparator" w:id="0">
    <w:p w14:paraId="34B5E845" w14:textId="77777777" w:rsidR="00CC4F9C" w:rsidRDefault="00CC4F9C">
      <w:r>
        <w:continuationSeparator/>
      </w:r>
    </w:p>
  </w:footnote>
  <w:footnote w:id="1">
    <w:p w14:paraId="7545F423" w14:textId="77777777" w:rsidR="004720BC" w:rsidRDefault="004720BC" w:rsidP="009842A5">
      <w:pPr>
        <w:pStyle w:val="FootnoteText"/>
        <w:snapToGrid w:val="0"/>
        <w:jc w:val="both"/>
        <w:rPr>
          <w:lang w:val="lv-LV"/>
        </w:rPr>
      </w:pPr>
      <w:r>
        <w:rPr>
          <w:rStyle w:val="FootnoteReference"/>
        </w:rPr>
        <w:footnoteRef/>
      </w:r>
      <w:r>
        <w:t xml:space="preserve"> </w:t>
      </w:r>
      <w:r>
        <w:rPr>
          <w:rFonts w:eastAsia="SimSun"/>
        </w:rPr>
        <w:t>Eurofound (2023), Minimum wages in 2023: Annual review, Minimum wages in the EU series, Publications Office of the European Union, Luxembourg</w:t>
      </w:r>
      <w:r>
        <w:rPr>
          <w:rFonts w:eastAsia="SimSun"/>
          <w:lang w:val="lv-LV"/>
        </w:rPr>
        <w:t xml:space="preserve">, pieejams šeit: </w:t>
      </w:r>
      <w:r>
        <w:rPr>
          <w:lang w:val="lv-LV"/>
        </w:rPr>
        <w:t>https://www.eurofound.europa.eu/sites/default/files/ef_publication/field_ef_document/ef23019en.pdf,  1.tabule, 6.lpp.</w:t>
      </w:r>
    </w:p>
  </w:footnote>
  <w:footnote w:id="2">
    <w:p w14:paraId="17B3D73B" w14:textId="77777777" w:rsidR="004720BC" w:rsidRPr="00355AE2" w:rsidRDefault="004720BC">
      <w:pPr>
        <w:pStyle w:val="FootnoteText"/>
        <w:rPr>
          <w:lang w:val="lv-LV"/>
        </w:rPr>
      </w:pPr>
      <w:r>
        <w:rPr>
          <w:rStyle w:val="FootnoteReference"/>
        </w:rPr>
        <w:footnoteRef/>
      </w:r>
      <w:r w:rsidRPr="00355AE2">
        <w:rPr>
          <w:lang w:val="lv-LV"/>
        </w:rPr>
        <w:t xml:space="preserve"> </w:t>
      </w:r>
      <w:hyperlink r:id="rId1" w:history="1">
        <w:r w:rsidRPr="0013462D">
          <w:rPr>
            <w:rStyle w:val="Hyperlink"/>
            <w:lang w:val="lv-LV"/>
          </w:rPr>
          <w:t>https://www.em.gov.lv/lv/media/16948/download?attachment</w:t>
        </w:r>
      </w:hyperlink>
      <w:r>
        <w:rPr>
          <w:lang w:val="lv-LV"/>
        </w:rPr>
        <w:t xml:space="preserve"> </w:t>
      </w:r>
    </w:p>
  </w:footnote>
  <w:footnote w:id="3">
    <w:p w14:paraId="6954B74A" w14:textId="77777777" w:rsidR="004720BC" w:rsidRPr="00FC5FA1" w:rsidRDefault="004720BC">
      <w:pPr>
        <w:pStyle w:val="FootnoteText"/>
        <w:rPr>
          <w:lang w:val="lv-LV"/>
        </w:rPr>
      </w:pPr>
      <w:r>
        <w:rPr>
          <w:rStyle w:val="FootnoteReference"/>
        </w:rPr>
        <w:footnoteRef/>
      </w:r>
      <w:r w:rsidRPr="00FC5FA1">
        <w:rPr>
          <w:lang w:val="lv-LV"/>
        </w:rPr>
        <w:t xml:space="preserve"> </w:t>
      </w:r>
      <w:hyperlink r:id="rId2" w:history="1">
        <w:r w:rsidRPr="0013462D">
          <w:rPr>
            <w:rStyle w:val="Hyperlink"/>
            <w:lang w:val="lv-LV"/>
          </w:rPr>
          <w:t>https://tapportals.mk.gov.lv/legal_acts/9e47ab90-df45-45f0-95c1-b465ec6d1bcc</w:t>
        </w:r>
      </w:hyperlink>
      <w:r>
        <w:rPr>
          <w:lang w:val="lv-LV"/>
        </w:rPr>
        <w:t xml:space="preserve"> </w:t>
      </w:r>
    </w:p>
  </w:footnote>
  <w:footnote w:id="4">
    <w:p w14:paraId="72088F4F" w14:textId="77777777" w:rsidR="004720BC" w:rsidRPr="00FC5FA1" w:rsidRDefault="004720BC">
      <w:pPr>
        <w:pStyle w:val="FootnoteText"/>
        <w:rPr>
          <w:lang w:val="lv-LV"/>
        </w:rPr>
      </w:pPr>
      <w:r>
        <w:rPr>
          <w:rStyle w:val="FootnoteReference"/>
        </w:rPr>
        <w:footnoteRef/>
      </w:r>
      <w:r w:rsidRPr="00FC5FA1">
        <w:rPr>
          <w:lang w:val="lv-LV"/>
        </w:rPr>
        <w:t xml:space="preserve"> </w:t>
      </w:r>
      <w:hyperlink r:id="rId3" w:history="1">
        <w:r w:rsidRPr="0013462D">
          <w:rPr>
            <w:rStyle w:val="Hyperlink"/>
            <w:lang w:val="lv-LV"/>
          </w:rPr>
          <w:t>https://tapportals.mk.gov.lv/legal_acts/9e47ab90-df45-45f0-95c1-b465ec6d1bcc</w:t>
        </w:r>
      </w:hyperlink>
      <w:r>
        <w:rPr>
          <w:lang w:val="lv-LV"/>
        </w:rPr>
        <w:t xml:space="preserve"> </w:t>
      </w:r>
    </w:p>
  </w:footnote>
  <w:footnote w:id="5">
    <w:p w14:paraId="2B1AE569" w14:textId="77777777" w:rsidR="004720BC" w:rsidRPr="00400FCB" w:rsidRDefault="004720BC" w:rsidP="00FC52B7">
      <w:pPr>
        <w:pStyle w:val="FootnoteText"/>
        <w:rPr>
          <w:lang w:val="lv-LV"/>
        </w:rPr>
      </w:pPr>
      <w:r w:rsidRPr="00400FCB">
        <w:rPr>
          <w:rStyle w:val="FootnoteReference"/>
          <w:lang w:val="lv-LV"/>
        </w:rPr>
        <w:footnoteRef/>
      </w:r>
      <w:r w:rsidRPr="00400FCB">
        <w:rPr>
          <w:lang w:val="lv-LV"/>
        </w:rPr>
        <w:t xml:space="preserve"> </w:t>
      </w:r>
      <w:r w:rsidRPr="00FC52B7">
        <w:rPr>
          <w:i/>
          <w:iCs/>
          <w:lang w:val="lv-LV"/>
        </w:rPr>
        <w:t>Beņkovskis, K., Fadejeva, L., Pluta, A., Zasova, A. (2023</w:t>
      </w:r>
      <w:r w:rsidRPr="00FC52B7">
        <w:rPr>
          <w:i/>
          <w:iCs/>
          <w:u w:val="single"/>
          <w:lang w:val="lv-LV"/>
        </w:rPr>
        <w:t>) “Labākais no divām pasaulēm: CGE un mikrosimulācijas modeļa apvienošana ekonomikās politikas analīzei”.</w:t>
      </w:r>
      <w:r w:rsidRPr="00FC52B7">
        <w:rPr>
          <w:i/>
          <w:iCs/>
          <w:lang w:val="lv-LV"/>
        </w:rPr>
        <w:t xml:space="preserve"> </w:t>
      </w:r>
      <w:r w:rsidRPr="00307202">
        <w:rPr>
          <w:i/>
          <w:iCs/>
        </w:rPr>
        <w:t>Pētījums 1/2023, Latvijas Banka</w:t>
      </w:r>
      <w:r>
        <w:rPr>
          <w:lang w:val="lv-LV"/>
        </w:rPr>
        <w:t xml:space="preserve">. Pieejams no </w:t>
      </w:r>
      <w:r w:rsidRPr="00400FCB">
        <w:rPr>
          <w:lang w:val="lv-LV"/>
        </w:rPr>
        <w:t>https://datnes.latvijasbanka.lv/papers/WP_1-2023.pdf</w:t>
      </w:r>
    </w:p>
  </w:footnote>
  <w:footnote w:id="6">
    <w:p w14:paraId="41DFAC9C" w14:textId="77777777" w:rsidR="004720BC" w:rsidRPr="00386C0E" w:rsidRDefault="004720BC" w:rsidP="00FC52B7">
      <w:pPr>
        <w:pStyle w:val="FootnoteText"/>
        <w:rPr>
          <w:lang w:val="lv-LV"/>
        </w:rPr>
      </w:pPr>
      <w:r>
        <w:rPr>
          <w:rStyle w:val="FootnoteReference"/>
        </w:rPr>
        <w:footnoteRef/>
      </w:r>
      <w:r w:rsidRPr="00FC52B7">
        <w:rPr>
          <w:lang w:val="lv-LV"/>
        </w:rPr>
        <w:t xml:space="preserve"> </w:t>
      </w:r>
      <w:r w:rsidRPr="00386C0E">
        <w:rPr>
          <w:lang w:val="lv-LV"/>
        </w:rPr>
        <w:t>Mājsaimniecības</w:t>
      </w:r>
      <w:r>
        <w:rPr>
          <w:lang w:val="lv-LV"/>
        </w:rPr>
        <w:t xml:space="preserve"> rīcība esošo ienākumu veido visu veido ienākumi (arī pensijas un pabalsti), tāpēc minimālās algas palielinājuma vidēja ietekme uz rīcība esošo ienākumu ir mazākā nekā uz algu ienākumiem.</w:t>
      </w:r>
    </w:p>
  </w:footnote>
  <w:footnote w:id="7">
    <w:p w14:paraId="3CEDB0BE" w14:textId="77777777" w:rsidR="004720BC" w:rsidRDefault="004720BC" w:rsidP="00FC52B7">
      <w:pPr>
        <w:pStyle w:val="FootnoteText"/>
        <w:rPr>
          <w:i/>
          <w:iCs/>
        </w:rPr>
      </w:pPr>
      <w:r>
        <w:rPr>
          <w:rStyle w:val="FootnoteReference"/>
        </w:rPr>
        <w:footnoteRef/>
      </w:r>
      <w:r w:rsidRPr="00FC52B7">
        <w:rPr>
          <w:lang w:val="lv-LV"/>
        </w:rPr>
        <w:t xml:space="preserve"> </w:t>
      </w:r>
      <w:r w:rsidRPr="00FC52B7">
        <w:rPr>
          <w:i/>
          <w:iCs/>
          <w:lang w:val="lv-LV"/>
        </w:rPr>
        <w:t>Bodnāre, K., Fadejeva, L., Jordake, S., Malka, L., Paskaļova, D., Pesļakaite, J., Todorovoča-Jemeča, N., Tots, P., Višiņskis, R. (2017) “</w:t>
      </w:r>
      <w:hyperlink r:id="rId4" w:history="1">
        <w:r w:rsidRPr="00FC52B7">
          <w:rPr>
            <w:rStyle w:val="Hyperlink"/>
            <w:i/>
            <w:iCs/>
            <w:color w:val="auto"/>
            <w:lang w:val="lv-LV"/>
          </w:rPr>
          <w:t xml:space="preserve">Kā uzņēmumi pielāgojas minimālās algas kāpumam? </w:t>
        </w:r>
        <w:r w:rsidRPr="00307202">
          <w:rPr>
            <w:rStyle w:val="Hyperlink"/>
            <w:i/>
            <w:iCs/>
            <w:color w:val="auto"/>
          </w:rPr>
          <w:t>Centrālās Eiropas un Austrumeiropas apsekojuma rezultāti</w:t>
        </w:r>
      </w:hyperlink>
      <w:r>
        <w:rPr>
          <w:rStyle w:val="Hyperlink"/>
          <w:i/>
          <w:iCs/>
        </w:rPr>
        <w:t>”</w:t>
      </w:r>
      <w:r w:rsidRPr="00307202">
        <w:rPr>
          <w:i/>
          <w:iCs/>
        </w:rPr>
        <w:t>. Pētījums 4/2017, Latvijas Banka</w:t>
      </w:r>
      <w:r>
        <w:rPr>
          <w:i/>
          <w:iCs/>
        </w:rPr>
        <w:t xml:space="preserve">. Pieejams no </w:t>
      </w:r>
      <w:r w:rsidRPr="005E6F3A">
        <w:rPr>
          <w:i/>
          <w:iCs/>
        </w:rPr>
        <w:t>https://www.makroekonomika.lv/sites/default/files/2018-04/p_4_2017_lv.pdf</w:t>
      </w:r>
    </w:p>
    <w:p w14:paraId="05A23B39" w14:textId="77777777" w:rsidR="004720BC" w:rsidRPr="00386C0E" w:rsidRDefault="004720BC" w:rsidP="00FC52B7">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753031"/>
      <w:docPartObj>
        <w:docPartGallery w:val="Page Numbers (Top of Page)"/>
        <w:docPartUnique/>
      </w:docPartObj>
    </w:sdtPr>
    <w:sdtEndPr>
      <w:rPr>
        <w:noProof/>
      </w:rPr>
    </w:sdtEndPr>
    <w:sdtContent>
      <w:p w14:paraId="08830A80" w14:textId="13C56741" w:rsidR="004720BC" w:rsidRDefault="004720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C1CA1D" w14:textId="77777777" w:rsidR="004720BC" w:rsidRDefault="00472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9359A"/>
    <w:multiLevelType w:val="hybridMultilevel"/>
    <w:tmpl w:val="16C00F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4245E81"/>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F06EBE"/>
    <w:multiLevelType w:val="hybridMultilevel"/>
    <w:tmpl w:val="9620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3E7C78"/>
    <w:multiLevelType w:val="hybridMultilevel"/>
    <w:tmpl w:val="112AD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BD63BC4"/>
    <w:multiLevelType w:val="hybridMultilevel"/>
    <w:tmpl w:val="348C38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DC3454"/>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CE"/>
    <w:rsid w:val="00000806"/>
    <w:rsid w:val="00003767"/>
    <w:rsid w:val="00003D8A"/>
    <w:rsid w:val="00023705"/>
    <w:rsid w:val="00024CA9"/>
    <w:rsid w:val="0003536C"/>
    <w:rsid w:val="00044435"/>
    <w:rsid w:val="00063004"/>
    <w:rsid w:val="00073318"/>
    <w:rsid w:val="000777D1"/>
    <w:rsid w:val="000821B5"/>
    <w:rsid w:val="00082C28"/>
    <w:rsid w:val="0008622A"/>
    <w:rsid w:val="000915BB"/>
    <w:rsid w:val="00093D6F"/>
    <w:rsid w:val="000E6338"/>
    <w:rsid w:val="000F16E9"/>
    <w:rsid w:val="000F3A9A"/>
    <w:rsid w:val="000F509F"/>
    <w:rsid w:val="00117B26"/>
    <w:rsid w:val="001322B0"/>
    <w:rsid w:val="0014512E"/>
    <w:rsid w:val="0014743D"/>
    <w:rsid w:val="00157881"/>
    <w:rsid w:val="00157C34"/>
    <w:rsid w:val="001873E2"/>
    <w:rsid w:val="00187F0B"/>
    <w:rsid w:val="001A09A4"/>
    <w:rsid w:val="001B5D9D"/>
    <w:rsid w:val="001C23A1"/>
    <w:rsid w:val="001C507C"/>
    <w:rsid w:val="001D3CA0"/>
    <w:rsid w:val="001F402C"/>
    <w:rsid w:val="001F6FA9"/>
    <w:rsid w:val="001F7DBB"/>
    <w:rsid w:val="00200273"/>
    <w:rsid w:val="00204041"/>
    <w:rsid w:val="00210AF4"/>
    <w:rsid w:val="00211488"/>
    <w:rsid w:val="00225E76"/>
    <w:rsid w:val="00237EB2"/>
    <w:rsid w:val="00243065"/>
    <w:rsid w:val="0026011D"/>
    <w:rsid w:val="0026216B"/>
    <w:rsid w:val="0026288F"/>
    <w:rsid w:val="002675CE"/>
    <w:rsid w:val="002973E0"/>
    <w:rsid w:val="002975AA"/>
    <w:rsid w:val="002A3960"/>
    <w:rsid w:val="002B1C80"/>
    <w:rsid w:val="002B745C"/>
    <w:rsid w:val="002C2528"/>
    <w:rsid w:val="002C2AE7"/>
    <w:rsid w:val="002D0D82"/>
    <w:rsid w:val="002D165F"/>
    <w:rsid w:val="002E4BCA"/>
    <w:rsid w:val="002F0478"/>
    <w:rsid w:val="002F59C5"/>
    <w:rsid w:val="003079CB"/>
    <w:rsid w:val="00310594"/>
    <w:rsid w:val="00327D54"/>
    <w:rsid w:val="00337F56"/>
    <w:rsid w:val="00341FA4"/>
    <w:rsid w:val="00351FDC"/>
    <w:rsid w:val="00355AE2"/>
    <w:rsid w:val="00357145"/>
    <w:rsid w:val="00364E5A"/>
    <w:rsid w:val="003673FB"/>
    <w:rsid w:val="0037775F"/>
    <w:rsid w:val="00387868"/>
    <w:rsid w:val="003A13B6"/>
    <w:rsid w:val="003A46AA"/>
    <w:rsid w:val="003A4E28"/>
    <w:rsid w:val="003A674F"/>
    <w:rsid w:val="003B0A87"/>
    <w:rsid w:val="003B2811"/>
    <w:rsid w:val="003C4B23"/>
    <w:rsid w:val="003D2F01"/>
    <w:rsid w:val="003E3426"/>
    <w:rsid w:val="003F6C9B"/>
    <w:rsid w:val="004268FC"/>
    <w:rsid w:val="004278F1"/>
    <w:rsid w:val="00436E2C"/>
    <w:rsid w:val="0043761D"/>
    <w:rsid w:val="004468DA"/>
    <w:rsid w:val="00455D86"/>
    <w:rsid w:val="00465E18"/>
    <w:rsid w:val="004720BC"/>
    <w:rsid w:val="00495DD2"/>
    <w:rsid w:val="004B54C2"/>
    <w:rsid w:val="004B7041"/>
    <w:rsid w:val="004C1F88"/>
    <w:rsid w:val="004D3176"/>
    <w:rsid w:val="004D7CBE"/>
    <w:rsid w:val="004E335C"/>
    <w:rsid w:val="004F63AF"/>
    <w:rsid w:val="004F6EF8"/>
    <w:rsid w:val="0053363E"/>
    <w:rsid w:val="005368FF"/>
    <w:rsid w:val="0054088E"/>
    <w:rsid w:val="00562F40"/>
    <w:rsid w:val="0057239A"/>
    <w:rsid w:val="00593A9C"/>
    <w:rsid w:val="00593F51"/>
    <w:rsid w:val="005A03DC"/>
    <w:rsid w:val="005B2F56"/>
    <w:rsid w:val="005D71BE"/>
    <w:rsid w:val="005E5CB6"/>
    <w:rsid w:val="005F37F6"/>
    <w:rsid w:val="0060042C"/>
    <w:rsid w:val="0060571B"/>
    <w:rsid w:val="00605D2A"/>
    <w:rsid w:val="00616A1F"/>
    <w:rsid w:val="0063113E"/>
    <w:rsid w:val="00632AA6"/>
    <w:rsid w:val="00634F9E"/>
    <w:rsid w:val="006529BC"/>
    <w:rsid w:val="00666D44"/>
    <w:rsid w:val="006705F0"/>
    <w:rsid w:val="00675B07"/>
    <w:rsid w:val="00687274"/>
    <w:rsid w:val="006A0533"/>
    <w:rsid w:val="006B0A19"/>
    <w:rsid w:val="006B424F"/>
    <w:rsid w:val="006C007A"/>
    <w:rsid w:val="006D6457"/>
    <w:rsid w:val="006D7DAD"/>
    <w:rsid w:val="006F3FEB"/>
    <w:rsid w:val="006F548D"/>
    <w:rsid w:val="006F61A6"/>
    <w:rsid w:val="007116C5"/>
    <w:rsid w:val="00717CD6"/>
    <w:rsid w:val="007217E4"/>
    <w:rsid w:val="007226ED"/>
    <w:rsid w:val="00734534"/>
    <w:rsid w:val="00742958"/>
    <w:rsid w:val="00746B74"/>
    <w:rsid w:val="00751139"/>
    <w:rsid w:val="007513A1"/>
    <w:rsid w:val="00753A1D"/>
    <w:rsid w:val="0076061A"/>
    <w:rsid w:val="0078375E"/>
    <w:rsid w:val="00784CF9"/>
    <w:rsid w:val="00786843"/>
    <w:rsid w:val="007966E3"/>
    <w:rsid w:val="007B7302"/>
    <w:rsid w:val="007C1319"/>
    <w:rsid w:val="007C3139"/>
    <w:rsid w:val="007D4D48"/>
    <w:rsid w:val="007D4D9B"/>
    <w:rsid w:val="007E12AA"/>
    <w:rsid w:val="008208B2"/>
    <w:rsid w:val="00821E4C"/>
    <w:rsid w:val="0082341A"/>
    <w:rsid w:val="00840742"/>
    <w:rsid w:val="0085622A"/>
    <w:rsid w:val="00871204"/>
    <w:rsid w:val="00871985"/>
    <w:rsid w:val="008767C0"/>
    <w:rsid w:val="00890E78"/>
    <w:rsid w:val="00893C93"/>
    <w:rsid w:val="00894A55"/>
    <w:rsid w:val="00897D9C"/>
    <w:rsid w:val="008B1BE2"/>
    <w:rsid w:val="008B27F5"/>
    <w:rsid w:val="008B3317"/>
    <w:rsid w:val="008C2173"/>
    <w:rsid w:val="008D078F"/>
    <w:rsid w:val="008D0BA1"/>
    <w:rsid w:val="008D2E3D"/>
    <w:rsid w:val="008D67F1"/>
    <w:rsid w:val="008D70EF"/>
    <w:rsid w:val="008E204F"/>
    <w:rsid w:val="008E2286"/>
    <w:rsid w:val="00902DEC"/>
    <w:rsid w:val="00904B5F"/>
    <w:rsid w:val="00921B6E"/>
    <w:rsid w:val="00947437"/>
    <w:rsid w:val="00955B3B"/>
    <w:rsid w:val="00962C57"/>
    <w:rsid w:val="00970997"/>
    <w:rsid w:val="00983858"/>
    <w:rsid w:val="009842A5"/>
    <w:rsid w:val="009A366D"/>
    <w:rsid w:val="009A61F6"/>
    <w:rsid w:val="009B0C53"/>
    <w:rsid w:val="009D12D4"/>
    <w:rsid w:val="009D6A0C"/>
    <w:rsid w:val="009E124C"/>
    <w:rsid w:val="009E15CC"/>
    <w:rsid w:val="009F183F"/>
    <w:rsid w:val="00A00EA7"/>
    <w:rsid w:val="00A033E4"/>
    <w:rsid w:val="00A12849"/>
    <w:rsid w:val="00A558E7"/>
    <w:rsid w:val="00A86C01"/>
    <w:rsid w:val="00A9304A"/>
    <w:rsid w:val="00AC0C78"/>
    <w:rsid w:val="00AD4126"/>
    <w:rsid w:val="00B30E41"/>
    <w:rsid w:val="00B526E9"/>
    <w:rsid w:val="00B55617"/>
    <w:rsid w:val="00B57B12"/>
    <w:rsid w:val="00B60E0B"/>
    <w:rsid w:val="00B770BE"/>
    <w:rsid w:val="00B85FB1"/>
    <w:rsid w:val="00B94948"/>
    <w:rsid w:val="00BA1E3C"/>
    <w:rsid w:val="00BA37A2"/>
    <w:rsid w:val="00BC03E8"/>
    <w:rsid w:val="00BE2702"/>
    <w:rsid w:val="00BF617B"/>
    <w:rsid w:val="00C147E0"/>
    <w:rsid w:val="00C3120B"/>
    <w:rsid w:val="00C35106"/>
    <w:rsid w:val="00C520C9"/>
    <w:rsid w:val="00C524E5"/>
    <w:rsid w:val="00C6444F"/>
    <w:rsid w:val="00C65111"/>
    <w:rsid w:val="00C66038"/>
    <w:rsid w:val="00C74545"/>
    <w:rsid w:val="00C8359A"/>
    <w:rsid w:val="00C96EFC"/>
    <w:rsid w:val="00CA47D7"/>
    <w:rsid w:val="00CB2FB8"/>
    <w:rsid w:val="00CC4F9C"/>
    <w:rsid w:val="00CE0820"/>
    <w:rsid w:val="00CE1369"/>
    <w:rsid w:val="00CE2144"/>
    <w:rsid w:val="00CF6FED"/>
    <w:rsid w:val="00D02A4A"/>
    <w:rsid w:val="00D2035A"/>
    <w:rsid w:val="00D31331"/>
    <w:rsid w:val="00D31EC9"/>
    <w:rsid w:val="00D55C10"/>
    <w:rsid w:val="00D60F87"/>
    <w:rsid w:val="00D61FB5"/>
    <w:rsid w:val="00D972BE"/>
    <w:rsid w:val="00DF0739"/>
    <w:rsid w:val="00DF17B4"/>
    <w:rsid w:val="00E11C61"/>
    <w:rsid w:val="00E364F2"/>
    <w:rsid w:val="00E367DD"/>
    <w:rsid w:val="00E52DB9"/>
    <w:rsid w:val="00E63655"/>
    <w:rsid w:val="00E65F6B"/>
    <w:rsid w:val="00E94C1E"/>
    <w:rsid w:val="00EB09FD"/>
    <w:rsid w:val="00EB1AF1"/>
    <w:rsid w:val="00EB276C"/>
    <w:rsid w:val="00EB5EC3"/>
    <w:rsid w:val="00EB77B8"/>
    <w:rsid w:val="00EE0558"/>
    <w:rsid w:val="00EE1B8B"/>
    <w:rsid w:val="00EE598D"/>
    <w:rsid w:val="00EF094A"/>
    <w:rsid w:val="00EF29F3"/>
    <w:rsid w:val="00F07E8A"/>
    <w:rsid w:val="00F12724"/>
    <w:rsid w:val="00F13585"/>
    <w:rsid w:val="00F15211"/>
    <w:rsid w:val="00F557B8"/>
    <w:rsid w:val="00F62411"/>
    <w:rsid w:val="00F673D4"/>
    <w:rsid w:val="00F704FF"/>
    <w:rsid w:val="00F8174C"/>
    <w:rsid w:val="00FB4448"/>
    <w:rsid w:val="00FC1E6C"/>
    <w:rsid w:val="00FC52B7"/>
    <w:rsid w:val="00FC5FA1"/>
    <w:rsid w:val="00FD0305"/>
    <w:rsid w:val="02B31C0D"/>
    <w:rsid w:val="02C46BBB"/>
    <w:rsid w:val="035B20F9"/>
    <w:rsid w:val="03FF0A85"/>
    <w:rsid w:val="05B747B5"/>
    <w:rsid w:val="069A210C"/>
    <w:rsid w:val="06F87423"/>
    <w:rsid w:val="09C13AB5"/>
    <w:rsid w:val="0A6A0A0D"/>
    <w:rsid w:val="0A784E4B"/>
    <w:rsid w:val="0ADB243B"/>
    <w:rsid w:val="0AF04CA8"/>
    <w:rsid w:val="0B261D0E"/>
    <w:rsid w:val="0B752131"/>
    <w:rsid w:val="0C045414"/>
    <w:rsid w:val="0E1F0F9C"/>
    <w:rsid w:val="0E3015A8"/>
    <w:rsid w:val="0F000F7B"/>
    <w:rsid w:val="0F720A28"/>
    <w:rsid w:val="12F9273B"/>
    <w:rsid w:val="131E1159"/>
    <w:rsid w:val="13E86F75"/>
    <w:rsid w:val="14F55B0D"/>
    <w:rsid w:val="16A36DBB"/>
    <w:rsid w:val="17A66C71"/>
    <w:rsid w:val="18B9541C"/>
    <w:rsid w:val="1BA13E6B"/>
    <w:rsid w:val="1C8477A0"/>
    <w:rsid w:val="1DA87390"/>
    <w:rsid w:val="1DFD3AB5"/>
    <w:rsid w:val="1FF540F7"/>
    <w:rsid w:val="200F333A"/>
    <w:rsid w:val="2010022D"/>
    <w:rsid w:val="20CE702D"/>
    <w:rsid w:val="221A3EEA"/>
    <w:rsid w:val="24156E1F"/>
    <w:rsid w:val="260002AF"/>
    <w:rsid w:val="2652435A"/>
    <w:rsid w:val="26DF1EE6"/>
    <w:rsid w:val="29D33F06"/>
    <w:rsid w:val="2D666D38"/>
    <w:rsid w:val="2EDC03C7"/>
    <w:rsid w:val="2EE00B92"/>
    <w:rsid w:val="2FC351CE"/>
    <w:rsid w:val="309C7451"/>
    <w:rsid w:val="30AA595F"/>
    <w:rsid w:val="3493126A"/>
    <w:rsid w:val="392456E2"/>
    <w:rsid w:val="39706B79"/>
    <w:rsid w:val="3A6D602C"/>
    <w:rsid w:val="3AB956F7"/>
    <w:rsid w:val="3C4936B2"/>
    <w:rsid w:val="3E0C4997"/>
    <w:rsid w:val="3E18340E"/>
    <w:rsid w:val="3EC6723B"/>
    <w:rsid w:val="3FDB4027"/>
    <w:rsid w:val="404228F2"/>
    <w:rsid w:val="415E47D5"/>
    <w:rsid w:val="430976F7"/>
    <w:rsid w:val="433073C1"/>
    <w:rsid w:val="43AD09C3"/>
    <w:rsid w:val="444035EC"/>
    <w:rsid w:val="471C5EF2"/>
    <w:rsid w:val="48B325DE"/>
    <w:rsid w:val="48F6071D"/>
    <w:rsid w:val="4904108C"/>
    <w:rsid w:val="497421CB"/>
    <w:rsid w:val="4A37223A"/>
    <w:rsid w:val="4AC40AD3"/>
    <w:rsid w:val="4CE40C5A"/>
    <w:rsid w:val="4F89768C"/>
    <w:rsid w:val="50E00881"/>
    <w:rsid w:val="54971006"/>
    <w:rsid w:val="54A84FC1"/>
    <w:rsid w:val="56A16C6F"/>
    <w:rsid w:val="572D203D"/>
    <w:rsid w:val="57372832"/>
    <w:rsid w:val="584D1B35"/>
    <w:rsid w:val="589A5B27"/>
    <w:rsid w:val="58EB6715"/>
    <w:rsid w:val="590D6AC3"/>
    <w:rsid w:val="59252F75"/>
    <w:rsid w:val="5A57549A"/>
    <w:rsid w:val="5AA75D1B"/>
    <w:rsid w:val="5B5A19FF"/>
    <w:rsid w:val="5DD82A27"/>
    <w:rsid w:val="5F5D4BFA"/>
    <w:rsid w:val="5FD04C97"/>
    <w:rsid w:val="61357BDD"/>
    <w:rsid w:val="618E53AC"/>
    <w:rsid w:val="619D64FA"/>
    <w:rsid w:val="624D2961"/>
    <w:rsid w:val="639470A0"/>
    <w:rsid w:val="642E11C0"/>
    <w:rsid w:val="64550634"/>
    <w:rsid w:val="654C00DD"/>
    <w:rsid w:val="65705274"/>
    <w:rsid w:val="65817895"/>
    <w:rsid w:val="66770CD8"/>
    <w:rsid w:val="66995DDA"/>
    <w:rsid w:val="67C32B34"/>
    <w:rsid w:val="67D51F7D"/>
    <w:rsid w:val="68845596"/>
    <w:rsid w:val="69496F06"/>
    <w:rsid w:val="696D3831"/>
    <w:rsid w:val="69F858D1"/>
    <w:rsid w:val="6AC20485"/>
    <w:rsid w:val="6C443E52"/>
    <w:rsid w:val="6D805151"/>
    <w:rsid w:val="6E602011"/>
    <w:rsid w:val="70DB6AE9"/>
    <w:rsid w:val="714D0F18"/>
    <w:rsid w:val="71E4107B"/>
    <w:rsid w:val="730B6B11"/>
    <w:rsid w:val="739509AF"/>
    <w:rsid w:val="73D13F82"/>
    <w:rsid w:val="73D70009"/>
    <w:rsid w:val="74987681"/>
    <w:rsid w:val="755D16F3"/>
    <w:rsid w:val="759F0839"/>
    <w:rsid w:val="76516E0F"/>
    <w:rsid w:val="77446974"/>
    <w:rsid w:val="781B5927"/>
    <w:rsid w:val="78457999"/>
    <w:rsid w:val="7AB11A95"/>
    <w:rsid w:val="7AFE32DE"/>
    <w:rsid w:val="7CFA7D95"/>
    <w:rsid w:val="7E1D223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8E66"/>
  <w15:docId w15:val="{594C342C-7F36-40EA-8160-DEC1D87D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4B54C2"/>
    <w:pPr>
      <w:keepNext/>
      <w:outlineLvl w:val="0"/>
    </w:pPr>
    <w:rPr>
      <w:b/>
      <w:szCs w:val="20"/>
      <w:lang w:eastAsia="en-US"/>
    </w:rPr>
  </w:style>
  <w:style w:type="paragraph" w:styleId="Heading2">
    <w:name w:val="heading 2"/>
    <w:basedOn w:val="Normal"/>
    <w:next w:val="Normal"/>
    <w:link w:val="Heading2Char"/>
    <w:qFormat/>
    <w:rsid w:val="001F402C"/>
    <w:pPr>
      <w:keepNext/>
      <w:outlineLvl w:val="1"/>
    </w:pPr>
    <w:rPr>
      <w:rFonts w:cs="Arial"/>
      <w:b/>
      <w:bCs/>
      <w:iCs/>
      <w:szCs w:val="28"/>
    </w:rPr>
  </w:style>
  <w:style w:type="paragraph" w:styleId="Heading3">
    <w:name w:val="heading 3"/>
    <w:basedOn w:val="Normal"/>
    <w:next w:val="Normal"/>
    <w:link w:val="Heading3Char"/>
    <w:unhideWhenUsed/>
    <w:qFormat/>
    <w:pPr>
      <w:keepNext/>
      <w:keepLines/>
      <w:spacing w:before="40"/>
      <w:ind w:firstLine="720"/>
      <w:jc w:val="both"/>
      <w:outlineLvl w:val="2"/>
    </w:pPr>
    <w:rPr>
      <w:rFonts w:asciiTheme="majorHAnsi" w:eastAsiaTheme="majorEastAsia" w:hAnsiTheme="majorHAnsi" w:cstheme="majorBidi"/>
      <w:color w:val="1F3864" w:themeColor="accent1" w:themeShade="80"/>
      <w:lang w:eastAsia="en-US"/>
    </w:rPr>
  </w:style>
  <w:style w:type="paragraph" w:styleId="Heading4">
    <w:name w:val="heading 4"/>
    <w:basedOn w:val="Normal"/>
    <w:next w:val="Normal"/>
    <w:link w:val="Heading4Char"/>
    <w:uiPriority w:val="9"/>
    <w:semiHidden/>
    <w:unhideWhenUsed/>
    <w:qFormat/>
    <w:rsid w:val="00F1272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uiPriority w:val="99"/>
    <w:pPr>
      <w:ind w:left="720" w:right="-2" w:hanging="720"/>
      <w:jc w:val="both"/>
    </w:pPr>
    <w:rPr>
      <w:rFonts w:ascii="Times New Roman BaltRim" w:eastAsia="Calibri" w:hAnsi="Times New Roman BaltRim" w:cs="Times New Roman BaltRim"/>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qFormat/>
    <w:pPr>
      <w:spacing w:after="120"/>
      <w:ind w:left="283"/>
    </w:pPr>
  </w:style>
  <w:style w:type="paragraph" w:styleId="BodyTextIndent2">
    <w:name w:val="Body Text Indent 2"/>
    <w:basedOn w:val="Normal"/>
    <w:link w:val="BodyTextIndent2Char"/>
    <w:qFormat/>
    <w:pPr>
      <w:spacing w:after="120" w:line="480" w:lineRule="auto"/>
      <w:ind w:left="283"/>
    </w:pPr>
  </w:style>
  <w:style w:type="paragraph" w:styleId="Caption">
    <w:name w:val="caption"/>
    <w:basedOn w:val="Normal"/>
    <w:next w:val="Normal"/>
    <w:qFormat/>
    <w:rPr>
      <w:b/>
      <w:bCs/>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semiHidden/>
    <w:qFormat/>
    <w:rPr>
      <w:sz w:val="20"/>
      <w:szCs w:val="20"/>
    </w:rP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character" w:styleId="EndnoteReference">
    <w:name w:val="endnote reference"/>
    <w:rPr>
      <w:vertAlign w:val="superscript"/>
    </w:rPr>
  </w:style>
  <w:style w:type="paragraph" w:styleId="EndnoteText">
    <w:name w:val="endnote text"/>
    <w:basedOn w:val="Normal"/>
    <w:link w:val="EndnoteTextChar"/>
    <w:rPr>
      <w:sz w:val="20"/>
      <w:szCs w:val="20"/>
    </w:rPr>
  </w:style>
  <w:style w:type="paragraph" w:styleId="EnvelopeAddress">
    <w:name w:val="envelope address"/>
    <w:basedOn w:val="Normal"/>
    <w:next w:val="Subtitle"/>
    <w:qFormat/>
    <w:pPr>
      <w:keepNext/>
      <w:keepLines/>
      <w:widowControl w:val="0"/>
      <w:spacing w:before="60" w:after="60"/>
      <w:ind w:left="5103"/>
    </w:pPr>
    <w:rPr>
      <w:sz w:val="26"/>
      <w:szCs w:val="20"/>
      <w:lang w:val="en-AU" w:eastAsia="en-US"/>
    </w:rPr>
  </w:style>
  <w:style w:type="paragraph" w:styleId="Subtitle">
    <w:name w:val="Subtitle"/>
    <w:basedOn w:val="Normal"/>
    <w:link w:val="SubtitleChar"/>
    <w:qFormat/>
    <w:pPr>
      <w:spacing w:after="60"/>
      <w:jc w:val="center"/>
      <w:outlineLvl w:val="1"/>
    </w:pPr>
    <w:rPr>
      <w:rFonts w:ascii="Arial" w:hAnsi="Arial" w:cs="Arial"/>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rPr>
      <w:rFonts w:cs="Times New Roman"/>
      <w:vertAlign w:val="superscript"/>
    </w:rPr>
  </w:style>
  <w:style w:type="paragraph" w:styleId="FootnoteText">
    <w:name w:val="footnote text"/>
    <w:basedOn w:val="Normal"/>
    <w:link w:val="FootnoteTextChar"/>
    <w:rPr>
      <w:rFonts w:eastAsia="Calibri"/>
      <w:sz w:val="20"/>
      <w:szCs w:val="20"/>
      <w:lang w:val="en-GB" w:eastAsia="en-US"/>
    </w:rPr>
  </w:style>
  <w:style w:type="paragraph" w:styleId="Header">
    <w:name w:val="header"/>
    <w:basedOn w:val="Normal"/>
    <w:link w:val="HeaderChar"/>
    <w:uiPriority w:val="99"/>
    <w:pPr>
      <w:tabs>
        <w:tab w:val="center" w:pos="4153"/>
        <w:tab w:val="right" w:pos="8306"/>
      </w:tabs>
    </w:pPr>
  </w:style>
  <w:style w:type="character" w:styleId="Hyperlink">
    <w:name w:val="Hyperlink"/>
    <w:uiPriority w:val="99"/>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B54C2"/>
    <w:rPr>
      <w:rFonts w:eastAsia="Times New Roman"/>
      <w:b/>
      <w:sz w:val="24"/>
      <w:lang w:eastAsia="en-US"/>
    </w:rPr>
  </w:style>
  <w:style w:type="character" w:customStyle="1" w:styleId="Heading2Char">
    <w:name w:val="Heading 2 Char"/>
    <w:basedOn w:val="DefaultParagraphFont"/>
    <w:link w:val="Heading2"/>
    <w:rsid w:val="001F402C"/>
    <w:rPr>
      <w:rFonts w:eastAsia="Times New Roman" w:cs="Arial"/>
      <w:b/>
      <w:bCs/>
      <w:iCs/>
      <w:sz w:val="24"/>
      <w:szCs w:val="28"/>
    </w:rPr>
  </w:style>
  <w:style w:type="character" w:customStyle="1" w:styleId="Heading3Char">
    <w:name w:val="Heading 3 Char"/>
    <w:basedOn w:val="DefaultParagraphFont"/>
    <w:link w:val="Heading3"/>
    <w:rPr>
      <w:rFonts w:asciiTheme="majorHAnsi" w:eastAsiaTheme="majorEastAsia" w:hAnsiTheme="majorHAnsi" w:cstheme="majorBidi"/>
      <w:color w:val="1F3864" w:themeColor="accent1" w:themeShade="80"/>
      <w:sz w:val="24"/>
      <w:szCs w:val="24"/>
    </w:rPr>
  </w:style>
  <w:style w:type="character" w:customStyle="1" w:styleId="Heading6Char">
    <w:name w:val="Heading 6 Char"/>
    <w:basedOn w:val="DefaultParagraphFont"/>
    <w:link w:val="Heading6"/>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eastAsia="lv-LV"/>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lv-LV"/>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eastAsia="lv-LV"/>
    </w:rPr>
  </w:style>
  <w:style w:type="paragraph" w:customStyle="1" w:styleId="raksts">
    <w:name w:val="raksts"/>
    <w:basedOn w:val="Normal"/>
    <w:qFormat/>
    <w:pPr>
      <w:spacing w:before="100" w:beforeAutospacing="1" w:after="100" w:afterAutospacing="1"/>
      <w:jc w:val="both"/>
    </w:pPr>
    <w:rPr>
      <w:rFonts w:ascii="Verdana" w:hAnsi="Verdana"/>
      <w:sz w:val="20"/>
      <w:szCs w:val="20"/>
    </w:rPr>
  </w:style>
  <w:style w:type="character" w:customStyle="1" w:styleId="SubtitleChar">
    <w:name w:val="Subtitle Char"/>
    <w:basedOn w:val="DefaultParagraphFont"/>
    <w:link w:val="Subtitle"/>
    <w:qFormat/>
    <w:rPr>
      <w:rFonts w:ascii="Arial" w:eastAsia="Times New Roman" w:hAnsi="Arial" w:cs="Arial"/>
      <w:sz w:val="24"/>
      <w:szCs w:val="24"/>
      <w:lang w:eastAsia="lv-LV"/>
    </w:rPr>
  </w:style>
  <w:style w:type="paragraph" w:customStyle="1" w:styleId="CharCharChar">
    <w:name w:val="Char Char Char"/>
    <w:basedOn w:val="Normal"/>
    <w:qFormat/>
    <w:pPr>
      <w:spacing w:after="160" w:line="240" w:lineRule="exact"/>
    </w:pPr>
    <w:rPr>
      <w:rFonts w:ascii="Tahoma" w:hAnsi="Tahoma"/>
      <w:sz w:val="20"/>
      <w:szCs w:val="20"/>
      <w:lang w:val="en-US" w:eastAsia="en-US"/>
    </w:rPr>
  </w:style>
  <w:style w:type="paragraph" w:styleId="ListParagraph">
    <w:name w:val="List Paragraph"/>
    <w:basedOn w:val="Normal"/>
    <w:uiPriority w:val="34"/>
    <w:qFormat/>
    <w:pPr>
      <w:widowControl w:val="0"/>
      <w:spacing w:before="60" w:after="60" w:line="360" w:lineRule="auto"/>
      <w:ind w:left="720" w:firstLine="720"/>
      <w:contextualSpacing/>
      <w:jc w:val="both"/>
    </w:pPr>
    <w:rPr>
      <w:sz w:val="26"/>
      <w:szCs w:val="20"/>
      <w:lang w:val="en-AU" w:eastAsia="en-US"/>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v-LV"/>
    </w:rPr>
  </w:style>
  <w:style w:type="character" w:customStyle="1" w:styleId="BalloonTextChar1">
    <w:name w:val="Balloon Text Char1"/>
    <w:basedOn w:val="DefaultParagraphFont"/>
    <w:uiPriority w:val="99"/>
    <w:semiHidden/>
    <w:rPr>
      <w:rFonts w:ascii="Segoe UI" w:eastAsia="Times New Roman" w:hAnsi="Segoe UI" w:cs="Segoe UI"/>
      <w:sz w:val="18"/>
      <w:szCs w:val="18"/>
      <w:lang w:eastAsia="lv-LV"/>
    </w:rPr>
  </w:style>
  <w:style w:type="paragraph" w:customStyle="1" w:styleId="naisf">
    <w:name w:val="naisf"/>
    <w:basedOn w:val="Normal"/>
    <w:qFormat/>
    <w:pPr>
      <w:spacing w:before="100" w:beforeAutospacing="1" w:after="100" w:afterAutospacing="1"/>
    </w:pPr>
  </w:style>
  <w:style w:type="paragraph" w:customStyle="1" w:styleId="naiskr">
    <w:name w:val="naiskr"/>
    <w:basedOn w:val="Normal"/>
    <w:qFormat/>
    <w:pPr>
      <w:spacing w:before="75" w:after="75"/>
    </w:pPr>
  </w:style>
  <w:style w:type="character" w:customStyle="1" w:styleId="FootnoteTextChar">
    <w:name w:val="Footnote Text Char"/>
    <w:basedOn w:val="DefaultParagraphFont"/>
    <w:link w:val="FootnoteText"/>
    <w:rPr>
      <w:rFonts w:ascii="Times New Roman" w:eastAsia="Calibri" w:hAnsi="Times New Roman" w:cs="Times New Roman"/>
      <w:sz w:val="20"/>
      <w:szCs w:val="20"/>
      <w:lang w:val="en-GB"/>
    </w:rPr>
  </w:style>
  <w:style w:type="character" w:customStyle="1" w:styleId="CharChar3">
    <w:name w:val="Char Char3"/>
    <w:qFormat/>
    <w:locked/>
    <w:rPr>
      <w:rFonts w:ascii="Arial" w:hAnsi="Arial" w:cs="Arial"/>
      <w:b/>
      <w:bCs/>
      <w:i/>
      <w:iCs/>
      <w:sz w:val="28"/>
      <w:szCs w:val="28"/>
      <w:lang w:val="lv-LV" w:eastAsia="lv-LV" w:bidi="ar-SA"/>
    </w:rPr>
  </w:style>
  <w:style w:type="paragraph" w:customStyle="1" w:styleId="Default">
    <w:name w:val="Default"/>
    <w:qFormat/>
    <w:pPr>
      <w:autoSpaceDE w:val="0"/>
      <w:autoSpaceDN w:val="0"/>
      <w:adjustRightInd w:val="0"/>
    </w:pPr>
    <w:rPr>
      <w:rFonts w:ascii="Garamond" w:eastAsia="Times New Roman" w:hAnsi="Garamond" w:cs="Garamond"/>
      <w:color w:val="000000"/>
      <w:sz w:val="24"/>
      <w:szCs w:val="24"/>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lv-LV"/>
    </w:rPr>
  </w:style>
  <w:style w:type="paragraph" w:customStyle="1" w:styleId="copyright">
    <w:name w:val="copyright"/>
    <w:basedOn w:val="Normal"/>
    <w:pPr>
      <w:spacing w:before="100" w:beforeAutospacing="1" w:after="100" w:afterAutospacing="1"/>
    </w:pPr>
  </w:style>
  <w:style w:type="paragraph" w:customStyle="1" w:styleId="author">
    <w:name w:val="author"/>
    <w:basedOn w:val="Normal"/>
    <w:qFormat/>
    <w:pPr>
      <w:spacing w:before="100" w:beforeAutospacing="1" w:after="100" w:afterAutospacing="1"/>
    </w:pPr>
  </w:style>
  <w:style w:type="character" w:customStyle="1" w:styleId="in-widget">
    <w:name w:val="in-widget"/>
    <w:qFormat/>
  </w:style>
  <w:style w:type="character" w:customStyle="1" w:styleId="in-top">
    <w:name w:val="in-top"/>
    <w:qFormat/>
  </w:style>
  <w:style w:type="paragraph" w:customStyle="1" w:styleId="excerpt">
    <w:name w:val="excerpt"/>
    <w:basedOn w:val="Normal"/>
    <w:pPr>
      <w:spacing w:before="100" w:beforeAutospacing="1" w:after="100" w:afterAutospacing="1"/>
    </w:pPr>
  </w:style>
  <w:style w:type="paragraph" w:customStyle="1" w:styleId="tv213">
    <w:name w:val="tv213"/>
    <w:basedOn w:val="Normal"/>
    <w:pPr>
      <w:spacing w:before="100" w:beforeAutospacing="1" w:after="100" w:afterAutospacing="1"/>
    </w:p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GridTable4-Accent31">
    <w:name w:val="Grid Table 4 - Accent 31"/>
    <w:basedOn w:val="TableNormal"/>
    <w:uiPriority w:val="49"/>
    <w:rPr>
      <w:rFonts w:ascii="Calibri" w:eastAsia="Calibri" w:hAnsi="Calibri"/>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ext-font">
    <w:name w:val="text-font"/>
    <w:basedOn w:val="Normal"/>
    <w:pPr>
      <w:spacing w:before="100" w:beforeAutospacing="1" w:after="100" w:afterAutospacing="1"/>
    </w:pPr>
  </w:style>
  <w:style w:type="character" w:customStyle="1" w:styleId="Heading4Char">
    <w:name w:val="Heading 4 Char"/>
    <w:basedOn w:val="DefaultParagraphFont"/>
    <w:link w:val="Heading4"/>
    <w:uiPriority w:val="9"/>
    <w:semiHidden/>
    <w:rsid w:val="00F12724"/>
    <w:rPr>
      <w:rFonts w:asciiTheme="majorHAnsi" w:eastAsiaTheme="majorEastAsia" w:hAnsiTheme="majorHAnsi" w:cstheme="majorBidi"/>
      <w:i/>
      <w:iCs/>
      <w:color w:val="2F5496" w:themeColor="accent1" w:themeShade="BF"/>
      <w:sz w:val="24"/>
      <w:szCs w:val="24"/>
    </w:rPr>
  </w:style>
  <w:style w:type="character" w:styleId="UnresolvedMention">
    <w:name w:val="Unresolved Mention"/>
    <w:basedOn w:val="DefaultParagraphFont"/>
    <w:uiPriority w:val="99"/>
    <w:semiHidden/>
    <w:unhideWhenUsed/>
    <w:rsid w:val="00FC5FA1"/>
    <w:rPr>
      <w:color w:val="605E5C"/>
      <w:shd w:val="clear" w:color="auto" w:fill="E1DFDD"/>
    </w:rPr>
  </w:style>
  <w:style w:type="paragraph" w:styleId="TOCHeading">
    <w:name w:val="TOC Heading"/>
    <w:basedOn w:val="Heading1"/>
    <w:next w:val="Normal"/>
    <w:uiPriority w:val="39"/>
    <w:unhideWhenUsed/>
    <w:qFormat/>
    <w:rsid w:val="004B54C2"/>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4B54C2"/>
    <w:pPr>
      <w:spacing w:after="100"/>
    </w:pPr>
  </w:style>
  <w:style w:type="paragraph" w:styleId="TOC3">
    <w:name w:val="toc 3"/>
    <w:basedOn w:val="Normal"/>
    <w:next w:val="Normal"/>
    <w:autoRedefine/>
    <w:uiPriority w:val="39"/>
    <w:unhideWhenUsed/>
    <w:rsid w:val="004B54C2"/>
    <w:pPr>
      <w:spacing w:after="100"/>
      <w:ind w:left="480"/>
    </w:pPr>
  </w:style>
  <w:style w:type="paragraph" w:styleId="TOC2">
    <w:name w:val="toc 2"/>
    <w:basedOn w:val="Normal"/>
    <w:next w:val="Normal"/>
    <w:autoRedefine/>
    <w:uiPriority w:val="39"/>
    <w:unhideWhenUsed/>
    <w:rsid w:val="006B424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53315">
      <w:bodyDiv w:val="1"/>
      <w:marLeft w:val="0"/>
      <w:marRight w:val="0"/>
      <w:marTop w:val="0"/>
      <w:marBottom w:val="0"/>
      <w:divBdr>
        <w:top w:val="none" w:sz="0" w:space="0" w:color="auto"/>
        <w:left w:val="none" w:sz="0" w:space="0" w:color="auto"/>
        <w:bottom w:val="none" w:sz="0" w:space="0" w:color="auto"/>
        <w:right w:val="none" w:sz="0" w:space="0" w:color="auto"/>
      </w:divBdr>
    </w:div>
    <w:div w:id="1103837234">
      <w:bodyDiv w:val="1"/>
      <w:marLeft w:val="0"/>
      <w:marRight w:val="0"/>
      <w:marTop w:val="0"/>
      <w:marBottom w:val="0"/>
      <w:divBdr>
        <w:top w:val="none" w:sz="0" w:space="0" w:color="auto"/>
        <w:left w:val="none" w:sz="0" w:space="0" w:color="auto"/>
        <w:bottom w:val="none" w:sz="0" w:space="0" w:color="auto"/>
        <w:right w:val="none" w:sz="0" w:space="0" w:color="auto"/>
      </w:divBdr>
      <w:divsChild>
        <w:div w:id="882865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ta.stat.gov.lv/pxweb/lv/OSP_PUB/START__EMP__DS__DSN/DSN020" TargetMode="External"/><Relationship Id="rId13" Type="http://schemas.openxmlformats.org/officeDocument/2006/relationships/hyperlink" Target="https://stat.gov.lv/lv/statistikas-temas/darbs/al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m.gov.lv/lv/minimala-darba-alg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lo.org/dyn/normlex/en/f?p=NORMLEXPUB:12100:0::NO::P12100_INSTRUMENT_ID:3122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78067-noteikumi-par-minimalas-menesa-darba-algas-apmeru-normala-darba-laika-ietvaros-un-minimalas-stundas-tarifa-likmes-aprekinasanu" TargetMode="External"/><Relationship Id="rId5" Type="http://schemas.openxmlformats.org/officeDocument/2006/relationships/webSettings" Target="webSettings.xml"/><Relationship Id="rId15" Type="http://schemas.openxmlformats.org/officeDocument/2006/relationships/hyperlink" Target="https://eur-lex.europa.eu/legal-content/LV/TXT/PDF/?uri=CELEX:32022L2041" TargetMode="External"/><Relationship Id="rId10" Type="http://schemas.openxmlformats.org/officeDocument/2006/relationships/hyperlink" Target="https://data.stat.gov.lv/pxweb/lv/OSP_PUB/START__EMP__DS__DSN/DSN0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ta.stat.gov.lv/pxweb/lv/OSP_PUB/START__EMP__DS__DSN/DSN040" TargetMode="External"/><Relationship Id="rId14" Type="http://schemas.openxmlformats.org/officeDocument/2006/relationships/hyperlink" Target="https://www.vid.gov.lv/lv/profesiju-atalgoj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portals.mk.gov.lv/legal_acts/9e47ab90-df45-45f0-95c1-b465ec6d1bcc" TargetMode="External"/><Relationship Id="rId2" Type="http://schemas.openxmlformats.org/officeDocument/2006/relationships/hyperlink" Target="https://tapportals.mk.gov.lv/legal_acts/9e47ab90-df45-45f0-95c1-b465ec6d1bcc" TargetMode="External"/><Relationship Id="rId1" Type="http://schemas.openxmlformats.org/officeDocument/2006/relationships/hyperlink" Target="https://www.em.gov.lv/lv/media/16948/download?attachment" TargetMode="External"/><Relationship Id="rId4" Type="http://schemas.openxmlformats.org/officeDocument/2006/relationships/hyperlink" Target="https://www.bank.lv/images/stories/pielikumi/publikacijas/petijumi/p_4_2017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F27C-846F-49F2-819D-BFCB5C47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32084</Words>
  <Characters>18289</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Imants Lipskis</cp:lastModifiedBy>
  <cp:revision>16</cp:revision>
  <dcterms:created xsi:type="dcterms:W3CDTF">2023-10-10T10:20:00Z</dcterms:created>
  <dcterms:modified xsi:type="dcterms:W3CDTF">2023-11-22T16:11:00Z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2AC3B99E65BF44A88668354472DCFB7B</vt:lpwstr>
  </property>
</Properties>
</file>