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16EA" w14:textId="77777777" w:rsidR="000845A5" w:rsidRDefault="00525F5F" w:rsidP="00A37166">
      <w:pPr>
        <w:jc w:val="center"/>
        <w:rPr>
          <w:rFonts w:ascii="Times New Roman" w:hAnsi="Times New Roman" w:cs="Times New Roman"/>
          <w:b/>
          <w:sz w:val="24"/>
          <w:szCs w:val="24"/>
        </w:rPr>
      </w:pPr>
      <w:r w:rsidRPr="00A37166">
        <w:rPr>
          <w:rFonts w:ascii="Times New Roman" w:hAnsi="Times New Roman" w:cs="Times New Roman"/>
          <w:b/>
          <w:sz w:val="24"/>
          <w:szCs w:val="24"/>
        </w:rPr>
        <w:t>Informatīvais ziņojums</w:t>
      </w:r>
      <w:r w:rsidR="000845A5">
        <w:rPr>
          <w:rFonts w:ascii="Times New Roman" w:hAnsi="Times New Roman" w:cs="Times New Roman"/>
          <w:b/>
          <w:sz w:val="24"/>
          <w:szCs w:val="24"/>
        </w:rPr>
        <w:t xml:space="preserve"> </w:t>
      </w:r>
    </w:p>
    <w:p w14:paraId="6204DDB0" w14:textId="59623D6D" w:rsidR="00525F5F" w:rsidRDefault="000845A5" w:rsidP="00A37166">
      <w:pPr>
        <w:jc w:val="center"/>
        <w:rPr>
          <w:rFonts w:ascii="Times New Roman" w:hAnsi="Times New Roman" w:cs="Times New Roman"/>
          <w:b/>
          <w:sz w:val="24"/>
          <w:szCs w:val="24"/>
        </w:rPr>
      </w:pPr>
      <w:r w:rsidRPr="000845A5">
        <w:rPr>
          <w:rFonts w:ascii="Times New Roman" w:hAnsi="Times New Roman" w:cs="Times New Roman"/>
          <w:b/>
          <w:sz w:val="24"/>
          <w:szCs w:val="24"/>
        </w:rPr>
        <w:t>“Par atbalsta pasākumiem energoresursu cenu un vispārējās inflācijas pieauguma ietekmes mazināšanai mazaizsargāt</w:t>
      </w:r>
      <w:r w:rsidR="00A1424B">
        <w:rPr>
          <w:rFonts w:ascii="Times New Roman" w:hAnsi="Times New Roman" w:cs="Times New Roman"/>
          <w:b/>
          <w:sz w:val="24"/>
          <w:szCs w:val="24"/>
        </w:rPr>
        <w:t>aj</w:t>
      </w:r>
      <w:r w:rsidRPr="000845A5">
        <w:rPr>
          <w:rFonts w:ascii="Times New Roman" w:hAnsi="Times New Roman" w:cs="Times New Roman"/>
          <w:b/>
          <w:sz w:val="24"/>
          <w:szCs w:val="24"/>
        </w:rPr>
        <w:t>ām iedzīvotāju grupām”</w:t>
      </w:r>
    </w:p>
    <w:p w14:paraId="407DCF18" w14:textId="77777777" w:rsidR="00114009" w:rsidRPr="00A37166" w:rsidRDefault="00114009" w:rsidP="00A37166">
      <w:pPr>
        <w:jc w:val="center"/>
        <w:rPr>
          <w:rFonts w:ascii="Times New Roman" w:hAnsi="Times New Roman" w:cs="Times New Roman"/>
          <w:b/>
          <w:sz w:val="24"/>
          <w:szCs w:val="24"/>
        </w:rPr>
      </w:pPr>
    </w:p>
    <w:p w14:paraId="6FB99E7F" w14:textId="07DC3CAC" w:rsidR="00525F5F" w:rsidRPr="009C7F5C" w:rsidRDefault="00525F5F" w:rsidP="005817AF">
      <w:pPr>
        <w:pStyle w:val="ListParagraph"/>
        <w:numPr>
          <w:ilvl w:val="0"/>
          <w:numId w:val="13"/>
        </w:numPr>
        <w:rPr>
          <w:rFonts w:ascii="Times New Roman" w:hAnsi="Times New Roman" w:cs="Times New Roman"/>
          <w:b/>
          <w:sz w:val="24"/>
          <w:szCs w:val="24"/>
        </w:rPr>
      </w:pPr>
      <w:r w:rsidRPr="009C7F5C">
        <w:rPr>
          <w:rFonts w:ascii="Times New Roman" w:hAnsi="Times New Roman" w:cs="Times New Roman"/>
          <w:b/>
          <w:sz w:val="24"/>
          <w:szCs w:val="24"/>
        </w:rPr>
        <w:t>Kopsavilkums</w:t>
      </w:r>
      <w:r w:rsidR="000845A5" w:rsidRPr="009C7F5C">
        <w:rPr>
          <w:rFonts w:ascii="Times New Roman" w:hAnsi="Times New Roman" w:cs="Times New Roman"/>
          <w:b/>
          <w:sz w:val="24"/>
          <w:szCs w:val="24"/>
        </w:rPr>
        <w:t>.</w:t>
      </w:r>
    </w:p>
    <w:p w14:paraId="60ACA524" w14:textId="1579C160" w:rsidR="005D4476" w:rsidRDefault="005D4476" w:rsidP="005D44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Informatīvais ziņojums </w:t>
      </w:r>
      <w:r w:rsidRPr="00907B13">
        <w:rPr>
          <w:rFonts w:ascii="Times New Roman" w:hAnsi="Times New Roman" w:cs="Times New Roman"/>
          <w:sz w:val="24"/>
          <w:szCs w:val="24"/>
        </w:rPr>
        <w:t>“Par atbalsta pasākumiem</w:t>
      </w:r>
      <w:r w:rsidRPr="00E345AB">
        <w:rPr>
          <w:rFonts w:ascii="Times New Roman" w:hAnsi="Times New Roman" w:cs="Times New Roman"/>
          <w:sz w:val="24"/>
          <w:szCs w:val="24"/>
        </w:rPr>
        <w:t xml:space="preserve"> </w:t>
      </w:r>
      <w:r w:rsidRPr="00907B13">
        <w:rPr>
          <w:rFonts w:ascii="Times New Roman" w:hAnsi="Times New Roman" w:cs="Times New Roman"/>
          <w:sz w:val="24"/>
          <w:szCs w:val="24"/>
        </w:rPr>
        <w:t>energoresursu cenu un vispārējās inflācijas pieauguma ietekmes mazināšanai mazaizsargāt</w:t>
      </w:r>
      <w:r w:rsidR="00A1424B">
        <w:rPr>
          <w:rFonts w:ascii="Times New Roman" w:hAnsi="Times New Roman" w:cs="Times New Roman"/>
          <w:sz w:val="24"/>
          <w:szCs w:val="24"/>
        </w:rPr>
        <w:t>aj</w:t>
      </w:r>
      <w:r w:rsidRPr="00907B13">
        <w:rPr>
          <w:rFonts w:ascii="Times New Roman" w:hAnsi="Times New Roman" w:cs="Times New Roman"/>
          <w:sz w:val="24"/>
          <w:szCs w:val="24"/>
        </w:rPr>
        <w:t xml:space="preserve">ām iedzīvotāju grupām” </w:t>
      </w:r>
      <w:r>
        <w:rPr>
          <w:rFonts w:ascii="Times New Roman" w:hAnsi="Times New Roman" w:cs="Times New Roman"/>
          <w:sz w:val="24"/>
          <w:szCs w:val="24"/>
        </w:rPr>
        <w:t xml:space="preserve">izstrādāts, izpildot Ministru prezidenta 2022.gada 24.maija rezolūciju </w:t>
      </w:r>
      <w:r w:rsidRPr="00E345AB">
        <w:rPr>
          <w:rFonts w:ascii="Times New Roman" w:hAnsi="Times New Roman" w:cs="Times New Roman"/>
          <w:sz w:val="24"/>
          <w:szCs w:val="24"/>
        </w:rPr>
        <w:t xml:space="preserve">Labklājības ministrijai sadarbībā ar Ekonomikas ministriju, </w:t>
      </w:r>
      <w:r>
        <w:rPr>
          <w:rFonts w:ascii="Times New Roman" w:hAnsi="Times New Roman" w:cs="Times New Roman"/>
          <w:sz w:val="24"/>
          <w:szCs w:val="24"/>
        </w:rPr>
        <w:t xml:space="preserve">Iekšlietu ministriju, </w:t>
      </w:r>
      <w:r w:rsidRPr="00E345AB">
        <w:rPr>
          <w:rFonts w:ascii="Times New Roman" w:hAnsi="Times New Roman" w:cs="Times New Roman"/>
          <w:sz w:val="24"/>
          <w:szCs w:val="24"/>
        </w:rPr>
        <w:t>Finanšu ministriju un Vides aizsardzības un reģionālās attīstības ministriju izstrādāt un iesniegt izskatīšanai Ministru kabineta 2022.gada 14.jūnija sēdē piedāvājumu par visaptverošu mērķētu pabalstu sistēmu, kas ļautu finansiāli mazaizsargātākajām iedzīvotāju grupām saņemt atbalstu energoresursu cenu un vispārējās inflācijas pieauguma ietekmes mazināšanai un  kura būtu ieviešama līdz 2022. gada 1. septembrim</w:t>
      </w:r>
      <w:r>
        <w:rPr>
          <w:rFonts w:ascii="Times New Roman" w:hAnsi="Times New Roman" w:cs="Times New Roman"/>
          <w:sz w:val="24"/>
          <w:szCs w:val="24"/>
        </w:rPr>
        <w:t xml:space="preserve"> (TAP 22-MPI-UZ-693) (turpmāk – MP rezolūcija)</w:t>
      </w:r>
      <w:r w:rsidRPr="00E345AB">
        <w:rPr>
          <w:rFonts w:ascii="Times New Roman" w:hAnsi="Times New Roman" w:cs="Times New Roman"/>
          <w:sz w:val="24"/>
          <w:szCs w:val="24"/>
        </w:rPr>
        <w:t>.</w:t>
      </w:r>
      <w:r>
        <w:rPr>
          <w:rFonts w:ascii="Times New Roman" w:hAnsi="Times New Roman" w:cs="Times New Roman"/>
          <w:sz w:val="24"/>
          <w:szCs w:val="24"/>
        </w:rPr>
        <w:t xml:space="preserve"> Saskaņā ar MP rezolūcijā sniegtajiem uzdevumiem atbalsts ir jāplāno to iedzīvotāju grupu atbalstam, kuru ienākumi atbilst pirmās, otrās un trešās ienākumu kvintiles </w:t>
      </w:r>
      <w:r w:rsidR="00A369AE">
        <w:rPr>
          <w:rFonts w:ascii="Times New Roman" w:hAnsi="Times New Roman" w:cs="Times New Roman"/>
          <w:sz w:val="24"/>
          <w:szCs w:val="24"/>
        </w:rPr>
        <w:t xml:space="preserve">ienākumu apmēriem </w:t>
      </w:r>
      <w:r>
        <w:rPr>
          <w:rFonts w:ascii="Times New Roman" w:hAnsi="Times New Roman" w:cs="Times New Roman"/>
          <w:sz w:val="24"/>
          <w:szCs w:val="24"/>
        </w:rPr>
        <w:t xml:space="preserve">jeb nepārsniedz </w:t>
      </w:r>
      <w:r w:rsidRPr="005E2FC9">
        <w:rPr>
          <w:rFonts w:ascii="Times New Roman" w:hAnsi="Times New Roman" w:cs="Times New Roman"/>
          <w:sz w:val="24"/>
          <w:szCs w:val="24"/>
        </w:rPr>
        <w:t xml:space="preserve">508,57 </w:t>
      </w:r>
      <w:r w:rsidRPr="005E2FC9">
        <w:rPr>
          <w:rFonts w:ascii="Times New Roman" w:hAnsi="Times New Roman" w:cs="Times New Roman"/>
          <w:i/>
          <w:sz w:val="24"/>
          <w:szCs w:val="24"/>
        </w:rPr>
        <w:t>euro</w:t>
      </w:r>
      <w:r w:rsidRPr="005E2FC9">
        <w:rPr>
          <w:rFonts w:ascii="Times New Roman" w:hAnsi="Times New Roman" w:cs="Times New Roman"/>
          <w:sz w:val="24"/>
          <w:szCs w:val="24"/>
        </w:rPr>
        <w:t xml:space="preserve"> vidēji</w:t>
      </w:r>
      <w:r>
        <w:rPr>
          <w:rFonts w:ascii="Times New Roman" w:hAnsi="Times New Roman" w:cs="Times New Roman"/>
          <w:sz w:val="24"/>
          <w:szCs w:val="24"/>
        </w:rPr>
        <w:t xml:space="preserve"> uz vienu mājsaimniecības locekli un </w:t>
      </w:r>
      <w:r w:rsidRPr="00C50130">
        <w:rPr>
          <w:rFonts w:ascii="Times New Roman" w:hAnsi="Times New Roman" w:cs="Times New Roman"/>
          <w:sz w:val="24"/>
          <w:szCs w:val="24"/>
        </w:rPr>
        <w:t>kuras bez atbalsta sniegšanas nonāktu faktiskā maksātnespējas stāvoklī</w:t>
      </w:r>
      <w:r>
        <w:rPr>
          <w:rFonts w:ascii="Times New Roman" w:hAnsi="Times New Roman" w:cs="Times New Roman"/>
          <w:sz w:val="24"/>
          <w:szCs w:val="24"/>
        </w:rPr>
        <w:t>. Piedāvātajiem risinājumiem jābūt ar iespējami mazākām finansiālām izmaksām, nodrošinot vairāku iespējamo atbalsta variantu izvērtēšanu un salīdzināšanu, kā arī izslēdzot tādu iedzīvotāju grupu atbalstu, kuras pašas spēj segt pieaugošās energoresursu un preču un pakalpojumu izmaksas</w:t>
      </w:r>
      <w:r w:rsidR="00A369AE">
        <w:rPr>
          <w:rFonts w:ascii="Times New Roman" w:hAnsi="Times New Roman" w:cs="Times New Roman"/>
          <w:sz w:val="24"/>
          <w:szCs w:val="24"/>
        </w:rPr>
        <w:t xml:space="preserve"> (4.-5.kvintile)</w:t>
      </w:r>
      <w:r>
        <w:rPr>
          <w:rFonts w:ascii="Times New Roman" w:hAnsi="Times New Roman" w:cs="Times New Roman"/>
          <w:sz w:val="24"/>
          <w:szCs w:val="24"/>
        </w:rPr>
        <w:t>.</w:t>
      </w:r>
    </w:p>
    <w:p w14:paraId="5A483456" w14:textId="77777777" w:rsidR="005D4476" w:rsidRDefault="005D4476" w:rsidP="005D44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Informatīvā ziņojuma izstrādē Labklājības ministrija, Ekonomikas ministrija, Iekšlietu ministrija, Finanšu ministrija, Vides aizsardzības un reģionālās attīstības ministrija sadarbojās ar Latvijas Pašvaldību savienību, Pilsonības un migrācijas lietu pārvaldi, Valsts sociālās apdrošināšanas aģentūru un Valsts ieņēmumu dienestu.</w:t>
      </w:r>
    </w:p>
    <w:p w14:paraId="1F0CB46A" w14:textId="72B6B938" w:rsidR="005D4476" w:rsidRDefault="005D4476" w:rsidP="005D44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Atbilstoši MP rezolūcijā norādītajam uzdevumam priekšlikumi atbalsta pasākumiem ir vērsti divos virzienos:</w:t>
      </w:r>
    </w:p>
    <w:p w14:paraId="457212EF" w14:textId="77777777" w:rsidR="005D4476" w:rsidRDefault="005D4476" w:rsidP="00EC7E71">
      <w:pPr>
        <w:pStyle w:val="ListParagraph"/>
        <w:numPr>
          <w:ilvl w:val="0"/>
          <w:numId w:val="8"/>
        </w:numPr>
        <w:spacing w:before="120" w:after="12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pasākumi</w:t>
      </w:r>
      <w:r w:rsidRPr="006A65C4">
        <w:rPr>
          <w:rFonts w:ascii="Times New Roman" w:hAnsi="Times New Roman" w:cs="Times New Roman"/>
          <w:sz w:val="24"/>
          <w:szCs w:val="24"/>
        </w:rPr>
        <w:t xml:space="preserve"> strau</w:t>
      </w:r>
      <w:r>
        <w:rPr>
          <w:rFonts w:ascii="Times New Roman" w:hAnsi="Times New Roman" w:cs="Times New Roman"/>
          <w:sz w:val="24"/>
          <w:szCs w:val="24"/>
        </w:rPr>
        <w:t>jās</w:t>
      </w:r>
      <w:r w:rsidRPr="006A65C4">
        <w:rPr>
          <w:rFonts w:ascii="Times New Roman" w:hAnsi="Times New Roman" w:cs="Times New Roman"/>
          <w:sz w:val="24"/>
          <w:szCs w:val="24"/>
        </w:rPr>
        <w:t xml:space="preserve"> inflācijas pieaugum</w:t>
      </w:r>
      <w:r>
        <w:rPr>
          <w:rFonts w:ascii="Times New Roman" w:hAnsi="Times New Roman" w:cs="Times New Roman"/>
          <w:sz w:val="24"/>
          <w:szCs w:val="24"/>
        </w:rPr>
        <w:t>a kompensēšanai</w:t>
      </w:r>
      <w:r w:rsidRPr="006A65C4">
        <w:rPr>
          <w:rFonts w:ascii="Times New Roman" w:hAnsi="Times New Roman" w:cs="Times New Roman"/>
          <w:sz w:val="24"/>
          <w:szCs w:val="24"/>
        </w:rPr>
        <w:t xml:space="preserve"> </w:t>
      </w:r>
      <w:r>
        <w:rPr>
          <w:rFonts w:ascii="Times New Roman" w:hAnsi="Times New Roman" w:cs="Times New Roman"/>
          <w:sz w:val="24"/>
          <w:szCs w:val="24"/>
        </w:rPr>
        <w:t>tām iedzīvotāju</w:t>
      </w:r>
      <w:r w:rsidRPr="006A65C4">
        <w:rPr>
          <w:rFonts w:ascii="Times New Roman" w:hAnsi="Times New Roman" w:cs="Times New Roman"/>
          <w:sz w:val="24"/>
          <w:szCs w:val="24"/>
        </w:rPr>
        <w:t xml:space="preserve"> grupām</w:t>
      </w:r>
      <w:r>
        <w:rPr>
          <w:rFonts w:ascii="Times New Roman" w:hAnsi="Times New Roman" w:cs="Times New Roman"/>
          <w:sz w:val="24"/>
          <w:szCs w:val="24"/>
        </w:rPr>
        <w:t xml:space="preserve"> un mājsaimniecībām ar zemiem un vidējiem i</w:t>
      </w:r>
      <w:r w:rsidRPr="006A65C4">
        <w:rPr>
          <w:rFonts w:ascii="Times New Roman" w:hAnsi="Times New Roman" w:cs="Times New Roman"/>
          <w:sz w:val="24"/>
          <w:szCs w:val="24"/>
        </w:rPr>
        <w:t>enākumi</w:t>
      </w:r>
      <w:r>
        <w:rPr>
          <w:rFonts w:ascii="Times New Roman" w:hAnsi="Times New Roman" w:cs="Times New Roman"/>
          <w:sz w:val="24"/>
          <w:szCs w:val="24"/>
        </w:rPr>
        <w:t>em, kuru ienākumi nepārsniedz trešās ienākumu kvintiles augstāko līmeni.</w:t>
      </w:r>
    </w:p>
    <w:p w14:paraId="246766E7" w14:textId="76495B5F" w:rsidR="00EC7E71" w:rsidRDefault="005D4476" w:rsidP="00EC7E71">
      <w:pPr>
        <w:spacing w:after="0" w:line="240" w:lineRule="auto"/>
        <w:ind w:firstLine="720"/>
        <w:jc w:val="both"/>
        <w:rPr>
          <w:rFonts w:ascii="Times New Roman" w:hAnsi="Times New Roman" w:cs="Times New Roman"/>
          <w:sz w:val="24"/>
          <w:szCs w:val="24"/>
        </w:rPr>
      </w:pPr>
      <w:r w:rsidRPr="00C12590">
        <w:rPr>
          <w:rFonts w:ascii="Times New Roman" w:hAnsi="Times New Roman" w:cs="Times New Roman"/>
          <w:sz w:val="24"/>
          <w:szCs w:val="24"/>
        </w:rPr>
        <w:t xml:space="preserve">Šajā virzienā </w:t>
      </w:r>
      <w:r>
        <w:rPr>
          <w:rFonts w:ascii="Times New Roman" w:hAnsi="Times New Roman" w:cs="Times New Roman"/>
          <w:sz w:val="24"/>
          <w:szCs w:val="24"/>
        </w:rPr>
        <w:t xml:space="preserve">sniegti priekšlikumi par </w:t>
      </w:r>
      <w:r w:rsidR="00EC7E71">
        <w:rPr>
          <w:rFonts w:ascii="Times New Roman" w:hAnsi="Times New Roman" w:cs="Times New Roman"/>
          <w:sz w:val="24"/>
          <w:szCs w:val="24"/>
        </w:rPr>
        <w:t xml:space="preserve">trīs atbalsta </w:t>
      </w:r>
      <w:r w:rsidR="00BB41A5">
        <w:rPr>
          <w:rFonts w:ascii="Times New Roman" w:hAnsi="Times New Roman" w:cs="Times New Roman"/>
          <w:sz w:val="24"/>
          <w:szCs w:val="24"/>
        </w:rPr>
        <w:t>veidiem</w:t>
      </w:r>
      <w:r w:rsidR="00EC7E71">
        <w:rPr>
          <w:rFonts w:ascii="Times New Roman" w:hAnsi="Times New Roman" w:cs="Times New Roman"/>
          <w:sz w:val="24"/>
          <w:szCs w:val="24"/>
        </w:rPr>
        <w:t>:</w:t>
      </w:r>
    </w:p>
    <w:p w14:paraId="0A0E31FE" w14:textId="77777777" w:rsidR="00EC7E71" w:rsidRDefault="005D4476" w:rsidP="00EC7E7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uz ienākumu vērtēšanu balstītu atbalstu </w:t>
      </w:r>
      <w:r w:rsidR="002270D9">
        <w:rPr>
          <w:rFonts w:ascii="Times New Roman" w:hAnsi="Times New Roman" w:cs="Times New Roman"/>
          <w:sz w:val="24"/>
          <w:szCs w:val="24"/>
        </w:rPr>
        <w:t>zemu ienākumu</w:t>
      </w:r>
      <w:r>
        <w:rPr>
          <w:rFonts w:ascii="Times New Roman" w:hAnsi="Times New Roman" w:cs="Times New Roman"/>
          <w:sz w:val="24"/>
          <w:szCs w:val="24"/>
        </w:rPr>
        <w:t xml:space="preserve"> mājsaimniecībām, kuru ienākumi nepārsniedz nacionālā vai vietējā līmenī noteiktos sliekšņus</w:t>
      </w:r>
      <w:r w:rsidR="00EC7E71">
        <w:rPr>
          <w:rStyle w:val="FootnoteReference"/>
          <w:rFonts w:ascii="Times New Roman" w:hAnsi="Times New Roman"/>
          <w:sz w:val="24"/>
          <w:szCs w:val="24"/>
        </w:rPr>
        <w:footnoteReference w:id="1"/>
      </w:r>
      <w:r w:rsidR="00EC7E71">
        <w:rPr>
          <w:rFonts w:ascii="Times New Roman" w:hAnsi="Times New Roman" w:cs="Times New Roman"/>
          <w:sz w:val="24"/>
          <w:szCs w:val="24"/>
        </w:rPr>
        <w:t>, piedāvājot no 2022. gada 1. septembra palielināt koeficientu mājokļa pabalsta apmēra aprēķinam</w:t>
      </w:r>
      <w:r>
        <w:rPr>
          <w:rFonts w:ascii="Times New Roman" w:hAnsi="Times New Roman" w:cs="Times New Roman"/>
          <w:sz w:val="24"/>
          <w:szCs w:val="24"/>
        </w:rPr>
        <w:t xml:space="preserve">; </w:t>
      </w:r>
    </w:p>
    <w:p w14:paraId="738A8B2B" w14:textId="77777777" w:rsidR="00EC7E71" w:rsidRDefault="005D4476" w:rsidP="00EC7E7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atbalstu </w:t>
      </w:r>
      <w:r w:rsidR="00EC7E71">
        <w:rPr>
          <w:rFonts w:ascii="Times New Roman" w:hAnsi="Times New Roman" w:cs="Times New Roman"/>
          <w:sz w:val="24"/>
          <w:szCs w:val="24"/>
        </w:rPr>
        <w:t>konkrētām</w:t>
      </w:r>
      <w:r>
        <w:rPr>
          <w:rFonts w:ascii="Times New Roman" w:hAnsi="Times New Roman" w:cs="Times New Roman"/>
          <w:sz w:val="24"/>
          <w:szCs w:val="24"/>
        </w:rPr>
        <w:t xml:space="preserve"> sociāl</w:t>
      </w:r>
      <w:r w:rsidR="00EC7E71">
        <w:rPr>
          <w:rFonts w:ascii="Times New Roman" w:hAnsi="Times New Roman" w:cs="Times New Roman"/>
          <w:sz w:val="24"/>
          <w:szCs w:val="24"/>
        </w:rPr>
        <w:t>aj</w:t>
      </w:r>
      <w:r>
        <w:rPr>
          <w:rFonts w:ascii="Times New Roman" w:hAnsi="Times New Roman" w:cs="Times New Roman"/>
          <w:sz w:val="24"/>
          <w:szCs w:val="24"/>
        </w:rPr>
        <w:t>ām grupām, t.i., personām, kuras ir pakļautas augstākiem nabadzības un/vai sociālās atstumtības riskiem - pensijas vecuma iedzīvotājiem un personām ar invaliditāti</w:t>
      </w:r>
      <w:r w:rsidR="00EC7E71">
        <w:rPr>
          <w:rFonts w:ascii="Times New Roman" w:hAnsi="Times New Roman" w:cs="Times New Roman"/>
          <w:sz w:val="24"/>
          <w:szCs w:val="24"/>
        </w:rPr>
        <w:t>, nosakot ienākumu slieksni, līdz kuram atbalsts ir nodrošināms</w:t>
      </w:r>
      <w:r w:rsidRPr="00C12590">
        <w:rPr>
          <w:rFonts w:ascii="Times New Roman" w:hAnsi="Times New Roman" w:cs="Times New Roman"/>
          <w:sz w:val="24"/>
          <w:szCs w:val="24"/>
        </w:rPr>
        <w:t>;</w:t>
      </w:r>
      <w:r>
        <w:rPr>
          <w:rFonts w:ascii="Times New Roman" w:hAnsi="Times New Roman" w:cs="Times New Roman"/>
          <w:sz w:val="24"/>
          <w:szCs w:val="24"/>
        </w:rPr>
        <w:t xml:space="preserve"> </w:t>
      </w:r>
    </w:p>
    <w:p w14:paraId="444D3F27" w14:textId="4CA0A93F" w:rsidR="005D4476" w:rsidRPr="00C12590" w:rsidRDefault="005D4476" w:rsidP="00EC7E7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00EC7E71">
        <w:rPr>
          <w:rFonts w:ascii="Times New Roman" w:hAnsi="Times New Roman" w:cs="Times New Roman"/>
          <w:sz w:val="24"/>
          <w:szCs w:val="24"/>
        </w:rPr>
        <w:t xml:space="preserve">no 2023. gada </w:t>
      </w:r>
      <w:r>
        <w:rPr>
          <w:rFonts w:ascii="Times New Roman" w:hAnsi="Times New Roman" w:cs="Times New Roman"/>
          <w:sz w:val="24"/>
          <w:szCs w:val="24"/>
        </w:rPr>
        <w:t xml:space="preserve">automātiski piešķiramu, konstantā apmērā nosakāmu atbalstu mājsaimniecībām </w:t>
      </w:r>
      <w:r w:rsidR="00EC7E71">
        <w:rPr>
          <w:rFonts w:ascii="Times New Roman" w:hAnsi="Times New Roman" w:cs="Times New Roman"/>
          <w:sz w:val="24"/>
          <w:szCs w:val="24"/>
        </w:rPr>
        <w:t>līdz noteiktam ienākumu slieksnim 3.kvintiles ienākumu robežās</w:t>
      </w:r>
      <w:r>
        <w:rPr>
          <w:rFonts w:ascii="Times New Roman" w:hAnsi="Times New Roman" w:cs="Times New Roman"/>
          <w:sz w:val="24"/>
          <w:szCs w:val="24"/>
        </w:rPr>
        <w:t>.</w:t>
      </w:r>
    </w:p>
    <w:p w14:paraId="627C9D52" w14:textId="77777777" w:rsidR="005D4476" w:rsidRDefault="005D4476" w:rsidP="00EC7E71">
      <w:pPr>
        <w:pStyle w:val="ListParagraph"/>
        <w:numPr>
          <w:ilvl w:val="0"/>
          <w:numId w:val="8"/>
        </w:numPr>
        <w:spacing w:before="120" w:after="12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pasākumi netipiski augsto cenu līmeņu kompensēšanai energoresursu piegādēm nākamās apkures sezonas laikā, paredzot </w:t>
      </w:r>
      <w:r w:rsidRPr="00C50130">
        <w:rPr>
          <w:rFonts w:ascii="Times New Roman" w:hAnsi="Times New Roman" w:cs="Times New Roman"/>
          <w:sz w:val="24"/>
          <w:szCs w:val="24"/>
        </w:rPr>
        <w:t>subsīdija</w:t>
      </w:r>
      <w:r>
        <w:rPr>
          <w:rFonts w:ascii="Times New Roman" w:hAnsi="Times New Roman" w:cs="Times New Roman"/>
          <w:sz w:val="24"/>
          <w:szCs w:val="24"/>
        </w:rPr>
        <w:t>s</w:t>
      </w:r>
      <w:r w:rsidRPr="00C50130">
        <w:rPr>
          <w:rFonts w:ascii="Times New Roman" w:hAnsi="Times New Roman" w:cs="Times New Roman"/>
          <w:sz w:val="24"/>
          <w:szCs w:val="24"/>
        </w:rPr>
        <w:t xml:space="preserve"> energoresursu tirgotājiem cenas noturēšanai konkrētā līmenī</w:t>
      </w:r>
      <w:r>
        <w:rPr>
          <w:rFonts w:ascii="Times New Roman" w:hAnsi="Times New Roman" w:cs="Times New Roman"/>
          <w:sz w:val="24"/>
          <w:szCs w:val="24"/>
        </w:rPr>
        <w:t xml:space="preserve">, subsīdijas </w:t>
      </w:r>
      <w:r w:rsidRPr="00C50130">
        <w:rPr>
          <w:rFonts w:ascii="Times New Roman" w:hAnsi="Times New Roman" w:cs="Times New Roman"/>
          <w:sz w:val="24"/>
          <w:szCs w:val="24"/>
        </w:rPr>
        <w:t>elektroenerģijai</w:t>
      </w:r>
      <w:r>
        <w:rPr>
          <w:rFonts w:ascii="Times New Roman" w:hAnsi="Times New Roman" w:cs="Times New Roman"/>
          <w:sz w:val="24"/>
          <w:szCs w:val="24"/>
        </w:rPr>
        <w:t>,</w:t>
      </w:r>
      <w:r w:rsidRPr="00C50130">
        <w:rPr>
          <w:rFonts w:ascii="Times New Roman" w:hAnsi="Times New Roman" w:cs="Times New Roman"/>
          <w:sz w:val="24"/>
          <w:szCs w:val="24"/>
        </w:rPr>
        <w:t xml:space="preserve"> dabasgāzei</w:t>
      </w:r>
      <w:r>
        <w:rPr>
          <w:rFonts w:ascii="Times New Roman" w:hAnsi="Times New Roman" w:cs="Times New Roman"/>
          <w:sz w:val="24"/>
          <w:szCs w:val="24"/>
        </w:rPr>
        <w:t xml:space="preserve"> un siltumenerģijai</w:t>
      </w:r>
      <w:r w:rsidRPr="00C50130">
        <w:rPr>
          <w:rFonts w:ascii="Times New Roman" w:hAnsi="Times New Roman" w:cs="Times New Roman"/>
          <w:sz w:val="24"/>
          <w:szCs w:val="24"/>
        </w:rPr>
        <w:t>, kas paredzētu dalītu cenas pieauguma izmaksu segšanu no lietotāja un valsts puses</w:t>
      </w:r>
      <w:r>
        <w:rPr>
          <w:rFonts w:ascii="Times New Roman" w:hAnsi="Times New Roman" w:cs="Times New Roman"/>
          <w:sz w:val="24"/>
          <w:szCs w:val="24"/>
        </w:rPr>
        <w:t>.</w:t>
      </w:r>
    </w:p>
    <w:p w14:paraId="3AA29449" w14:textId="26CF11D3" w:rsidR="008556ED" w:rsidRDefault="00EC7E71" w:rsidP="005D44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Šajā atbalsta virzienā </w:t>
      </w:r>
      <w:r w:rsidR="00DB66E7">
        <w:rPr>
          <w:rFonts w:ascii="Times New Roman" w:hAnsi="Times New Roman" w:cs="Times New Roman"/>
          <w:sz w:val="24"/>
          <w:szCs w:val="24"/>
        </w:rPr>
        <w:t>tiek piedāvāti horizontāli</w:t>
      </w:r>
      <w:r w:rsidR="007B0DBF">
        <w:rPr>
          <w:rFonts w:ascii="Times New Roman" w:hAnsi="Times New Roman" w:cs="Times New Roman"/>
          <w:sz w:val="24"/>
          <w:szCs w:val="24"/>
        </w:rPr>
        <w:t xml:space="preserve"> diferencētie atbalsta instrumenti </w:t>
      </w:r>
      <w:r w:rsidR="004E0FD4">
        <w:rPr>
          <w:rFonts w:ascii="Times New Roman" w:hAnsi="Times New Roman" w:cs="Times New Roman"/>
          <w:sz w:val="24"/>
          <w:szCs w:val="24"/>
        </w:rPr>
        <w:t xml:space="preserve">visu ienākumu mājsaimniecībām </w:t>
      </w:r>
      <w:r w:rsidR="007B0DBF">
        <w:rPr>
          <w:rFonts w:ascii="Times New Roman" w:hAnsi="Times New Roman" w:cs="Times New Roman"/>
          <w:sz w:val="24"/>
          <w:szCs w:val="24"/>
        </w:rPr>
        <w:t>elektroenerģijas, dabasgāzes un siltumenerģijas izmaksu pieauguma daļējai kompensācijai</w:t>
      </w:r>
      <w:r w:rsidR="00274F5E">
        <w:rPr>
          <w:rFonts w:ascii="Times New Roman" w:hAnsi="Times New Roman" w:cs="Times New Roman"/>
          <w:sz w:val="24"/>
          <w:szCs w:val="24"/>
        </w:rPr>
        <w:t xml:space="preserve"> un paaugstinātā atbalsta aizsargātajam lietotājam turpināšana</w:t>
      </w:r>
      <w:r w:rsidR="007B0DBF">
        <w:rPr>
          <w:rFonts w:ascii="Times New Roman" w:hAnsi="Times New Roman" w:cs="Times New Roman"/>
          <w:sz w:val="24"/>
          <w:szCs w:val="24"/>
        </w:rPr>
        <w:t xml:space="preserve">, ņemot vērā, ka piedāvātie mērķētie atbalsta mehānismi varētu nebūt pietiekami, ievērojot energoresursu cenu prognožu tendences. </w:t>
      </w:r>
    </w:p>
    <w:p w14:paraId="59C43B24" w14:textId="75F8F028" w:rsidR="00DB66E7" w:rsidRDefault="00DB66E7" w:rsidP="005D44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Tāpat, v</w:t>
      </w:r>
      <w:r>
        <w:rPr>
          <w:rFonts w:ascii="Times New Roman" w:eastAsia="Times New Roman" w:hAnsi="Times New Roman" w:cs="Times New Roman"/>
          <w:sz w:val="24"/>
          <w:szCs w:val="24"/>
        </w:rPr>
        <w:t xml:space="preserve">eicot izpēti par </w:t>
      </w:r>
      <w:r w:rsidRPr="004451BE">
        <w:rPr>
          <w:rFonts w:ascii="Times New Roman" w:eastAsia="Times New Roman" w:hAnsi="Times New Roman" w:cs="Times New Roman"/>
          <w:sz w:val="24"/>
          <w:szCs w:val="24"/>
        </w:rPr>
        <w:t>Igaunijā izveidot</w:t>
      </w:r>
      <w:r>
        <w:rPr>
          <w:rFonts w:ascii="Times New Roman" w:eastAsia="Times New Roman" w:hAnsi="Times New Roman" w:cs="Times New Roman"/>
          <w:sz w:val="24"/>
          <w:szCs w:val="24"/>
        </w:rPr>
        <w:t>aj</w:t>
      </w:r>
      <w:r w:rsidRPr="004451BE">
        <w:rPr>
          <w:rFonts w:ascii="Times New Roman" w:eastAsia="Times New Roman" w:hAnsi="Times New Roman" w:cs="Times New Roman"/>
          <w:sz w:val="24"/>
          <w:szCs w:val="24"/>
        </w:rPr>
        <w:t>ie</w:t>
      </w:r>
      <w:r>
        <w:rPr>
          <w:rFonts w:ascii="Times New Roman" w:eastAsia="Times New Roman" w:hAnsi="Times New Roman" w:cs="Times New Roman"/>
          <w:sz w:val="24"/>
          <w:szCs w:val="24"/>
        </w:rPr>
        <w:t>m</w:t>
      </w:r>
      <w:r w:rsidRPr="004451BE">
        <w:rPr>
          <w:rFonts w:ascii="Times New Roman" w:eastAsia="Times New Roman" w:hAnsi="Times New Roman" w:cs="Times New Roman"/>
          <w:sz w:val="24"/>
          <w:szCs w:val="24"/>
        </w:rPr>
        <w:t xml:space="preserve"> atbalsta mehānismi</w:t>
      </w:r>
      <w:r>
        <w:rPr>
          <w:rFonts w:ascii="Times New Roman" w:eastAsia="Times New Roman" w:hAnsi="Times New Roman" w:cs="Times New Roman"/>
          <w:sz w:val="24"/>
          <w:szCs w:val="24"/>
        </w:rPr>
        <w:t xml:space="preserve">em </w:t>
      </w:r>
      <w:r w:rsidRPr="004451BE">
        <w:rPr>
          <w:rFonts w:ascii="Times New Roman" w:eastAsia="Times New Roman" w:hAnsi="Times New Roman" w:cs="Times New Roman"/>
          <w:sz w:val="24"/>
          <w:szCs w:val="24"/>
        </w:rPr>
        <w:t>energoresursu cenu sadārdzinājuma kompensēšanai</w:t>
      </w:r>
      <w:r>
        <w:rPr>
          <w:rFonts w:ascii="Times New Roman" w:eastAsia="Times New Roman" w:hAnsi="Times New Roman" w:cs="Times New Roman"/>
          <w:sz w:val="24"/>
          <w:szCs w:val="24"/>
        </w:rPr>
        <w:t>, sniegts apraksts par tā ieviešanas iespējām Latvijā, aplūkojot divus šī atbalsta īstenošanas variantus - a</w:t>
      </w:r>
      <w:r w:rsidRPr="00DB66E7">
        <w:rPr>
          <w:rFonts w:ascii="Times New Roman" w:eastAsia="Times New Roman" w:hAnsi="Times New Roman" w:cs="Times New Roman"/>
          <w:sz w:val="24"/>
          <w:szCs w:val="24"/>
        </w:rPr>
        <w:t>utomātiska rēķina samazināšana mājsaimniecībām līdz noteiktam ienākumu slieksnim</w:t>
      </w:r>
      <w:r>
        <w:rPr>
          <w:rFonts w:ascii="Times New Roman" w:eastAsia="Times New Roman" w:hAnsi="Times New Roman" w:cs="Times New Roman"/>
          <w:sz w:val="24"/>
          <w:szCs w:val="24"/>
        </w:rPr>
        <w:t xml:space="preserve"> un a</w:t>
      </w:r>
      <w:r w:rsidRPr="00365151">
        <w:rPr>
          <w:rFonts w:ascii="Times New Roman" w:eastAsia="Times New Roman" w:hAnsi="Times New Roman" w:cs="Times New Roman"/>
          <w:sz w:val="24"/>
          <w:szCs w:val="24"/>
        </w:rPr>
        <w:t xml:space="preserve">tbalsts mājsaimniecībām </w:t>
      </w:r>
      <w:r w:rsidRPr="00F45BCB">
        <w:rPr>
          <w:rFonts w:ascii="Times New Roman" w:eastAsia="Times New Roman" w:hAnsi="Times New Roman" w:cs="Times New Roman"/>
          <w:sz w:val="24"/>
          <w:szCs w:val="24"/>
        </w:rPr>
        <w:t>līdz</w:t>
      </w:r>
      <w:r w:rsidRPr="00365151">
        <w:rPr>
          <w:rFonts w:ascii="Times New Roman" w:eastAsia="Times New Roman" w:hAnsi="Times New Roman" w:cs="Times New Roman"/>
          <w:sz w:val="24"/>
          <w:szCs w:val="24"/>
        </w:rPr>
        <w:t xml:space="preserve"> noteikta</w:t>
      </w:r>
      <w:r w:rsidRPr="00F45BC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ienākumu</w:t>
      </w:r>
      <w:r w:rsidRPr="00365151">
        <w:rPr>
          <w:rFonts w:ascii="Times New Roman" w:eastAsia="Times New Roman" w:hAnsi="Times New Roman" w:cs="Times New Roman"/>
          <w:sz w:val="24"/>
          <w:szCs w:val="24"/>
        </w:rPr>
        <w:t xml:space="preserve"> </w:t>
      </w:r>
      <w:r w:rsidRPr="00F45BCB">
        <w:rPr>
          <w:rFonts w:ascii="Times New Roman" w:eastAsia="Times New Roman" w:hAnsi="Times New Roman" w:cs="Times New Roman"/>
          <w:sz w:val="24"/>
          <w:szCs w:val="24"/>
        </w:rPr>
        <w:t>slieksnim</w:t>
      </w:r>
      <w:r>
        <w:rPr>
          <w:rFonts w:ascii="Times New Roman" w:eastAsia="Times New Roman" w:hAnsi="Times New Roman" w:cs="Times New Roman"/>
          <w:sz w:val="24"/>
          <w:szCs w:val="24"/>
        </w:rPr>
        <w:t xml:space="preserve"> ar pašdeklarēšanos. </w:t>
      </w:r>
    </w:p>
    <w:p w14:paraId="2AADEF4F" w14:textId="0A1F9136" w:rsidR="005D4476" w:rsidRDefault="005D4476" w:rsidP="005D44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Priekšlikumi atbalsta pasākumiem tika izstrādāti, balstoties uz šādiem principiem:</w:t>
      </w:r>
    </w:p>
    <w:p w14:paraId="6DC27B25" w14:textId="1A526A54" w:rsidR="005D4476" w:rsidRDefault="005D4476" w:rsidP="004008A3">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mājsaimniecību rīcībā esošā vidējā ienākumu līmeņa izmantošana, plānojot atbalstu personai, un </w:t>
      </w:r>
      <w:r w:rsidR="002F6216">
        <w:rPr>
          <w:rFonts w:ascii="Times New Roman" w:hAnsi="Times New Roman" w:cs="Times New Roman"/>
          <w:sz w:val="24"/>
          <w:szCs w:val="24"/>
        </w:rPr>
        <w:t>minimālā ienākuma mediānas piemērošana, izmantojot</w:t>
      </w:r>
      <w:r>
        <w:rPr>
          <w:rFonts w:ascii="Times New Roman" w:hAnsi="Times New Roman" w:cs="Times New Roman"/>
          <w:sz w:val="24"/>
          <w:szCs w:val="24"/>
        </w:rPr>
        <w:t xml:space="preserve"> ekvivale</w:t>
      </w:r>
      <w:r w:rsidR="002F6216">
        <w:rPr>
          <w:rFonts w:ascii="Times New Roman" w:hAnsi="Times New Roman" w:cs="Times New Roman"/>
          <w:sz w:val="24"/>
          <w:szCs w:val="24"/>
        </w:rPr>
        <w:t>nces skalu</w:t>
      </w:r>
      <w:r>
        <w:rPr>
          <w:rFonts w:ascii="Times New Roman" w:hAnsi="Times New Roman" w:cs="Times New Roman"/>
          <w:sz w:val="24"/>
          <w:szCs w:val="24"/>
        </w:rPr>
        <w:t xml:space="preserve"> 1 un 0.7</w:t>
      </w:r>
      <w:r w:rsidR="002F6216">
        <w:rPr>
          <w:rStyle w:val="FootnoteReference"/>
          <w:rFonts w:ascii="Times New Roman" w:hAnsi="Times New Roman"/>
          <w:sz w:val="24"/>
          <w:szCs w:val="24"/>
        </w:rPr>
        <w:footnoteReference w:id="2"/>
      </w:r>
      <w:r>
        <w:rPr>
          <w:rFonts w:ascii="Times New Roman" w:hAnsi="Times New Roman" w:cs="Times New Roman"/>
          <w:sz w:val="24"/>
          <w:szCs w:val="24"/>
        </w:rPr>
        <w:t>, plānojot atbalstu mājsaimniecībai, lai atbilstošāk novērtētu materiālos resursus;</w:t>
      </w:r>
    </w:p>
    <w:p w14:paraId="58FB254A" w14:textId="7EF6EF8F" w:rsidR="005D4476" w:rsidRDefault="005D4476" w:rsidP="004008A3">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jaunu atbalsta veidu sniegšanas periods ir terminēts līdz 2023.gada apkures sezonas noslēgumam</w:t>
      </w:r>
      <w:r w:rsidR="00736A04">
        <w:rPr>
          <w:rFonts w:ascii="Times New Roman" w:hAnsi="Times New Roman" w:cs="Times New Roman"/>
          <w:sz w:val="24"/>
          <w:szCs w:val="24"/>
        </w:rPr>
        <w:t xml:space="preserve"> (aprīlim)</w:t>
      </w:r>
      <w:r>
        <w:rPr>
          <w:rFonts w:ascii="Times New Roman" w:hAnsi="Times New Roman" w:cs="Times New Roman"/>
          <w:sz w:val="24"/>
          <w:szCs w:val="24"/>
        </w:rPr>
        <w:t>;</w:t>
      </w:r>
    </w:p>
    <w:p w14:paraId="35D2629F" w14:textId="3BC83AD1" w:rsidR="005D4476" w:rsidRDefault="00274F5E" w:rsidP="004008A3">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pēc iespējas lielāka </w:t>
      </w:r>
      <w:r w:rsidR="005D4476">
        <w:rPr>
          <w:rFonts w:ascii="Times New Roman" w:hAnsi="Times New Roman" w:cs="Times New Roman"/>
          <w:sz w:val="24"/>
          <w:szCs w:val="24"/>
        </w:rPr>
        <w:t>atbalsta sniegšanas automatizācija, lai izvairītos no sa</w:t>
      </w:r>
      <w:r w:rsidR="00DB66E7">
        <w:rPr>
          <w:rFonts w:ascii="Times New Roman" w:hAnsi="Times New Roman" w:cs="Times New Roman"/>
          <w:sz w:val="24"/>
          <w:szCs w:val="24"/>
        </w:rPr>
        <w:t xml:space="preserve">režģīta administrēšanas procesa, </w:t>
      </w:r>
      <w:r w:rsidR="005D4476">
        <w:rPr>
          <w:rFonts w:ascii="Times New Roman" w:hAnsi="Times New Roman" w:cs="Times New Roman"/>
          <w:sz w:val="24"/>
          <w:szCs w:val="24"/>
        </w:rPr>
        <w:t>sloga atbalsta saņēmējiem un administrē</w:t>
      </w:r>
      <w:r w:rsidR="00DB66E7">
        <w:rPr>
          <w:rFonts w:ascii="Times New Roman" w:hAnsi="Times New Roman" w:cs="Times New Roman"/>
          <w:sz w:val="24"/>
          <w:szCs w:val="24"/>
        </w:rPr>
        <w:t>šanā iesaistītajām institūcijām, kā arī</w:t>
      </w:r>
      <w:r w:rsidR="005D4476">
        <w:rPr>
          <w:rFonts w:ascii="Times New Roman" w:hAnsi="Times New Roman" w:cs="Times New Roman"/>
          <w:sz w:val="24"/>
          <w:szCs w:val="24"/>
        </w:rPr>
        <w:t xml:space="preserve"> nepalielinātu administrēšanas izmaksas;</w:t>
      </w:r>
    </w:p>
    <w:p w14:paraId="631E4653" w14:textId="3484F6B7" w:rsidR="005D4476" w:rsidRDefault="005D4476" w:rsidP="004008A3">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izvairīšanās no atbalsta apmēra diferenciācijas un iespējami vienkārša un caurskatāma</w:t>
      </w:r>
      <w:r w:rsidR="00D833A6">
        <w:rPr>
          <w:rFonts w:ascii="Times New Roman" w:hAnsi="Times New Roman" w:cs="Times New Roman"/>
          <w:sz w:val="24"/>
          <w:szCs w:val="24"/>
        </w:rPr>
        <w:t>,</w:t>
      </w:r>
      <w:r>
        <w:rPr>
          <w:rFonts w:ascii="Times New Roman" w:hAnsi="Times New Roman" w:cs="Times New Roman"/>
          <w:sz w:val="24"/>
          <w:szCs w:val="24"/>
        </w:rPr>
        <w:t xml:space="preserve"> konstanta atbalsta apmēra noteikšana visām saņēmēju grupām, lai izvairītos no sarežģīta ieviešanas mehānisma un nesadārdzinātu atbalsta sniegšanas administrēšanu;</w:t>
      </w:r>
    </w:p>
    <w:p w14:paraId="1B7CD2D1" w14:textId="77777777" w:rsidR="005D4476" w:rsidRDefault="005D4476" w:rsidP="004008A3">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2021.gadā un 2022.gadā ieviesto pasākumu turpināšana, kas nodrošina mērķēta atbalsta sniegšanu iedzīvotājiem ar zemiem ienākumiem un neprasa būtiskas tiesiskā regulējuma un/ vai institucionālas izmaiņas;</w:t>
      </w:r>
    </w:p>
    <w:p w14:paraId="1EB06EA6" w14:textId="77777777" w:rsidR="005D4476" w:rsidRPr="0087451A" w:rsidRDefault="005D4476" w:rsidP="004008A3">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viena veida atbalsta sniegšana un administrēšana vienā institūcijā atbilstoši vienotiem nosacījumiem, lai nodrošinātu nepārprotamu un vienkāršu komunikāciju atbalsta saņēmējiem un vienotu praksi atbalsta saņemšanas nosacījumu piemērošanā.</w:t>
      </w:r>
    </w:p>
    <w:p w14:paraId="14485D20" w14:textId="02B7589C" w:rsidR="00310127" w:rsidRPr="00604E30" w:rsidRDefault="005D4476" w:rsidP="00310127">
      <w:pPr>
        <w:spacing w:after="0" w:line="240" w:lineRule="auto"/>
        <w:ind w:firstLine="72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Katram atbalsta pasākumam ir sniegts potenciālo </w:t>
      </w:r>
      <w:r w:rsidR="004E0FD4">
        <w:rPr>
          <w:rFonts w:ascii="Times New Roman" w:hAnsi="Times New Roman" w:cs="Times New Roman"/>
          <w:sz w:val="24"/>
          <w:szCs w:val="24"/>
        </w:rPr>
        <w:t>priekšrocību un</w:t>
      </w:r>
      <w:r w:rsidR="002F6216">
        <w:rPr>
          <w:rFonts w:ascii="Times New Roman" w:hAnsi="Times New Roman" w:cs="Times New Roman"/>
          <w:sz w:val="24"/>
          <w:szCs w:val="24"/>
        </w:rPr>
        <w:t xml:space="preserve"> </w:t>
      </w:r>
      <w:r>
        <w:rPr>
          <w:rFonts w:ascii="Times New Roman" w:hAnsi="Times New Roman" w:cs="Times New Roman"/>
          <w:sz w:val="24"/>
          <w:szCs w:val="24"/>
        </w:rPr>
        <w:t xml:space="preserve">trūkumu izvērtējums, analizēta iespējama atbalsta dublēšanās un atbalsta mērķētības nodrošināšanas pakāpe vienas mājsaimniecības ietvaros, ierobežojumi datu pieejamībā un to radītie riski un novēršanas iespējas katram konkrētam atbalsta veidam, </w:t>
      </w:r>
      <w:r>
        <w:rPr>
          <w:rFonts w:ascii="Times New Roman" w:hAnsi="Times New Roman" w:cs="Times New Roman"/>
          <w:sz w:val="24"/>
          <w:szCs w:val="24"/>
        </w:rPr>
        <w:lastRenderedPageBreak/>
        <w:t>tehnoloģiskais nodrošinājums un nosacījumi atbalsta ieviešanai, norādīta atbildīgā institūcija par atbalsta administrēšanu, kā arī norādīts indikatīvais finansējums</w:t>
      </w:r>
      <w:r w:rsidR="00A037EB">
        <w:rPr>
          <w:rFonts w:ascii="Times New Roman" w:hAnsi="Times New Roman" w:cs="Times New Roman"/>
          <w:sz w:val="24"/>
          <w:szCs w:val="24"/>
        </w:rPr>
        <w:t xml:space="preserve"> (kur iespējams)</w:t>
      </w:r>
      <w:r>
        <w:rPr>
          <w:rFonts w:ascii="Times New Roman" w:hAnsi="Times New Roman" w:cs="Times New Roman"/>
          <w:sz w:val="24"/>
          <w:szCs w:val="24"/>
        </w:rPr>
        <w:t xml:space="preserve">. </w:t>
      </w:r>
      <w:r w:rsidR="00E5183A" w:rsidRPr="00E5183A">
        <w:rPr>
          <w:rFonts w:ascii="Times New Roman" w:hAnsi="Times New Roman" w:cs="Times New Roman"/>
          <w:b/>
          <w:sz w:val="24"/>
          <w:szCs w:val="24"/>
        </w:rPr>
        <w:t>Kopējais indikatīvais valsts</w:t>
      </w:r>
      <w:r w:rsidR="00F95BAB">
        <w:rPr>
          <w:rFonts w:ascii="Times New Roman" w:hAnsi="Times New Roman" w:cs="Times New Roman"/>
          <w:b/>
          <w:sz w:val="24"/>
          <w:szCs w:val="24"/>
        </w:rPr>
        <w:t xml:space="preserve"> un </w:t>
      </w:r>
      <w:r w:rsidR="005601B5">
        <w:rPr>
          <w:rFonts w:ascii="Times New Roman" w:hAnsi="Times New Roman" w:cs="Times New Roman"/>
          <w:b/>
          <w:sz w:val="24"/>
          <w:szCs w:val="24"/>
        </w:rPr>
        <w:t>pašvaldību</w:t>
      </w:r>
      <w:r w:rsidR="00E5183A" w:rsidRPr="00E5183A">
        <w:rPr>
          <w:rFonts w:ascii="Times New Roman" w:hAnsi="Times New Roman" w:cs="Times New Roman"/>
          <w:b/>
          <w:sz w:val="24"/>
          <w:szCs w:val="24"/>
        </w:rPr>
        <w:t xml:space="preserve"> budžeta finansējums</w:t>
      </w:r>
      <w:r w:rsidR="00E5183A">
        <w:rPr>
          <w:rFonts w:ascii="Times New Roman" w:hAnsi="Times New Roman" w:cs="Times New Roman"/>
          <w:sz w:val="24"/>
          <w:szCs w:val="24"/>
        </w:rPr>
        <w:t xml:space="preserve"> informatīvajā ziņojumā piedāvātajiem pasākumiem </w:t>
      </w:r>
      <w:r w:rsidR="00E5183A" w:rsidRPr="00D5075C">
        <w:rPr>
          <w:rFonts w:ascii="Times New Roman" w:hAnsi="Times New Roman" w:cs="Times New Roman"/>
          <w:sz w:val="24"/>
          <w:szCs w:val="24"/>
        </w:rPr>
        <w:t>šajā apkures sezonā</w:t>
      </w:r>
      <w:r w:rsidR="00E5183A">
        <w:rPr>
          <w:rFonts w:ascii="Times New Roman" w:hAnsi="Times New Roman" w:cs="Times New Roman"/>
          <w:sz w:val="24"/>
          <w:szCs w:val="24"/>
        </w:rPr>
        <w:t xml:space="preserve"> (2022.gada oktobris</w:t>
      </w:r>
      <w:r w:rsidR="005601B5">
        <w:rPr>
          <w:rFonts w:ascii="Times New Roman" w:hAnsi="Times New Roman" w:cs="Times New Roman"/>
          <w:sz w:val="24"/>
          <w:szCs w:val="24"/>
        </w:rPr>
        <w:t xml:space="preserve"> </w:t>
      </w:r>
      <w:r w:rsidR="00E5183A">
        <w:rPr>
          <w:rFonts w:ascii="Times New Roman" w:hAnsi="Times New Roman" w:cs="Times New Roman"/>
          <w:sz w:val="24"/>
          <w:szCs w:val="24"/>
        </w:rPr>
        <w:t>-</w:t>
      </w:r>
      <w:r w:rsidR="005601B5">
        <w:rPr>
          <w:rFonts w:ascii="Times New Roman" w:hAnsi="Times New Roman" w:cs="Times New Roman"/>
          <w:sz w:val="24"/>
          <w:szCs w:val="24"/>
        </w:rPr>
        <w:t xml:space="preserve"> </w:t>
      </w:r>
      <w:r w:rsidR="00E5183A">
        <w:rPr>
          <w:rFonts w:ascii="Times New Roman" w:hAnsi="Times New Roman" w:cs="Times New Roman"/>
          <w:sz w:val="24"/>
          <w:szCs w:val="24"/>
        </w:rPr>
        <w:t xml:space="preserve">2023.gada </w:t>
      </w:r>
      <w:r w:rsidR="00E5183A" w:rsidRPr="005601B5">
        <w:rPr>
          <w:rFonts w:ascii="Times New Roman" w:hAnsi="Times New Roman" w:cs="Times New Roman"/>
          <w:sz w:val="24"/>
          <w:szCs w:val="24"/>
        </w:rPr>
        <w:t xml:space="preserve">aprīlis) ir </w:t>
      </w:r>
      <w:r w:rsidR="00F95BAB" w:rsidRPr="000C5E35">
        <w:rPr>
          <w:rFonts w:ascii="Times New Roman" w:hAnsi="Times New Roman" w:cs="Times New Roman"/>
          <w:b/>
          <w:sz w:val="24"/>
          <w:szCs w:val="24"/>
        </w:rPr>
        <w:t>3</w:t>
      </w:r>
      <w:r w:rsidR="00BC7B73">
        <w:rPr>
          <w:rFonts w:ascii="Times New Roman" w:hAnsi="Times New Roman" w:cs="Times New Roman"/>
          <w:b/>
          <w:sz w:val="24"/>
          <w:szCs w:val="24"/>
        </w:rPr>
        <w:t>50,2</w:t>
      </w:r>
      <w:r w:rsidR="00E5183A" w:rsidRPr="005601B5">
        <w:rPr>
          <w:rFonts w:ascii="Times New Roman" w:hAnsi="Times New Roman" w:cs="Times New Roman"/>
          <w:b/>
          <w:sz w:val="24"/>
          <w:szCs w:val="24"/>
        </w:rPr>
        <w:t xml:space="preserve"> miljoni </w:t>
      </w:r>
      <w:r w:rsidR="00E5183A" w:rsidRPr="000C5E35">
        <w:rPr>
          <w:rFonts w:ascii="Times New Roman" w:hAnsi="Times New Roman" w:cs="Times New Roman"/>
          <w:b/>
          <w:i/>
          <w:sz w:val="24"/>
          <w:szCs w:val="24"/>
        </w:rPr>
        <w:t>euro</w:t>
      </w:r>
      <w:r w:rsidR="00E5183A" w:rsidRPr="000C5E35">
        <w:rPr>
          <w:rFonts w:ascii="Times New Roman" w:hAnsi="Times New Roman" w:cs="Times New Roman"/>
          <w:sz w:val="24"/>
          <w:szCs w:val="24"/>
        </w:rPr>
        <w:t>.</w:t>
      </w:r>
      <w:r w:rsidR="00310127" w:rsidRPr="000C5E35">
        <w:rPr>
          <w:rFonts w:ascii="Times New Roman" w:hAnsi="Times New Roman" w:cs="Times New Roman"/>
          <w:sz w:val="24"/>
          <w:szCs w:val="24"/>
        </w:rPr>
        <w:t xml:space="preserve"> </w:t>
      </w:r>
      <w:r w:rsidR="00C211E4" w:rsidRPr="000C5E35">
        <w:rPr>
          <w:rFonts w:ascii="Times New Roman" w:hAnsi="Times New Roman" w:cs="Times New Roman"/>
          <w:sz w:val="24"/>
          <w:szCs w:val="24"/>
        </w:rPr>
        <w:t>Jāuzsver, ka š</w:t>
      </w:r>
      <w:r w:rsidR="00310127" w:rsidRPr="000C5E35">
        <w:rPr>
          <w:rFonts w:ascii="Times New Roman" w:eastAsia="Times New Roman" w:hAnsi="Times New Roman" w:cs="Times New Roman"/>
          <w:sz w:val="24"/>
          <w:szCs w:val="24"/>
          <w:lang w:eastAsia="lv-LV"/>
        </w:rPr>
        <w:t>.g. aprīlī Eiropas Komisijai iesniegtajā Stabilitātes programmā 2022.-2025.gadiem</w:t>
      </w:r>
      <w:r w:rsidR="00310127" w:rsidRPr="00E94FB6">
        <w:rPr>
          <w:rFonts w:ascii="Times New Roman" w:eastAsia="Times New Roman" w:hAnsi="Times New Roman" w:cs="Times New Roman"/>
          <w:sz w:val="24"/>
          <w:szCs w:val="24"/>
          <w:lang w:eastAsia="lv-LV"/>
        </w:rPr>
        <w:t xml:space="preserve"> ir iekļauta prognoze par Latvijas budžeta deficītu 2022. gadam 6,5 % apmērā. Prognoze ņem vērā līdz š.g. marta beigām apstiprināto atbalsta pasākumu (t.sk. energoresursu cenu pieauguma ietekmes mazināšanai) fiskālo ietekmi un plānotā d</w:t>
      </w:r>
      <w:bookmarkStart w:id="0" w:name="_GoBack"/>
      <w:bookmarkEnd w:id="0"/>
      <w:r w:rsidR="00310127" w:rsidRPr="00E94FB6">
        <w:rPr>
          <w:rFonts w:ascii="Times New Roman" w:eastAsia="Times New Roman" w:hAnsi="Times New Roman" w:cs="Times New Roman"/>
          <w:sz w:val="24"/>
          <w:szCs w:val="24"/>
          <w:lang w:eastAsia="lv-LV"/>
        </w:rPr>
        <w:t>eficīta līmenis ir augstākais Eiropas Savienībā. Lai neapdraudētu Latvijas fiskālo ilgtspēju, atbalsta pasākumiem jābūt pēc iespējas izmaksu efektīviem.</w:t>
      </w:r>
    </w:p>
    <w:p w14:paraId="2B09CB00" w14:textId="583DB1D5" w:rsidR="005D4476" w:rsidRDefault="005D4476" w:rsidP="005D44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Latvijā jau pašlaik ir ieviesti vairāki atbalsta pasākumi, kas mērķēti uz komunālo maksājumu sloga samazināšanu iedzīvotājiem ar zemiem ienākumiem vai iedzīvotāju grupām, kas pakļautas augstākam nabadzības un/vai sociālās atstumtības riskam – mājokļa pabalsts </w:t>
      </w:r>
      <w:r w:rsidR="004E0FD4">
        <w:rPr>
          <w:rFonts w:ascii="Times New Roman" w:hAnsi="Times New Roman" w:cs="Times New Roman"/>
          <w:sz w:val="24"/>
          <w:szCs w:val="24"/>
        </w:rPr>
        <w:t>zemu ienākumu mājsaimniecībām</w:t>
      </w:r>
      <w:r>
        <w:rPr>
          <w:rFonts w:ascii="Times New Roman" w:hAnsi="Times New Roman" w:cs="Times New Roman"/>
          <w:sz w:val="24"/>
          <w:szCs w:val="24"/>
        </w:rPr>
        <w:t xml:space="preserve">, atbalsts aizsargātam lietotājam, kas tiek </w:t>
      </w:r>
      <w:r w:rsidRPr="00E223EF">
        <w:rPr>
          <w:rFonts w:ascii="Times New Roman" w:hAnsi="Times New Roman" w:cs="Times New Roman"/>
          <w:sz w:val="24"/>
          <w:szCs w:val="24"/>
        </w:rPr>
        <w:t xml:space="preserve">sniegts </w:t>
      </w:r>
      <w:r w:rsidRPr="00E223EF">
        <w:rPr>
          <w:rFonts w:ascii="Times New Roman" w:hAnsi="Times New Roman" w:cs="Times New Roman"/>
          <w:noProof/>
          <w:sz w:val="24"/>
          <w:szCs w:val="24"/>
        </w:rPr>
        <w:t>trūcīgām vai maznodrošinātām mājsaimniecībām</w:t>
      </w:r>
      <w:r>
        <w:rPr>
          <w:rFonts w:ascii="Times New Roman" w:hAnsi="Times New Roman" w:cs="Times New Roman"/>
          <w:noProof/>
          <w:sz w:val="24"/>
          <w:szCs w:val="24"/>
        </w:rPr>
        <w:t>,</w:t>
      </w:r>
      <w:r w:rsidRPr="00E223EF">
        <w:rPr>
          <w:rFonts w:ascii="Times New Roman" w:hAnsi="Times New Roman" w:cs="Times New Roman"/>
          <w:noProof/>
          <w:sz w:val="24"/>
          <w:szCs w:val="24"/>
        </w:rPr>
        <w:t xml:space="preserve"> ģimenēm (personām), kuru aprūpē ir bērns ar invaliditāti</w:t>
      </w:r>
      <w:r>
        <w:rPr>
          <w:rFonts w:ascii="Times New Roman" w:hAnsi="Times New Roman" w:cs="Times New Roman"/>
          <w:noProof/>
          <w:sz w:val="24"/>
          <w:szCs w:val="24"/>
        </w:rPr>
        <w:t>,</w:t>
      </w:r>
      <w:r w:rsidRPr="00E223EF">
        <w:rPr>
          <w:rFonts w:ascii="Times New Roman" w:hAnsi="Times New Roman" w:cs="Times New Roman"/>
          <w:noProof/>
          <w:sz w:val="24"/>
          <w:szCs w:val="24"/>
        </w:rPr>
        <w:t xml:space="preserve"> personām ar I invaliditātes grupu vai viņu aizgādņiem</w:t>
      </w:r>
      <w:r>
        <w:rPr>
          <w:rFonts w:ascii="Times New Roman" w:hAnsi="Times New Roman" w:cs="Times New Roman"/>
          <w:noProof/>
          <w:sz w:val="24"/>
          <w:szCs w:val="24"/>
        </w:rPr>
        <w:t>,</w:t>
      </w:r>
      <w:r w:rsidRPr="00E223EF">
        <w:rPr>
          <w:rFonts w:ascii="Times New Roman" w:hAnsi="Times New Roman" w:cs="Times New Roman"/>
          <w:noProof/>
          <w:sz w:val="24"/>
          <w:szCs w:val="24"/>
        </w:rPr>
        <w:t xml:space="preserve"> daudzbērnu ģimenēm. Turklāt</w:t>
      </w:r>
      <w:r w:rsidRPr="00E223EF">
        <w:rPr>
          <w:rFonts w:ascii="Times New Roman" w:hAnsi="Times New Roman" w:cs="Times New Roman"/>
          <w:sz w:val="24"/>
          <w:szCs w:val="24"/>
        </w:rPr>
        <w:t xml:space="preserve"> 2021.un 2022.gadā</w:t>
      </w:r>
      <w:r>
        <w:rPr>
          <w:rFonts w:ascii="Times New Roman" w:hAnsi="Times New Roman" w:cs="Times New Roman"/>
          <w:sz w:val="24"/>
          <w:szCs w:val="24"/>
        </w:rPr>
        <w:t xml:space="preserve">, lai mazinātu </w:t>
      </w:r>
      <w:r w:rsidR="00437377">
        <w:rPr>
          <w:rFonts w:ascii="Times New Roman" w:hAnsi="Times New Roman" w:cs="Times New Roman"/>
          <w:sz w:val="24"/>
          <w:szCs w:val="24"/>
        </w:rPr>
        <w:t>energoresursu</w:t>
      </w:r>
      <w:r>
        <w:rPr>
          <w:rFonts w:ascii="Times New Roman" w:hAnsi="Times New Roman" w:cs="Times New Roman"/>
          <w:sz w:val="24"/>
          <w:szCs w:val="24"/>
        </w:rPr>
        <w:t xml:space="preserve"> cenu kāpuma negatīvo ietekmi, tika pilnveidoti mājokļa pabalsta </w:t>
      </w:r>
      <w:r w:rsidR="00D833A6">
        <w:rPr>
          <w:rFonts w:ascii="Times New Roman" w:hAnsi="Times New Roman" w:cs="Times New Roman"/>
          <w:sz w:val="24"/>
          <w:szCs w:val="24"/>
        </w:rPr>
        <w:t xml:space="preserve">nosacījumi </w:t>
      </w:r>
      <w:r>
        <w:rPr>
          <w:rFonts w:ascii="Times New Roman" w:hAnsi="Times New Roman" w:cs="Times New Roman"/>
          <w:sz w:val="24"/>
          <w:szCs w:val="24"/>
        </w:rPr>
        <w:t xml:space="preserve">un </w:t>
      </w:r>
      <w:r w:rsidR="00D833A6">
        <w:rPr>
          <w:rFonts w:ascii="Times New Roman" w:hAnsi="Times New Roman" w:cs="Times New Roman"/>
          <w:sz w:val="24"/>
          <w:szCs w:val="24"/>
        </w:rPr>
        <w:t xml:space="preserve">palielināta atbalsta intensitāte </w:t>
      </w:r>
      <w:r>
        <w:rPr>
          <w:rFonts w:ascii="Times New Roman" w:hAnsi="Times New Roman" w:cs="Times New Roman"/>
          <w:sz w:val="24"/>
          <w:szCs w:val="24"/>
        </w:rPr>
        <w:t>aizsargātā lietotāja atbalsta</w:t>
      </w:r>
      <w:r w:rsidR="00D833A6">
        <w:rPr>
          <w:rFonts w:ascii="Times New Roman" w:hAnsi="Times New Roman" w:cs="Times New Roman"/>
          <w:sz w:val="24"/>
          <w:szCs w:val="24"/>
        </w:rPr>
        <w:t>m</w:t>
      </w:r>
      <w:r>
        <w:rPr>
          <w:rFonts w:ascii="Times New Roman" w:hAnsi="Times New Roman" w:cs="Times New Roman"/>
          <w:sz w:val="24"/>
          <w:szCs w:val="24"/>
        </w:rPr>
        <w:t xml:space="preserve"> līdz š.g. beigām, </w:t>
      </w:r>
      <w:r w:rsidR="00CA2F96">
        <w:rPr>
          <w:rFonts w:ascii="Times New Roman" w:hAnsi="Times New Roman" w:cs="Times New Roman"/>
          <w:sz w:val="24"/>
          <w:szCs w:val="24"/>
        </w:rPr>
        <w:t>paredzot šī palielinātā atbalsta ieviešanai papildus</w:t>
      </w:r>
      <w:r w:rsidR="00437377">
        <w:rPr>
          <w:rFonts w:ascii="Times New Roman" w:hAnsi="Times New Roman" w:cs="Times New Roman"/>
          <w:sz w:val="24"/>
          <w:szCs w:val="24"/>
        </w:rPr>
        <w:t xml:space="preserve"> </w:t>
      </w:r>
      <w:r w:rsidR="00CA2F96">
        <w:rPr>
          <w:rFonts w:ascii="Times New Roman" w:hAnsi="Times New Roman" w:cs="Times New Roman"/>
          <w:sz w:val="24"/>
          <w:szCs w:val="24"/>
        </w:rPr>
        <w:t xml:space="preserve">3,2 milj. </w:t>
      </w:r>
      <w:r w:rsidR="00CA2F96" w:rsidRPr="00F52856">
        <w:rPr>
          <w:rFonts w:ascii="Times New Roman" w:hAnsi="Times New Roman" w:cs="Times New Roman"/>
          <w:i/>
          <w:sz w:val="24"/>
          <w:szCs w:val="24"/>
        </w:rPr>
        <w:t>euro</w:t>
      </w:r>
      <w:r w:rsidR="00CA2F96">
        <w:rPr>
          <w:rFonts w:ascii="Times New Roman" w:hAnsi="Times New Roman" w:cs="Times New Roman"/>
          <w:sz w:val="24"/>
          <w:szCs w:val="24"/>
        </w:rPr>
        <w:t xml:space="preserve"> 2021.gadā (pamata atbalsts 12 milj. </w:t>
      </w:r>
      <w:r w:rsidR="00CA2F96" w:rsidRPr="000C5E35">
        <w:rPr>
          <w:rFonts w:ascii="Times New Roman" w:hAnsi="Times New Roman" w:cs="Times New Roman"/>
          <w:i/>
          <w:sz w:val="24"/>
          <w:szCs w:val="24"/>
        </w:rPr>
        <w:t>euro</w:t>
      </w:r>
      <w:r w:rsidR="00CA2F96">
        <w:rPr>
          <w:rFonts w:ascii="Times New Roman" w:hAnsi="Times New Roman" w:cs="Times New Roman"/>
          <w:sz w:val="24"/>
          <w:szCs w:val="24"/>
        </w:rPr>
        <w:t xml:space="preserve">, kopējais piešķirtais budžets 15,2 milj. </w:t>
      </w:r>
      <w:r w:rsidR="00CA2F96" w:rsidRPr="000C5E35">
        <w:rPr>
          <w:rFonts w:ascii="Times New Roman" w:hAnsi="Times New Roman" w:cs="Times New Roman"/>
          <w:i/>
          <w:sz w:val="24"/>
          <w:szCs w:val="24"/>
        </w:rPr>
        <w:t>euro</w:t>
      </w:r>
      <w:r w:rsidR="00CA2F96">
        <w:rPr>
          <w:rFonts w:ascii="Times New Roman" w:hAnsi="Times New Roman" w:cs="Times New Roman"/>
          <w:sz w:val="24"/>
          <w:szCs w:val="24"/>
        </w:rPr>
        <w:t xml:space="preserve">) un papildus 19,2 miljoni </w:t>
      </w:r>
      <w:r w:rsidR="00CA2F96" w:rsidRPr="00F52856">
        <w:rPr>
          <w:rFonts w:ascii="Times New Roman" w:hAnsi="Times New Roman" w:cs="Times New Roman"/>
          <w:i/>
          <w:sz w:val="24"/>
          <w:szCs w:val="24"/>
        </w:rPr>
        <w:t>euro</w:t>
      </w:r>
      <w:r w:rsidR="00CA2F96" w:rsidRPr="00F52856">
        <w:rPr>
          <w:rFonts w:ascii="Times New Roman" w:hAnsi="Times New Roman" w:cs="Times New Roman"/>
          <w:sz w:val="24"/>
          <w:szCs w:val="24"/>
        </w:rPr>
        <w:t xml:space="preserve"> 2022.gadā</w:t>
      </w:r>
      <w:r w:rsidR="00CA2F96">
        <w:rPr>
          <w:rFonts w:ascii="Times New Roman" w:hAnsi="Times New Roman" w:cs="Times New Roman"/>
          <w:sz w:val="24"/>
          <w:szCs w:val="24"/>
        </w:rPr>
        <w:t xml:space="preserve"> (pamata atbalsts 12 milj. </w:t>
      </w:r>
      <w:r w:rsidR="00437377" w:rsidRPr="002B567D">
        <w:rPr>
          <w:rFonts w:ascii="Times New Roman" w:hAnsi="Times New Roman" w:cs="Times New Roman"/>
          <w:bCs/>
          <w:i/>
          <w:sz w:val="24"/>
          <w:szCs w:val="24"/>
        </w:rPr>
        <w:t>euro</w:t>
      </w:r>
      <w:r w:rsidR="00CA2F96">
        <w:rPr>
          <w:rFonts w:ascii="Times New Roman" w:hAnsi="Times New Roman" w:cs="Times New Roman"/>
          <w:sz w:val="24"/>
          <w:szCs w:val="24"/>
        </w:rPr>
        <w:t xml:space="preserve">, kopējais piešķirtais budžets 31,2 milj. </w:t>
      </w:r>
      <w:r w:rsidR="00437377" w:rsidRPr="002B567D">
        <w:rPr>
          <w:rFonts w:ascii="Times New Roman" w:hAnsi="Times New Roman" w:cs="Times New Roman"/>
          <w:bCs/>
          <w:i/>
          <w:sz w:val="24"/>
          <w:szCs w:val="24"/>
        </w:rPr>
        <w:t>euro</w:t>
      </w:r>
      <w:r w:rsidR="00CA2F96">
        <w:rPr>
          <w:rFonts w:ascii="Times New Roman" w:hAnsi="Times New Roman" w:cs="Times New Roman"/>
          <w:sz w:val="24"/>
          <w:szCs w:val="24"/>
        </w:rPr>
        <w:t>)</w:t>
      </w:r>
      <w:r w:rsidR="00CA2F96" w:rsidRPr="00F52856">
        <w:rPr>
          <w:rFonts w:ascii="Times New Roman" w:hAnsi="Times New Roman" w:cs="Times New Roman"/>
          <w:sz w:val="24"/>
          <w:szCs w:val="24"/>
        </w:rPr>
        <w:t xml:space="preserve">. </w:t>
      </w:r>
      <w:r w:rsidR="00CA2F96">
        <w:rPr>
          <w:rFonts w:ascii="Times New Roman" w:hAnsi="Times New Roman" w:cs="Times New Roman"/>
          <w:sz w:val="24"/>
          <w:szCs w:val="24"/>
        </w:rPr>
        <w:t>P</w:t>
      </w:r>
      <w:r w:rsidR="00CA2F96" w:rsidRPr="00DB754D">
        <w:rPr>
          <w:rFonts w:ascii="Times New Roman" w:hAnsi="Times New Roman" w:cs="Times New Roman"/>
          <w:sz w:val="24"/>
          <w:szCs w:val="24"/>
        </w:rPr>
        <w:t xml:space="preserve">otenciāli aizsargāto lietotāju palielinātā atbalsta piemērošana tiks turpināta </w:t>
      </w:r>
      <w:r w:rsidR="00437377" w:rsidRPr="00DB754D">
        <w:rPr>
          <w:rFonts w:ascii="Times New Roman" w:hAnsi="Times New Roman" w:cs="Times New Roman"/>
          <w:sz w:val="24"/>
          <w:szCs w:val="24"/>
        </w:rPr>
        <w:t>arī</w:t>
      </w:r>
      <w:r w:rsidR="00CA2F96">
        <w:rPr>
          <w:rFonts w:ascii="Times New Roman" w:hAnsi="Times New Roman" w:cs="Times New Roman"/>
          <w:sz w:val="24"/>
          <w:szCs w:val="24"/>
        </w:rPr>
        <w:t xml:space="preserve"> </w:t>
      </w:r>
      <w:r w:rsidR="00CA2F96" w:rsidRPr="00DB754D">
        <w:rPr>
          <w:rFonts w:ascii="Times New Roman" w:hAnsi="Times New Roman" w:cs="Times New Roman"/>
          <w:sz w:val="24"/>
          <w:szCs w:val="24"/>
        </w:rPr>
        <w:t>2023.gadā</w:t>
      </w:r>
      <w:r w:rsidR="00CA2F96">
        <w:rPr>
          <w:rFonts w:ascii="Times New Roman" w:hAnsi="Times New Roman" w:cs="Times New Roman"/>
          <w:sz w:val="24"/>
          <w:szCs w:val="24"/>
        </w:rPr>
        <w:t xml:space="preserve"> </w:t>
      </w:r>
      <w:r w:rsidR="00CA2F96" w:rsidRPr="00DB754D">
        <w:rPr>
          <w:rFonts w:ascii="Times New Roman" w:hAnsi="Times New Roman" w:cs="Times New Roman"/>
          <w:sz w:val="24"/>
          <w:szCs w:val="24"/>
        </w:rPr>
        <w:t xml:space="preserve">(jautājums tiks risināts informatīvā ziņojuma “Kompleksi pasākumi obligātā iepirkuma komponentes problemātikas risināšanai un elektroenerģijas tirgus attīstībai” ietvarā) paredzot </w:t>
      </w:r>
      <w:r w:rsidR="00CA2F96">
        <w:rPr>
          <w:rFonts w:ascii="Times New Roman" w:hAnsi="Times New Roman" w:cs="Times New Roman"/>
          <w:sz w:val="24"/>
          <w:szCs w:val="24"/>
        </w:rPr>
        <w:t xml:space="preserve">papildus </w:t>
      </w:r>
      <w:r w:rsidR="00CA2F96" w:rsidRPr="00DB754D">
        <w:rPr>
          <w:rFonts w:ascii="Times New Roman" w:hAnsi="Times New Roman" w:cs="Times New Roman"/>
          <w:sz w:val="24"/>
          <w:szCs w:val="24"/>
        </w:rPr>
        <w:t>19,</w:t>
      </w:r>
      <w:r w:rsidR="00CA2F96">
        <w:rPr>
          <w:rFonts w:ascii="Times New Roman" w:hAnsi="Times New Roman" w:cs="Times New Roman"/>
          <w:sz w:val="24"/>
          <w:szCs w:val="24"/>
        </w:rPr>
        <w:t>68</w:t>
      </w:r>
      <w:r w:rsidR="00CA2F96" w:rsidRPr="00DB754D">
        <w:rPr>
          <w:rFonts w:ascii="Times New Roman" w:hAnsi="Times New Roman" w:cs="Times New Roman"/>
          <w:sz w:val="24"/>
          <w:szCs w:val="24"/>
        </w:rPr>
        <w:t xml:space="preserve"> milj. </w:t>
      </w:r>
      <w:r w:rsidR="00437377" w:rsidRPr="002B567D">
        <w:rPr>
          <w:rFonts w:ascii="Times New Roman" w:hAnsi="Times New Roman" w:cs="Times New Roman"/>
          <w:bCs/>
          <w:i/>
          <w:sz w:val="24"/>
          <w:szCs w:val="24"/>
        </w:rPr>
        <w:t>euro</w:t>
      </w:r>
      <w:r w:rsidR="00CA2F96" w:rsidRPr="00DB754D">
        <w:rPr>
          <w:rFonts w:ascii="Times New Roman" w:hAnsi="Times New Roman" w:cs="Times New Roman"/>
          <w:sz w:val="24"/>
          <w:szCs w:val="24"/>
        </w:rPr>
        <w:t>.</w:t>
      </w:r>
      <w:r w:rsidR="00CA2F96">
        <w:rPr>
          <w:rFonts w:ascii="Times New Roman" w:hAnsi="Times New Roman" w:cs="Times New Roman"/>
          <w:sz w:val="24"/>
          <w:szCs w:val="24"/>
        </w:rPr>
        <w:t xml:space="preserve"> Pamata aizsargāto lietotāju atbalsts plānots 14,88 milj. </w:t>
      </w:r>
      <w:r w:rsidR="00437377" w:rsidRPr="002B567D">
        <w:rPr>
          <w:rFonts w:ascii="Times New Roman" w:hAnsi="Times New Roman" w:cs="Times New Roman"/>
          <w:bCs/>
          <w:i/>
          <w:sz w:val="24"/>
          <w:szCs w:val="24"/>
        </w:rPr>
        <w:t>euro</w:t>
      </w:r>
      <w:r w:rsidR="00437377">
        <w:rPr>
          <w:rFonts w:ascii="Times New Roman" w:hAnsi="Times New Roman" w:cs="Times New Roman"/>
          <w:sz w:val="24"/>
          <w:szCs w:val="24"/>
        </w:rPr>
        <w:t xml:space="preserve"> </w:t>
      </w:r>
      <w:r w:rsidR="00CA2F96">
        <w:rPr>
          <w:rFonts w:ascii="Times New Roman" w:hAnsi="Times New Roman" w:cs="Times New Roman"/>
          <w:sz w:val="24"/>
          <w:szCs w:val="24"/>
        </w:rPr>
        <w:t xml:space="preserve">apmērā, tādējādi kopējais aizsargāto lietotāju atbalsts 2023.gadā veidotu 34,56 milj. </w:t>
      </w:r>
      <w:r w:rsidR="00437377" w:rsidRPr="002B567D">
        <w:rPr>
          <w:rFonts w:ascii="Times New Roman" w:hAnsi="Times New Roman" w:cs="Times New Roman"/>
          <w:bCs/>
          <w:i/>
          <w:sz w:val="24"/>
          <w:szCs w:val="24"/>
        </w:rPr>
        <w:t>euro</w:t>
      </w:r>
      <w:r w:rsidR="00CA2F96">
        <w:rPr>
          <w:rFonts w:ascii="Times New Roman" w:hAnsi="Times New Roman" w:cs="Times New Roman"/>
          <w:sz w:val="24"/>
          <w:szCs w:val="24"/>
        </w:rPr>
        <w:t xml:space="preserve">. </w:t>
      </w:r>
      <w:r w:rsidRPr="00F52856">
        <w:rPr>
          <w:rFonts w:ascii="Times New Roman" w:hAnsi="Times New Roman" w:cs="Times New Roman"/>
          <w:sz w:val="24"/>
          <w:szCs w:val="24"/>
        </w:rPr>
        <w:t>Tādēļ šajā informatīvajā</w:t>
      </w:r>
      <w:r>
        <w:rPr>
          <w:rFonts w:ascii="Times New Roman" w:hAnsi="Times New Roman" w:cs="Times New Roman"/>
          <w:sz w:val="24"/>
          <w:szCs w:val="24"/>
        </w:rPr>
        <w:t xml:space="preserve"> ziņojumā sniegtie priekšlikumi par atbalsta sistēmas izveidi ir jāvērtē kontekstā ar jau esošajiem atbalsta pasākumiem, pieņemot lēmumu par to turpināšanu vai terminētu pārtraukšanu.</w:t>
      </w:r>
    </w:p>
    <w:p w14:paraId="5203CFDE" w14:textId="4DA22685" w:rsidR="000845A5" w:rsidRDefault="000845A5" w:rsidP="000845A5">
      <w:pPr>
        <w:spacing w:after="0" w:line="240" w:lineRule="auto"/>
        <w:ind w:firstLine="720"/>
        <w:jc w:val="both"/>
        <w:rPr>
          <w:rFonts w:ascii="Times New Roman" w:hAnsi="Times New Roman" w:cs="Times New Roman"/>
          <w:sz w:val="24"/>
          <w:szCs w:val="24"/>
        </w:rPr>
      </w:pPr>
    </w:p>
    <w:p w14:paraId="4AF34F6C" w14:textId="0C7C11DE" w:rsidR="008556ED" w:rsidRDefault="008556ED">
      <w:pPr>
        <w:rPr>
          <w:rFonts w:ascii="Times New Roman" w:hAnsi="Times New Roman" w:cs="Times New Roman"/>
          <w:b/>
          <w:sz w:val="24"/>
          <w:szCs w:val="24"/>
        </w:rPr>
      </w:pPr>
      <w:r>
        <w:rPr>
          <w:rFonts w:ascii="Times New Roman" w:hAnsi="Times New Roman" w:cs="Times New Roman"/>
          <w:b/>
          <w:sz w:val="24"/>
          <w:szCs w:val="24"/>
        </w:rPr>
        <w:br w:type="page"/>
      </w:r>
    </w:p>
    <w:p w14:paraId="0EC63935" w14:textId="77777777" w:rsidR="00F53A37" w:rsidRDefault="00F53A37">
      <w:pPr>
        <w:rPr>
          <w:rFonts w:ascii="Times New Roman" w:hAnsi="Times New Roman" w:cs="Times New Roman"/>
          <w:b/>
          <w:sz w:val="24"/>
          <w:szCs w:val="24"/>
        </w:rPr>
      </w:pPr>
    </w:p>
    <w:p w14:paraId="1632DE9F" w14:textId="77777777" w:rsidR="00525F5F" w:rsidRPr="00A37166" w:rsidRDefault="00525F5F">
      <w:pPr>
        <w:rPr>
          <w:rFonts w:ascii="Times New Roman" w:hAnsi="Times New Roman" w:cs="Times New Roman"/>
          <w:b/>
          <w:sz w:val="24"/>
          <w:szCs w:val="24"/>
        </w:rPr>
      </w:pPr>
      <w:r w:rsidRPr="00A37166">
        <w:rPr>
          <w:rFonts w:ascii="Times New Roman" w:hAnsi="Times New Roman" w:cs="Times New Roman"/>
          <w:b/>
          <w:sz w:val="24"/>
          <w:szCs w:val="24"/>
        </w:rPr>
        <w:t>2.Situācijas apraksts</w:t>
      </w:r>
    </w:p>
    <w:p w14:paraId="2DD84763" w14:textId="4C8A0C40" w:rsidR="00F53A37" w:rsidRDefault="007429CB" w:rsidP="007429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A037EB" w:rsidRPr="00365151">
        <w:rPr>
          <w:rFonts w:ascii="Times New Roman" w:hAnsi="Times New Roman" w:cs="Times New Roman"/>
          <w:sz w:val="24"/>
          <w:szCs w:val="24"/>
        </w:rPr>
        <w:t xml:space="preserve">adaļā ir sniegta informācija par esošo un </w:t>
      </w:r>
      <w:r w:rsidR="00A037EB" w:rsidRPr="00A037EB">
        <w:rPr>
          <w:rFonts w:ascii="Times New Roman" w:hAnsi="Times New Roman" w:cs="Times New Roman"/>
          <w:sz w:val="24"/>
          <w:szCs w:val="24"/>
        </w:rPr>
        <w:t>prognozēto</w:t>
      </w:r>
      <w:r w:rsidR="00A037EB" w:rsidRPr="00365151">
        <w:rPr>
          <w:rFonts w:ascii="Times New Roman" w:hAnsi="Times New Roman" w:cs="Times New Roman"/>
          <w:sz w:val="24"/>
          <w:szCs w:val="24"/>
        </w:rPr>
        <w:t xml:space="preserve"> cenu palielinājumu, </w:t>
      </w:r>
      <w:r w:rsidR="006839C9">
        <w:rPr>
          <w:rFonts w:ascii="Times New Roman" w:hAnsi="Times New Roman" w:cs="Times New Roman"/>
          <w:sz w:val="24"/>
          <w:szCs w:val="24"/>
        </w:rPr>
        <w:t>iedzīvotāju ienākumiem kvintiļu grupās, esošajiem</w:t>
      </w:r>
      <w:r w:rsidR="00640529">
        <w:rPr>
          <w:rFonts w:ascii="Times New Roman" w:hAnsi="Times New Roman" w:cs="Times New Roman"/>
          <w:sz w:val="24"/>
          <w:szCs w:val="24"/>
        </w:rPr>
        <w:t>, pastāvīgajiem</w:t>
      </w:r>
      <w:r w:rsidR="006839C9">
        <w:rPr>
          <w:rFonts w:ascii="Times New Roman" w:hAnsi="Times New Roman" w:cs="Times New Roman"/>
          <w:sz w:val="24"/>
          <w:szCs w:val="24"/>
        </w:rPr>
        <w:t xml:space="preserve"> atbalsta instrumentiem, kuri noteikti konkrētām iedzīvotāju grupām, kuras nespēj vai kurām ir grūtības norēķināties par </w:t>
      </w:r>
      <w:r w:rsidR="006E170E">
        <w:rPr>
          <w:rFonts w:ascii="Times New Roman" w:hAnsi="Times New Roman" w:cs="Times New Roman"/>
          <w:sz w:val="24"/>
          <w:szCs w:val="24"/>
        </w:rPr>
        <w:t xml:space="preserve">energoresursiem </w:t>
      </w:r>
      <w:r w:rsidR="006839C9">
        <w:rPr>
          <w:rFonts w:ascii="Times New Roman" w:hAnsi="Times New Roman" w:cs="Times New Roman"/>
          <w:sz w:val="24"/>
          <w:szCs w:val="24"/>
        </w:rPr>
        <w:t>un nodrošināt pietiekamu pārtiku. Tāpat ir sniegts apraksts par 2021.gadā un 2022.gadā ieviestajiem atbalsta pasākumiem, kas vērsti uz to, lai mazināt</w:t>
      </w:r>
      <w:r>
        <w:rPr>
          <w:rFonts w:ascii="Times New Roman" w:hAnsi="Times New Roman" w:cs="Times New Roman"/>
          <w:sz w:val="24"/>
          <w:szCs w:val="24"/>
        </w:rPr>
        <w:t>u</w:t>
      </w:r>
      <w:r w:rsidR="006839C9">
        <w:rPr>
          <w:rFonts w:ascii="Times New Roman" w:hAnsi="Times New Roman" w:cs="Times New Roman"/>
          <w:sz w:val="24"/>
          <w:szCs w:val="24"/>
        </w:rPr>
        <w:t xml:space="preserve"> </w:t>
      </w:r>
      <w:r w:rsidR="006E170E">
        <w:rPr>
          <w:rFonts w:ascii="Times New Roman" w:hAnsi="Times New Roman" w:cs="Times New Roman"/>
          <w:sz w:val="24"/>
          <w:szCs w:val="24"/>
        </w:rPr>
        <w:t xml:space="preserve">energoresursu </w:t>
      </w:r>
      <w:r w:rsidR="006839C9">
        <w:rPr>
          <w:rFonts w:ascii="Times New Roman" w:hAnsi="Times New Roman" w:cs="Times New Roman"/>
          <w:sz w:val="24"/>
          <w:szCs w:val="24"/>
        </w:rPr>
        <w:t xml:space="preserve">cenu kāpuma negatīvo ietekmi uz iedzīvotāju ienākumiem. Nobeigumā sniegti secinājumi par ieviesto atbalsta pasākumu mērķētību un turpmāko nodrošināšanu. </w:t>
      </w:r>
    </w:p>
    <w:p w14:paraId="2A2185F5" w14:textId="77777777" w:rsidR="00A71A63" w:rsidRPr="00365151" w:rsidRDefault="00A71A63" w:rsidP="00365151">
      <w:pPr>
        <w:spacing w:after="0" w:line="240" w:lineRule="auto"/>
        <w:jc w:val="both"/>
        <w:rPr>
          <w:rFonts w:ascii="Times New Roman" w:hAnsi="Times New Roman" w:cs="Times New Roman"/>
          <w:sz w:val="24"/>
          <w:szCs w:val="24"/>
        </w:rPr>
      </w:pPr>
    </w:p>
    <w:p w14:paraId="389336D4" w14:textId="733AB254" w:rsidR="00525F5F" w:rsidRPr="00365151" w:rsidRDefault="00525F5F">
      <w:pPr>
        <w:rPr>
          <w:rFonts w:ascii="Times New Roman" w:hAnsi="Times New Roman" w:cs="Times New Roman"/>
          <w:b/>
          <w:sz w:val="26"/>
          <w:szCs w:val="24"/>
        </w:rPr>
      </w:pPr>
      <w:r w:rsidRPr="00365151">
        <w:rPr>
          <w:rFonts w:ascii="Times New Roman" w:hAnsi="Times New Roman" w:cs="Times New Roman"/>
          <w:b/>
          <w:sz w:val="26"/>
          <w:szCs w:val="24"/>
        </w:rPr>
        <w:t xml:space="preserve">2.1. </w:t>
      </w:r>
      <w:r w:rsidR="0087275E" w:rsidRPr="00365151">
        <w:rPr>
          <w:rFonts w:ascii="Times New Roman" w:hAnsi="Times New Roman" w:cs="Times New Roman"/>
          <w:b/>
          <w:sz w:val="26"/>
          <w:szCs w:val="24"/>
        </w:rPr>
        <w:t>Vispārīgs raksturojums un esošā situācija</w:t>
      </w:r>
      <w:r w:rsidR="00377FDE" w:rsidRPr="00365151">
        <w:rPr>
          <w:rFonts w:ascii="Times New Roman" w:hAnsi="Times New Roman" w:cs="Times New Roman"/>
          <w:b/>
          <w:sz w:val="26"/>
          <w:szCs w:val="24"/>
        </w:rPr>
        <w:t xml:space="preserve"> </w:t>
      </w:r>
    </w:p>
    <w:p w14:paraId="41F23403" w14:textId="6DAC7C82" w:rsidR="000F2019" w:rsidRDefault="00CE0A22" w:rsidP="0087275E">
      <w:pPr>
        <w:jc w:val="both"/>
        <w:rPr>
          <w:rFonts w:ascii="Times New Roman" w:hAnsi="Times New Roman" w:cs="Times New Roman"/>
          <w:b/>
          <w:sz w:val="24"/>
          <w:szCs w:val="24"/>
        </w:rPr>
      </w:pPr>
      <w:r>
        <w:rPr>
          <w:rFonts w:ascii="Times New Roman" w:hAnsi="Times New Roman" w:cs="Times New Roman"/>
          <w:b/>
          <w:sz w:val="24"/>
          <w:szCs w:val="24"/>
        </w:rPr>
        <w:t xml:space="preserve">2.1.1. </w:t>
      </w:r>
      <w:r w:rsidR="000F2019" w:rsidRPr="000F2019">
        <w:rPr>
          <w:rFonts w:ascii="Times New Roman" w:hAnsi="Times New Roman" w:cs="Times New Roman"/>
          <w:b/>
          <w:sz w:val="24"/>
          <w:szCs w:val="24"/>
        </w:rPr>
        <w:t>Informācija par prognozējamo cenu palielinājumu</w:t>
      </w:r>
    </w:p>
    <w:p w14:paraId="5EA8B4A5" w14:textId="4BE6F8FB" w:rsidR="00604E30" w:rsidRPr="00604E30" w:rsidRDefault="00604E30" w:rsidP="00C9793D">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604E30">
        <w:rPr>
          <w:rFonts w:ascii="Times New Roman" w:eastAsia="Times New Roman" w:hAnsi="Times New Roman" w:cs="Times New Roman"/>
          <w:sz w:val="24"/>
          <w:szCs w:val="24"/>
          <w:lang w:eastAsia="lv-LV"/>
        </w:rPr>
        <w:t>Finanšu ministrija</w:t>
      </w:r>
      <w:r w:rsidR="005C6536">
        <w:rPr>
          <w:rFonts w:ascii="Times New Roman" w:eastAsia="Times New Roman" w:hAnsi="Times New Roman" w:cs="Times New Roman"/>
          <w:sz w:val="24"/>
          <w:szCs w:val="24"/>
          <w:lang w:eastAsia="lv-LV"/>
        </w:rPr>
        <w:t>s</w:t>
      </w:r>
      <w:r w:rsidRPr="00604E3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sniegto informāciju</w:t>
      </w:r>
      <w:r w:rsidRPr="00604E3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2022. gada</w:t>
      </w:r>
      <w:r w:rsidRPr="00604E30">
        <w:rPr>
          <w:rFonts w:ascii="Times New Roman" w:eastAsia="Times New Roman" w:hAnsi="Times New Roman" w:cs="Times New Roman"/>
          <w:sz w:val="24"/>
          <w:szCs w:val="24"/>
          <w:lang w:eastAsia="lv-LV"/>
        </w:rPr>
        <w:t xml:space="preserve"> janvārī un februārī </w:t>
      </w:r>
      <w:r w:rsidRPr="00604E30">
        <w:rPr>
          <w:rFonts w:ascii="Times New Roman" w:eastAsia="Times New Roman" w:hAnsi="Times New Roman" w:cs="Times New Roman"/>
          <w:b/>
          <w:bCs/>
          <w:sz w:val="24"/>
          <w:szCs w:val="24"/>
          <w:lang w:eastAsia="lv-LV"/>
        </w:rPr>
        <w:t>patēriņa cenas</w:t>
      </w:r>
      <w:r w:rsidRPr="00604E30">
        <w:rPr>
          <w:rFonts w:ascii="Times New Roman" w:eastAsia="Times New Roman" w:hAnsi="Times New Roman" w:cs="Times New Roman"/>
          <w:sz w:val="24"/>
          <w:szCs w:val="24"/>
          <w:lang w:eastAsia="lv-LV"/>
        </w:rPr>
        <w:t xml:space="preserve"> attiecīgi pieauga par 7,4% un 8,7%. Savukārt, </w:t>
      </w:r>
      <w:r>
        <w:rPr>
          <w:rFonts w:ascii="Times New Roman" w:eastAsia="Times New Roman" w:hAnsi="Times New Roman" w:cs="Times New Roman"/>
          <w:sz w:val="24"/>
          <w:szCs w:val="24"/>
          <w:lang w:eastAsia="lv-LV"/>
        </w:rPr>
        <w:t>2022. gada</w:t>
      </w:r>
      <w:r w:rsidRPr="00604E30">
        <w:rPr>
          <w:rFonts w:ascii="Times New Roman" w:eastAsia="Times New Roman" w:hAnsi="Times New Roman" w:cs="Times New Roman"/>
          <w:sz w:val="24"/>
          <w:szCs w:val="24"/>
          <w:lang w:eastAsia="lv-LV"/>
        </w:rPr>
        <w:t xml:space="preserve"> martā un aprīlī inflācija pārsniedza 10% atzīmi, attiecīgi </w:t>
      </w:r>
      <w:r w:rsidRPr="00604E30">
        <w:rPr>
          <w:rFonts w:ascii="Times New Roman" w:eastAsia="Times New Roman" w:hAnsi="Times New Roman" w:cs="Times New Roman"/>
          <w:bCs/>
          <w:sz w:val="24"/>
          <w:szCs w:val="24"/>
          <w:lang w:eastAsia="lv-LV"/>
        </w:rPr>
        <w:t>veidojot 11,5% un 13,0%</w:t>
      </w:r>
      <w:r w:rsidRPr="00604E30">
        <w:rPr>
          <w:rFonts w:ascii="Times New Roman" w:eastAsia="Times New Roman" w:hAnsi="Times New Roman" w:cs="Times New Roman"/>
          <w:sz w:val="24"/>
          <w:szCs w:val="24"/>
          <w:lang w:eastAsia="lv-LV"/>
        </w:rPr>
        <w:t xml:space="preserve"> salīdzinājumā ar pērnā gada attiecīgiem mēnešiem, kas bija strauj</w:t>
      </w:r>
      <w:r>
        <w:rPr>
          <w:rFonts w:ascii="Times New Roman" w:eastAsia="Times New Roman" w:hAnsi="Times New Roman" w:cs="Times New Roman"/>
          <w:sz w:val="24"/>
          <w:szCs w:val="24"/>
          <w:lang w:eastAsia="lv-LV"/>
        </w:rPr>
        <w:t>ākais cenu pieaugums kopš 2008. </w:t>
      </w:r>
      <w:r w:rsidR="005C6536">
        <w:rPr>
          <w:rFonts w:ascii="Times New Roman" w:eastAsia="Times New Roman" w:hAnsi="Times New Roman" w:cs="Times New Roman"/>
          <w:sz w:val="24"/>
          <w:szCs w:val="24"/>
          <w:lang w:eastAsia="lv-LV"/>
        </w:rPr>
        <w:t>gada nogales. </w:t>
      </w:r>
      <w:r w:rsidRPr="00604E30">
        <w:rPr>
          <w:rFonts w:ascii="Times New Roman" w:eastAsia="Times New Roman" w:hAnsi="Times New Roman" w:cs="Times New Roman"/>
          <w:color w:val="000000"/>
          <w:sz w:val="24"/>
          <w:szCs w:val="24"/>
          <w:lang w:eastAsia="lv-LV"/>
        </w:rPr>
        <w:t>Vēl straujāks cenu kāpums Latvijā bija fiksēts vien 2007.-2008.gadā, kad bija izteiktas ekonomiskās attīstības nesabalansētības pazīmes, it īpaši nekustamā īpašum</w:t>
      </w:r>
      <w:r w:rsidR="00736A04">
        <w:rPr>
          <w:rFonts w:ascii="Times New Roman" w:eastAsia="Times New Roman" w:hAnsi="Times New Roman" w:cs="Times New Roman"/>
          <w:color w:val="000000"/>
          <w:sz w:val="24"/>
          <w:szCs w:val="24"/>
          <w:lang w:eastAsia="lv-LV"/>
        </w:rPr>
        <w:t>a</w:t>
      </w:r>
      <w:r w:rsidRPr="00604E30">
        <w:rPr>
          <w:rFonts w:ascii="Times New Roman" w:eastAsia="Times New Roman" w:hAnsi="Times New Roman" w:cs="Times New Roman"/>
          <w:color w:val="000000"/>
          <w:sz w:val="24"/>
          <w:szCs w:val="24"/>
          <w:lang w:eastAsia="lv-LV"/>
        </w:rPr>
        <w:t xml:space="preserve"> tirgū. Savukārt pašreizējie iemesli patēriņa cenu pieaugumam, galvenokārt ir </w:t>
      </w:r>
      <w:r w:rsidRPr="00604E30">
        <w:rPr>
          <w:rFonts w:ascii="Times New Roman" w:eastAsia="Times New Roman" w:hAnsi="Times New Roman" w:cs="Times New Roman"/>
          <w:bCs/>
          <w:color w:val="000000"/>
          <w:sz w:val="24"/>
          <w:szCs w:val="24"/>
          <w:lang w:eastAsia="lv-LV"/>
        </w:rPr>
        <w:t xml:space="preserve">saistīti ar ārējiem faktoriem. </w:t>
      </w:r>
      <w:r w:rsidRPr="00604E30">
        <w:rPr>
          <w:rFonts w:ascii="Times New Roman" w:eastAsia="Times New Roman" w:hAnsi="Times New Roman" w:cs="Times New Roman"/>
          <w:color w:val="000000"/>
          <w:sz w:val="24"/>
          <w:szCs w:val="24"/>
          <w:lang w:eastAsia="lv-LV"/>
        </w:rPr>
        <w:t xml:space="preserve">Pirmkārt, straujo cenu kāpumu nosaka </w:t>
      </w:r>
      <w:r w:rsidRPr="00604E30">
        <w:rPr>
          <w:rFonts w:ascii="Times New Roman" w:eastAsia="Times New Roman" w:hAnsi="Times New Roman" w:cs="Times New Roman"/>
          <w:bCs/>
          <w:color w:val="000000"/>
          <w:sz w:val="24"/>
          <w:szCs w:val="24"/>
          <w:lang w:eastAsia="lv-LV"/>
        </w:rPr>
        <w:t>enerģētiskā krīze Eiropā</w:t>
      </w:r>
      <w:r w:rsidRPr="00604E30">
        <w:rPr>
          <w:rFonts w:ascii="Times New Roman" w:eastAsia="Times New Roman" w:hAnsi="Times New Roman" w:cs="Times New Roman"/>
          <w:color w:val="000000"/>
          <w:sz w:val="24"/>
          <w:szCs w:val="24"/>
          <w:lang w:eastAsia="lv-LV"/>
        </w:rPr>
        <w:t>, kas aizsākās pērnā gadā rudenī. Energoresursu cenu pieaugumu, it īpaši gāzes un elektroenerģijas cenu ietekmēja virkne faktoru gan piedāvājuma (</w:t>
      </w:r>
      <w:r w:rsidRPr="00604E30">
        <w:rPr>
          <w:rFonts w:ascii="Times New Roman" w:eastAsia="Times New Roman" w:hAnsi="Times New Roman" w:cs="Times New Roman"/>
          <w:sz w:val="24"/>
          <w:szCs w:val="24"/>
          <w:lang w:eastAsia="lv-LV"/>
        </w:rPr>
        <w:t>zems ūdenslīmenis hidroelektrostacijās, vāja elektroenerģijas ražošana no alternatīvajiem avotiem)</w:t>
      </w:r>
      <w:r w:rsidRPr="00604E30">
        <w:rPr>
          <w:rFonts w:ascii="Times New Roman" w:eastAsia="Times New Roman" w:hAnsi="Times New Roman" w:cs="Times New Roman"/>
          <w:color w:val="000000"/>
          <w:sz w:val="24"/>
          <w:szCs w:val="24"/>
          <w:lang w:eastAsia="lv-LV"/>
        </w:rPr>
        <w:t xml:space="preserve">, gan pieprasījuma pusē (nelabvēlīgie laika apstākļi pērn, augoša ekonomika un patēriņa pieaugums). Otrkārt, straujo inflāciju ietekmē </w:t>
      </w:r>
      <w:r w:rsidRPr="00604E30">
        <w:rPr>
          <w:rFonts w:ascii="Times New Roman" w:eastAsia="Times New Roman" w:hAnsi="Times New Roman" w:cs="Times New Roman"/>
          <w:bCs/>
          <w:color w:val="000000"/>
          <w:sz w:val="24"/>
          <w:szCs w:val="24"/>
          <w:lang w:eastAsia="lv-LV"/>
        </w:rPr>
        <w:t>pārtikas cenu kāpums visā pasaulē</w:t>
      </w:r>
      <w:r w:rsidRPr="00604E30">
        <w:rPr>
          <w:rFonts w:ascii="Times New Roman" w:eastAsia="Times New Roman" w:hAnsi="Times New Roman" w:cs="Times New Roman"/>
          <w:color w:val="000000"/>
          <w:sz w:val="24"/>
          <w:szCs w:val="24"/>
          <w:lang w:eastAsia="lv-LV"/>
        </w:rPr>
        <w:t xml:space="preserve">. Pārtikas cenu pieaugums vērojams kopš 2021.gada sākuma, ko negatīvi ietekmē pēc pandēmijas augošais pieprasījums, atsevišķu lauksaimniecības kultūru sliktā raža, mēslojumu sadārdzinājums augsto energoresursu cenu dēļ, kā arī loģistikas traucējumi. Treškārt, </w:t>
      </w:r>
      <w:r w:rsidRPr="00604E30">
        <w:rPr>
          <w:rFonts w:ascii="Times New Roman" w:eastAsia="Times New Roman" w:hAnsi="Times New Roman" w:cs="Times New Roman"/>
          <w:bCs/>
          <w:color w:val="000000"/>
          <w:sz w:val="24"/>
          <w:szCs w:val="24"/>
          <w:lang w:eastAsia="lv-LV"/>
        </w:rPr>
        <w:t>Krievijas agresija Ukrainā</w:t>
      </w:r>
      <w:r w:rsidRPr="00604E30">
        <w:rPr>
          <w:rFonts w:ascii="Times New Roman" w:eastAsia="Times New Roman" w:hAnsi="Times New Roman" w:cs="Times New Roman"/>
          <w:color w:val="000000"/>
          <w:sz w:val="24"/>
          <w:szCs w:val="24"/>
          <w:lang w:eastAsia="lv-LV"/>
        </w:rPr>
        <w:t xml:space="preserve"> š.g. februāra beigās pastiprināja iepriekš minēto divu faktoru negatīvo ietekmi un palielināja spriedzi gan energoresursu, gan pārtikas tirgū.   </w:t>
      </w:r>
    </w:p>
    <w:p w14:paraId="3835FE10" w14:textId="2C1B47AA" w:rsidR="00C9793D" w:rsidRPr="00C9793D" w:rsidRDefault="00C9793D" w:rsidP="00C9793D">
      <w:pPr>
        <w:spacing w:after="0" w:line="240" w:lineRule="auto"/>
        <w:ind w:firstLine="567"/>
        <w:jc w:val="both"/>
        <w:rPr>
          <w:rFonts w:ascii="Times New Roman" w:eastAsia="Times New Roman" w:hAnsi="Times New Roman" w:cs="Times New Roman"/>
          <w:sz w:val="24"/>
          <w:szCs w:val="24"/>
          <w:lang w:eastAsia="lv-LV"/>
        </w:rPr>
      </w:pPr>
      <w:r w:rsidRPr="00C9793D">
        <w:rPr>
          <w:rFonts w:ascii="Times New Roman" w:eastAsia="Times New Roman" w:hAnsi="Times New Roman" w:cs="Times New Roman"/>
          <w:sz w:val="24"/>
          <w:szCs w:val="24"/>
          <w:lang w:eastAsia="lv-LV"/>
        </w:rPr>
        <w:t>Pasaules pārtikas cenas 2021.gadā pieauga vidēji par 28%, bet 2022.gada martā sasniedza visu laiku augstāko rādītāju. Lai gan pārtikas produktu cenas pasaulē maijā otro mēnesi pēc kārtas nedaudz samazinājušās, taču joprojām saglabājas augstā līmenī Ukrainā notiekošā kara dēļ.</w:t>
      </w:r>
      <w:r>
        <w:rPr>
          <w:rFonts w:ascii="Times New Roman" w:eastAsia="Times New Roman" w:hAnsi="Times New Roman" w:cs="Times New Roman"/>
          <w:sz w:val="24"/>
          <w:szCs w:val="24"/>
          <w:lang w:eastAsia="lv-LV"/>
        </w:rPr>
        <w:t xml:space="preserve"> </w:t>
      </w:r>
      <w:r w:rsidRPr="00C9793D">
        <w:rPr>
          <w:rFonts w:ascii="Times New Roman" w:eastAsia="Times New Roman" w:hAnsi="Times New Roman" w:cs="Times New Roman"/>
          <w:sz w:val="24"/>
          <w:szCs w:val="24"/>
          <w:lang w:eastAsia="lv-LV"/>
        </w:rPr>
        <w:t xml:space="preserve">Jāņem vērā, ka Pasaules cenu kāpumam, jo īpaši energoresursiem, ir otrreizējā ietekme uz rūpniecības preču un pakalpojumu cenām. </w:t>
      </w:r>
    </w:p>
    <w:p w14:paraId="0A606C54" w14:textId="77777777" w:rsidR="00C9793D" w:rsidRPr="00C9793D" w:rsidRDefault="00C9793D" w:rsidP="00C9793D">
      <w:pPr>
        <w:spacing w:after="0" w:line="240" w:lineRule="auto"/>
        <w:ind w:firstLine="567"/>
        <w:jc w:val="both"/>
        <w:rPr>
          <w:rFonts w:ascii="Times New Roman" w:eastAsia="Times New Roman" w:hAnsi="Times New Roman" w:cs="Times New Roman"/>
          <w:sz w:val="24"/>
          <w:szCs w:val="24"/>
          <w:lang w:eastAsia="lv-LV"/>
        </w:rPr>
      </w:pPr>
      <w:r w:rsidRPr="00C9793D">
        <w:rPr>
          <w:rFonts w:ascii="Times New Roman" w:eastAsia="Times New Roman" w:hAnsi="Times New Roman" w:cs="Times New Roman"/>
          <w:sz w:val="24"/>
          <w:szCs w:val="24"/>
          <w:lang w:eastAsia="lv-LV"/>
        </w:rPr>
        <w:t>Latvijā 2022. gada maijā, salīdzinot ar 2021.gada maiju, vidējais patēriņa cenu līmenis palielinājās par 16,9%. Gada vidējā inflācija bija 7,8%. 2022. gada maijā, salīdzinot ar 2021. gada maiju, patēriņa cenas pieauga gandrīz visās lielākajās preču un pakalpojumu grupās. Patēriņa cenu vidējo līmeni galvenokārt ietekmēja cenu kāpums pārtikai un bezalkoholiskajiem dzērieniem, ar transportu saistītām precēm un pakalpojumiem, ko noteica degvielas sadārdzināšanās transportam, kā arī ar mājokli saistītām precēm un pakalpojumiem, ko noteica elektroenerģijas, siltumenerģijas, dabasgāzes un cietā kurināmā sadārdzinājums.</w:t>
      </w:r>
    </w:p>
    <w:p w14:paraId="3028950E" w14:textId="77777777" w:rsidR="00C9793D" w:rsidRPr="00C9793D" w:rsidRDefault="00C9793D" w:rsidP="00C9793D">
      <w:pPr>
        <w:spacing w:after="0" w:line="240" w:lineRule="auto"/>
        <w:ind w:firstLine="567"/>
        <w:jc w:val="both"/>
        <w:rPr>
          <w:rFonts w:ascii="Times New Roman" w:eastAsia="Times New Roman" w:hAnsi="Times New Roman" w:cs="Times New Roman"/>
          <w:sz w:val="24"/>
          <w:szCs w:val="24"/>
          <w:lang w:eastAsia="lv-LV"/>
        </w:rPr>
      </w:pPr>
      <w:r w:rsidRPr="00C9793D">
        <w:rPr>
          <w:rFonts w:ascii="Times New Roman" w:eastAsia="Times New Roman" w:hAnsi="Times New Roman" w:cs="Times New Roman"/>
          <w:sz w:val="24"/>
          <w:szCs w:val="24"/>
          <w:lang w:eastAsia="lv-LV"/>
        </w:rPr>
        <w:t xml:space="preserve">Saskaņā ar Ekonomikas ministrijas aplēsēm pārtikai cenas Latvijā 2022.gadā salīdzinājumā ar 2021.gadu varētu pieaugt par 17-18%, kas kopējo patēriņa cenu līmeni </w:t>
      </w:r>
      <w:r w:rsidRPr="00C9793D">
        <w:rPr>
          <w:rFonts w:ascii="Times New Roman" w:eastAsia="Times New Roman" w:hAnsi="Times New Roman" w:cs="Times New Roman"/>
          <w:sz w:val="24"/>
          <w:szCs w:val="24"/>
          <w:lang w:eastAsia="lv-LV"/>
        </w:rPr>
        <w:lastRenderedPageBreak/>
        <w:t xml:space="preserve">palielinātu par 4 procentpunktiem, elektroenerģijai, dabasgāzei, siltumenerģijai un cietajam kurināmajam kopā 2022.gadā cenas Latvijā varētu pieaugt par aptuveni 39%, kas kopējo patēriņa cenu līmeni ietekmēs par 3,8 procentpunktiem, savukārt degvielas cenu kāpums kopumā 2022.gadā varētu pieaugt par 40%, kas kopējo patēriņa cenu līmeni ietekmēs par 2,7 procentpunktiem. </w:t>
      </w:r>
    </w:p>
    <w:p w14:paraId="1FEAF8F4" w14:textId="77777777" w:rsidR="00C9793D" w:rsidRPr="00C9793D" w:rsidRDefault="00C9793D" w:rsidP="00C9793D">
      <w:pPr>
        <w:spacing w:after="0" w:line="240" w:lineRule="auto"/>
        <w:ind w:firstLine="567"/>
        <w:jc w:val="both"/>
        <w:rPr>
          <w:rFonts w:ascii="Times New Roman" w:eastAsia="Times New Roman" w:hAnsi="Times New Roman" w:cs="Times New Roman"/>
          <w:sz w:val="24"/>
          <w:szCs w:val="24"/>
          <w:lang w:eastAsia="lv-LV"/>
        </w:rPr>
      </w:pPr>
      <w:r w:rsidRPr="00C9793D">
        <w:rPr>
          <w:rFonts w:ascii="Times New Roman" w:eastAsia="Times New Roman" w:hAnsi="Times New Roman" w:cs="Times New Roman"/>
          <w:sz w:val="24"/>
          <w:szCs w:val="24"/>
          <w:lang w:eastAsia="lv-LV"/>
        </w:rPr>
        <w:t>Dabasgāzes cena patērētājiem 2022.gada rudens/ziemas apkures sezonā var būt 100-110 EUR/MWh robežās, elektroenerģijai – 150-200 EUR/MWh, kādas novērotas arī šobrīd. Savukārt biomasas (šķeldas) vidējā gada iepirkuma cena var pieaugt no 10-14 EUR/MWh līdz 25-30 EUR/MWh. Ja pie resursu cenas 10-14 EUR/MWh gala cena siltuma patērētājiem bija 50-60 EUR/MWh, tad sadārdzinoties šķeldai gala cena siltuma patērētājiem var pieaugt līdz 75 EUR/MWh jeb par 15 EUR.</w:t>
      </w:r>
    </w:p>
    <w:p w14:paraId="7DE5EAAA" w14:textId="64DA6DAF" w:rsidR="00DF7658" w:rsidRDefault="00C9793D" w:rsidP="00C9793D">
      <w:pPr>
        <w:spacing w:after="0" w:line="240" w:lineRule="auto"/>
        <w:ind w:firstLine="567"/>
        <w:jc w:val="both"/>
        <w:rPr>
          <w:rFonts w:ascii="Times New Roman" w:hAnsi="Times New Roman" w:cs="Times New Roman"/>
          <w:sz w:val="24"/>
          <w:szCs w:val="24"/>
        </w:rPr>
      </w:pPr>
      <w:r w:rsidRPr="00C9793D">
        <w:rPr>
          <w:rFonts w:ascii="Times New Roman" w:eastAsia="Times New Roman" w:hAnsi="Times New Roman" w:cs="Times New Roman"/>
          <w:sz w:val="24"/>
          <w:szCs w:val="24"/>
          <w:lang w:eastAsia="lv-LV"/>
        </w:rPr>
        <w:t>Atbilstoši naftas cenu svārstībām mainīsies arī degvielas mazumtirdzniecības cenas Latvijā. 95 markas benzīna un dīzeļdegvielas cena pēc krituma aprīlī maijā bija pieaugusi līdz marta cenas līmenim, attiecīgi  ~1,90 EUR/l  un ~1,87 EUR/l, bet jūnija sākumā benzīna cena jau bija pārsniegusi 2 EUR/l. Paredzams, ka</w:t>
      </w:r>
      <w:r>
        <w:rPr>
          <w:rFonts w:ascii="Times New Roman" w:eastAsia="Times New Roman" w:hAnsi="Times New Roman" w:cs="Times New Roman"/>
          <w:sz w:val="24"/>
          <w:szCs w:val="24"/>
          <w:lang w:eastAsia="lv-LV"/>
        </w:rPr>
        <w:t>,</w:t>
      </w:r>
      <w:r w:rsidRPr="00C9793D">
        <w:rPr>
          <w:rFonts w:ascii="Times New Roman" w:eastAsia="Times New Roman" w:hAnsi="Times New Roman" w:cs="Times New Roman"/>
          <w:sz w:val="24"/>
          <w:szCs w:val="24"/>
          <w:lang w:eastAsia="lv-LV"/>
        </w:rPr>
        <w:t xml:space="preserve"> mazinoties globālā energoresursu cenu šoka ietekmei un pielāgojot piegāžu ķēdes jaunajiem apstākļiem, degvielas mazumtirdzniecības cenas Latvijā samazināsies.</w:t>
      </w:r>
      <w:r w:rsidR="00DF7658">
        <w:rPr>
          <w:rFonts w:ascii="Times New Roman" w:hAnsi="Times New Roman" w:cs="Times New Roman"/>
          <w:sz w:val="24"/>
          <w:szCs w:val="24"/>
        </w:rPr>
        <w:t xml:space="preserve"> </w:t>
      </w:r>
    </w:p>
    <w:p w14:paraId="1FB11F32" w14:textId="77777777" w:rsidR="00C9793D" w:rsidRDefault="00C9793D" w:rsidP="00DF7658">
      <w:pPr>
        <w:spacing w:after="0" w:line="240" w:lineRule="auto"/>
        <w:jc w:val="both"/>
        <w:rPr>
          <w:rFonts w:ascii="Times New Roman" w:hAnsi="Times New Roman" w:cs="Times New Roman"/>
          <w:sz w:val="24"/>
          <w:szCs w:val="24"/>
        </w:rPr>
      </w:pPr>
    </w:p>
    <w:p w14:paraId="39F4CFAA" w14:textId="793CA915" w:rsidR="00DF7658" w:rsidRDefault="001F5B58" w:rsidP="00DF76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DF7658">
        <w:rPr>
          <w:rFonts w:ascii="Times New Roman" w:hAnsi="Times New Roman" w:cs="Times New Roman"/>
          <w:sz w:val="24"/>
          <w:szCs w:val="24"/>
        </w:rPr>
        <w:t>. grafiks</w:t>
      </w:r>
      <w:r>
        <w:rPr>
          <w:rFonts w:ascii="Times New Roman" w:hAnsi="Times New Roman" w:cs="Times New Roman"/>
          <w:sz w:val="24"/>
          <w:szCs w:val="24"/>
        </w:rPr>
        <w:t>.</w:t>
      </w:r>
    </w:p>
    <w:p w14:paraId="4C4ABA89" w14:textId="77777777" w:rsidR="00DF7658" w:rsidRPr="00DF7658" w:rsidRDefault="00DF7658" w:rsidP="00DF7658">
      <w:pPr>
        <w:spacing w:after="0" w:line="240" w:lineRule="auto"/>
        <w:jc w:val="both"/>
        <w:rPr>
          <w:rFonts w:ascii="Times New Roman" w:hAnsi="Times New Roman" w:cs="Times New Roman"/>
          <w:sz w:val="24"/>
          <w:szCs w:val="24"/>
        </w:rPr>
      </w:pPr>
    </w:p>
    <w:p w14:paraId="786884E0" w14:textId="77777777" w:rsidR="00DF7658" w:rsidRPr="00DF7658" w:rsidRDefault="00DF7658" w:rsidP="00DF7658">
      <w:pPr>
        <w:spacing w:after="0" w:line="240" w:lineRule="auto"/>
        <w:jc w:val="center"/>
        <w:rPr>
          <w:b/>
          <w:bCs/>
        </w:rPr>
      </w:pPr>
      <w:r w:rsidRPr="00DF7658">
        <w:rPr>
          <w:b/>
          <w:bCs/>
        </w:rPr>
        <w:t>Patēriņa cenu pārmaiņas</w:t>
      </w:r>
    </w:p>
    <w:p w14:paraId="5CBE6ECC" w14:textId="77777777" w:rsidR="00DF7658" w:rsidRPr="00DF7658" w:rsidRDefault="00DF7658" w:rsidP="00DF7658">
      <w:pPr>
        <w:spacing w:after="0" w:line="240" w:lineRule="auto"/>
        <w:jc w:val="center"/>
        <w:rPr>
          <w:sz w:val="18"/>
          <w:szCs w:val="18"/>
        </w:rPr>
      </w:pPr>
      <w:r w:rsidRPr="00DF7658">
        <w:rPr>
          <w:sz w:val="18"/>
          <w:szCs w:val="18"/>
        </w:rPr>
        <w:t>pret iepriekšējā gada atbilstošo periodu, procentos</w:t>
      </w:r>
    </w:p>
    <w:p w14:paraId="10AD77D5" w14:textId="3B7046D1" w:rsidR="00DF7658" w:rsidRPr="00DF7658" w:rsidRDefault="00030AF2" w:rsidP="00DF7658">
      <w:pPr>
        <w:spacing w:after="0" w:line="240" w:lineRule="auto"/>
        <w:jc w:val="center"/>
      </w:pPr>
      <w:r w:rsidRPr="00857CFD">
        <w:rPr>
          <w:noProof/>
          <w:lang w:eastAsia="lv-LV"/>
        </w:rPr>
        <w:drawing>
          <wp:inline distT="0" distB="0" distL="0" distR="0" wp14:anchorId="5D599DE2" wp14:editId="4A66F902">
            <wp:extent cx="5274310" cy="1816100"/>
            <wp:effectExtent l="0" t="0" r="0" b="0"/>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0A77886-CF4E-4945-BAE8-4AB6A7D2C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DAD32F" w14:textId="77777777" w:rsidR="00DF7658" w:rsidRPr="00DF7658" w:rsidRDefault="00DF7658" w:rsidP="00DF7658">
      <w:pPr>
        <w:spacing w:after="0" w:line="240" w:lineRule="auto"/>
        <w:rPr>
          <w:sz w:val="16"/>
          <w:szCs w:val="16"/>
        </w:rPr>
      </w:pPr>
      <w:r w:rsidRPr="00DF7658">
        <w:rPr>
          <w:sz w:val="16"/>
          <w:szCs w:val="16"/>
        </w:rPr>
        <w:t>*EM novērtējums</w:t>
      </w:r>
    </w:p>
    <w:p w14:paraId="0AE4A3BE" w14:textId="3A2C72FA" w:rsidR="00DF7658" w:rsidRDefault="00DF7658" w:rsidP="00DF7658">
      <w:pPr>
        <w:spacing w:after="0" w:line="240" w:lineRule="auto"/>
        <w:rPr>
          <w:sz w:val="16"/>
          <w:szCs w:val="16"/>
        </w:rPr>
      </w:pPr>
    </w:p>
    <w:p w14:paraId="5643B39D" w14:textId="7E4E8338" w:rsidR="007429CB" w:rsidRDefault="007429CB" w:rsidP="00DF7658">
      <w:pPr>
        <w:spacing w:after="0" w:line="240" w:lineRule="auto"/>
        <w:rPr>
          <w:sz w:val="16"/>
          <w:szCs w:val="16"/>
        </w:rPr>
      </w:pPr>
    </w:p>
    <w:p w14:paraId="531B8223" w14:textId="64216B10" w:rsidR="007429CB" w:rsidRPr="007429CB" w:rsidRDefault="00C9793D" w:rsidP="00A8767E">
      <w:pPr>
        <w:rPr>
          <w:sz w:val="24"/>
          <w:szCs w:val="24"/>
        </w:rPr>
      </w:pPr>
      <w:r>
        <w:rPr>
          <w:rFonts w:ascii="Times New Roman" w:hAnsi="Times New Roman" w:cs="Times New Roman"/>
          <w:sz w:val="24"/>
          <w:szCs w:val="24"/>
        </w:rPr>
        <w:br w:type="page"/>
      </w:r>
      <w:r w:rsidR="001F5B58" w:rsidRPr="001F5B58">
        <w:rPr>
          <w:rFonts w:ascii="Times New Roman" w:hAnsi="Times New Roman" w:cs="Times New Roman"/>
          <w:sz w:val="24"/>
          <w:szCs w:val="24"/>
        </w:rPr>
        <w:lastRenderedPageBreak/>
        <w:t>2.grafiks.</w:t>
      </w:r>
    </w:p>
    <w:tbl>
      <w:tblPr>
        <w:tblStyle w:val="TableGrid"/>
        <w:tblW w:w="8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191"/>
        <w:gridCol w:w="3686"/>
        <w:gridCol w:w="145"/>
      </w:tblGrid>
      <w:tr w:rsidR="00173AFE" w14:paraId="5ADAD2BD" w14:textId="77777777" w:rsidTr="00173AFE">
        <w:trPr>
          <w:gridAfter w:val="1"/>
          <w:wAfter w:w="145" w:type="dxa"/>
        </w:trPr>
        <w:tc>
          <w:tcPr>
            <w:tcW w:w="4585" w:type="dxa"/>
          </w:tcPr>
          <w:p w14:paraId="5196D856" w14:textId="77777777" w:rsidR="00173AFE" w:rsidRDefault="00173AFE" w:rsidP="00FB4B9D">
            <w:pPr>
              <w:pStyle w:val="ListParagraph"/>
              <w:spacing w:after="120"/>
              <w:ind w:left="0"/>
              <w:jc w:val="center"/>
              <w:rPr>
                <w:rFonts w:ascii="Segoe UI Light" w:hAnsi="Segoe UI Light" w:cs="Segoe UI Light"/>
                <w:b/>
                <w:bCs/>
                <w:sz w:val="18"/>
                <w:szCs w:val="18"/>
              </w:rPr>
            </w:pPr>
            <w:r>
              <w:rPr>
                <w:rFonts w:ascii="Segoe UI Light" w:hAnsi="Segoe UI Light" w:cs="Segoe UI Light"/>
                <w:b/>
                <w:bCs/>
                <w:sz w:val="18"/>
                <w:szCs w:val="18"/>
              </w:rPr>
              <w:t>Patēriņa cenu indekss</w:t>
            </w:r>
          </w:p>
        </w:tc>
        <w:tc>
          <w:tcPr>
            <w:tcW w:w="3877" w:type="dxa"/>
            <w:gridSpan w:val="2"/>
          </w:tcPr>
          <w:p w14:paraId="22F6384E" w14:textId="77777777" w:rsidR="00173AFE" w:rsidRDefault="00173AFE" w:rsidP="00FB4B9D">
            <w:pPr>
              <w:pStyle w:val="ListParagraph"/>
              <w:spacing w:after="120"/>
              <w:ind w:left="0"/>
              <w:jc w:val="center"/>
              <w:rPr>
                <w:rFonts w:ascii="Segoe UI Light" w:hAnsi="Segoe UI Light" w:cs="Segoe UI Light"/>
                <w:b/>
                <w:bCs/>
                <w:sz w:val="18"/>
                <w:szCs w:val="18"/>
              </w:rPr>
            </w:pPr>
            <w:r w:rsidRPr="00EF3A37">
              <w:rPr>
                <w:rFonts w:ascii="Segoe UI Light" w:hAnsi="Segoe UI Light" w:cs="Segoe UI Light"/>
                <w:b/>
                <w:bCs/>
                <w:sz w:val="18"/>
                <w:szCs w:val="18"/>
              </w:rPr>
              <w:t>Preču un pakalpojumu grupu ietekme uz PCI</w:t>
            </w:r>
          </w:p>
        </w:tc>
      </w:tr>
      <w:tr w:rsidR="00173AFE" w14:paraId="7CD544B5" w14:textId="77777777" w:rsidTr="00173AFE">
        <w:tc>
          <w:tcPr>
            <w:tcW w:w="4776" w:type="dxa"/>
            <w:gridSpan w:val="2"/>
            <w:hideMark/>
          </w:tcPr>
          <w:p w14:paraId="17D384AA" w14:textId="77777777" w:rsidR="00173AFE" w:rsidRDefault="00173AFE" w:rsidP="00FB4B9D">
            <w:pPr>
              <w:pStyle w:val="ListParagraph"/>
              <w:spacing w:after="120"/>
              <w:ind w:left="0"/>
              <w:jc w:val="center"/>
              <w:rPr>
                <w:rFonts w:ascii="Segoe UI Light" w:hAnsi="Segoe UI Light" w:cs="Segoe UI Light"/>
                <w:b/>
                <w:bCs/>
                <w:sz w:val="16"/>
                <w:szCs w:val="16"/>
              </w:rPr>
            </w:pPr>
            <w:r>
              <w:rPr>
                <w:rFonts w:ascii="Segoe UI Light" w:hAnsi="Segoe UI Light" w:cs="Segoe UI Light"/>
                <w:i/>
                <w:iCs/>
                <w:sz w:val="16"/>
                <w:szCs w:val="16"/>
              </w:rPr>
              <w:t>2015.gads = 100</w:t>
            </w:r>
          </w:p>
        </w:tc>
        <w:tc>
          <w:tcPr>
            <w:tcW w:w="3831" w:type="dxa"/>
            <w:gridSpan w:val="2"/>
            <w:hideMark/>
          </w:tcPr>
          <w:p w14:paraId="289525BB" w14:textId="77777777" w:rsidR="00173AFE" w:rsidRDefault="00173AFE" w:rsidP="00FB4B9D">
            <w:pPr>
              <w:pStyle w:val="ListParagraph"/>
              <w:spacing w:after="120"/>
              <w:ind w:left="0"/>
              <w:jc w:val="center"/>
              <w:rPr>
                <w:rFonts w:ascii="Segoe UI Light" w:hAnsi="Segoe UI Light" w:cs="Segoe UI Light"/>
                <w:i/>
                <w:iCs/>
                <w:sz w:val="16"/>
                <w:szCs w:val="16"/>
              </w:rPr>
            </w:pPr>
            <w:r>
              <w:rPr>
                <w:rFonts w:ascii="Segoe UI Light" w:hAnsi="Segoe UI Light" w:cs="Segoe UI Light"/>
                <w:i/>
                <w:iCs/>
                <w:sz w:val="16"/>
                <w:szCs w:val="16"/>
              </w:rPr>
              <w:t>Ieguldījums 12 mēnešu izmaiņās, procentos</w:t>
            </w:r>
          </w:p>
        </w:tc>
      </w:tr>
      <w:tr w:rsidR="00173AFE" w14:paraId="35A8EEB2" w14:textId="77777777" w:rsidTr="00173AFE">
        <w:tc>
          <w:tcPr>
            <w:tcW w:w="4776" w:type="dxa"/>
            <w:gridSpan w:val="2"/>
            <w:hideMark/>
          </w:tcPr>
          <w:p w14:paraId="1CB9C26D" w14:textId="77777777" w:rsidR="00173AFE" w:rsidRDefault="00173AFE" w:rsidP="00FB4B9D">
            <w:pPr>
              <w:pStyle w:val="ListParagraph"/>
              <w:spacing w:after="120"/>
              <w:ind w:left="0"/>
              <w:jc w:val="both"/>
              <w:rPr>
                <w:rFonts w:ascii="Arial Nova Cond Light" w:hAnsi="Arial Nova Cond Light"/>
                <w:sz w:val="24"/>
                <w:szCs w:val="24"/>
              </w:rPr>
            </w:pPr>
            <w:r>
              <w:rPr>
                <w:rFonts w:ascii="Arial Nova Cond Light" w:hAnsi="Arial Nova Cond Light"/>
                <w:noProof/>
                <w:sz w:val="24"/>
                <w:szCs w:val="24"/>
                <w:lang w:eastAsia="lv-LV"/>
              </w:rPr>
              <w:drawing>
                <wp:inline distT="0" distB="0" distL="0" distR="0" wp14:anchorId="2CD9E1D5" wp14:editId="3DB96093">
                  <wp:extent cx="2895600" cy="2203450"/>
                  <wp:effectExtent l="0" t="0" r="0" b="6350"/>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4FC73A5-D815-413D-A4B6-80837150A5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3831" w:type="dxa"/>
            <w:gridSpan w:val="2"/>
            <w:hideMark/>
          </w:tcPr>
          <w:p w14:paraId="1D648E04" w14:textId="77777777" w:rsidR="00173AFE" w:rsidRDefault="00173AFE" w:rsidP="00FB4B9D">
            <w:pPr>
              <w:pStyle w:val="ListParagraph"/>
              <w:spacing w:after="120"/>
              <w:ind w:left="0"/>
              <w:jc w:val="both"/>
              <w:rPr>
                <w:rFonts w:ascii="Arial Nova Cond Light" w:hAnsi="Arial Nova Cond Light"/>
                <w:sz w:val="24"/>
                <w:szCs w:val="24"/>
              </w:rPr>
            </w:pPr>
            <w:r w:rsidRPr="00304058">
              <w:rPr>
                <w:rFonts w:ascii="Arial Nova Cond Light" w:hAnsi="Arial Nova Cond Light" w:cs="Segoe UI"/>
                <w:noProof/>
                <w:sz w:val="20"/>
                <w:szCs w:val="20"/>
                <w:lang w:eastAsia="lv-LV"/>
              </w:rPr>
              <w:drawing>
                <wp:inline distT="0" distB="0" distL="0" distR="0" wp14:anchorId="0BBACA16" wp14:editId="17E769F0">
                  <wp:extent cx="2066925" cy="2124075"/>
                  <wp:effectExtent l="0" t="0" r="0" b="0"/>
                  <wp:docPr id="8"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2D2E1ED7" w14:textId="77777777" w:rsidR="00173AFE" w:rsidRPr="00DF7658" w:rsidRDefault="00173AFE" w:rsidP="00DF7658">
      <w:pPr>
        <w:spacing w:after="0" w:line="240" w:lineRule="auto"/>
        <w:jc w:val="both"/>
      </w:pPr>
    </w:p>
    <w:p w14:paraId="13280518" w14:textId="77777777" w:rsidR="00A8767E" w:rsidRPr="00A8767E" w:rsidRDefault="00A8767E" w:rsidP="00F16056">
      <w:pPr>
        <w:spacing w:after="0" w:line="240" w:lineRule="auto"/>
        <w:ind w:firstLine="709"/>
        <w:jc w:val="both"/>
        <w:rPr>
          <w:rFonts w:ascii="RobustaTLPro-Regular" w:hAnsi="RobustaTLPro-Regular"/>
          <w:color w:val="212529"/>
          <w:sz w:val="24"/>
          <w:szCs w:val="24"/>
          <w:shd w:val="clear" w:color="auto" w:fill="FFFFFF"/>
        </w:rPr>
      </w:pPr>
      <w:r w:rsidRPr="00A8767E">
        <w:rPr>
          <w:rFonts w:ascii="RobustaTLPro-Regular" w:hAnsi="RobustaTLPro-Regular"/>
          <w:color w:val="212529"/>
          <w:sz w:val="24"/>
          <w:szCs w:val="24"/>
          <w:shd w:val="clear" w:color="auto" w:fill="FFFFFF"/>
        </w:rPr>
        <w:t>Sagaidāms, ka tuvākajos mēnešos cenu izmaiņas turpinās pārsniegt sezonālo svārstību līmeni. Galvenā ietekme uz cenu pārmaiņām joprojām būs saistīta ar pasaules cenu kāpumu energoresursiem un pārtikai, ko lielā mērā ietekmēs ģeopolitiskā spriedze reģionā saistībā ar Krievijas agresiju Ukrainā. Sagaidāma arī to pakārtotā ietekme uz rūpniecības preču un pakalpojumu cenām. Paredzams, ka 2022. gadā kopumā vidējā gada inflācija varētu sasniegt 15 procentus.</w:t>
      </w:r>
    </w:p>
    <w:p w14:paraId="0F9349EC" w14:textId="77777777" w:rsidR="007067FC" w:rsidRDefault="007067FC" w:rsidP="0087275E">
      <w:pPr>
        <w:jc w:val="both"/>
        <w:rPr>
          <w:rFonts w:ascii="Times New Roman" w:hAnsi="Times New Roman" w:cs="Times New Roman"/>
          <w:b/>
          <w:sz w:val="24"/>
          <w:szCs w:val="24"/>
        </w:rPr>
      </w:pPr>
    </w:p>
    <w:p w14:paraId="46E09D64" w14:textId="77777777" w:rsidR="00A71A63" w:rsidRDefault="00A71A63" w:rsidP="0087275E">
      <w:pPr>
        <w:jc w:val="both"/>
        <w:rPr>
          <w:rFonts w:ascii="Times New Roman" w:hAnsi="Times New Roman" w:cs="Times New Roman"/>
          <w:b/>
          <w:sz w:val="24"/>
          <w:szCs w:val="24"/>
        </w:rPr>
      </w:pPr>
    </w:p>
    <w:p w14:paraId="3511DCC8" w14:textId="119718F5" w:rsidR="00A8767E" w:rsidRDefault="00A8767E">
      <w:pPr>
        <w:rPr>
          <w:rFonts w:ascii="Times New Roman" w:hAnsi="Times New Roman" w:cs="Times New Roman"/>
          <w:b/>
          <w:sz w:val="24"/>
          <w:szCs w:val="24"/>
        </w:rPr>
      </w:pPr>
      <w:r>
        <w:rPr>
          <w:rFonts w:ascii="Times New Roman" w:hAnsi="Times New Roman" w:cs="Times New Roman"/>
          <w:b/>
          <w:sz w:val="24"/>
          <w:szCs w:val="24"/>
        </w:rPr>
        <w:br w:type="page"/>
      </w:r>
    </w:p>
    <w:p w14:paraId="7CEB006D" w14:textId="0D318A21" w:rsidR="005A559E" w:rsidRDefault="00CE0A22" w:rsidP="0087275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2.1.2. </w:t>
      </w:r>
      <w:r w:rsidR="005A559E">
        <w:rPr>
          <w:rFonts w:ascii="Times New Roman" w:hAnsi="Times New Roman" w:cs="Times New Roman"/>
          <w:b/>
          <w:sz w:val="24"/>
          <w:szCs w:val="24"/>
        </w:rPr>
        <w:t xml:space="preserve">Informācija par </w:t>
      </w:r>
      <w:r w:rsidR="00DF7658">
        <w:rPr>
          <w:rFonts w:ascii="Times New Roman" w:hAnsi="Times New Roman" w:cs="Times New Roman"/>
          <w:b/>
          <w:sz w:val="24"/>
          <w:szCs w:val="24"/>
        </w:rPr>
        <w:t>iedzīvotāju</w:t>
      </w:r>
      <w:r w:rsidR="00EF1501">
        <w:rPr>
          <w:rFonts w:ascii="Times New Roman" w:hAnsi="Times New Roman" w:cs="Times New Roman"/>
          <w:b/>
          <w:sz w:val="24"/>
          <w:szCs w:val="24"/>
        </w:rPr>
        <w:t xml:space="preserve"> </w:t>
      </w:r>
      <w:r w:rsidR="007067FC">
        <w:rPr>
          <w:rFonts w:ascii="Times New Roman" w:hAnsi="Times New Roman" w:cs="Times New Roman"/>
          <w:b/>
          <w:sz w:val="24"/>
          <w:szCs w:val="24"/>
        </w:rPr>
        <w:t xml:space="preserve">ienākumiem kvintiļu grupās </w:t>
      </w:r>
    </w:p>
    <w:p w14:paraId="7EB44205" w14:textId="78C459E3" w:rsidR="00F53A37" w:rsidRDefault="00EF1501" w:rsidP="0087275E">
      <w:pPr>
        <w:jc w:val="both"/>
        <w:rPr>
          <w:rFonts w:ascii="Times New Roman" w:hAnsi="Times New Roman"/>
          <w:sz w:val="24"/>
          <w:szCs w:val="24"/>
        </w:rPr>
      </w:pPr>
      <w:r w:rsidRPr="00EF1501">
        <w:rPr>
          <w:rFonts w:ascii="Times New Roman" w:hAnsi="Times New Roman" w:cs="Times New Roman"/>
          <w:sz w:val="24"/>
          <w:szCs w:val="24"/>
        </w:rPr>
        <w:t xml:space="preserve">Ņemot vērā </w:t>
      </w:r>
      <w:r w:rsidR="00640529">
        <w:rPr>
          <w:rFonts w:ascii="Times New Roman" w:hAnsi="Times New Roman" w:cs="Times New Roman"/>
          <w:sz w:val="24"/>
          <w:szCs w:val="24"/>
        </w:rPr>
        <w:t>MP rezolūcijā</w:t>
      </w:r>
      <w:r w:rsidR="00DF7658">
        <w:rPr>
          <w:rFonts w:ascii="Times New Roman" w:hAnsi="Times New Roman" w:cs="Times New Roman"/>
          <w:sz w:val="24"/>
          <w:szCs w:val="24"/>
        </w:rPr>
        <w:t xml:space="preserve"> noteikto</w:t>
      </w:r>
      <w:r>
        <w:rPr>
          <w:rFonts w:ascii="Times New Roman" w:hAnsi="Times New Roman" w:cs="Times New Roman"/>
          <w:sz w:val="24"/>
          <w:szCs w:val="24"/>
        </w:rPr>
        <w:t xml:space="preserve"> a</w:t>
      </w:r>
      <w:r w:rsidRPr="00E5132C">
        <w:rPr>
          <w:rFonts w:ascii="Times New Roman" w:hAnsi="Times New Roman"/>
          <w:sz w:val="24"/>
          <w:szCs w:val="24"/>
        </w:rPr>
        <w:t>tbalsta pasāk</w:t>
      </w:r>
      <w:r>
        <w:rPr>
          <w:rFonts w:ascii="Times New Roman" w:hAnsi="Times New Roman"/>
          <w:sz w:val="24"/>
          <w:szCs w:val="24"/>
        </w:rPr>
        <w:t>umus</w:t>
      </w:r>
      <w:r w:rsidRPr="00E5132C">
        <w:rPr>
          <w:rFonts w:ascii="Times New Roman" w:hAnsi="Times New Roman"/>
          <w:sz w:val="24"/>
          <w:szCs w:val="24"/>
        </w:rPr>
        <w:t xml:space="preserve"> </w:t>
      </w:r>
      <w:r>
        <w:rPr>
          <w:rFonts w:ascii="Times New Roman" w:hAnsi="Times New Roman"/>
          <w:sz w:val="24"/>
          <w:szCs w:val="24"/>
        </w:rPr>
        <w:t>orientēt</w:t>
      </w:r>
      <w:r w:rsidRPr="00E5132C">
        <w:rPr>
          <w:rFonts w:ascii="Times New Roman" w:hAnsi="Times New Roman"/>
          <w:sz w:val="24"/>
          <w:szCs w:val="24"/>
        </w:rPr>
        <w:t xml:space="preserve"> uz 1.–3. kvintili,</w:t>
      </w:r>
      <w:r>
        <w:rPr>
          <w:rFonts w:ascii="Times New Roman" w:hAnsi="Times New Roman"/>
          <w:sz w:val="24"/>
          <w:szCs w:val="24"/>
        </w:rPr>
        <w:t xml:space="preserve"> tālāk sniegti statistikas dati par </w:t>
      </w:r>
      <w:r w:rsidR="00447129">
        <w:rPr>
          <w:rFonts w:ascii="Times New Roman" w:hAnsi="Times New Roman"/>
          <w:sz w:val="24"/>
          <w:szCs w:val="24"/>
        </w:rPr>
        <w:t>dažādu</w:t>
      </w:r>
      <w:r>
        <w:rPr>
          <w:rFonts w:ascii="Times New Roman" w:hAnsi="Times New Roman"/>
          <w:sz w:val="24"/>
          <w:szCs w:val="24"/>
        </w:rPr>
        <w:t xml:space="preserve"> iedzīvotāju grupu</w:t>
      </w:r>
      <w:r w:rsidR="001F6051">
        <w:rPr>
          <w:rFonts w:ascii="Times New Roman" w:hAnsi="Times New Roman"/>
          <w:sz w:val="24"/>
          <w:szCs w:val="24"/>
        </w:rPr>
        <w:t>, arī reģionu griezumā</w:t>
      </w:r>
      <w:r w:rsidR="00736A04">
        <w:rPr>
          <w:rFonts w:ascii="Times New Roman" w:hAnsi="Times New Roman"/>
          <w:sz w:val="24"/>
          <w:szCs w:val="24"/>
        </w:rPr>
        <w:t>,</w:t>
      </w:r>
      <w:r>
        <w:rPr>
          <w:rFonts w:ascii="Times New Roman" w:hAnsi="Times New Roman"/>
          <w:sz w:val="24"/>
          <w:szCs w:val="24"/>
        </w:rPr>
        <w:t xml:space="preserve"> </w:t>
      </w:r>
      <w:r w:rsidR="004C69AA">
        <w:rPr>
          <w:rFonts w:ascii="Times New Roman" w:hAnsi="Times New Roman"/>
          <w:sz w:val="24"/>
          <w:szCs w:val="24"/>
        </w:rPr>
        <w:t>ienākumiem</w:t>
      </w:r>
      <w:r>
        <w:rPr>
          <w:rFonts w:ascii="Times New Roman" w:hAnsi="Times New Roman"/>
          <w:sz w:val="24"/>
          <w:szCs w:val="24"/>
        </w:rPr>
        <w:t xml:space="preserve"> kvinti</w:t>
      </w:r>
      <w:r w:rsidR="004C69AA">
        <w:rPr>
          <w:rFonts w:ascii="Times New Roman" w:hAnsi="Times New Roman"/>
          <w:sz w:val="24"/>
          <w:szCs w:val="24"/>
        </w:rPr>
        <w:t>ļu grupās</w:t>
      </w:r>
      <w:r>
        <w:rPr>
          <w:rFonts w:ascii="Times New Roman" w:hAnsi="Times New Roman"/>
          <w:sz w:val="24"/>
          <w:szCs w:val="24"/>
        </w:rPr>
        <w:t xml:space="preserve">. </w:t>
      </w:r>
    </w:p>
    <w:p w14:paraId="21A4A862" w14:textId="19F7C95A" w:rsidR="00BA77F4" w:rsidRPr="00BA77F4" w:rsidRDefault="001F5B58" w:rsidP="0087275E">
      <w:pPr>
        <w:jc w:val="both"/>
        <w:rPr>
          <w:rFonts w:ascii="Times New Roman" w:hAnsi="Times New Roman" w:cs="Times New Roman"/>
          <w:i/>
          <w:sz w:val="26"/>
          <w:szCs w:val="24"/>
        </w:rPr>
      </w:pPr>
      <w:r>
        <w:rPr>
          <w:rFonts w:ascii="Times New Roman" w:hAnsi="Times New Roman" w:cs="Times New Roman"/>
          <w:i/>
          <w:sz w:val="24"/>
          <w:szCs w:val="24"/>
        </w:rPr>
        <w:t>1</w:t>
      </w:r>
      <w:r w:rsidR="005C6536">
        <w:rPr>
          <w:rFonts w:ascii="Times New Roman" w:hAnsi="Times New Roman" w:cs="Times New Roman"/>
          <w:i/>
          <w:sz w:val="24"/>
          <w:szCs w:val="24"/>
        </w:rPr>
        <w:t xml:space="preserve">.tabula. </w:t>
      </w:r>
      <w:r w:rsidR="00BA77F4" w:rsidRPr="00BA77F4">
        <w:rPr>
          <w:rFonts w:ascii="Times New Roman" w:hAnsi="Times New Roman" w:cs="Times New Roman"/>
          <w:i/>
          <w:sz w:val="24"/>
          <w:szCs w:val="24"/>
        </w:rPr>
        <w:t>Mājsaimniecību rīcībā esošie ienākumi kvintiļu grupās (e</w:t>
      </w:r>
      <w:r w:rsidR="00736A04">
        <w:rPr>
          <w:rFonts w:ascii="Times New Roman" w:hAnsi="Times New Roman" w:cs="Times New Roman"/>
          <w:i/>
          <w:sz w:val="24"/>
          <w:szCs w:val="24"/>
        </w:rPr>
        <w:t>u</w:t>
      </w:r>
      <w:r w:rsidR="00BA77F4" w:rsidRPr="00BA77F4">
        <w:rPr>
          <w:rFonts w:ascii="Times New Roman" w:hAnsi="Times New Roman" w:cs="Times New Roman"/>
          <w:i/>
          <w:sz w:val="24"/>
          <w:szCs w:val="24"/>
        </w:rPr>
        <w:t>ro mēnesī) 2020.gadā</w:t>
      </w:r>
      <w:r w:rsidR="005C6536">
        <w:rPr>
          <w:rStyle w:val="FootnoteReference"/>
          <w:rFonts w:ascii="Times New Roman" w:hAnsi="Times New Roman"/>
          <w:i/>
          <w:sz w:val="24"/>
          <w:szCs w:val="24"/>
        </w:rPr>
        <w:footnoteReference w:id="3"/>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639"/>
        <w:gridCol w:w="1843"/>
        <w:gridCol w:w="2047"/>
      </w:tblGrid>
      <w:tr w:rsidR="007067FC" w:rsidRPr="007067FC" w14:paraId="7A654663" w14:textId="77777777" w:rsidTr="00F53A37">
        <w:trPr>
          <w:trHeight w:val="300"/>
        </w:trPr>
        <w:tc>
          <w:tcPr>
            <w:tcW w:w="1134" w:type="dxa"/>
            <w:noWrap/>
            <w:vAlign w:val="bottom"/>
            <w:hideMark/>
          </w:tcPr>
          <w:p w14:paraId="41A67193" w14:textId="77777777" w:rsidR="007067FC" w:rsidRPr="007067FC" w:rsidRDefault="007067FC" w:rsidP="007067FC">
            <w:pPr>
              <w:spacing w:after="0" w:line="240" w:lineRule="auto"/>
              <w:rPr>
                <w:rFonts w:ascii="Times New Roman" w:eastAsia="Times New Roman" w:hAnsi="Times New Roman" w:cs="Times New Roman"/>
                <w:sz w:val="20"/>
                <w:szCs w:val="20"/>
                <w:lang w:eastAsia="lv-LV"/>
              </w:rPr>
            </w:pPr>
          </w:p>
        </w:tc>
        <w:tc>
          <w:tcPr>
            <w:tcW w:w="1701" w:type="dxa"/>
            <w:noWrap/>
            <w:vAlign w:val="bottom"/>
            <w:hideMark/>
          </w:tcPr>
          <w:p w14:paraId="295FF19E" w14:textId="77777777" w:rsidR="007067FC" w:rsidRPr="007067FC" w:rsidRDefault="007067FC" w:rsidP="00C42B9C">
            <w:pPr>
              <w:spacing w:after="0" w:line="240" w:lineRule="auto"/>
              <w:jc w:val="center"/>
              <w:rPr>
                <w:rFonts w:ascii="Times New Roman" w:eastAsia="Times New Roman" w:hAnsi="Times New Roman" w:cs="Times New Roman"/>
                <w:b/>
                <w:bCs/>
                <w:color w:val="000000"/>
                <w:sz w:val="20"/>
                <w:szCs w:val="20"/>
                <w:lang w:eastAsia="lv-LV"/>
              </w:rPr>
            </w:pPr>
            <w:r w:rsidRPr="007067FC">
              <w:rPr>
                <w:rFonts w:ascii="Times New Roman" w:eastAsia="Times New Roman" w:hAnsi="Times New Roman" w:cs="Times New Roman"/>
                <w:b/>
                <w:bCs/>
                <w:color w:val="000000"/>
                <w:sz w:val="20"/>
                <w:szCs w:val="20"/>
                <w:lang w:eastAsia="lv-LV"/>
              </w:rPr>
              <w:t>Vidēji uz vienu mājsaimniecību</w:t>
            </w:r>
          </w:p>
        </w:tc>
        <w:tc>
          <w:tcPr>
            <w:tcW w:w="1639" w:type="dxa"/>
            <w:noWrap/>
            <w:vAlign w:val="bottom"/>
            <w:hideMark/>
          </w:tcPr>
          <w:p w14:paraId="60C4F7D7" w14:textId="77777777" w:rsidR="007067FC" w:rsidRPr="007067FC" w:rsidRDefault="007067FC" w:rsidP="00C42B9C">
            <w:pPr>
              <w:spacing w:after="0" w:line="240" w:lineRule="auto"/>
              <w:jc w:val="center"/>
              <w:rPr>
                <w:rFonts w:ascii="Times New Roman" w:eastAsia="Times New Roman" w:hAnsi="Times New Roman" w:cs="Times New Roman"/>
                <w:b/>
                <w:bCs/>
                <w:color w:val="000000"/>
                <w:sz w:val="20"/>
                <w:szCs w:val="20"/>
                <w:lang w:eastAsia="lv-LV"/>
              </w:rPr>
            </w:pPr>
            <w:r w:rsidRPr="007067FC">
              <w:rPr>
                <w:rFonts w:ascii="Times New Roman" w:eastAsia="Times New Roman" w:hAnsi="Times New Roman" w:cs="Times New Roman"/>
                <w:b/>
                <w:bCs/>
                <w:color w:val="000000"/>
                <w:sz w:val="20"/>
                <w:szCs w:val="20"/>
                <w:lang w:eastAsia="lv-LV"/>
              </w:rPr>
              <w:t>Vidēji uz vienu mājsaimniecības locekli</w:t>
            </w:r>
          </w:p>
        </w:tc>
        <w:tc>
          <w:tcPr>
            <w:tcW w:w="1843" w:type="dxa"/>
            <w:noWrap/>
            <w:vAlign w:val="bottom"/>
            <w:hideMark/>
          </w:tcPr>
          <w:p w14:paraId="7F64CAD8" w14:textId="77777777" w:rsidR="007067FC" w:rsidRPr="007067FC" w:rsidRDefault="007067FC" w:rsidP="00C42B9C">
            <w:pPr>
              <w:spacing w:after="0" w:line="240" w:lineRule="auto"/>
              <w:jc w:val="center"/>
              <w:rPr>
                <w:rFonts w:ascii="Times New Roman" w:eastAsia="Times New Roman" w:hAnsi="Times New Roman" w:cs="Times New Roman"/>
                <w:b/>
                <w:bCs/>
                <w:color w:val="000000"/>
                <w:sz w:val="20"/>
                <w:szCs w:val="20"/>
                <w:lang w:eastAsia="lv-LV"/>
              </w:rPr>
            </w:pPr>
            <w:r w:rsidRPr="007067FC">
              <w:rPr>
                <w:rFonts w:ascii="Times New Roman" w:eastAsia="Times New Roman" w:hAnsi="Times New Roman" w:cs="Times New Roman"/>
                <w:b/>
                <w:bCs/>
                <w:color w:val="000000"/>
                <w:sz w:val="20"/>
                <w:szCs w:val="20"/>
                <w:lang w:eastAsia="lv-LV"/>
              </w:rPr>
              <w:t>Vidēji uz vienu mājsaimniecības locekli - zemākā robeža</w:t>
            </w:r>
          </w:p>
        </w:tc>
        <w:tc>
          <w:tcPr>
            <w:tcW w:w="2047" w:type="dxa"/>
            <w:noWrap/>
            <w:vAlign w:val="bottom"/>
            <w:hideMark/>
          </w:tcPr>
          <w:p w14:paraId="58C6B535" w14:textId="77777777" w:rsidR="007067FC" w:rsidRPr="007067FC" w:rsidRDefault="007067FC" w:rsidP="00C42B9C">
            <w:pPr>
              <w:spacing w:after="0" w:line="240" w:lineRule="auto"/>
              <w:jc w:val="center"/>
              <w:rPr>
                <w:rFonts w:ascii="Times New Roman" w:eastAsia="Times New Roman" w:hAnsi="Times New Roman" w:cs="Times New Roman"/>
                <w:b/>
                <w:bCs/>
                <w:color w:val="000000"/>
                <w:sz w:val="20"/>
                <w:szCs w:val="20"/>
                <w:lang w:eastAsia="lv-LV"/>
              </w:rPr>
            </w:pPr>
            <w:r w:rsidRPr="007067FC">
              <w:rPr>
                <w:rFonts w:ascii="Times New Roman" w:eastAsia="Times New Roman" w:hAnsi="Times New Roman" w:cs="Times New Roman"/>
                <w:b/>
                <w:bCs/>
                <w:color w:val="000000"/>
                <w:sz w:val="20"/>
                <w:szCs w:val="20"/>
                <w:lang w:eastAsia="lv-LV"/>
              </w:rPr>
              <w:t>Vidēji uz vienu mājsaimniecības locekli - augstākā robeža</w:t>
            </w:r>
          </w:p>
        </w:tc>
      </w:tr>
      <w:tr w:rsidR="007067FC" w:rsidRPr="007067FC" w14:paraId="3107F8D0" w14:textId="77777777" w:rsidTr="00F53A37">
        <w:trPr>
          <w:trHeight w:val="300"/>
        </w:trPr>
        <w:tc>
          <w:tcPr>
            <w:tcW w:w="1134" w:type="dxa"/>
            <w:noWrap/>
            <w:vAlign w:val="bottom"/>
            <w:hideMark/>
          </w:tcPr>
          <w:p w14:paraId="0FDD5684" w14:textId="77777777" w:rsidR="007067FC" w:rsidRPr="007067FC" w:rsidRDefault="007067FC" w:rsidP="007067FC">
            <w:pPr>
              <w:spacing w:after="0" w:line="240" w:lineRule="auto"/>
              <w:rPr>
                <w:rFonts w:ascii="Times New Roman" w:eastAsia="Times New Roman" w:hAnsi="Times New Roman" w:cs="Times New Roman"/>
                <w:b/>
                <w:bCs/>
                <w:color w:val="000000"/>
                <w:sz w:val="20"/>
                <w:szCs w:val="20"/>
                <w:lang w:eastAsia="lv-LV"/>
              </w:rPr>
            </w:pPr>
            <w:r w:rsidRPr="007067FC">
              <w:rPr>
                <w:rFonts w:ascii="Times New Roman" w:eastAsia="Times New Roman" w:hAnsi="Times New Roman" w:cs="Times New Roman"/>
                <w:b/>
                <w:bCs/>
                <w:color w:val="000000"/>
                <w:sz w:val="20"/>
                <w:szCs w:val="20"/>
                <w:lang w:eastAsia="lv-LV"/>
              </w:rPr>
              <w:t>1. kvintile</w:t>
            </w:r>
          </w:p>
        </w:tc>
        <w:tc>
          <w:tcPr>
            <w:tcW w:w="1701" w:type="dxa"/>
            <w:noWrap/>
            <w:vAlign w:val="bottom"/>
            <w:hideMark/>
          </w:tcPr>
          <w:p w14:paraId="394CC711"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496.03</w:t>
            </w:r>
          </w:p>
        </w:tc>
        <w:tc>
          <w:tcPr>
            <w:tcW w:w="1639" w:type="dxa"/>
            <w:noWrap/>
            <w:vAlign w:val="bottom"/>
            <w:hideMark/>
          </w:tcPr>
          <w:p w14:paraId="517DAB18"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214.27</w:t>
            </w:r>
          </w:p>
        </w:tc>
        <w:tc>
          <w:tcPr>
            <w:tcW w:w="1843" w:type="dxa"/>
            <w:noWrap/>
            <w:vAlign w:val="bottom"/>
            <w:hideMark/>
          </w:tcPr>
          <w:p w14:paraId="5D19A257"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X</w:t>
            </w:r>
          </w:p>
        </w:tc>
        <w:tc>
          <w:tcPr>
            <w:tcW w:w="2047" w:type="dxa"/>
            <w:noWrap/>
            <w:vAlign w:val="bottom"/>
            <w:hideMark/>
          </w:tcPr>
          <w:p w14:paraId="3B75CFA7"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312.11</w:t>
            </w:r>
          </w:p>
        </w:tc>
      </w:tr>
      <w:tr w:rsidR="007067FC" w:rsidRPr="007067FC" w14:paraId="476CED11" w14:textId="77777777" w:rsidTr="00F53A37">
        <w:trPr>
          <w:trHeight w:val="300"/>
        </w:trPr>
        <w:tc>
          <w:tcPr>
            <w:tcW w:w="1134" w:type="dxa"/>
            <w:noWrap/>
            <w:vAlign w:val="bottom"/>
            <w:hideMark/>
          </w:tcPr>
          <w:p w14:paraId="19E1201A" w14:textId="77777777" w:rsidR="007067FC" w:rsidRPr="007067FC" w:rsidRDefault="007067FC" w:rsidP="007067FC">
            <w:pPr>
              <w:spacing w:after="0" w:line="240" w:lineRule="auto"/>
              <w:rPr>
                <w:rFonts w:ascii="Times New Roman" w:eastAsia="Times New Roman" w:hAnsi="Times New Roman" w:cs="Times New Roman"/>
                <w:b/>
                <w:bCs/>
                <w:color w:val="000000"/>
                <w:sz w:val="20"/>
                <w:szCs w:val="20"/>
                <w:lang w:eastAsia="lv-LV"/>
              </w:rPr>
            </w:pPr>
            <w:r w:rsidRPr="007067FC">
              <w:rPr>
                <w:rFonts w:ascii="Times New Roman" w:eastAsia="Times New Roman" w:hAnsi="Times New Roman" w:cs="Times New Roman"/>
                <w:b/>
                <w:bCs/>
                <w:color w:val="000000"/>
                <w:sz w:val="20"/>
                <w:szCs w:val="20"/>
                <w:lang w:eastAsia="lv-LV"/>
              </w:rPr>
              <w:t>2. kvintile</w:t>
            </w:r>
          </w:p>
        </w:tc>
        <w:tc>
          <w:tcPr>
            <w:tcW w:w="1701" w:type="dxa"/>
            <w:noWrap/>
            <w:vAlign w:val="bottom"/>
            <w:hideMark/>
          </w:tcPr>
          <w:p w14:paraId="6C99456F"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766.46</w:t>
            </w:r>
          </w:p>
        </w:tc>
        <w:tc>
          <w:tcPr>
            <w:tcW w:w="1639" w:type="dxa"/>
            <w:noWrap/>
            <w:vAlign w:val="bottom"/>
            <w:hideMark/>
          </w:tcPr>
          <w:p w14:paraId="4F0991CF"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367.10</w:t>
            </w:r>
          </w:p>
        </w:tc>
        <w:tc>
          <w:tcPr>
            <w:tcW w:w="1843" w:type="dxa"/>
            <w:noWrap/>
            <w:vAlign w:val="bottom"/>
            <w:hideMark/>
          </w:tcPr>
          <w:p w14:paraId="3D2B8DFD"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312.12</w:t>
            </w:r>
          </w:p>
        </w:tc>
        <w:tc>
          <w:tcPr>
            <w:tcW w:w="2047" w:type="dxa"/>
            <w:noWrap/>
            <w:vAlign w:val="bottom"/>
            <w:hideMark/>
          </w:tcPr>
          <w:p w14:paraId="4AF2E9F1"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427.30</w:t>
            </w:r>
          </w:p>
        </w:tc>
      </w:tr>
      <w:tr w:rsidR="007067FC" w:rsidRPr="007067FC" w14:paraId="1094431A" w14:textId="77777777" w:rsidTr="00F53A37">
        <w:trPr>
          <w:trHeight w:val="300"/>
        </w:trPr>
        <w:tc>
          <w:tcPr>
            <w:tcW w:w="1134" w:type="dxa"/>
            <w:shd w:val="clear" w:color="auto" w:fill="auto"/>
            <w:noWrap/>
            <w:vAlign w:val="bottom"/>
            <w:hideMark/>
          </w:tcPr>
          <w:p w14:paraId="38CF8875" w14:textId="77777777" w:rsidR="007067FC" w:rsidRPr="007067FC" w:rsidRDefault="007067FC" w:rsidP="007067FC">
            <w:pPr>
              <w:spacing w:after="0" w:line="240" w:lineRule="auto"/>
              <w:rPr>
                <w:rFonts w:ascii="Times New Roman" w:eastAsia="Times New Roman" w:hAnsi="Times New Roman" w:cs="Times New Roman"/>
                <w:b/>
                <w:bCs/>
                <w:color w:val="000000"/>
                <w:sz w:val="20"/>
                <w:szCs w:val="20"/>
                <w:lang w:eastAsia="lv-LV"/>
              </w:rPr>
            </w:pPr>
            <w:r w:rsidRPr="007067FC">
              <w:rPr>
                <w:rFonts w:ascii="Times New Roman" w:eastAsia="Times New Roman" w:hAnsi="Times New Roman" w:cs="Times New Roman"/>
                <w:b/>
                <w:bCs/>
                <w:color w:val="000000"/>
                <w:sz w:val="20"/>
                <w:szCs w:val="20"/>
                <w:lang w:eastAsia="lv-LV"/>
              </w:rPr>
              <w:t>3. kvintile</w:t>
            </w:r>
          </w:p>
        </w:tc>
        <w:tc>
          <w:tcPr>
            <w:tcW w:w="1701" w:type="dxa"/>
            <w:shd w:val="clear" w:color="auto" w:fill="auto"/>
            <w:noWrap/>
            <w:vAlign w:val="bottom"/>
            <w:hideMark/>
          </w:tcPr>
          <w:p w14:paraId="0CB2BDD5"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1255.59</w:t>
            </w:r>
          </w:p>
        </w:tc>
        <w:tc>
          <w:tcPr>
            <w:tcW w:w="1639" w:type="dxa"/>
            <w:shd w:val="clear" w:color="auto" w:fill="auto"/>
            <w:noWrap/>
            <w:vAlign w:val="bottom"/>
            <w:hideMark/>
          </w:tcPr>
          <w:p w14:paraId="4029593D"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508.57</w:t>
            </w:r>
          </w:p>
        </w:tc>
        <w:tc>
          <w:tcPr>
            <w:tcW w:w="1843" w:type="dxa"/>
            <w:shd w:val="clear" w:color="auto" w:fill="auto"/>
            <w:noWrap/>
            <w:vAlign w:val="bottom"/>
            <w:hideMark/>
          </w:tcPr>
          <w:p w14:paraId="0D51503B"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427.31</w:t>
            </w:r>
          </w:p>
        </w:tc>
        <w:tc>
          <w:tcPr>
            <w:tcW w:w="2047" w:type="dxa"/>
            <w:shd w:val="clear" w:color="auto" w:fill="auto"/>
            <w:noWrap/>
            <w:vAlign w:val="bottom"/>
            <w:hideMark/>
          </w:tcPr>
          <w:p w14:paraId="037F9D76"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594.25</w:t>
            </w:r>
          </w:p>
        </w:tc>
      </w:tr>
      <w:tr w:rsidR="007067FC" w:rsidRPr="007067FC" w14:paraId="225B789D" w14:textId="77777777" w:rsidTr="00F53A37">
        <w:trPr>
          <w:trHeight w:val="300"/>
        </w:trPr>
        <w:tc>
          <w:tcPr>
            <w:tcW w:w="1134" w:type="dxa"/>
            <w:noWrap/>
            <w:vAlign w:val="bottom"/>
            <w:hideMark/>
          </w:tcPr>
          <w:p w14:paraId="22DEF10C" w14:textId="77777777" w:rsidR="007067FC" w:rsidRPr="007067FC" w:rsidRDefault="007067FC" w:rsidP="007067FC">
            <w:pPr>
              <w:spacing w:after="0" w:line="240" w:lineRule="auto"/>
              <w:rPr>
                <w:rFonts w:ascii="Times New Roman" w:eastAsia="Times New Roman" w:hAnsi="Times New Roman" w:cs="Times New Roman"/>
                <w:b/>
                <w:bCs/>
                <w:color w:val="000000"/>
                <w:sz w:val="20"/>
                <w:szCs w:val="20"/>
                <w:lang w:eastAsia="lv-LV"/>
              </w:rPr>
            </w:pPr>
            <w:r w:rsidRPr="007067FC">
              <w:rPr>
                <w:rFonts w:ascii="Times New Roman" w:eastAsia="Times New Roman" w:hAnsi="Times New Roman" w:cs="Times New Roman"/>
                <w:b/>
                <w:bCs/>
                <w:color w:val="000000"/>
                <w:sz w:val="20"/>
                <w:szCs w:val="20"/>
                <w:lang w:eastAsia="lv-LV"/>
              </w:rPr>
              <w:t>4. kvintile</w:t>
            </w:r>
          </w:p>
        </w:tc>
        <w:tc>
          <w:tcPr>
            <w:tcW w:w="1701" w:type="dxa"/>
            <w:noWrap/>
            <w:vAlign w:val="bottom"/>
            <w:hideMark/>
          </w:tcPr>
          <w:p w14:paraId="5DD22077"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1753.90</w:t>
            </w:r>
          </w:p>
        </w:tc>
        <w:tc>
          <w:tcPr>
            <w:tcW w:w="1639" w:type="dxa"/>
            <w:noWrap/>
            <w:vAlign w:val="bottom"/>
            <w:hideMark/>
          </w:tcPr>
          <w:p w14:paraId="61345D87"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720.87</w:t>
            </w:r>
          </w:p>
        </w:tc>
        <w:tc>
          <w:tcPr>
            <w:tcW w:w="1843" w:type="dxa"/>
            <w:noWrap/>
            <w:vAlign w:val="bottom"/>
            <w:hideMark/>
          </w:tcPr>
          <w:p w14:paraId="30F4FE41"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594.26</w:t>
            </w:r>
          </w:p>
        </w:tc>
        <w:tc>
          <w:tcPr>
            <w:tcW w:w="2047" w:type="dxa"/>
            <w:noWrap/>
            <w:vAlign w:val="bottom"/>
            <w:hideMark/>
          </w:tcPr>
          <w:p w14:paraId="41CAC0E8"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888.80</w:t>
            </w:r>
          </w:p>
        </w:tc>
      </w:tr>
      <w:tr w:rsidR="007067FC" w:rsidRPr="007067FC" w14:paraId="52860556" w14:textId="77777777" w:rsidTr="00F53A37">
        <w:trPr>
          <w:trHeight w:val="300"/>
        </w:trPr>
        <w:tc>
          <w:tcPr>
            <w:tcW w:w="1134" w:type="dxa"/>
            <w:noWrap/>
            <w:vAlign w:val="bottom"/>
            <w:hideMark/>
          </w:tcPr>
          <w:p w14:paraId="2A2ED19D" w14:textId="77777777" w:rsidR="007067FC" w:rsidRPr="007067FC" w:rsidRDefault="007067FC" w:rsidP="007067FC">
            <w:pPr>
              <w:spacing w:after="0" w:line="240" w:lineRule="auto"/>
              <w:rPr>
                <w:rFonts w:ascii="Times New Roman" w:eastAsia="Times New Roman" w:hAnsi="Times New Roman" w:cs="Times New Roman"/>
                <w:b/>
                <w:bCs/>
                <w:color w:val="000000"/>
                <w:sz w:val="20"/>
                <w:szCs w:val="20"/>
                <w:lang w:eastAsia="lv-LV"/>
              </w:rPr>
            </w:pPr>
            <w:r w:rsidRPr="007067FC">
              <w:rPr>
                <w:rFonts w:ascii="Times New Roman" w:eastAsia="Times New Roman" w:hAnsi="Times New Roman" w:cs="Times New Roman"/>
                <w:b/>
                <w:bCs/>
                <w:color w:val="000000"/>
                <w:sz w:val="20"/>
                <w:szCs w:val="20"/>
                <w:lang w:eastAsia="lv-LV"/>
              </w:rPr>
              <w:t>5. kvintile</w:t>
            </w:r>
          </w:p>
        </w:tc>
        <w:tc>
          <w:tcPr>
            <w:tcW w:w="1701" w:type="dxa"/>
            <w:noWrap/>
            <w:vAlign w:val="bottom"/>
            <w:hideMark/>
          </w:tcPr>
          <w:p w14:paraId="612C3ED0"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2878.39</w:t>
            </w:r>
          </w:p>
        </w:tc>
        <w:tc>
          <w:tcPr>
            <w:tcW w:w="1639" w:type="dxa"/>
            <w:noWrap/>
            <w:vAlign w:val="bottom"/>
            <w:hideMark/>
          </w:tcPr>
          <w:p w14:paraId="7972960A"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1407.88</w:t>
            </w:r>
          </w:p>
        </w:tc>
        <w:tc>
          <w:tcPr>
            <w:tcW w:w="1843" w:type="dxa"/>
            <w:noWrap/>
            <w:vAlign w:val="bottom"/>
            <w:hideMark/>
          </w:tcPr>
          <w:p w14:paraId="3BF2EDBA"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888.81</w:t>
            </w:r>
          </w:p>
        </w:tc>
        <w:tc>
          <w:tcPr>
            <w:tcW w:w="2047" w:type="dxa"/>
            <w:noWrap/>
            <w:vAlign w:val="bottom"/>
            <w:hideMark/>
          </w:tcPr>
          <w:p w14:paraId="7196C837" w14:textId="77777777" w:rsidR="007067FC" w:rsidRPr="007067FC" w:rsidRDefault="007067FC" w:rsidP="007067FC">
            <w:pPr>
              <w:spacing w:after="0" w:line="240" w:lineRule="auto"/>
              <w:jc w:val="right"/>
              <w:rPr>
                <w:rFonts w:ascii="Times New Roman" w:eastAsia="Times New Roman" w:hAnsi="Times New Roman" w:cs="Times New Roman"/>
                <w:color w:val="000000"/>
                <w:sz w:val="20"/>
                <w:szCs w:val="20"/>
                <w:lang w:eastAsia="lv-LV"/>
              </w:rPr>
            </w:pPr>
            <w:r w:rsidRPr="007067FC">
              <w:rPr>
                <w:rFonts w:ascii="Times New Roman" w:eastAsia="Times New Roman" w:hAnsi="Times New Roman" w:cs="Times New Roman"/>
                <w:color w:val="000000"/>
                <w:sz w:val="20"/>
                <w:szCs w:val="20"/>
                <w:lang w:eastAsia="lv-LV"/>
              </w:rPr>
              <w:t>X</w:t>
            </w:r>
          </w:p>
        </w:tc>
      </w:tr>
    </w:tbl>
    <w:p w14:paraId="4F506332" w14:textId="77777777" w:rsidR="000845A5" w:rsidRPr="000845A5" w:rsidRDefault="000845A5" w:rsidP="00017A0E">
      <w:pPr>
        <w:pStyle w:val="tv213"/>
        <w:shd w:val="clear" w:color="auto" w:fill="FFFFFF"/>
        <w:spacing w:before="0" w:beforeAutospacing="0" w:after="0" w:afterAutospacing="0"/>
        <w:jc w:val="both"/>
        <w:rPr>
          <w:sz w:val="22"/>
        </w:rPr>
      </w:pPr>
      <w:r w:rsidRPr="000845A5">
        <w:rPr>
          <w:sz w:val="22"/>
        </w:rPr>
        <w:t xml:space="preserve">Datu avots: Centrālā statistikas pārvalde, Oficiālās statistikas portāls, datu tabula MIS060. </w:t>
      </w:r>
    </w:p>
    <w:p w14:paraId="7575EB59" w14:textId="77777777" w:rsidR="000845A5" w:rsidRDefault="000845A5" w:rsidP="00017A0E">
      <w:pPr>
        <w:pStyle w:val="tv213"/>
        <w:shd w:val="clear" w:color="auto" w:fill="FFFFFF"/>
        <w:spacing w:before="0" w:beforeAutospacing="0" w:after="0" w:afterAutospacing="0"/>
        <w:jc w:val="both"/>
      </w:pPr>
    </w:p>
    <w:p w14:paraId="414EC289" w14:textId="51DC2EFD" w:rsidR="00017A0E" w:rsidRDefault="00447129" w:rsidP="00017A0E">
      <w:pPr>
        <w:pStyle w:val="tv213"/>
        <w:shd w:val="clear" w:color="auto" w:fill="FFFFFF"/>
        <w:spacing w:before="0" w:beforeAutospacing="0" w:after="0" w:afterAutospacing="0"/>
        <w:jc w:val="both"/>
      </w:pPr>
      <w:r w:rsidRPr="00017A0E">
        <w:rPr>
          <w:b/>
        </w:rPr>
        <w:t>Trūcīgas mājsaimniecības</w:t>
      </w:r>
      <w:r>
        <w:t xml:space="preserve"> </w:t>
      </w:r>
      <w:r w:rsidR="00017A0E" w:rsidRPr="000C13E5">
        <w:t xml:space="preserve">ienākumu slieksnis </w:t>
      </w:r>
      <w:r w:rsidR="00017A0E">
        <w:t xml:space="preserve">2022.gadā </w:t>
      </w:r>
      <w:r w:rsidR="00017A0E" w:rsidRPr="000C13E5">
        <w:t>ir 272 </w:t>
      </w:r>
      <w:r w:rsidR="00017A0E" w:rsidRPr="00CC5AC2">
        <w:rPr>
          <w:i/>
          <w:iCs/>
        </w:rPr>
        <w:t>euro</w:t>
      </w:r>
      <w:r w:rsidR="00017A0E">
        <w:t xml:space="preserve"> </w:t>
      </w:r>
      <w:r w:rsidR="00017A0E" w:rsidRPr="000C13E5">
        <w:t>pirmajai vai vienīgajai personai mājsaimniecībā un 190 </w:t>
      </w:r>
      <w:r w:rsidR="00017A0E" w:rsidRPr="00CC5AC2">
        <w:rPr>
          <w:i/>
          <w:iCs/>
        </w:rPr>
        <w:t>euro</w:t>
      </w:r>
      <w:r w:rsidR="00017A0E">
        <w:t xml:space="preserve"> </w:t>
      </w:r>
      <w:r w:rsidR="00017A0E" w:rsidRPr="000C13E5">
        <w:t>pārējām personām mājsaimniecībā.</w:t>
      </w:r>
      <w:r w:rsidR="00017A0E">
        <w:t xml:space="preserve"> Tādējādi trūcīgo personu ienākumi ir līdz 1.kvintiles augstākajai robežai. 2023.gadā Labklājības ministrija piedāvās</w:t>
      </w:r>
      <w:r w:rsidR="00736A04">
        <w:t xml:space="preserve">no </w:t>
      </w:r>
      <w:r w:rsidR="006F00CE">
        <w:t xml:space="preserve">2023. gada 1. janvāra </w:t>
      </w:r>
      <w:r w:rsidR="00017A0E">
        <w:t>palielināt t</w:t>
      </w:r>
      <w:r w:rsidR="00017A0E" w:rsidRPr="00447129">
        <w:t xml:space="preserve">rūcīgas </w:t>
      </w:r>
      <w:r w:rsidR="00017A0E">
        <w:t xml:space="preserve">mājsaimniecības ienākumu slieksni </w:t>
      </w:r>
      <w:r w:rsidR="004C69AA">
        <w:t xml:space="preserve">50% </w:t>
      </w:r>
      <w:r w:rsidR="00640529">
        <w:t xml:space="preserve">apmērā </w:t>
      </w:r>
      <w:r w:rsidR="004C69AA">
        <w:t>no minimālās ienākumu mediānas</w:t>
      </w:r>
      <w:r w:rsidR="004C69AA">
        <w:rPr>
          <w:rStyle w:val="FootnoteReference"/>
        </w:rPr>
        <w:footnoteReference w:id="4"/>
      </w:r>
      <w:r w:rsidR="00932B0A">
        <w:rPr>
          <w:rStyle w:val="FootnoteReference"/>
        </w:rPr>
        <w:footnoteReference w:id="5"/>
      </w:r>
      <w:r w:rsidR="004C69AA">
        <w:t xml:space="preserve">, attiecīgi veidojot </w:t>
      </w:r>
      <w:r w:rsidR="00017A0E">
        <w:t>313</w:t>
      </w:r>
      <w:r w:rsidR="00017A0E" w:rsidRPr="000C13E5">
        <w:t> </w:t>
      </w:r>
      <w:r w:rsidR="00017A0E" w:rsidRPr="00CC5AC2">
        <w:rPr>
          <w:i/>
          <w:iCs/>
        </w:rPr>
        <w:t>euro</w:t>
      </w:r>
      <w:r w:rsidR="00017A0E">
        <w:t xml:space="preserve"> </w:t>
      </w:r>
      <w:r w:rsidR="00017A0E" w:rsidRPr="000C13E5">
        <w:t xml:space="preserve">pirmajai vai vienīgajai personai mājsaimniecībā un </w:t>
      </w:r>
      <w:r w:rsidR="00017A0E">
        <w:t>219</w:t>
      </w:r>
      <w:r w:rsidR="00017A0E" w:rsidRPr="000C13E5">
        <w:t> </w:t>
      </w:r>
      <w:r w:rsidR="00017A0E" w:rsidRPr="00CC5AC2">
        <w:rPr>
          <w:i/>
          <w:iCs/>
        </w:rPr>
        <w:t>euro</w:t>
      </w:r>
      <w:r w:rsidR="00017A0E">
        <w:t xml:space="preserve"> </w:t>
      </w:r>
      <w:r w:rsidR="00017A0E" w:rsidRPr="000C13E5">
        <w:t>pārējām personām mājsaimniecībā</w:t>
      </w:r>
      <w:r w:rsidR="004C69AA">
        <w:rPr>
          <w:rStyle w:val="FootnoteReference"/>
        </w:rPr>
        <w:footnoteReference w:id="6"/>
      </w:r>
      <w:r w:rsidR="00017A0E" w:rsidRPr="000C13E5">
        <w:t>.</w:t>
      </w:r>
      <w:r w:rsidR="00017A0E">
        <w:t xml:space="preserve"> Attiecīgi</w:t>
      </w:r>
      <w:r w:rsidR="006F00CE">
        <w:t xml:space="preserve"> arī 2023.gadā</w:t>
      </w:r>
      <w:r w:rsidR="00017A0E">
        <w:t xml:space="preserve"> trūcīgo personu ienākumi </w:t>
      </w:r>
      <w:r w:rsidR="003F5772">
        <w:t>sasniegs</w:t>
      </w:r>
      <w:r w:rsidR="00017A0E">
        <w:t xml:space="preserve"> 1.kvintiles augstāk</w:t>
      </w:r>
      <w:r w:rsidR="003F5772">
        <w:t>o</w:t>
      </w:r>
      <w:r w:rsidR="00017A0E">
        <w:t xml:space="preserve"> robež</w:t>
      </w:r>
      <w:r w:rsidR="003F5772">
        <w:t>u</w:t>
      </w:r>
      <w:r w:rsidR="00017A0E">
        <w:t xml:space="preserve">, izņemot mājsaimniecību pirmās personas vai vienīgās personas mājsaimniecībā – šo iedzīvotāju ienākumi sasniegs </w:t>
      </w:r>
      <w:r w:rsidR="002F1BC4">
        <w:t xml:space="preserve">2020.gada </w:t>
      </w:r>
      <w:r w:rsidR="00017A0E">
        <w:t>2.kvintiles zemāko robežu.</w:t>
      </w:r>
    </w:p>
    <w:p w14:paraId="3DB0A477" w14:textId="77777777" w:rsidR="00017A0E" w:rsidRDefault="00017A0E" w:rsidP="00017A0E">
      <w:pPr>
        <w:pStyle w:val="tv213"/>
        <w:shd w:val="clear" w:color="auto" w:fill="FFFFFF"/>
        <w:spacing w:before="0" w:beforeAutospacing="0" w:after="0" w:afterAutospacing="0"/>
        <w:jc w:val="both"/>
      </w:pPr>
    </w:p>
    <w:p w14:paraId="370545F2" w14:textId="794268C8" w:rsidR="00017A0E" w:rsidRDefault="00017A0E" w:rsidP="00017A0E">
      <w:pPr>
        <w:pStyle w:val="tv213"/>
        <w:shd w:val="clear" w:color="auto" w:fill="FFFFFF"/>
        <w:spacing w:before="0" w:beforeAutospacing="0" w:after="0" w:afterAutospacing="0"/>
        <w:jc w:val="both"/>
      </w:pPr>
      <w:r w:rsidRPr="00017A0E">
        <w:rPr>
          <w:b/>
        </w:rPr>
        <w:t>Maznodrošinātas mājsaimniecības</w:t>
      </w:r>
      <w:r w:rsidRPr="000C13E5">
        <w:t xml:space="preserve"> ienākumu slieksni katra pašvaldība ir tiesīga noteikt ne augstāku par 436 </w:t>
      </w:r>
      <w:r w:rsidRPr="00CC5AC2">
        <w:rPr>
          <w:i/>
          <w:iCs/>
        </w:rPr>
        <w:t>euro</w:t>
      </w:r>
      <w:r>
        <w:t xml:space="preserve"> </w:t>
      </w:r>
      <w:r w:rsidRPr="000C13E5">
        <w:t>pirmajai vai vienīgajai personai mājsaimniecībā un 305 </w:t>
      </w:r>
      <w:r w:rsidRPr="00CC5AC2">
        <w:rPr>
          <w:i/>
          <w:iCs/>
        </w:rPr>
        <w:t>euro</w:t>
      </w:r>
      <w:r>
        <w:t xml:space="preserve"> </w:t>
      </w:r>
      <w:r w:rsidRPr="000C13E5">
        <w:t xml:space="preserve">pārējām personām mājsaimniecībā, bet ne zemāku </w:t>
      </w:r>
      <w:r w:rsidR="00451C4D">
        <w:t>kā</w:t>
      </w:r>
      <w:r w:rsidRPr="000C13E5">
        <w:t xml:space="preserve"> trūcīgas mājsaimniecības ienākumu slieksni.</w:t>
      </w:r>
      <w:r>
        <w:t xml:space="preserve"> Pirmkārt, šī tiesību norma nozīmē, ka maznodrošināto mājsaimniecību ienākumu sliekšņi katrā pašvaldībā ir atšķirīgi un tādējādi arī iedzīvotāju iespējas saņemt valsts atbalstu </w:t>
      </w:r>
      <w:r w:rsidR="005C7DD0">
        <w:t>ir</w:t>
      </w:r>
      <w:r>
        <w:t xml:space="preserve"> nevienlīdzīgas. Kopumā maznodrošināto mājsaimniecību augstākais ienākumu slieksnis pirmajai vai vienīgajai </w:t>
      </w:r>
      <w:r>
        <w:lastRenderedPageBreak/>
        <w:t>personai mājsaimniecībā ir ļoti tuvs 3.kvintiles zemākajai robežai, tomēr pārējām personām ienākumi ir 2.kvintiles ienākum</w:t>
      </w:r>
      <w:r w:rsidR="003F5772">
        <w:t>u robežās</w:t>
      </w:r>
      <w:r>
        <w:t xml:space="preserve">.  </w:t>
      </w:r>
    </w:p>
    <w:p w14:paraId="30E54111" w14:textId="77777777" w:rsidR="00A71A63" w:rsidRDefault="00A71A63" w:rsidP="00017A0E">
      <w:pPr>
        <w:pStyle w:val="tv213"/>
        <w:shd w:val="clear" w:color="auto" w:fill="FFFFFF"/>
        <w:spacing w:before="0" w:beforeAutospacing="0" w:after="0" w:afterAutospacing="0"/>
        <w:jc w:val="both"/>
      </w:pPr>
    </w:p>
    <w:p w14:paraId="67BD2E1F" w14:textId="204F8EAB" w:rsidR="00CD1521" w:rsidRPr="00CD1521" w:rsidRDefault="001F5B58" w:rsidP="00CD1521">
      <w:pPr>
        <w:pStyle w:val="tv213"/>
        <w:shd w:val="clear" w:color="auto" w:fill="FFFFFF"/>
        <w:spacing w:after="0"/>
        <w:jc w:val="both"/>
        <w:rPr>
          <w:i/>
        </w:rPr>
      </w:pPr>
      <w:r>
        <w:rPr>
          <w:i/>
        </w:rPr>
        <w:t>2</w:t>
      </w:r>
      <w:r w:rsidR="00ED351E">
        <w:rPr>
          <w:i/>
        </w:rPr>
        <w:t xml:space="preserve">.tabula. </w:t>
      </w:r>
      <w:r w:rsidR="002F1BC4" w:rsidRPr="00CD1521">
        <w:rPr>
          <w:i/>
        </w:rPr>
        <w:t xml:space="preserve">Pašvaldībās noteiktais maznodrošinātas mājsaimniecības ienākumu </w:t>
      </w:r>
      <w:r w:rsidR="002F1BC4">
        <w:rPr>
          <w:i/>
        </w:rPr>
        <w:t>slieksnis</w:t>
      </w:r>
      <w:r w:rsidR="002F1BC4" w:rsidRPr="00CD1521">
        <w:rPr>
          <w:i/>
        </w:rPr>
        <w:t xml:space="preserve"> pirmajai personai EUR </w:t>
      </w:r>
      <w:r w:rsidR="002F1BC4">
        <w:rPr>
          <w:i/>
        </w:rPr>
        <w:t xml:space="preserve">mēnesī </w:t>
      </w:r>
      <w:r w:rsidR="002F1BC4" w:rsidRPr="00CD1521">
        <w:rPr>
          <w:i/>
        </w:rPr>
        <w:t xml:space="preserve">2021.gadā </w:t>
      </w:r>
    </w:p>
    <w:tbl>
      <w:tblPr>
        <w:tblW w:w="753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667"/>
        <w:gridCol w:w="4111"/>
      </w:tblGrid>
      <w:tr w:rsidR="002F1BC4" w:rsidRPr="00CD1521" w14:paraId="3D86C274" w14:textId="77777777" w:rsidTr="00365151">
        <w:trPr>
          <w:trHeight w:val="904"/>
        </w:trPr>
        <w:tc>
          <w:tcPr>
            <w:tcW w:w="760" w:type="dxa"/>
            <w:shd w:val="clear" w:color="auto" w:fill="auto"/>
            <w:hideMark/>
          </w:tcPr>
          <w:p w14:paraId="0F7ACC31"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 </w:t>
            </w:r>
          </w:p>
        </w:tc>
        <w:tc>
          <w:tcPr>
            <w:tcW w:w="2667" w:type="dxa"/>
            <w:shd w:val="clear" w:color="auto" w:fill="auto"/>
            <w:hideMark/>
          </w:tcPr>
          <w:p w14:paraId="70D0C2E7"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 </w:t>
            </w:r>
          </w:p>
        </w:tc>
        <w:tc>
          <w:tcPr>
            <w:tcW w:w="4111" w:type="dxa"/>
            <w:shd w:val="clear" w:color="auto" w:fill="auto"/>
            <w:vAlign w:val="center"/>
            <w:hideMark/>
          </w:tcPr>
          <w:p w14:paraId="2D74376F" w14:textId="77777777" w:rsidR="002F1BC4" w:rsidRPr="00CD1521" w:rsidRDefault="002F1BC4" w:rsidP="002F1BC4">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 xml:space="preserve">  Pašvaldības noteiktais </w:t>
            </w:r>
          </w:p>
          <w:p w14:paraId="5E7F5721" w14:textId="77777777" w:rsidR="002F1BC4" w:rsidRPr="00CD1521" w:rsidRDefault="002F1BC4" w:rsidP="002F1BC4">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 xml:space="preserve">maznodrošinātas mājsaimniecības ienākumu </w:t>
            </w:r>
            <w:r>
              <w:rPr>
                <w:rFonts w:ascii="Times New Roman" w:eastAsia="Times New Roman" w:hAnsi="Times New Roman" w:cs="Times New Roman"/>
                <w:sz w:val="20"/>
                <w:szCs w:val="20"/>
                <w:lang w:eastAsia="lv-LV"/>
              </w:rPr>
              <w:t>slieksnis</w:t>
            </w:r>
            <w:r w:rsidRPr="00CD1521">
              <w:rPr>
                <w:rFonts w:ascii="Times New Roman" w:eastAsia="Times New Roman" w:hAnsi="Times New Roman" w:cs="Times New Roman"/>
                <w:sz w:val="20"/>
                <w:szCs w:val="20"/>
                <w:lang w:eastAsia="lv-LV"/>
              </w:rPr>
              <w:t xml:space="preserve"> pirmajai personai</w:t>
            </w:r>
            <w:r>
              <w:rPr>
                <w:rFonts w:ascii="Times New Roman" w:eastAsia="Times New Roman" w:hAnsi="Times New Roman" w:cs="Times New Roman"/>
                <w:sz w:val="20"/>
                <w:szCs w:val="20"/>
                <w:lang w:eastAsia="lv-LV"/>
              </w:rPr>
              <w:t xml:space="preserve"> mājsaimniecībā</w:t>
            </w:r>
          </w:p>
          <w:p w14:paraId="13D20B89" w14:textId="0AD76574" w:rsidR="002F1BC4" w:rsidRPr="00CD1521" w:rsidRDefault="002F1BC4" w:rsidP="007929AD">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EUR</w:t>
            </w:r>
            <w:r>
              <w:rPr>
                <w:rFonts w:ascii="Times New Roman" w:eastAsia="Times New Roman" w:hAnsi="Times New Roman" w:cs="Times New Roman"/>
                <w:sz w:val="20"/>
                <w:szCs w:val="20"/>
                <w:lang w:eastAsia="lv-LV"/>
              </w:rPr>
              <w:t xml:space="preserve"> mēnesī</w:t>
            </w:r>
          </w:p>
        </w:tc>
      </w:tr>
      <w:tr w:rsidR="002F1BC4" w:rsidRPr="00CD1521" w14:paraId="245439D2" w14:textId="77777777" w:rsidTr="00365151">
        <w:trPr>
          <w:trHeight w:val="300"/>
        </w:trPr>
        <w:tc>
          <w:tcPr>
            <w:tcW w:w="760" w:type="dxa"/>
            <w:shd w:val="clear" w:color="auto" w:fill="E7E6E6" w:themeFill="background2"/>
            <w:hideMark/>
          </w:tcPr>
          <w:p w14:paraId="043AC76E" w14:textId="77777777" w:rsidR="002F1BC4" w:rsidRPr="00CD1521" w:rsidRDefault="002F1BC4" w:rsidP="00795407">
            <w:pPr>
              <w:spacing w:after="0" w:line="240" w:lineRule="auto"/>
              <w:rPr>
                <w:rFonts w:ascii="Times New Roman" w:eastAsia="Times New Roman" w:hAnsi="Times New Roman" w:cs="Times New Roman"/>
                <w:b/>
                <w:bCs/>
                <w:sz w:val="20"/>
                <w:szCs w:val="20"/>
                <w:lang w:eastAsia="lv-LV"/>
              </w:rPr>
            </w:pPr>
          </w:p>
        </w:tc>
        <w:tc>
          <w:tcPr>
            <w:tcW w:w="2667" w:type="dxa"/>
            <w:shd w:val="clear" w:color="auto" w:fill="E7E6E6" w:themeFill="background2"/>
            <w:hideMark/>
          </w:tcPr>
          <w:p w14:paraId="5E018407" w14:textId="77777777" w:rsidR="002F1BC4" w:rsidRPr="00CD1521" w:rsidRDefault="002F1BC4" w:rsidP="00795407">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Pilsētas</w:t>
            </w:r>
          </w:p>
        </w:tc>
        <w:tc>
          <w:tcPr>
            <w:tcW w:w="4111" w:type="dxa"/>
            <w:shd w:val="clear" w:color="auto" w:fill="E7E6E6" w:themeFill="background2"/>
          </w:tcPr>
          <w:p w14:paraId="7B32DBCD" w14:textId="77777777" w:rsidR="002F1BC4" w:rsidRPr="00CD1521" w:rsidRDefault="002F1BC4" w:rsidP="00795407">
            <w:pPr>
              <w:spacing w:after="0" w:line="240" w:lineRule="auto"/>
              <w:jc w:val="right"/>
              <w:rPr>
                <w:rFonts w:ascii="Times New Roman" w:eastAsia="Times New Roman" w:hAnsi="Times New Roman" w:cs="Times New Roman"/>
                <w:b/>
                <w:bCs/>
                <w:sz w:val="20"/>
                <w:szCs w:val="20"/>
                <w:lang w:eastAsia="lv-LV"/>
              </w:rPr>
            </w:pPr>
          </w:p>
        </w:tc>
      </w:tr>
      <w:tr w:rsidR="002F1BC4" w:rsidRPr="00CD1521" w14:paraId="7DAE3FCA" w14:textId="77777777" w:rsidTr="00365151">
        <w:trPr>
          <w:trHeight w:val="315"/>
        </w:trPr>
        <w:tc>
          <w:tcPr>
            <w:tcW w:w="760" w:type="dxa"/>
            <w:shd w:val="clear" w:color="auto" w:fill="auto"/>
            <w:hideMark/>
          </w:tcPr>
          <w:p w14:paraId="3C4C7AFB"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1</w:t>
            </w:r>
          </w:p>
        </w:tc>
        <w:tc>
          <w:tcPr>
            <w:tcW w:w="2667" w:type="dxa"/>
            <w:shd w:val="clear" w:color="auto" w:fill="auto"/>
            <w:hideMark/>
          </w:tcPr>
          <w:p w14:paraId="4CDD4BDA"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Daugavpils</w:t>
            </w:r>
          </w:p>
        </w:tc>
        <w:tc>
          <w:tcPr>
            <w:tcW w:w="4111" w:type="dxa"/>
            <w:shd w:val="clear" w:color="auto" w:fill="auto"/>
            <w:hideMark/>
          </w:tcPr>
          <w:p w14:paraId="60B3D544"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436</w:t>
            </w:r>
          </w:p>
        </w:tc>
      </w:tr>
      <w:tr w:rsidR="002F1BC4" w:rsidRPr="00CD1521" w14:paraId="5D1F35DC" w14:textId="77777777" w:rsidTr="00365151">
        <w:trPr>
          <w:trHeight w:val="300"/>
        </w:trPr>
        <w:tc>
          <w:tcPr>
            <w:tcW w:w="760" w:type="dxa"/>
            <w:shd w:val="clear" w:color="auto" w:fill="auto"/>
            <w:hideMark/>
          </w:tcPr>
          <w:p w14:paraId="20D2267D"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w:t>
            </w:r>
          </w:p>
        </w:tc>
        <w:tc>
          <w:tcPr>
            <w:tcW w:w="2667" w:type="dxa"/>
            <w:shd w:val="clear" w:color="auto" w:fill="auto"/>
            <w:hideMark/>
          </w:tcPr>
          <w:p w14:paraId="69067394"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Jelgava</w:t>
            </w:r>
          </w:p>
        </w:tc>
        <w:tc>
          <w:tcPr>
            <w:tcW w:w="4111" w:type="dxa"/>
            <w:shd w:val="clear" w:color="auto" w:fill="auto"/>
            <w:hideMark/>
          </w:tcPr>
          <w:p w14:paraId="378CDABE"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370</w:t>
            </w:r>
          </w:p>
        </w:tc>
      </w:tr>
      <w:tr w:rsidR="002F1BC4" w:rsidRPr="00CD1521" w14:paraId="2F97E728" w14:textId="77777777" w:rsidTr="00365151">
        <w:trPr>
          <w:trHeight w:val="300"/>
        </w:trPr>
        <w:tc>
          <w:tcPr>
            <w:tcW w:w="760" w:type="dxa"/>
            <w:shd w:val="clear" w:color="auto" w:fill="auto"/>
            <w:hideMark/>
          </w:tcPr>
          <w:p w14:paraId="11621D7B"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w:t>
            </w:r>
          </w:p>
        </w:tc>
        <w:tc>
          <w:tcPr>
            <w:tcW w:w="2667" w:type="dxa"/>
            <w:shd w:val="clear" w:color="auto" w:fill="auto"/>
            <w:hideMark/>
          </w:tcPr>
          <w:p w14:paraId="4B816558"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Jūrmala</w:t>
            </w:r>
          </w:p>
        </w:tc>
        <w:tc>
          <w:tcPr>
            <w:tcW w:w="4111" w:type="dxa"/>
            <w:shd w:val="clear" w:color="auto" w:fill="auto"/>
            <w:hideMark/>
          </w:tcPr>
          <w:p w14:paraId="3E19BE68"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436</w:t>
            </w:r>
          </w:p>
        </w:tc>
      </w:tr>
      <w:tr w:rsidR="002F1BC4" w:rsidRPr="00CD1521" w14:paraId="0EA041D0" w14:textId="77777777" w:rsidTr="00365151">
        <w:trPr>
          <w:trHeight w:val="300"/>
        </w:trPr>
        <w:tc>
          <w:tcPr>
            <w:tcW w:w="760" w:type="dxa"/>
            <w:shd w:val="clear" w:color="auto" w:fill="auto"/>
            <w:hideMark/>
          </w:tcPr>
          <w:p w14:paraId="718BA373"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4</w:t>
            </w:r>
          </w:p>
        </w:tc>
        <w:tc>
          <w:tcPr>
            <w:tcW w:w="2667" w:type="dxa"/>
            <w:shd w:val="clear" w:color="auto" w:fill="auto"/>
            <w:hideMark/>
          </w:tcPr>
          <w:p w14:paraId="4982E00A"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Liepāja</w:t>
            </w:r>
          </w:p>
        </w:tc>
        <w:tc>
          <w:tcPr>
            <w:tcW w:w="4111" w:type="dxa"/>
            <w:shd w:val="clear" w:color="auto" w:fill="auto"/>
            <w:hideMark/>
          </w:tcPr>
          <w:p w14:paraId="3CD9CE14"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390</w:t>
            </w:r>
          </w:p>
        </w:tc>
      </w:tr>
      <w:tr w:rsidR="002F1BC4" w:rsidRPr="00CD1521" w14:paraId="35525BEE" w14:textId="77777777" w:rsidTr="00365151">
        <w:trPr>
          <w:trHeight w:val="300"/>
        </w:trPr>
        <w:tc>
          <w:tcPr>
            <w:tcW w:w="760" w:type="dxa"/>
            <w:shd w:val="clear" w:color="auto" w:fill="auto"/>
            <w:hideMark/>
          </w:tcPr>
          <w:p w14:paraId="35098ABA"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5</w:t>
            </w:r>
          </w:p>
        </w:tc>
        <w:tc>
          <w:tcPr>
            <w:tcW w:w="2667" w:type="dxa"/>
            <w:shd w:val="clear" w:color="auto" w:fill="auto"/>
            <w:hideMark/>
          </w:tcPr>
          <w:p w14:paraId="2639654C"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Rēzekne</w:t>
            </w:r>
          </w:p>
        </w:tc>
        <w:tc>
          <w:tcPr>
            <w:tcW w:w="4111" w:type="dxa"/>
            <w:shd w:val="clear" w:color="auto" w:fill="auto"/>
            <w:hideMark/>
          </w:tcPr>
          <w:p w14:paraId="02EFDF8B"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364</w:t>
            </w:r>
          </w:p>
        </w:tc>
      </w:tr>
      <w:tr w:rsidR="002F1BC4" w:rsidRPr="00CD1521" w14:paraId="6D875D41" w14:textId="77777777" w:rsidTr="00365151">
        <w:trPr>
          <w:trHeight w:val="300"/>
        </w:trPr>
        <w:tc>
          <w:tcPr>
            <w:tcW w:w="760" w:type="dxa"/>
            <w:shd w:val="clear" w:color="auto" w:fill="auto"/>
            <w:hideMark/>
          </w:tcPr>
          <w:p w14:paraId="339D7A80"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6</w:t>
            </w:r>
          </w:p>
        </w:tc>
        <w:tc>
          <w:tcPr>
            <w:tcW w:w="2667" w:type="dxa"/>
            <w:shd w:val="clear" w:color="auto" w:fill="auto"/>
            <w:hideMark/>
          </w:tcPr>
          <w:p w14:paraId="04B52386"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Rīga</w:t>
            </w:r>
          </w:p>
        </w:tc>
        <w:tc>
          <w:tcPr>
            <w:tcW w:w="4111" w:type="dxa"/>
            <w:shd w:val="clear" w:color="auto" w:fill="auto"/>
            <w:hideMark/>
          </w:tcPr>
          <w:p w14:paraId="342090FD"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436</w:t>
            </w:r>
          </w:p>
        </w:tc>
      </w:tr>
      <w:tr w:rsidR="002F1BC4" w:rsidRPr="00CD1521" w14:paraId="65981F67" w14:textId="77777777" w:rsidTr="00365151">
        <w:trPr>
          <w:trHeight w:val="300"/>
        </w:trPr>
        <w:tc>
          <w:tcPr>
            <w:tcW w:w="760" w:type="dxa"/>
            <w:shd w:val="clear" w:color="auto" w:fill="auto"/>
            <w:hideMark/>
          </w:tcPr>
          <w:p w14:paraId="7D1187A3"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7</w:t>
            </w:r>
          </w:p>
        </w:tc>
        <w:tc>
          <w:tcPr>
            <w:tcW w:w="2667" w:type="dxa"/>
            <w:shd w:val="clear" w:color="auto" w:fill="auto"/>
            <w:hideMark/>
          </w:tcPr>
          <w:p w14:paraId="611B0095"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Ventspils</w:t>
            </w:r>
          </w:p>
        </w:tc>
        <w:tc>
          <w:tcPr>
            <w:tcW w:w="4111" w:type="dxa"/>
            <w:shd w:val="clear" w:color="auto" w:fill="auto"/>
            <w:hideMark/>
          </w:tcPr>
          <w:p w14:paraId="63F24B90"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370</w:t>
            </w:r>
          </w:p>
        </w:tc>
      </w:tr>
      <w:tr w:rsidR="002F1BC4" w:rsidRPr="00CD1521" w14:paraId="3AB17F89" w14:textId="77777777" w:rsidTr="00365151">
        <w:trPr>
          <w:trHeight w:val="300"/>
        </w:trPr>
        <w:tc>
          <w:tcPr>
            <w:tcW w:w="760" w:type="dxa"/>
            <w:shd w:val="clear" w:color="auto" w:fill="E7E6E6" w:themeFill="background2"/>
            <w:hideMark/>
          </w:tcPr>
          <w:p w14:paraId="17F9A18A" w14:textId="75B78D65" w:rsidR="002F1BC4" w:rsidRPr="00CD1521" w:rsidRDefault="002F1BC4" w:rsidP="007929AD">
            <w:pPr>
              <w:spacing w:after="0" w:line="240" w:lineRule="auto"/>
              <w:rPr>
                <w:rFonts w:ascii="Times New Roman" w:eastAsia="Times New Roman" w:hAnsi="Times New Roman" w:cs="Times New Roman"/>
                <w:b/>
                <w:bCs/>
                <w:sz w:val="20"/>
                <w:szCs w:val="20"/>
                <w:lang w:eastAsia="lv-LV"/>
              </w:rPr>
            </w:pPr>
          </w:p>
        </w:tc>
        <w:tc>
          <w:tcPr>
            <w:tcW w:w="2667" w:type="dxa"/>
            <w:shd w:val="clear" w:color="auto" w:fill="E7E6E6" w:themeFill="background2"/>
            <w:hideMark/>
          </w:tcPr>
          <w:p w14:paraId="2AABDFA5" w14:textId="774F6127" w:rsidR="002F1BC4" w:rsidRPr="00CD1521" w:rsidRDefault="002F1BC4" w:rsidP="007929AD">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Novadi</w:t>
            </w:r>
          </w:p>
        </w:tc>
        <w:tc>
          <w:tcPr>
            <w:tcW w:w="4111" w:type="dxa"/>
            <w:shd w:val="clear" w:color="auto" w:fill="E7E6E6" w:themeFill="background2"/>
          </w:tcPr>
          <w:p w14:paraId="1EAF827A" w14:textId="072FB8B7" w:rsidR="002F1BC4" w:rsidRPr="00CD1521" w:rsidRDefault="002F1BC4" w:rsidP="00365151">
            <w:pPr>
              <w:spacing w:after="0" w:line="240" w:lineRule="auto"/>
              <w:jc w:val="center"/>
              <w:rPr>
                <w:rFonts w:ascii="Times New Roman" w:eastAsia="Times New Roman" w:hAnsi="Times New Roman" w:cs="Times New Roman"/>
                <w:b/>
                <w:bCs/>
                <w:sz w:val="20"/>
                <w:szCs w:val="20"/>
                <w:lang w:eastAsia="lv-LV"/>
              </w:rPr>
            </w:pPr>
          </w:p>
        </w:tc>
      </w:tr>
      <w:tr w:rsidR="002F1BC4" w:rsidRPr="00CD1521" w14:paraId="3AE214FF" w14:textId="77777777" w:rsidTr="00365151">
        <w:trPr>
          <w:trHeight w:val="300"/>
        </w:trPr>
        <w:tc>
          <w:tcPr>
            <w:tcW w:w="760" w:type="dxa"/>
            <w:shd w:val="clear" w:color="auto" w:fill="auto"/>
            <w:hideMark/>
          </w:tcPr>
          <w:p w14:paraId="4676868E"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1</w:t>
            </w:r>
          </w:p>
        </w:tc>
        <w:tc>
          <w:tcPr>
            <w:tcW w:w="2667" w:type="dxa"/>
            <w:shd w:val="clear" w:color="auto" w:fill="auto"/>
            <w:hideMark/>
          </w:tcPr>
          <w:p w14:paraId="58549884"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Ādažu novads</w:t>
            </w:r>
          </w:p>
        </w:tc>
        <w:tc>
          <w:tcPr>
            <w:tcW w:w="4111" w:type="dxa"/>
            <w:shd w:val="clear" w:color="auto" w:fill="auto"/>
            <w:hideMark/>
          </w:tcPr>
          <w:p w14:paraId="406BD7EB"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436</w:t>
            </w:r>
          </w:p>
        </w:tc>
      </w:tr>
      <w:tr w:rsidR="002F1BC4" w:rsidRPr="00CD1521" w14:paraId="5D229438" w14:textId="77777777" w:rsidTr="00365151">
        <w:trPr>
          <w:trHeight w:val="300"/>
        </w:trPr>
        <w:tc>
          <w:tcPr>
            <w:tcW w:w="760" w:type="dxa"/>
            <w:shd w:val="clear" w:color="auto" w:fill="auto"/>
            <w:hideMark/>
          </w:tcPr>
          <w:p w14:paraId="0E4C3F80"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w:t>
            </w:r>
          </w:p>
        </w:tc>
        <w:tc>
          <w:tcPr>
            <w:tcW w:w="2667" w:type="dxa"/>
            <w:shd w:val="clear" w:color="auto" w:fill="auto"/>
            <w:hideMark/>
          </w:tcPr>
          <w:p w14:paraId="36232147"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Aizkraukles novads</w:t>
            </w:r>
          </w:p>
        </w:tc>
        <w:tc>
          <w:tcPr>
            <w:tcW w:w="4111" w:type="dxa"/>
            <w:shd w:val="clear" w:color="auto" w:fill="auto"/>
            <w:hideMark/>
          </w:tcPr>
          <w:p w14:paraId="7CC07934"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350</w:t>
            </w:r>
          </w:p>
        </w:tc>
      </w:tr>
      <w:tr w:rsidR="002F1BC4" w:rsidRPr="00CD1521" w14:paraId="7F788948" w14:textId="77777777" w:rsidTr="00365151">
        <w:trPr>
          <w:trHeight w:val="300"/>
        </w:trPr>
        <w:tc>
          <w:tcPr>
            <w:tcW w:w="760" w:type="dxa"/>
            <w:shd w:val="clear" w:color="auto" w:fill="auto"/>
            <w:hideMark/>
          </w:tcPr>
          <w:p w14:paraId="129D1CDC"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w:t>
            </w:r>
          </w:p>
        </w:tc>
        <w:tc>
          <w:tcPr>
            <w:tcW w:w="2667" w:type="dxa"/>
            <w:shd w:val="clear" w:color="auto" w:fill="auto"/>
            <w:hideMark/>
          </w:tcPr>
          <w:p w14:paraId="43B437DA"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Alūksnes novads</w:t>
            </w:r>
          </w:p>
        </w:tc>
        <w:tc>
          <w:tcPr>
            <w:tcW w:w="4111" w:type="dxa"/>
            <w:shd w:val="clear" w:color="auto" w:fill="auto"/>
            <w:hideMark/>
          </w:tcPr>
          <w:p w14:paraId="73CF86B3"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341AA086" w14:textId="77777777" w:rsidTr="00365151">
        <w:trPr>
          <w:trHeight w:val="300"/>
        </w:trPr>
        <w:tc>
          <w:tcPr>
            <w:tcW w:w="760" w:type="dxa"/>
            <w:shd w:val="clear" w:color="auto" w:fill="auto"/>
            <w:hideMark/>
          </w:tcPr>
          <w:p w14:paraId="4E3785C4"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4</w:t>
            </w:r>
          </w:p>
        </w:tc>
        <w:tc>
          <w:tcPr>
            <w:tcW w:w="2667" w:type="dxa"/>
            <w:shd w:val="clear" w:color="auto" w:fill="auto"/>
            <w:hideMark/>
          </w:tcPr>
          <w:p w14:paraId="62BCF5F9"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Augšdaugavas novads</w:t>
            </w:r>
          </w:p>
        </w:tc>
        <w:tc>
          <w:tcPr>
            <w:tcW w:w="4111" w:type="dxa"/>
            <w:shd w:val="clear" w:color="auto" w:fill="auto"/>
            <w:hideMark/>
          </w:tcPr>
          <w:p w14:paraId="06353856"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05DFA040" w14:textId="77777777" w:rsidTr="00365151">
        <w:trPr>
          <w:trHeight w:val="300"/>
        </w:trPr>
        <w:tc>
          <w:tcPr>
            <w:tcW w:w="760" w:type="dxa"/>
            <w:shd w:val="clear" w:color="auto" w:fill="auto"/>
            <w:hideMark/>
          </w:tcPr>
          <w:p w14:paraId="7C8CF75D"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5</w:t>
            </w:r>
          </w:p>
        </w:tc>
        <w:tc>
          <w:tcPr>
            <w:tcW w:w="2667" w:type="dxa"/>
            <w:shd w:val="clear" w:color="auto" w:fill="auto"/>
            <w:hideMark/>
          </w:tcPr>
          <w:p w14:paraId="178A542A"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Balvu novads</w:t>
            </w:r>
          </w:p>
        </w:tc>
        <w:tc>
          <w:tcPr>
            <w:tcW w:w="4111" w:type="dxa"/>
            <w:shd w:val="clear" w:color="auto" w:fill="auto"/>
            <w:hideMark/>
          </w:tcPr>
          <w:p w14:paraId="30CB7D6A"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49EEEC7A" w14:textId="77777777" w:rsidTr="00365151">
        <w:trPr>
          <w:trHeight w:val="300"/>
        </w:trPr>
        <w:tc>
          <w:tcPr>
            <w:tcW w:w="760" w:type="dxa"/>
            <w:shd w:val="clear" w:color="auto" w:fill="auto"/>
            <w:hideMark/>
          </w:tcPr>
          <w:p w14:paraId="6F136AE0"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6</w:t>
            </w:r>
          </w:p>
        </w:tc>
        <w:tc>
          <w:tcPr>
            <w:tcW w:w="2667" w:type="dxa"/>
            <w:shd w:val="clear" w:color="auto" w:fill="auto"/>
            <w:hideMark/>
          </w:tcPr>
          <w:p w14:paraId="01317EB3"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Bauskas novads</w:t>
            </w:r>
          </w:p>
        </w:tc>
        <w:tc>
          <w:tcPr>
            <w:tcW w:w="4111" w:type="dxa"/>
            <w:shd w:val="clear" w:color="auto" w:fill="auto"/>
            <w:hideMark/>
          </w:tcPr>
          <w:p w14:paraId="62D641A3"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65517871" w14:textId="77777777" w:rsidTr="00365151">
        <w:trPr>
          <w:trHeight w:val="300"/>
        </w:trPr>
        <w:tc>
          <w:tcPr>
            <w:tcW w:w="760" w:type="dxa"/>
            <w:shd w:val="clear" w:color="auto" w:fill="auto"/>
            <w:hideMark/>
          </w:tcPr>
          <w:p w14:paraId="6DF2E0EE"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7</w:t>
            </w:r>
          </w:p>
        </w:tc>
        <w:tc>
          <w:tcPr>
            <w:tcW w:w="2667" w:type="dxa"/>
            <w:shd w:val="clear" w:color="auto" w:fill="auto"/>
            <w:hideMark/>
          </w:tcPr>
          <w:p w14:paraId="754D8E17"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Cēsu novads</w:t>
            </w:r>
          </w:p>
        </w:tc>
        <w:tc>
          <w:tcPr>
            <w:tcW w:w="4111" w:type="dxa"/>
            <w:shd w:val="clear" w:color="auto" w:fill="auto"/>
            <w:hideMark/>
          </w:tcPr>
          <w:p w14:paraId="3B5111C6"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332</w:t>
            </w:r>
          </w:p>
        </w:tc>
      </w:tr>
      <w:tr w:rsidR="002F1BC4" w:rsidRPr="00CD1521" w14:paraId="4FE99F9E" w14:textId="77777777" w:rsidTr="00365151">
        <w:trPr>
          <w:trHeight w:val="300"/>
        </w:trPr>
        <w:tc>
          <w:tcPr>
            <w:tcW w:w="760" w:type="dxa"/>
            <w:shd w:val="clear" w:color="auto" w:fill="auto"/>
            <w:hideMark/>
          </w:tcPr>
          <w:p w14:paraId="01867B1E"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8</w:t>
            </w:r>
          </w:p>
        </w:tc>
        <w:tc>
          <w:tcPr>
            <w:tcW w:w="2667" w:type="dxa"/>
            <w:shd w:val="clear" w:color="auto" w:fill="auto"/>
            <w:hideMark/>
          </w:tcPr>
          <w:p w14:paraId="403FB99F"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Dienvidkurzemes novads</w:t>
            </w:r>
          </w:p>
        </w:tc>
        <w:tc>
          <w:tcPr>
            <w:tcW w:w="4111" w:type="dxa"/>
            <w:shd w:val="clear" w:color="auto" w:fill="auto"/>
            <w:hideMark/>
          </w:tcPr>
          <w:p w14:paraId="67C0F285"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771063C2" w14:textId="77777777" w:rsidTr="00365151">
        <w:trPr>
          <w:trHeight w:val="300"/>
        </w:trPr>
        <w:tc>
          <w:tcPr>
            <w:tcW w:w="760" w:type="dxa"/>
            <w:shd w:val="clear" w:color="auto" w:fill="auto"/>
            <w:hideMark/>
          </w:tcPr>
          <w:p w14:paraId="509D56D3"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9</w:t>
            </w:r>
          </w:p>
        </w:tc>
        <w:tc>
          <w:tcPr>
            <w:tcW w:w="2667" w:type="dxa"/>
            <w:shd w:val="clear" w:color="auto" w:fill="auto"/>
            <w:hideMark/>
          </w:tcPr>
          <w:p w14:paraId="33DB5D67"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Dobeles novads</w:t>
            </w:r>
          </w:p>
        </w:tc>
        <w:tc>
          <w:tcPr>
            <w:tcW w:w="4111" w:type="dxa"/>
            <w:shd w:val="clear" w:color="auto" w:fill="auto"/>
            <w:hideMark/>
          </w:tcPr>
          <w:p w14:paraId="019AF8DC"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350</w:t>
            </w:r>
          </w:p>
        </w:tc>
      </w:tr>
      <w:tr w:rsidR="002F1BC4" w:rsidRPr="00CD1521" w14:paraId="4F2903A9" w14:textId="77777777" w:rsidTr="00365151">
        <w:trPr>
          <w:trHeight w:val="300"/>
        </w:trPr>
        <w:tc>
          <w:tcPr>
            <w:tcW w:w="760" w:type="dxa"/>
            <w:shd w:val="clear" w:color="auto" w:fill="auto"/>
            <w:hideMark/>
          </w:tcPr>
          <w:p w14:paraId="4ACFFDA7"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10</w:t>
            </w:r>
          </w:p>
        </w:tc>
        <w:tc>
          <w:tcPr>
            <w:tcW w:w="2667" w:type="dxa"/>
            <w:shd w:val="clear" w:color="auto" w:fill="auto"/>
            <w:hideMark/>
          </w:tcPr>
          <w:p w14:paraId="260288D9"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Gulbenes novads</w:t>
            </w:r>
          </w:p>
        </w:tc>
        <w:tc>
          <w:tcPr>
            <w:tcW w:w="4111" w:type="dxa"/>
            <w:shd w:val="clear" w:color="auto" w:fill="auto"/>
            <w:hideMark/>
          </w:tcPr>
          <w:p w14:paraId="4A48B24A"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13D4FDCB" w14:textId="77777777" w:rsidTr="00365151">
        <w:trPr>
          <w:trHeight w:val="300"/>
        </w:trPr>
        <w:tc>
          <w:tcPr>
            <w:tcW w:w="760" w:type="dxa"/>
            <w:shd w:val="clear" w:color="auto" w:fill="auto"/>
            <w:hideMark/>
          </w:tcPr>
          <w:p w14:paraId="737E45CE"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11</w:t>
            </w:r>
          </w:p>
        </w:tc>
        <w:tc>
          <w:tcPr>
            <w:tcW w:w="2667" w:type="dxa"/>
            <w:shd w:val="clear" w:color="auto" w:fill="auto"/>
            <w:hideMark/>
          </w:tcPr>
          <w:p w14:paraId="5CE31BC3"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Jēkabpils novads</w:t>
            </w:r>
          </w:p>
        </w:tc>
        <w:tc>
          <w:tcPr>
            <w:tcW w:w="4111" w:type="dxa"/>
            <w:shd w:val="clear" w:color="auto" w:fill="auto"/>
            <w:hideMark/>
          </w:tcPr>
          <w:p w14:paraId="0FACE4E7"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360</w:t>
            </w:r>
          </w:p>
        </w:tc>
      </w:tr>
      <w:tr w:rsidR="002F1BC4" w:rsidRPr="00CD1521" w14:paraId="3C272675" w14:textId="77777777" w:rsidTr="00365151">
        <w:trPr>
          <w:trHeight w:val="300"/>
        </w:trPr>
        <w:tc>
          <w:tcPr>
            <w:tcW w:w="760" w:type="dxa"/>
            <w:shd w:val="clear" w:color="auto" w:fill="auto"/>
            <w:hideMark/>
          </w:tcPr>
          <w:p w14:paraId="6D190CB7"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12</w:t>
            </w:r>
          </w:p>
        </w:tc>
        <w:tc>
          <w:tcPr>
            <w:tcW w:w="2667" w:type="dxa"/>
            <w:shd w:val="clear" w:color="auto" w:fill="auto"/>
            <w:hideMark/>
          </w:tcPr>
          <w:p w14:paraId="1195E838"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Jelgavas novads</w:t>
            </w:r>
          </w:p>
        </w:tc>
        <w:tc>
          <w:tcPr>
            <w:tcW w:w="4111" w:type="dxa"/>
            <w:shd w:val="clear" w:color="auto" w:fill="auto"/>
            <w:hideMark/>
          </w:tcPr>
          <w:p w14:paraId="3EFA78B2"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436</w:t>
            </w:r>
          </w:p>
        </w:tc>
      </w:tr>
      <w:tr w:rsidR="002F1BC4" w:rsidRPr="00CD1521" w14:paraId="7D63104D" w14:textId="77777777" w:rsidTr="00365151">
        <w:trPr>
          <w:trHeight w:val="300"/>
        </w:trPr>
        <w:tc>
          <w:tcPr>
            <w:tcW w:w="760" w:type="dxa"/>
            <w:shd w:val="clear" w:color="auto" w:fill="auto"/>
            <w:hideMark/>
          </w:tcPr>
          <w:p w14:paraId="44FB2E05"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13</w:t>
            </w:r>
          </w:p>
        </w:tc>
        <w:tc>
          <w:tcPr>
            <w:tcW w:w="2667" w:type="dxa"/>
            <w:shd w:val="clear" w:color="auto" w:fill="auto"/>
            <w:hideMark/>
          </w:tcPr>
          <w:p w14:paraId="60DFA75B"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Krāslavas novads</w:t>
            </w:r>
          </w:p>
        </w:tc>
        <w:tc>
          <w:tcPr>
            <w:tcW w:w="4111" w:type="dxa"/>
            <w:shd w:val="clear" w:color="auto" w:fill="auto"/>
            <w:hideMark/>
          </w:tcPr>
          <w:p w14:paraId="7F24372E"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278</w:t>
            </w:r>
          </w:p>
        </w:tc>
      </w:tr>
      <w:tr w:rsidR="002F1BC4" w:rsidRPr="00CD1521" w14:paraId="0BDA39E1" w14:textId="77777777" w:rsidTr="00365151">
        <w:trPr>
          <w:trHeight w:val="300"/>
        </w:trPr>
        <w:tc>
          <w:tcPr>
            <w:tcW w:w="760" w:type="dxa"/>
            <w:shd w:val="clear" w:color="auto" w:fill="auto"/>
            <w:hideMark/>
          </w:tcPr>
          <w:p w14:paraId="5C755C32"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14</w:t>
            </w:r>
          </w:p>
        </w:tc>
        <w:tc>
          <w:tcPr>
            <w:tcW w:w="2667" w:type="dxa"/>
            <w:shd w:val="clear" w:color="auto" w:fill="auto"/>
            <w:hideMark/>
          </w:tcPr>
          <w:p w14:paraId="5B917DFE"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Kuldīgas novads</w:t>
            </w:r>
          </w:p>
        </w:tc>
        <w:tc>
          <w:tcPr>
            <w:tcW w:w="4111" w:type="dxa"/>
            <w:shd w:val="clear" w:color="auto" w:fill="auto"/>
            <w:hideMark/>
          </w:tcPr>
          <w:p w14:paraId="779B6FBB"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354</w:t>
            </w:r>
          </w:p>
        </w:tc>
      </w:tr>
      <w:tr w:rsidR="002F1BC4" w:rsidRPr="00CD1521" w14:paraId="778E686E" w14:textId="77777777" w:rsidTr="00365151">
        <w:trPr>
          <w:trHeight w:val="300"/>
        </w:trPr>
        <w:tc>
          <w:tcPr>
            <w:tcW w:w="760" w:type="dxa"/>
            <w:shd w:val="clear" w:color="auto" w:fill="auto"/>
            <w:hideMark/>
          </w:tcPr>
          <w:p w14:paraId="4DEB309F"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15</w:t>
            </w:r>
          </w:p>
        </w:tc>
        <w:tc>
          <w:tcPr>
            <w:tcW w:w="2667" w:type="dxa"/>
            <w:shd w:val="clear" w:color="auto" w:fill="auto"/>
            <w:hideMark/>
          </w:tcPr>
          <w:p w14:paraId="0C7F091E"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Ķekavas novads</w:t>
            </w:r>
          </w:p>
        </w:tc>
        <w:tc>
          <w:tcPr>
            <w:tcW w:w="4111" w:type="dxa"/>
            <w:shd w:val="clear" w:color="auto" w:fill="auto"/>
            <w:hideMark/>
          </w:tcPr>
          <w:p w14:paraId="008D7116"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376</w:t>
            </w:r>
          </w:p>
        </w:tc>
      </w:tr>
      <w:tr w:rsidR="002F1BC4" w:rsidRPr="00CD1521" w14:paraId="116224B6" w14:textId="77777777" w:rsidTr="00365151">
        <w:trPr>
          <w:trHeight w:val="300"/>
        </w:trPr>
        <w:tc>
          <w:tcPr>
            <w:tcW w:w="760" w:type="dxa"/>
            <w:shd w:val="clear" w:color="auto" w:fill="auto"/>
            <w:hideMark/>
          </w:tcPr>
          <w:p w14:paraId="2D494AE9"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16</w:t>
            </w:r>
          </w:p>
        </w:tc>
        <w:tc>
          <w:tcPr>
            <w:tcW w:w="2667" w:type="dxa"/>
            <w:shd w:val="clear" w:color="auto" w:fill="auto"/>
            <w:hideMark/>
          </w:tcPr>
          <w:p w14:paraId="6DC82DE1"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Limbažu novads</w:t>
            </w:r>
          </w:p>
        </w:tc>
        <w:tc>
          <w:tcPr>
            <w:tcW w:w="4111" w:type="dxa"/>
            <w:shd w:val="clear" w:color="auto" w:fill="auto"/>
            <w:hideMark/>
          </w:tcPr>
          <w:p w14:paraId="3394FC90"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379F6E20" w14:textId="77777777" w:rsidTr="00365151">
        <w:trPr>
          <w:trHeight w:val="300"/>
        </w:trPr>
        <w:tc>
          <w:tcPr>
            <w:tcW w:w="760" w:type="dxa"/>
            <w:shd w:val="clear" w:color="auto" w:fill="auto"/>
            <w:hideMark/>
          </w:tcPr>
          <w:p w14:paraId="7D270B31"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17</w:t>
            </w:r>
          </w:p>
        </w:tc>
        <w:tc>
          <w:tcPr>
            <w:tcW w:w="2667" w:type="dxa"/>
            <w:shd w:val="clear" w:color="auto" w:fill="auto"/>
            <w:hideMark/>
          </w:tcPr>
          <w:p w14:paraId="422234DE"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Līvānu novads</w:t>
            </w:r>
          </w:p>
        </w:tc>
        <w:tc>
          <w:tcPr>
            <w:tcW w:w="4111" w:type="dxa"/>
            <w:shd w:val="clear" w:color="auto" w:fill="auto"/>
            <w:hideMark/>
          </w:tcPr>
          <w:p w14:paraId="3552F8D3"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2FDD0B6A" w14:textId="77777777" w:rsidTr="00365151">
        <w:trPr>
          <w:trHeight w:val="300"/>
        </w:trPr>
        <w:tc>
          <w:tcPr>
            <w:tcW w:w="760" w:type="dxa"/>
            <w:shd w:val="clear" w:color="auto" w:fill="auto"/>
            <w:hideMark/>
          </w:tcPr>
          <w:p w14:paraId="7A5085E2"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18</w:t>
            </w:r>
          </w:p>
        </w:tc>
        <w:tc>
          <w:tcPr>
            <w:tcW w:w="2667" w:type="dxa"/>
            <w:shd w:val="clear" w:color="auto" w:fill="auto"/>
            <w:hideMark/>
          </w:tcPr>
          <w:p w14:paraId="237757F3"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Ludzas novads</w:t>
            </w:r>
          </w:p>
        </w:tc>
        <w:tc>
          <w:tcPr>
            <w:tcW w:w="4111" w:type="dxa"/>
            <w:shd w:val="clear" w:color="auto" w:fill="auto"/>
            <w:hideMark/>
          </w:tcPr>
          <w:p w14:paraId="3475C258"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0882B3EE" w14:textId="77777777" w:rsidTr="00365151">
        <w:trPr>
          <w:trHeight w:val="300"/>
        </w:trPr>
        <w:tc>
          <w:tcPr>
            <w:tcW w:w="760" w:type="dxa"/>
            <w:shd w:val="clear" w:color="auto" w:fill="auto"/>
            <w:hideMark/>
          </w:tcPr>
          <w:p w14:paraId="4E0BB953"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19</w:t>
            </w:r>
          </w:p>
        </w:tc>
        <w:tc>
          <w:tcPr>
            <w:tcW w:w="2667" w:type="dxa"/>
            <w:shd w:val="clear" w:color="auto" w:fill="auto"/>
            <w:hideMark/>
          </w:tcPr>
          <w:p w14:paraId="29552FB5"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Madonas novads</w:t>
            </w:r>
          </w:p>
        </w:tc>
        <w:tc>
          <w:tcPr>
            <w:tcW w:w="4111" w:type="dxa"/>
            <w:shd w:val="clear" w:color="auto" w:fill="auto"/>
            <w:hideMark/>
          </w:tcPr>
          <w:p w14:paraId="4413F6DD"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58E29EA6" w14:textId="77777777" w:rsidTr="00365151">
        <w:trPr>
          <w:trHeight w:val="300"/>
        </w:trPr>
        <w:tc>
          <w:tcPr>
            <w:tcW w:w="760" w:type="dxa"/>
            <w:shd w:val="clear" w:color="auto" w:fill="auto"/>
            <w:hideMark/>
          </w:tcPr>
          <w:p w14:paraId="193D5FC5"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20</w:t>
            </w:r>
          </w:p>
        </w:tc>
        <w:tc>
          <w:tcPr>
            <w:tcW w:w="2667" w:type="dxa"/>
            <w:shd w:val="clear" w:color="auto" w:fill="auto"/>
            <w:hideMark/>
          </w:tcPr>
          <w:p w14:paraId="40A372DB"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Mārupes novads</w:t>
            </w:r>
          </w:p>
        </w:tc>
        <w:tc>
          <w:tcPr>
            <w:tcW w:w="4111" w:type="dxa"/>
            <w:shd w:val="clear" w:color="auto" w:fill="auto"/>
            <w:hideMark/>
          </w:tcPr>
          <w:p w14:paraId="597A164C"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436</w:t>
            </w:r>
          </w:p>
        </w:tc>
      </w:tr>
      <w:tr w:rsidR="002F1BC4" w:rsidRPr="00CD1521" w14:paraId="24B10F26" w14:textId="77777777" w:rsidTr="00365151">
        <w:trPr>
          <w:trHeight w:val="300"/>
        </w:trPr>
        <w:tc>
          <w:tcPr>
            <w:tcW w:w="760" w:type="dxa"/>
            <w:shd w:val="clear" w:color="auto" w:fill="auto"/>
            <w:hideMark/>
          </w:tcPr>
          <w:p w14:paraId="08ED1907"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21</w:t>
            </w:r>
          </w:p>
        </w:tc>
        <w:tc>
          <w:tcPr>
            <w:tcW w:w="2667" w:type="dxa"/>
            <w:shd w:val="clear" w:color="auto" w:fill="auto"/>
            <w:hideMark/>
          </w:tcPr>
          <w:p w14:paraId="3137CF50"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Ogres novads</w:t>
            </w:r>
          </w:p>
        </w:tc>
        <w:tc>
          <w:tcPr>
            <w:tcW w:w="4111" w:type="dxa"/>
            <w:shd w:val="clear" w:color="auto" w:fill="auto"/>
            <w:hideMark/>
          </w:tcPr>
          <w:p w14:paraId="4519010F"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380</w:t>
            </w:r>
          </w:p>
        </w:tc>
      </w:tr>
      <w:tr w:rsidR="002F1BC4" w:rsidRPr="00CD1521" w14:paraId="7B083D76" w14:textId="77777777" w:rsidTr="00365151">
        <w:trPr>
          <w:trHeight w:val="300"/>
        </w:trPr>
        <w:tc>
          <w:tcPr>
            <w:tcW w:w="760" w:type="dxa"/>
            <w:shd w:val="clear" w:color="auto" w:fill="auto"/>
            <w:hideMark/>
          </w:tcPr>
          <w:p w14:paraId="379EED43"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22</w:t>
            </w:r>
          </w:p>
        </w:tc>
        <w:tc>
          <w:tcPr>
            <w:tcW w:w="2667" w:type="dxa"/>
            <w:shd w:val="clear" w:color="auto" w:fill="auto"/>
            <w:hideMark/>
          </w:tcPr>
          <w:p w14:paraId="29F556CB"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Olaines novads</w:t>
            </w:r>
          </w:p>
        </w:tc>
        <w:tc>
          <w:tcPr>
            <w:tcW w:w="4111" w:type="dxa"/>
            <w:shd w:val="clear" w:color="auto" w:fill="auto"/>
            <w:hideMark/>
          </w:tcPr>
          <w:p w14:paraId="440F6DC8"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430</w:t>
            </w:r>
          </w:p>
        </w:tc>
      </w:tr>
      <w:tr w:rsidR="002F1BC4" w:rsidRPr="00CD1521" w14:paraId="110395D6" w14:textId="77777777" w:rsidTr="00365151">
        <w:trPr>
          <w:trHeight w:val="300"/>
        </w:trPr>
        <w:tc>
          <w:tcPr>
            <w:tcW w:w="760" w:type="dxa"/>
            <w:shd w:val="clear" w:color="auto" w:fill="auto"/>
            <w:hideMark/>
          </w:tcPr>
          <w:p w14:paraId="062AD287"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23</w:t>
            </w:r>
          </w:p>
        </w:tc>
        <w:tc>
          <w:tcPr>
            <w:tcW w:w="2667" w:type="dxa"/>
            <w:shd w:val="clear" w:color="auto" w:fill="auto"/>
            <w:hideMark/>
          </w:tcPr>
          <w:p w14:paraId="7E13C0F7"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Preiļu novads</w:t>
            </w:r>
          </w:p>
        </w:tc>
        <w:tc>
          <w:tcPr>
            <w:tcW w:w="4111" w:type="dxa"/>
            <w:shd w:val="clear" w:color="auto" w:fill="auto"/>
            <w:hideMark/>
          </w:tcPr>
          <w:p w14:paraId="56DEBED6"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66EF487A" w14:textId="77777777" w:rsidTr="00365151">
        <w:trPr>
          <w:trHeight w:val="300"/>
        </w:trPr>
        <w:tc>
          <w:tcPr>
            <w:tcW w:w="760" w:type="dxa"/>
            <w:shd w:val="clear" w:color="auto" w:fill="auto"/>
            <w:hideMark/>
          </w:tcPr>
          <w:p w14:paraId="5197E35F"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24</w:t>
            </w:r>
          </w:p>
        </w:tc>
        <w:tc>
          <w:tcPr>
            <w:tcW w:w="2667" w:type="dxa"/>
            <w:shd w:val="clear" w:color="auto" w:fill="auto"/>
            <w:hideMark/>
          </w:tcPr>
          <w:p w14:paraId="0863EF00"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Rēzeknes novads</w:t>
            </w:r>
          </w:p>
        </w:tc>
        <w:tc>
          <w:tcPr>
            <w:tcW w:w="4111" w:type="dxa"/>
            <w:shd w:val="clear" w:color="auto" w:fill="auto"/>
            <w:hideMark/>
          </w:tcPr>
          <w:p w14:paraId="7CD492FC"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1A2535D4" w14:textId="77777777" w:rsidTr="00365151">
        <w:trPr>
          <w:trHeight w:val="300"/>
        </w:trPr>
        <w:tc>
          <w:tcPr>
            <w:tcW w:w="760" w:type="dxa"/>
            <w:shd w:val="clear" w:color="auto" w:fill="auto"/>
            <w:hideMark/>
          </w:tcPr>
          <w:p w14:paraId="04BC5DB9"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25</w:t>
            </w:r>
          </w:p>
        </w:tc>
        <w:tc>
          <w:tcPr>
            <w:tcW w:w="2667" w:type="dxa"/>
            <w:shd w:val="clear" w:color="auto" w:fill="auto"/>
            <w:hideMark/>
          </w:tcPr>
          <w:p w14:paraId="233E79D4"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Ropažu novads</w:t>
            </w:r>
          </w:p>
        </w:tc>
        <w:tc>
          <w:tcPr>
            <w:tcW w:w="4111" w:type="dxa"/>
            <w:shd w:val="clear" w:color="auto" w:fill="auto"/>
            <w:hideMark/>
          </w:tcPr>
          <w:p w14:paraId="2ED477C2"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381</w:t>
            </w:r>
          </w:p>
        </w:tc>
      </w:tr>
      <w:tr w:rsidR="002F1BC4" w:rsidRPr="00CD1521" w14:paraId="7A8AEAF8" w14:textId="77777777" w:rsidTr="00365151">
        <w:trPr>
          <w:trHeight w:val="300"/>
        </w:trPr>
        <w:tc>
          <w:tcPr>
            <w:tcW w:w="760" w:type="dxa"/>
            <w:shd w:val="clear" w:color="auto" w:fill="auto"/>
            <w:hideMark/>
          </w:tcPr>
          <w:p w14:paraId="208EBAD8"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26</w:t>
            </w:r>
          </w:p>
        </w:tc>
        <w:tc>
          <w:tcPr>
            <w:tcW w:w="2667" w:type="dxa"/>
            <w:shd w:val="clear" w:color="auto" w:fill="auto"/>
            <w:hideMark/>
          </w:tcPr>
          <w:p w14:paraId="60CBA8D5"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Salaspils novads</w:t>
            </w:r>
          </w:p>
        </w:tc>
        <w:tc>
          <w:tcPr>
            <w:tcW w:w="4111" w:type="dxa"/>
            <w:shd w:val="clear" w:color="auto" w:fill="auto"/>
            <w:hideMark/>
          </w:tcPr>
          <w:p w14:paraId="0018EEB7"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436</w:t>
            </w:r>
          </w:p>
        </w:tc>
      </w:tr>
      <w:tr w:rsidR="002F1BC4" w:rsidRPr="00CD1521" w14:paraId="14CCBC9E" w14:textId="77777777" w:rsidTr="00365151">
        <w:trPr>
          <w:trHeight w:val="300"/>
        </w:trPr>
        <w:tc>
          <w:tcPr>
            <w:tcW w:w="760" w:type="dxa"/>
            <w:shd w:val="clear" w:color="auto" w:fill="auto"/>
            <w:hideMark/>
          </w:tcPr>
          <w:p w14:paraId="3E6515F8"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lastRenderedPageBreak/>
              <w:t>27</w:t>
            </w:r>
          </w:p>
        </w:tc>
        <w:tc>
          <w:tcPr>
            <w:tcW w:w="2667" w:type="dxa"/>
            <w:shd w:val="clear" w:color="auto" w:fill="auto"/>
            <w:hideMark/>
          </w:tcPr>
          <w:p w14:paraId="2FB80D00"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Saldus novads</w:t>
            </w:r>
          </w:p>
        </w:tc>
        <w:tc>
          <w:tcPr>
            <w:tcW w:w="4111" w:type="dxa"/>
            <w:shd w:val="clear" w:color="auto" w:fill="auto"/>
            <w:hideMark/>
          </w:tcPr>
          <w:p w14:paraId="42D7868D"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354</w:t>
            </w:r>
          </w:p>
        </w:tc>
      </w:tr>
      <w:tr w:rsidR="002F1BC4" w:rsidRPr="00CD1521" w14:paraId="55BF4ECB" w14:textId="77777777" w:rsidTr="00365151">
        <w:trPr>
          <w:trHeight w:val="300"/>
        </w:trPr>
        <w:tc>
          <w:tcPr>
            <w:tcW w:w="760" w:type="dxa"/>
            <w:shd w:val="clear" w:color="auto" w:fill="auto"/>
            <w:hideMark/>
          </w:tcPr>
          <w:p w14:paraId="0D6CB08D"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28</w:t>
            </w:r>
          </w:p>
        </w:tc>
        <w:tc>
          <w:tcPr>
            <w:tcW w:w="2667" w:type="dxa"/>
            <w:shd w:val="clear" w:color="auto" w:fill="auto"/>
            <w:hideMark/>
          </w:tcPr>
          <w:p w14:paraId="1263ED65"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Saulkrastu novads</w:t>
            </w:r>
          </w:p>
        </w:tc>
        <w:tc>
          <w:tcPr>
            <w:tcW w:w="4111" w:type="dxa"/>
            <w:shd w:val="clear" w:color="auto" w:fill="auto"/>
            <w:hideMark/>
          </w:tcPr>
          <w:p w14:paraId="1E96F5EA"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354</w:t>
            </w:r>
          </w:p>
        </w:tc>
      </w:tr>
      <w:tr w:rsidR="002F1BC4" w:rsidRPr="00CD1521" w14:paraId="70622024" w14:textId="77777777" w:rsidTr="00365151">
        <w:trPr>
          <w:trHeight w:val="300"/>
        </w:trPr>
        <w:tc>
          <w:tcPr>
            <w:tcW w:w="760" w:type="dxa"/>
            <w:shd w:val="clear" w:color="auto" w:fill="auto"/>
            <w:hideMark/>
          </w:tcPr>
          <w:p w14:paraId="273EB1B1"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29</w:t>
            </w:r>
          </w:p>
        </w:tc>
        <w:tc>
          <w:tcPr>
            <w:tcW w:w="2667" w:type="dxa"/>
            <w:shd w:val="clear" w:color="auto" w:fill="auto"/>
            <w:hideMark/>
          </w:tcPr>
          <w:p w14:paraId="74E87964"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Siguldas novads</w:t>
            </w:r>
          </w:p>
        </w:tc>
        <w:tc>
          <w:tcPr>
            <w:tcW w:w="4111" w:type="dxa"/>
            <w:shd w:val="clear" w:color="auto" w:fill="auto"/>
            <w:hideMark/>
          </w:tcPr>
          <w:p w14:paraId="1585E159"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340</w:t>
            </w:r>
          </w:p>
        </w:tc>
      </w:tr>
      <w:tr w:rsidR="002F1BC4" w:rsidRPr="00CD1521" w14:paraId="31F55B1F" w14:textId="77777777" w:rsidTr="00365151">
        <w:trPr>
          <w:trHeight w:val="300"/>
        </w:trPr>
        <w:tc>
          <w:tcPr>
            <w:tcW w:w="760" w:type="dxa"/>
            <w:shd w:val="clear" w:color="auto" w:fill="auto"/>
            <w:hideMark/>
          </w:tcPr>
          <w:p w14:paraId="7F77F159"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30</w:t>
            </w:r>
          </w:p>
        </w:tc>
        <w:tc>
          <w:tcPr>
            <w:tcW w:w="2667" w:type="dxa"/>
            <w:shd w:val="clear" w:color="auto" w:fill="auto"/>
            <w:hideMark/>
          </w:tcPr>
          <w:p w14:paraId="4A87B36F"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Smiltenes novads</w:t>
            </w:r>
          </w:p>
        </w:tc>
        <w:tc>
          <w:tcPr>
            <w:tcW w:w="4111" w:type="dxa"/>
            <w:shd w:val="clear" w:color="auto" w:fill="auto"/>
            <w:hideMark/>
          </w:tcPr>
          <w:p w14:paraId="52FB89D5"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7CC995D7" w14:textId="77777777" w:rsidTr="00365151">
        <w:trPr>
          <w:trHeight w:val="300"/>
        </w:trPr>
        <w:tc>
          <w:tcPr>
            <w:tcW w:w="760" w:type="dxa"/>
            <w:shd w:val="clear" w:color="auto" w:fill="auto"/>
            <w:hideMark/>
          </w:tcPr>
          <w:p w14:paraId="2CB57D78"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31</w:t>
            </w:r>
          </w:p>
        </w:tc>
        <w:tc>
          <w:tcPr>
            <w:tcW w:w="2667" w:type="dxa"/>
            <w:shd w:val="clear" w:color="auto" w:fill="auto"/>
            <w:hideMark/>
          </w:tcPr>
          <w:p w14:paraId="60A07D8F"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Talsu novads</w:t>
            </w:r>
          </w:p>
        </w:tc>
        <w:tc>
          <w:tcPr>
            <w:tcW w:w="4111" w:type="dxa"/>
            <w:shd w:val="clear" w:color="auto" w:fill="auto"/>
            <w:hideMark/>
          </w:tcPr>
          <w:p w14:paraId="07FDC519"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350</w:t>
            </w:r>
          </w:p>
        </w:tc>
      </w:tr>
      <w:tr w:rsidR="002F1BC4" w:rsidRPr="00CD1521" w14:paraId="3EF37E0B" w14:textId="77777777" w:rsidTr="00365151">
        <w:trPr>
          <w:trHeight w:val="300"/>
        </w:trPr>
        <w:tc>
          <w:tcPr>
            <w:tcW w:w="760" w:type="dxa"/>
            <w:shd w:val="clear" w:color="auto" w:fill="auto"/>
            <w:hideMark/>
          </w:tcPr>
          <w:p w14:paraId="5C86667E"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w:t>
            </w:r>
          </w:p>
        </w:tc>
        <w:tc>
          <w:tcPr>
            <w:tcW w:w="2667" w:type="dxa"/>
            <w:shd w:val="clear" w:color="auto" w:fill="auto"/>
            <w:hideMark/>
          </w:tcPr>
          <w:p w14:paraId="289CAB88"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Tukuma novads</w:t>
            </w:r>
          </w:p>
        </w:tc>
        <w:tc>
          <w:tcPr>
            <w:tcW w:w="4111" w:type="dxa"/>
            <w:shd w:val="clear" w:color="auto" w:fill="auto"/>
            <w:hideMark/>
          </w:tcPr>
          <w:p w14:paraId="1D6D3FB9"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77492FE5" w14:textId="77777777" w:rsidTr="00365151">
        <w:trPr>
          <w:trHeight w:val="300"/>
        </w:trPr>
        <w:tc>
          <w:tcPr>
            <w:tcW w:w="760" w:type="dxa"/>
            <w:shd w:val="clear" w:color="auto" w:fill="auto"/>
            <w:hideMark/>
          </w:tcPr>
          <w:p w14:paraId="1E374F0E"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33</w:t>
            </w:r>
          </w:p>
        </w:tc>
        <w:tc>
          <w:tcPr>
            <w:tcW w:w="2667" w:type="dxa"/>
            <w:shd w:val="clear" w:color="auto" w:fill="auto"/>
            <w:hideMark/>
          </w:tcPr>
          <w:p w14:paraId="25BAB8BF"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Valkas novads</w:t>
            </w:r>
          </w:p>
        </w:tc>
        <w:tc>
          <w:tcPr>
            <w:tcW w:w="4111" w:type="dxa"/>
            <w:shd w:val="clear" w:color="auto" w:fill="auto"/>
            <w:hideMark/>
          </w:tcPr>
          <w:p w14:paraId="074E4E28"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7DC1B36D" w14:textId="77777777" w:rsidTr="00365151">
        <w:trPr>
          <w:trHeight w:val="300"/>
        </w:trPr>
        <w:tc>
          <w:tcPr>
            <w:tcW w:w="760" w:type="dxa"/>
            <w:shd w:val="clear" w:color="auto" w:fill="auto"/>
            <w:hideMark/>
          </w:tcPr>
          <w:p w14:paraId="4DBF496B"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34</w:t>
            </w:r>
          </w:p>
        </w:tc>
        <w:tc>
          <w:tcPr>
            <w:tcW w:w="2667" w:type="dxa"/>
            <w:shd w:val="clear" w:color="auto" w:fill="auto"/>
            <w:hideMark/>
          </w:tcPr>
          <w:p w14:paraId="7B91E867"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Valmieras novads</w:t>
            </w:r>
          </w:p>
        </w:tc>
        <w:tc>
          <w:tcPr>
            <w:tcW w:w="4111" w:type="dxa"/>
            <w:shd w:val="clear" w:color="auto" w:fill="auto"/>
            <w:hideMark/>
          </w:tcPr>
          <w:p w14:paraId="278DBA78"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280</w:t>
            </w:r>
          </w:p>
        </w:tc>
      </w:tr>
      <w:tr w:rsidR="002F1BC4" w:rsidRPr="00CD1521" w14:paraId="541C76F1" w14:textId="77777777" w:rsidTr="00365151">
        <w:trPr>
          <w:trHeight w:val="300"/>
        </w:trPr>
        <w:tc>
          <w:tcPr>
            <w:tcW w:w="760" w:type="dxa"/>
            <w:shd w:val="clear" w:color="auto" w:fill="auto"/>
            <w:hideMark/>
          </w:tcPr>
          <w:p w14:paraId="0B0D5B4F"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35</w:t>
            </w:r>
          </w:p>
        </w:tc>
        <w:tc>
          <w:tcPr>
            <w:tcW w:w="2667" w:type="dxa"/>
            <w:shd w:val="clear" w:color="auto" w:fill="auto"/>
            <w:hideMark/>
          </w:tcPr>
          <w:p w14:paraId="04BAF552"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Varakļānu novads</w:t>
            </w:r>
          </w:p>
        </w:tc>
        <w:tc>
          <w:tcPr>
            <w:tcW w:w="4111" w:type="dxa"/>
            <w:shd w:val="clear" w:color="auto" w:fill="auto"/>
            <w:hideMark/>
          </w:tcPr>
          <w:p w14:paraId="1361EBFC"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r w:rsidR="002F1BC4" w:rsidRPr="00CD1521" w14:paraId="364E0685" w14:textId="77777777" w:rsidTr="00365151">
        <w:trPr>
          <w:trHeight w:val="300"/>
        </w:trPr>
        <w:tc>
          <w:tcPr>
            <w:tcW w:w="760" w:type="dxa"/>
            <w:shd w:val="clear" w:color="auto" w:fill="auto"/>
            <w:hideMark/>
          </w:tcPr>
          <w:p w14:paraId="630BE174" w14:textId="77777777" w:rsidR="002F1BC4" w:rsidRPr="00CD1521" w:rsidRDefault="002F1BC4" w:rsidP="007929AD">
            <w:pPr>
              <w:spacing w:after="0" w:line="240" w:lineRule="auto"/>
              <w:jc w:val="right"/>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36</w:t>
            </w:r>
          </w:p>
        </w:tc>
        <w:tc>
          <w:tcPr>
            <w:tcW w:w="2667" w:type="dxa"/>
            <w:shd w:val="clear" w:color="auto" w:fill="auto"/>
            <w:hideMark/>
          </w:tcPr>
          <w:p w14:paraId="5A8E84C9" w14:textId="77777777" w:rsidR="002F1BC4" w:rsidRPr="00CD1521" w:rsidRDefault="002F1BC4" w:rsidP="007929AD">
            <w:pPr>
              <w:spacing w:after="0" w:line="240" w:lineRule="auto"/>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Ventspils novads</w:t>
            </w:r>
          </w:p>
        </w:tc>
        <w:tc>
          <w:tcPr>
            <w:tcW w:w="4111" w:type="dxa"/>
            <w:shd w:val="clear" w:color="auto" w:fill="auto"/>
            <w:hideMark/>
          </w:tcPr>
          <w:p w14:paraId="2888F733" w14:textId="77777777" w:rsidR="002F1BC4" w:rsidRPr="00CD1521" w:rsidRDefault="002F1BC4" w:rsidP="00365151">
            <w:pPr>
              <w:spacing w:after="0" w:line="240" w:lineRule="auto"/>
              <w:jc w:val="center"/>
              <w:rPr>
                <w:rFonts w:ascii="Times New Roman" w:eastAsia="Times New Roman" w:hAnsi="Times New Roman" w:cs="Times New Roman"/>
                <w:sz w:val="20"/>
                <w:szCs w:val="20"/>
                <w:lang w:eastAsia="lv-LV"/>
              </w:rPr>
            </w:pPr>
            <w:r w:rsidRPr="00CD1521">
              <w:rPr>
                <w:rFonts w:ascii="Times New Roman" w:eastAsia="Times New Roman" w:hAnsi="Times New Roman" w:cs="Times New Roman"/>
                <w:sz w:val="20"/>
                <w:szCs w:val="20"/>
                <w:lang w:eastAsia="lv-LV"/>
              </w:rPr>
              <w:t>327</w:t>
            </w:r>
          </w:p>
        </w:tc>
      </w:tr>
    </w:tbl>
    <w:p w14:paraId="4F714323" w14:textId="77777777" w:rsidR="00A71A63" w:rsidRPr="005C7DD0" w:rsidRDefault="00A71A63" w:rsidP="00A71A63">
      <w:pPr>
        <w:pStyle w:val="tv213"/>
        <w:shd w:val="clear" w:color="auto" w:fill="FFFFFF"/>
        <w:spacing w:before="0" w:beforeAutospacing="0" w:after="0" w:afterAutospacing="0"/>
        <w:jc w:val="both"/>
        <w:rPr>
          <w:sz w:val="20"/>
          <w:szCs w:val="20"/>
        </w:rPr>
      </w:pPr>
      <w:r w:rsidRPr="005C7DD0">
        <w:rPr>
          <w:sz w:val="20"/>
          <w:szCs w:val="20"/>
        </w:rPr>
        <w:t>Datu avots: LM oficiālie statistikas pārskati par 2021.gadu.</w:t>
      </w:r>
    </w:p>
    <w:p w14:paraId="6C78511A" w14:textId="77777777" w:rsidR="00A31D1A" w:rsidRPr="000C13E5" w:rsidRDefault="00A31D1A" w:rsidP="00017A0E">
      <w:pPr>
        <w:pStyle w:val="tv213"/>
        <w:shd w:val="clear" w:color="auto" w:fill="FFFFFF"/>
        <w:spacing w:before="0" w:beforeAutospacing="0" w:after="0" w:afterAutospacing="0"/>
        <w:jc w:val="both"/>
      </w:pPr>
    </w:p>
    <w:p w14:paraId="52D1AFD9" w14:textId="177BD731" w:rsidR="001944BD" w:rsidRDefault="0086400D" w:rsidP="0061422A">
      <w:pPr>
        <w:pStyle w:val="tv213"/>
        <w:shd w:val="clear" w:color="auto" w:fill="FFFFFF"/>
        <w:spacing w:before="0" w:beforeAutospacing="0" w:after="0" w:afterAutospacing="0"/>
        <w:ind w:firstLine="709"/>
        <w:jc w:val="both"/>
      </w:pPr>
      <w:r>
        <w:t>Kā redzams 2.</w:t>
      </w:r>
      <w:r w:rsidR="001944BD">
        <w:t>tabulā</w:t>
      </w:r>
      <w:r w:rsidR="00451C4D">
        <w:t>,</w:t>
      </w:r>
      <w:r w:rsidR="001944BD">
        <w:t xml:space="preserve"> tikai 8 pašvaldībās ir </w:t>
      </w:r>
      <w:r w:rsidR="001944BD" w:rsidRPr="001944BD">
        <w:t xml:space="preserve">augstākais </w:t>
      </w:r>
      <w:r w:rsidR="001944BD">
        <w:t xml:space="preserve">likumā noteiktais </w:t>
      </w:r>
      <w:r w:rsidR="00451C4D">
        <w:t xml:space="preserve">(pieļaujamais) </w:t>
      </w:r>
      <w:r w:rsidR="001944BD" w:rsidRPr="001944BD">
        <w:t xml:space="preserve">maznodrošinātas mājsaimniecības ienākumu </w:t>
      </w:r>
      <w:r w:rsidR="00BA4FED">
        <w:t>slieksnis</w:t>
      </w:r>
      <w:r w:rsidR="00BA4FED" w:rsidRPr="001944BD">
        <w:t xml:space="preserve"> </w:t>
      </w:r>
      <w:r w:rsidR="001944BD" w:rsidRPr="001944BD">
        <w:t>pirmajai personai</w:t>
      </w:r>
      <w:r w:rsidR="001944BD">
        <w:t xml:space="preserve">, kas atbilst 3.kvintiles </w:t>
      </w:r>
      <w:r w:rsidR="00BA4FED">
        <w:t xml:space="preserve">ienākumu </w:t>
      </w:r>
      <w:r w:rsidR="001944BD">
        <w:t>robežai. Pārējās 3</w:t>
      </w:r>
      <w:r w:rsidR="00BA4FED">
        <w:t>3</w:t>
      </w:r>
      <w:r w:rsidR="001944BD">
        <w:t xml:space="preserve"> pašvaldībās </w:t>
      </w:r>
      <w:r w:rsidR="001944BD" w:rsidRPr="001944BD">
        <w:t>maznodrošināto mājsaimniecību augstākais ienākumu slieksnis</w:t>
      </w:r>
      <w:r w:rsidR="001944BD">
        <w:t xml:space="preserve"> ir noteikts līdz 2</w:t>
      </w:r>
      <w:r w:rsidR="00451C4D">
        <w:t>.</w:t>
      </w:r>
      <w:r w:rsidR="001944BD">
        <w:t>kvintiles augstākajai robežai. Labklājības ministrija piedāvās no 2023. gada 1.</w:t>
      </w:r>
      <w:r w:rsidR="006F00CE">
        <w:t> </w:t>
      </w:r>
      <w:r w:rsidR="001944BD">
        <w:t xml:space="preserve">janvāra palielināt </w:t>
      </w:r>
      <w:r w:rsidR="001944BD" w:rsidRPr="001944BD">
        <w:t xml:space="preserve">maznodrošinātas </w:t>
      </w:r>
      <w:r w:rsidR="001944BD">
        <w:t>mājsaimniecības ienākumu augstāko slieksni</w:t>
      </w:r>
      <w:r w:rsidR="00932B0A">
        <w:rPr>
          <w:rStyle w:val="FootnoteReference"/>
        </w:rPr>
        <w:footnoteReference w:id="7"/>
      </w:r>
      <w:r w:rsidR="001944BD">
        <w:t xml:space="preserve"> un tā </w:t>
      </w:r>
      <w:r w:rsidR="00451C4D">
        <w:t xml:space="preserve">pieļaujamais augstākais </w:t>
      </w:r>
      <w:r w:rsidR="001944BD">
        <w:t xml:space="preserve">apmērs būs </w:t>
      </w:r>
      <w:r w:rsidR="00FD185B">
        <w:t xml:space="preserve">noteikts 80% </w:t>
      </w:r>
      <w:r w:rsidR="005C7DD0">
        <w:t xml:space="preserve">apmērā </w:t>
      </w:r>
      <w:r w:rsidR="00FD185B">
        <w:t>no minimālās ienākumu mediānas</w:t>
      </w:r>
      <w:r w:rsidR="00FD185B">
        <w:rPr>
          <w:rStyle w:val="FootnoteReference"/>
        </w:rPr>
        <w:footnoteReference w:id="8"/>
      </w:r>
      <w:r w:rsidR="00FD185B">
        <w:t xml:space="preserve">, attiecīgi veidojot </w:t>
      </w:r>
      <w:r w:rsidR="006F00CE">
        <w:t>501</w:t>
      </w:r>
      <w:r w:rsidR="001944BD" w:rsidRPr="000C13E5">
        <w:t> </w:t>
      </w:r>
      <w:r w:rsidR="001944BD" w:rsidRPr="00CC5AC2">
        <w:rPr>
          <w:i/>
          <w:iCs/>
        </w:rPr>
        <w:t>euro</w:t>
      </w:r>
      <w:r w:rsidR="001944BD">
        <w:t xml:space="preserve"> </w:t>
      </w:r>
      <w:r w:rsidR="001944BD" w:rsidRPr="000C13E5">
        <w:t xml:space="preserve">pirmajai vai vienīgajai personai mājsaimniecībā un </w:t>
      </w:r>
      <w:r w:rsidR="006F00CE">
        <w:t>351</w:t>
      </w:r>
      <w:r w:rsidR="001944BD" w:rsidRPr="000C13E5">
        <w:t> </w:t>
      </w:r>
      <w:r w:rsidR="001944BD" w:rsidRPr="00CC5AC2">
        <w:rPr>
          <w:i/>
          <w:iCs/>
        </w:rPr>
        <w:t>euro</w:t>
      </w:r>
      <w:r w:rsidR="001944BD">
        <w:t xml:space="preserve"> </w:t>
      </w:r>
      <w:r w:rsidR="001944BD" w:rsidRPr="000C13E5">
        <w:t>pārējām personām mājsaimniecībā</w:t>
      </w:r>
      <w:r w:rsidR="005C7DD0">
        <w:rPr>
          <w:rStyle w:val="FootnoteReference"/>
        </w:rPr>
        <w:footnoteReference w:id="9"/>
      </w:r>
      <w:r w:rsidR="001944BD" w:rsidRPr="000C13E5">
        <w:t>.</w:t>
      </w:r>
      <w:r w:rsidR="006F00CE">
        <w:t xml:space="preserve"> </w:t>
      </w:r>
      <w:r w:rsidR="00FD185B">
        <w:t>Tādējādi</w:t>
      </w:r>
      <w:r w:rsidR="006F00CE">
        <w:t xml:space="preserve"> 2023.gadā </w:t>
      </w:r>
      <w:r w:rsidR="006F00CE" w:rsidRPr="001944BD">
        <w:t xml:space="preserve">maznodrošināto </w:t>
      </w:r>
      <w:r w:rsidR="006F00CE">
        <w:t>mājsaimniecību pirmo vai vienīgo personu</w:t>
      </w:r>
      <w:r w:rsidR="001944BD">
        <w:t xml:space="preserve"> ienākumi būs </w:t>
      </w:r>
      <w:r w:rsidR="006F00CE">
        <w:t>3</w:t>
      </w:r>
      <w:r w:rsidR="001944BD">
        <w:t xml:space="preserve">.kvintiles </w:t>
      </w:r>
      <w:r w:rsidR="006F00CE">
        <w:t>robežās</w:t>
      </w:r>
      <w:r w:rsidR="001944BD">
        <w:t xml:space="preserve">, </w:t>
      </w:r>
      <w:r w:rsidR="006F00CE">
        <w:t>bet</w:t>
      </w:r>
      <w:r w:rsidR="00FD185B">
        <w:t xml:space="preserve"> pārējo </w:t>
      </w:r>
      <w:r w:rsidR="001944BD">
        <w:t xml:space="preserve">mājsaimniecību </w:t>
      </w:r>
      <w:r w:rsidR="006F00CE">
        <w:t xml:space="preserve">locekļu ienākumi - </w:t>
      </w:r>
      <w:r w:rsidR="001944BD">
        <w:t xml:space="preserve">2.kvintiles </w:t>
      </w:r>
      <w:r w:rsidR="006F00CE">
        <w:t xml:space="preserve">robežās. Tomēr jāņem vērā, ka </w:t>
      </w:r>
      <w:r w:rsidR="00451C4D">
        <w:t xml:space="preserve">vienlaikus </w:t>
      </w:r>
      <w:r w:rsidR="006F00CE">
        <w:t xml:space="preserve">pašvaldībām saglabāsies tiesības noteikt zemāku </w:t>
      </w:r>
      <w:r w:rsidR="006F00CE" w:rsidRPr="001944BD">
        <w:t xml:space="preserve">maznodrošināto mājsaimniecību </w:t>
      </w:r>
      <w:r w:rsidR="006F00CE">
        <w:t xml:space="preserve">ienākumu </w:t>
      </w:r>
      <w:r w:rsidR="00BA4FED">
        <w:t>slieksni</w:t>
      </w:r>
      <w:r w:rsidR="006F00CE">
        <w:t xml:space="preserve">, </w:t>
      </w:r>
      <w:r w:rsidR="00451C4D">
        <w:t xml:space="preserve">jo </w:t>
      </w:r>
      <w:r w:rsidR="006F00CE">
        <w:t>Sociālo pakalpojumu un sociālās palīdzības likum</w:t>
      </w:r>
      <w:r w:rsidR="00451C4D">
        <w:t xml:space="preserve">s paredz, ka maznodrošinātās mājsaimniecības </w:t>
      </w:r>
      <w:r w:rsidR="001D2198">
        <w:t>ienākumu</w:t>
      </w:r>
      <w:r w:rsidR="00451C4D">
        <w:t xml:space="preserve"> slieksnis nedrīkst būt zemāks par trūcīgas </w:t>
      </w:r>
      <w:r w:rsidR="001D2198">
        <w:t xml:space="preserve">mājsaimniecības </w:t>
      </w:r>
      <w:r w:rsidR="00451C4D">
        <w:t>ienākumu slieksni</w:t>
      </w:r>
      <w:r w:rsidR="006F00CE">
        <w:t xml:space="preserve">. </w:t>
      </w:r>
    </w:p>
    <w:p w14:paraId="5BE1C818" w14:textId="34E17177" w:rsidR="001F6051" w:rsidRDefault="001F6051" w:rsidP="0061422A">
      <w:pPr>
        <w:pStyle w:val="tv213"/>
        <w:shd w:val="clear" w:color="auto" w:fill="FFFFFF"/>
        <w:spacing w:before="0" w:beforeAutospacing="0" w:after="0" w:afterAutospacing="0"/>
        <w:ind w:firstLine="709"/>
        <w:jc w:val="both"/>
      </w:pPr>
      <w:r>
        <w:t xml:space="preserve">Vērtējot mājsaimniecību locekļu rīcībā esošos ienākumus </w:t>
      </w:r>
      <w:r w:rsidR="00FD185B">
        <w:t>kvintiļu grupās pēc vecuma</w:t>
      </w:r>
      <w:r w:rsidR="00451C4D">
        <w:t>,</w:t>
      </w:r>
      <w:r w:rsidR="00FD185B">
        <w:t xml:space="preserve"> kā </w:t>
      </w:r>
      <w:r w:rsidRPr="0086400D">
        <w:t xml:space="preserve">redzams </w:t>
      </w:r>
      <w:r w:rsidR="0086400D" w:rsidRPr="0086400D">
        <w:t>3</w:t>
      </w:r>
      <w:r w:rsidRPr="0086400D">
        <w:t>.</w:t>
      </w:r>
      <w:r w:rsidR="00FD185B" w:rsidRPr="0086400D">
        <w:t>grafikā</w:t>
      </w:r>
      <w:r w:rsidR="00451C4D" w:rsidRPr="0086400D">
        <w:t>,</w:t>
      </w:r>
      <w:r w:rsidRPr="0086400D">
        <w:t xml:space="preserve"> bērniem</w:t>
      </w:r>
      <w:r>
        <w:t xml:space="preserve">, jauniešiem un pensijas vecuma cilvēkiem </w:t>
      </w:r>
      <w:r w:rsidR="00FD185B">
        <w:t xml:space="preserve">ienākumi </w:t>
      </w:r>
      <w:r>
        <w:t>lielākoties koncentrējās līdz 3.ienākumu kvintilei. Darbspējas vecuma grupu ienākum</w:t>
      </w:r>
      <w:r w:rsidR="00451C4D">
        <w:t>i</w:t>
      </w:r>
      <w:r>
        <w:t xml:space="preserve"> vidēji ir 4.kvintiles ienākumu robežās. </w:t>
      </w:r>
    </w:p>
    <w:p w14:paraId="536CC1A3" w14:textId="77777777" w:rsidR="00514212" w:rsidRDefault="00514212" w:rsidP="001944BD">
      <w:pPr>
        <w:pStyle w:val="tv213"/>
        <w:shd w:val="clear" w:color="auto" w:fill="FFFFFF"/>
        <w:spacing w:before="0" w:beforeAutospacing="0" w:after="0" w:afterAutospacing="0"/>
        <w:jc w:val="both"/>
      </w:pPr>
    </w:p>
    <w:p w14:paraId="7F67758E" w14:textId="3682EF2D" w:rsidR="00FD185B" w:rsidRDefault="001F5B58" w:rsidP="001944BD">
      <w:pPr>
        <w:pStyle w:val="tv213"/>
        <w:shd w:val="clear" w:color="auto" w:fill="FFFFFF"/>
        <w:spacing w:before="0" w:beforeAutospacing="0" w:after="0" w:afterAutospacing="0"/>
        <w:jc w:val="both"/>
      </w:pPr>
      <w:r>
        <w:t>3</w:t>
      </w:r>
      <w:r w:rsidR="00FD185B">
        <w:t xml:space="preserve">.grafiks. </w:t>
      </w:r>
    </w:p>
    <w:p w14:paraId="0D4A26F5" w14:textId="49725319" w:rsidR="001F6051" w:rsidRDefault="001F6051" w:rsidP="00FD185B">
      <w:pPr>
        <w:pStyle w:val="tv213"/>
        <w:shd w:val="clear" w:color="auto" w:fill="FFFFFF"/>
        <w:spacing w:before="0" w:beforeAutospacing="0" w:after="0" w:afterAutospacing="0"/>
        <w:jc w:val="center"/>
      </w:pPr>
      <w:r w:rsidRPr="001F6051">
        <w:rPr>
          <w:noProof/>
          <w:sz w:val="20"/>
        </w:rPr>
        <w:lastRenderedPageBreak/>
        <w:drawing>
          <wp:inline distT="0" distB="0" distL="0" distR="0" wp14:anchorId="41EAC637" wp14:editId="33FA6415">
            <wp:extent cx="4572000" cy="2834640"/>
            <wp:effectExtent l="0" t="0" r="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87941D" w14:textId="613BD8E1" w:rsidR="007067FC" w:rsidRPr="005C7DD0" w:rsidRDefault="000845A5" w:rsidP="0087275E">
      <w:pPr>
        <w:jc w:val="both"/>
        <w:rPr>
          <w:rFonts w:ascii="Times New Roman" w:hAnsi="Times New Roman" w:cs="Times New Roman"/>
          <w:sz w:val="20"/>
          <w:szCs w:val="20"/>
        </w:rPr>
      </w:pPr>
      <w:r w:rsidRPr="005C7DD0">
        <w:rPr>
          <w:rFonts w:ascii="Times New Roman" w:eastAsia="Times New Roman" w:hAnsi="Times New Roman" w:cs="Times New Roman"/>
          <w:sz w:val="20"/>
          <w:szCs w:val="20"/>
          <w:lang w:eastAsia="lv-LV"/>
        </w:rPr>
        <w:t>Datu avots: Centrālā statistikas pārvalde, Oficiālās statistikas portāls, datu tabula MIS070</w:t>
      </w:r>
    </w:p>
    <w:p w14:paraId="40649E36" w14:textId="4890D4B7" w:rsidR="001F6051" w:rsidRDefault="001F6051" w:rsidP="0061422A">
      <w:pPr>
        <w:ind w:firstLine="709"/>
        <w:jc w:val="both"/>
        <w:rPr>
          <w:rFonts w:ascii="Times New Roman" w:hAnsi="Times New Roman" w:cs="Times New Roman"/>
          <w:sz w:val="24"/>
          <w:szCs w:val="24"/>
        </w:rPr>
      </w:pPr>
      <w:r>
        <w:rPr>
          <w:rFonts w:ascii="Times New Roman" w:hAnsi="Times New Roman" w:cs="Times New Roman"/>
          <w:sz w:val="24"/>
          <w:szCs w:val="24"/>
        </w:rPr>
        <w:t xml:space="preserve">Savukārt reģionu griezumā </w:t>
      </w:r>
      <w:r w:rsidRPr="003B425A">
        <w:rPr>
          <w:rFonts w:ascii="Times New Roman" w:hAnsi="Times New Roman" w:cs="Times New Roman"/>
          <w:sz w:val="24"/>
          <w:szCs w:val="24"/>
        </w:rPr>
        <w:t xml:space="preserve">vērtējot, </w:t>
      </w:r>
      <w:r w:rsidR="003B425A" w:rsidRPr="003B425A">
        <w:rPr>
          <w:rFonts w:ascii="Times New Roman" w:hAnsi="Times New Roman" w:cs="Times New Roman"/>
          <w:sz w:val="24"/>
          <w:szCs w:val="24"/>
        </w:rPr>
        <w:t>4.</w:t>
      </w:r>
      <w:r w:rsidR="003B77A4" w:rsidRPr="003B425A">
        <w:rPr>
          <w:rFonts w:ascii="Times New Roman" w:hAnsi="Times New Roman" w:cs="Times New Roman"/>
          <w:sz w:val="24"/>
          <w:szCs w:val="24"/>
        </w:rPr>
        <w:t>grafikā</w:t>
      </w:r>
      <w:r w:rsidRPr="003B425A">
        <w:rPr>
          <w:rFonts w:ascii="Times New Roman" w:hAnsi="Times New Roman" w:cs="Times New Roman"/>
          <w:sz w:val="24"/>
          <w:szCs w:val="24"/>
        </w:rPr>
        <w:t xml:space="preserve"> ir</w:t>
      </w:r>
      <w:r>
        <w:rPr>
          <w:rFonts w:ascii="Times New Roman" w:hAnsi="Times New Roman" w:cs="Times New Roman"/>
          <w:sz w:val="24"/>
          <w:szCs w:val="24"/>
        </w:rPr>
        <w:t xml:space="preserve"> </w:t>
      </w:r>
      <w:r w:rsidR="00DA3E7F">
        <w:rPr>
          <w:rFonts w:ascii="Times New Roman" w:hAnsi="Times New Roman" w:cs="Times New Roman"/>
          <w:sz w:val="24"/>
          <w:szCs w:val="24"/>
        </w:rPr>
        <w:t>redzams, ka Latgales, Vidzemes, Kurzemes un Zemgales reģionos mājsaimniecību rīcībā esošie ienākumi vidēji uz vienu mājsaimniecības locekli ir 3.kvintiles ienākumu robežās, savukārt Rīgas reģiona mājsaimniecību rīcībā esošie ienākumi vidēji uz vienu mājsaimniecības locekli ir 4.kvintiles ienākumu robežās.</w:t>
      </w:r>
    </w:p>
    <w:p w14:paraId="7EEA4CB3" w14:textId="7A7B2D65" w:rsidR="003B77A4" w:rsidRDefault="001F5B58" w:rsidP="0087275E">
      <w:pPr>
        <w:jc w:val="both"/>
        <w:rPr>
          <w:rFonts w:ascii="Times New Roman" w:hAnsi="Times New Roman" w:cs="Times New Roman"/>
          <w:sz w:val="24"/>
          <w:szCs w:val="24"/>
        </w:rPr>
      </w:pPr>
      <w:r>
        <w:rPr>
          <w:rFonts w:ascii="Times New Roman" w:hAnsi="Times New Roman" w:cs="Times New Roman"/>
          <w:sz w:val="24"/>
          <w:szCs w:val="24"/>
        </w:rPr>
        <w:t>4.</w:t>
      </w:r>
      <w:r w:rsidR="003B77A4">
        <w:rPr>
          <w:rFonts w:ascii="Times New Roman" w:hAnsi="Times New Roman" w:cs="Times New Roman"/>
          <w:sz w:val="24"/>
          <w:szCs w:val="24"/>
        </w:rPr>
        <w:t xml:space="preserve"> grafiks</w:t>
      </w:r>
      <w:r>
        <w:rPr>
          <w:rFonts w:ascii="Times New Roman" w:hAnsi="Times New Roman" w:cs="Times New Roman"/>
          <w:sz w:val="24"/>
          <w:szCs w:val="24"/>
        </w:rPr>
        <w:t>.</w:t>
      </w:r>
    </w:p>
    <w:p w14:paraId="26023CF1" w14:textId="6E3CED46" w:rsidR="00447129" w:rsidRPr="00447129" w:rsidRDefault="00A31D1A" w:rsidP="0087275E">
      <w:pPr>
        <w:jc w:val="both"/>
        <w:rPr>
          <w:rFonts w:ascii="Times New Roman" w:hAnsi="Times New Roman" w:cs="Times New Roman"/>
          <w:sz w:val="24"/>
          <w:szCs w:val="24"/>
        </w:rPr>
      </w:pPr>
      <w:r>
        <w:rPr>
          <w:noProof/>
          <w:lang w:eastAsia="lv-LV"/>
        </w:rPr>
        <w:drawing>
          <wp:inline distT="0" distB="0" distL="0" distR="0" wp14:anchorId="3267833A" wp14:editId="6B3158B0">
            <wp:extent cx="5120640" cy="3764280"/>
            <wp:effectExtent l="0" t="0" r="381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87B036" w14:textId="4B0EBAA3" w:rsidR="00A31D1A" w:rsidRDefault="000845A5" w:rsidP="000F2019">
      <w:pPr>
        <w:spacing w:after="0"/>
        <w:jc w:val="both"/>
        <w:rPr>
          <w:rFonts w:ascii="Times New Roman" w:hAnsi="Times New Roman" w:cs="Times New Roman"/>
          <w:szCs w:val="24"/>
        </w:rPr>
      </w:pPr>
      <w:r w:rsidRPr="000845A5">
        <w:rPr>
          <w:rFonts w:ascii="Times New Roman" w:hAnsi="Times New Roman" w:cs="Times New Roman"/>
          <w:szCs w:val="24"/>
        </w:rPr>
        <w:t>Datu avots: Centrālā statistikas pārvalde, Oficiālās statistikas portāls, datu tabula MIS030</w:t>
      </w:r>
    </w:p>
    <w:p w14:paraId="0F1AEC64" w14:textId="77777777" w:rsidR="000845A5" w:rsidRDefault="000845A5" w:rsidP="000F2019">
      <w:pPr>
        <w:spacing w:after="0"/>
        <w:jc w:val="both"/>
        <w:rPr>
          <w:rFonts w:ascii="Times New Roman" w:hAnsi="Times New Roman" w:cs="Times New Roman"/>
          <w:b/>
          <w:sz w:val="24"/>
          <w:szCs w:val="24"/>
        </w:rPr>
      </w:pPr>
    </w:p>
    <w:p w14:paraId="57924433" w14:textId="2FDD0A98" w:rsidR="00B64BE5" w:rsidRPr="00B64BE5" w:rsidRDefault="00DA3E7F" w:rsidP="0061422A">
      <w:pPr>
        <w:spacing w:after="0"/>
        <w:ind w:firstLine="709"/>
        <w:jc w:val="both"/>
        <w:rPr>
          <w:rFonts w:ascii="Times New Roman" w:hAnsi="Times New Roman" w:cs="Times New Roman"/>
          <w:sz w:val="24"/>
          <w:szCs w:val="24"/>
        </w:rPr>
      </w:pPr>
      <w:r w:rsidRPr="00DA3E7F">
        <w:rPr>
          <w:rFonts w:ascii="Times New Roman" w:hAnsi="Times New Roman" w:cs="Times New Roman"/>
          <w:sz w:val="24"/>
          <w:szCs w:val="24"/>
        </w:rPr>
        <w:lastRenderedPageBreak/>
        <w:t xml:space="preserve">Saskaņā ar </w:t>
      </w:r>
      <w:r w:rsidR="003B77A4">
        <w:rPr>
          <w:rFonts w:ascii="Times New Roman" w:hAnsi="Times New Roman" w:cs="Times New Roman"/>
          <w:sz w:val="24"/>
          <w:szCs w:val="24"/>
        </w:rPr>
        <w:t>Centrālās statistikas pārvaldes</w:t>
      </w:r>
      <w:r>
        <w:rPr>
          <w:rFonts w:ascii="Times New Roman" w:hAnsi="Times New Roman" w:cs="Times New Roman"/>
          <w:sz w:val="24"/>
          <w:szCs w:val="24"/>
        </w:rPr>
        <w:t xml:space="preserve"> sniegto </w:t>
      </w:r>
      <w:r w:rsidR="00B64BE5">
        <w:rPr>
          <w:rFonts w:ascii="Times New Roman" w:hAnsi="Times New Roman" w:cs="Times New Roman"/>
          <w:sz w:val="24"/>
          <w:szCs w:val="24"/>
        </w:rPr>
        <w:t>informāciju personu skaits</w:t>
      </w:r>
      <w:r w:rsidR="00B64BE5" w:rsidRPr="00B64BE5">
        <w:rPr>
          <w:rFonts w:ascii="Times New Roman" w:hAnsi="Times New Roman" w:cs="Times New Roman"/>
          <w:sz w:val="24"/>
          <w:szCs w:val="24"/>
        </w:rPr>
        <w:t>, kuri ienākumi ir ma</w:t>
      </w:r>
      <w:r w:rsidR="008C08C4">
        <w:rPr>
          <w:rFonts w:ascii="Times New Roman" w:hAnsi="Times New Roman" w:cs="Times New Roman"/>
          <w:sz w:val="24"/>
          <w:szCs w:val="24"/>
        </w:rPr>
        <w:t>zāki par 508,57 eu</w:t>
      </w:r>
      <w:r w:rsidR="00B64BE5">
        <w:rPr>
          <w:rFonts w:ascii="Times New Roman" w:hAnsi="Times New Roman" w:cs="Times New Roman"/>
          <w:sz w:val="24"/>
          <w:szCs w:val="24"/>
        </w:rPr>
        <w:t>ro uz vienu mājsaimniecības</w:t>
      </w:r>
      <w:r w:rsidR="00B64BE5" w:rsidRPr="00B64BE5">
        <w:rPr>
          <w:rFonts w:ascii="Times New Roman" w:hAnsi="Times New Roman" w:cs="Times New Roman"/>
          <w:sz w:val="24"/>
          <w:szCs w:val="24"/>
        </w:rPr>
        <w:t xml:space="preserve"> locekli mēnesī 2020.gadā vecuma grupu griezumā:</w:t>
      </w:r>
    </w:p>
    <w:p w14:paraId="214F2EB2" w14:textId="707A4455" w:rsidR="00B64BE5" w:rsidRPr="0061422A" w:rsidRDefault="00B64BE5" w:rsidP="005817AF">
      <w:pPr>
        <w:pStyle w:val="ListParagraph"/>
        <w:numPr>
          <w:ilvl w:val="0"/>
          <w:numId w:val="46"/>
        </w:numPr>
        <w:spacing w:after="0"/>
        <w:jc w:val="both"/>
        <w:rPr>
          <w:rFonts w:ascii="Times New Roman" w:hAnsi="Times New Roman" w:cs="Times New Roman"/>
          <w:sz w:val="24"/>
          <w:szCs w:val="24"/>
        </w:rPr>
      </w:pPr>
      <w:r w:rsidRPr="0061422A">
        <w:rPr>
          <w:rFonts w:ascii="Times New Roman" w:hAnsi="Times New Roman" w:cs="Times New Roman"/>
          <w:sz w:val="24"/>
          <w:szCs w:val="24"/>
        </w:rPr>
        <w:t>Bērni 0-17 gadi: 210,7 tūkst.</w:t>
      </w:r>
    </w:p>
    <w:p w14:paraId="75BF3827" w14:textId="02092BFC" w:rsidR="00B64BE5" w:rsidRPr="0061422A" w:rsidRDefault="0099622B" w:rsidP="005817AF">
      <w:pPr>
        <w:pStyle w:val="ListParagraph"/>
        <w:numPr>
          <w:ilvl w:val="0"/>
          <w:numId w:val="46"/>
        </w:numPr>
        <w:spacing w:after="0"/>
        <w:jc w:val="both"/>
        <w:rPr>
          <w:rFonts w:ascii="Times New Roman" w:hAnsi="Times New Roman" w:cs="Times New Roman"/>
          <w:sz w:val="24"/>
          <w:szCs w:val="24"/>
        </w:rPr>
      </w:pPr>
      <w:r w:rsidRPr="0061422A">
        <w:rPr>
          <w:rFonts w:ascii="Times New Roman" w:hAnsi="Times New Roman" w:cs="Times New Roman"/>
          <w:sz w:val="24"/>
          <w:szCs w:val="24"/>
        </w:rPr>
        <w:t xml:space="preserve">Darbspējas vecumā </w:t>
      </w:r>
      <w:r w:rsidR="00B64BE5" w:rsidRPr="0061422A">
        <w:rPr>
          <w:rFonts w:ascii="Times New Roman" w:hAnsi="Times New Roman" w:cs="Times New Roman"/>
          <w:sz w:val="24"/>
          <w:szCs w:val="24"/>
        </w:rPr>
        <w:t>18-64 gadi: 476,7 tūkst.</w:t>
      </w:r>
    </w:p>
    <w:p w14:paraId="51FA3491" w14:textId="41803490" w:rsidR="00DA3E7F" w:rsidRPr="0061422A" w:rsidRDefault="0099622B" w:rsidP="005817AF">
      <w:pPr>
        <w:pStyle w:val="ListParagraph"/>
        <w:numPr>
          <w:ilvl w:val="0"/>
          <w:numId w:val="46"/>
        </w:numPr>
        <w:spacing w:after="0"/>
        <w:jc w:val="both"/>
        <w:rPr>
          <w:rFonts w:ascii="Times New Roman" w:hAnsi="Times New Roman" w:cs="Times New Roman"/>
          <w:sz w:val="24"/>
          <w:szCs w:val="24"/>
        </w:rPr>
      </w:pPr>
      <w:r w:rsidRPr="0061422A">
        <w:rPr>
          <w:rFonts w:ascii="Times New Roman" w:hAnsi="Times New Roman" w:cs="Times New Roman"/>
          <w:sz w:val="24"/>
          <w:szCs w:val="24"/>
        </w:rPr>
        <w:t xml:space="preserve">Pensijas vecuma virs </w:t>
      </w:r>
      <w:r w:rsidR="00B64BE5" w:rsidRPr="0061422A">
        <w:rPr>
          <w:rFonts w:ascii="Times New Roman" w:hAnsi="Times New Roman" w:cs="Times New Roman"/>
          <w:sz w:val="24"/>
          <w:szCs w:val="24"/>
        </w:rPr>
        <w:t>65</w:t>
      </w:r>
      <w:r w:rsidRPr="0061422A">
        <w:rPr>
          <w:rFonts w:ascii="Times New Roman" w:hAnsi="Times New Roman" w:cs="Times New Roman"/>
          <w:sz w:val="24"/>
          <w:szCs w:val="24"/>
        </w:rPr>
        <w:t xml:space="preserve"> gadiem</w:t>
      </w:r>
      <w:r w:rsidR="00B64BE5" w:rsidRPr="0061422A">
        <w:rPr>
          <w:rFonts w:ascii="Times New Roman" w:hAnsi="Times New Roman" w:cs="Times New Roman"/>
          <w:sz w:val="24"/>
          <w:szCs w:val="24"/>
        </w:rPr>
        <w:t>: 251,3 tūkst.</w:t>
      </w:r>
    </w:p>
    <w:p w14:paraId="59E60347" w14:textId="2AA8D503" w:rsidR="0099622B" w:rsidRPr="0099622B" w:rsidRDefault="0099622B" w:rsidP="00F86151">
      <w:pPr>
        <w:spacing w:before="120" w:after="0"/>
        <w:ind w:firstLine="360"/>
        <w:jc w:val="both"/>
        <w:rPr>
          <w:rFonts w:ascii="Times New Roman" w:hAnsi="Times New Roman" w:cs="Times New Roman"/>
          <w:sz w:val="24"/>
          <w:szCs w:val="24"/>
        </w:rPr>
      </w:pPr>
      <w:r>
        <w:rPr>
          <w:rFonts w:ascii="Times New Roman" w:hAnsi="Times New Roman" w:cs="Times New Roman"/>
          <w:sz w:val="24"/>
          <w:szCs w:val="24"/>
        </w:rPr>
        <w:t>Tādējādi kopumā, ja atbalsts tiek orientēts uz mājsaimniecībām, kuru ienākumi ir 1.-3.kvintil</w:t>
      </w:r>
      <w:r w:rsidR="001D2198">
        <w:rPr>
          <w:rFonts w:ascii="Times New Roman" w:hAnsi="Times New Roman" w:cs="Times New Roman"/>
          <w:sz w:val="24"/>
          <w:szCs w:val="24"/>
        </w:rPr>
        <w:t>es robežās</w:t>
      </w:r>
      <w:r>
        <w:rPr>
          <w:rFonts w:ascii="Times New Roman" w:hAnsi="Times New Roman" w:cs="Times New Roman"/>
          <w:sz w:val="24"/>
          <w:szCs w:val="24"/>
        </w:rPr>
        <w:t xml:space="preserve"> (</w:t>
      </w:r>
      <w:r w:rsidR="00A00CFF">
        <w:rPr>
          <w:rFonts w:ascii="Times New Roman" w:hAnsi="Times New Roman" w:cs="Times New Roman"/>
          <w:sz w:val="24"/>
          <w:szCs w:val="24"/>
        </w:rPr>
        <w:t xml:space="preserve">līdz </w:t>
      </w:r>
      <w:r>
        <w:rPr>
          <w:rFonts w:ascii="Times New Roman" w:hAnsi="Times New Roman" w:cs="Times New Roman"/>
          <w:sz w:val="24"/>
          <w:szCs w:val="24"/>
        </w:rPr>
        <w:t xml:space="preserve">508,57 eiro mēnesī), </w:t>
      </w:r>
      <w:r w:rsidR="00F86151">
        <w:rPr>
          <w:rFonts w:ascii="Times New Roman" w:hAnsi="Times New Roman" w:cs="Times New Roman"/>
          <w:sz w:val="24"/>
          <w:szCs w:val="24"/>
        </w:rPr>
        <w:t xml:space="preserve">atbilstoši statistikas datiem </w:t>
      </w:r>
      <w:r w:rsidR="00941235">
        <w:rPr>
          <w:rFonts w:ascii="Times New Roman" w:hAnsi="Times New Roman" w:cs="Times New Roman"/>
          <w:sz w:val="24"/>
          <w:szCs w:val="24"/>
        </w:rPr>
        <w:t>tam kvalificēsies</w:t>
      </w:r>
      <w:r>
        <w:rPr>
          <w:rFonts w:ascii="Times New Roman" w:hAnsi="Times New Roman" w:cs="Times New Roman"/>
          <w:sz w:val="24"/>
          <w:szCs w:val="24"/>
        </w:rPr>
        <w:t xml:space="preserve"> </w:t>
      </w:r>
      <w:r w:rsidRPr="0099622B">
        <w:rPr>
          <w:rFonts w:ascii="Times New Roman" w:hAnsi="Times New Roman" w:cs="Times New Roman"/>
          <w:sz w:val="24"/>
          <w:szCs w:val="24"/>
        </w:rPr>
        <w:t>938,7</w:t>
      </w:r>
      <w:r>
        <w:rPr>
          <w:rFonts w:ascii="Times New Roman" w:hAnsi="Times New Roman" w:cs="Times New Roman"/>
          <w:sz w:val="24"/>
          <w:szCs w:val="24"/>
        </w:rPr>
        <w:t xml:space="preserve"> tūkstoši personu. </w:t>
      </w:r>
    </w:p>
    <w:p w14:paraId="470E420D" w14:textId="4A040189" w:rsidR="00413540" w:rsidRPr="00C12F0A" w:rsidRDefault="001D2198" w:rsidP="0061422A">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Ņemot vērā, ka pēdējie aktuālie dati par iedzīvotāju rīcībā esošajiem ienākumiem ir pieejami tikai par 2020.gadu, Labklājības ministrija, aprakstot piedāvājumu, mērķējot to uz iedzīvotājiem, kuru ienākumi ir 1.-3.kvintiļu robežās</w:t>
      </w:r>
      <w:r w:rsidR="00413540">
        <w:rPr>
          <w:rFonts w:ascii="Times New Roman" w:hAnsi="Times New Roman" w:cs="Times New Roman"/>
          <w:sz w:val="24"/>
          <w:szCs w:val="24"/>
        </w:rPr>
        <w:t xml:space="preserve">, ienākumu sliekšņiem piemēro prognozēto darba samaksas procentuālo pieaugumu 2022.gadā </w:t>
      </w:r>
      <w:r w:rsidR="00413540" w:rsidRPr="00C12F0A">
        <w:rPr>
          <w:rFonts w:ascii="Times New Roman" w:hAnsi="Times New Roman" w:cs="Times New Roman"/>
          <w:sz w:val="24"/>
          <w:szCs w:val="24"/>
        </w:rPr>
        <w:t>atbilstoši ma</w:t>
      </w:r>
      <w:r w:rsidR="00413540">
        <w:rPr>
          <w:rFonts w:ascii="Times New Roman" w:hAnsi="Times New Roman" w:cs="Times New Roman"/>
          <w:sz w:val="24"/>
          <w:szCs w:val="24"/>
        </w:rPr>
        <w:t>kroekonomisko rādītāju prognozēm</w:t>
      </w:r>
      <w:r w:rsidR="00413540" w:rsidRPr="00C12F0A">
        <w:rPr>
          <w:rFonts w:ascii="Times New Roman" w:hAnsi="Times New Roman" w:cs="Times New Roman"/>
          <w:sz w:val="24"/>
          <w:szCs w:val="24"/>
        </w:rPr>
        <w:t>, kas iekļautas Latvijas Stabilit</w:t>
      </w:r>
      <w:r w:rsidR="00413540">
        <w:rPr>
          <w:rFonts w:ascii="Times New Roman" w:hAnsi="Times New Roman" w:cs="Times New Roman"/>
          <w:sz w:val="24"/>
          <w:szCs w:val="24"/>
        </w:rPr>
        <w:t>ātes programmā 2022.-2025.gadam, tādējādi novēršot risku, ka atbalsts tiek plānots, pamatojoties uz relatīvi novecojušiem ienākumu datiem.</w:t>
      </w:r>
    </w:p>
    <w:p w14:paraId="02150EF2" w14:textId="77777777" w:rsidR="005A559E" w:rsidRPr="00651F56" w:rsidRDefault="005A559E" w:rsidP="005A559E">
      <w:pPr>
        <w:spacing w:after="0"/>
        <w:jc w:val="both"/>
        <w:rPr>
          <w:rFonts w:ascii="Times New Roman" w:hAnsi="Times New Roman" w:cs="Times New Roman"/>
          <w:sz w:val="24"/>
          <w:szCs w:val="24"/>
        </w:rPr>
      </w:pPr>
    </w:p>
    <w:p w14:paraId="436290CC" w14:textId="651EF674" w:rsidR="00CE0A22" w:rsidRPr="00CE0A22" w:rsidRDefault="00CE0A22" w:rsidP="00365151">
      <w:pPr>
        <w:shd w:val="clear" w:color="auto" w:fill="FFFFFF" w:themeFill="background1"/>
        <w:spacing w:after="0"/>
        <w:rPr>
          <w:rFonts w:ascii="Times New Roman" w:hAnsi="Times New Roman" w:cs="Times New Roman"/>
          <w:b/>
          <w:sz w:val="24"/>
          <w:szCs w:val="24"/>
        </w:rPr>
      </w:pPr>
      <w:r w:rsidRPr="00365151">
        <w:rPr>
          <w:rFonts w:ascii="Times New Roman" w:eastAsia="Times New Roman" w:hAnsi="Times New Roman" w:cs="Times New Roman"/>
          <w:b/>
          <w:sz w:val="24"/>
          <w:szCs w:val="24"/>
          <w:lang w:eastAsia="lv-LV"/>
        </w:rPr>
        <w:t xml:space="preserve">2.1.3. </w:t>
      </w:r>
      <w:r w:rsidRPr="00CE0A22">
        <w:rPr>
          <w:rFonts w:ascii="Times New Roman" w:hAnsi="Times New Roman" w:cs="Times New Roman"/>
          <w:b/>
          <w:sz w:val="24"/>
          <w:szCs w:val="24"/>
        </w:rPr>
        <w:t>Esošie atbalsta instrumenti</w:t>
      </w:r>
      <w:r>
        <w:rPr>
          <w:rFonts w:ascii="Times New Roman" w:hAnsi="Times New Roman" w:cs="Times New Roman"/>
          <w:b/>
          <w:sz w:val="24"/>
          <w:szCs w:val="24"/>
        </w:rPr>
        <w:t>.</w:t>
      </w:r>
    </w:p>
    <w:p w14:paraId="408CD40D" w14:textId="77777777" w:rsidR="00CE0A22" w:rsidRDefault="00CE0A22" w:rsidP="00651F56">
      <w:pPr>
        <w:spacing w:after="0" w:line="240" w:lineRule="auto"/>
        <w:jc w:val="both"/>
        <w:rPr>
          <w:rFonts w:ascii="Times New Roman" w:eastAsia="Times New Roman" w:hAnsi="Times New Roman" w:cs="Times New Roman"/>
          <w:sz w:val="24"/>
          <w:szCs w:val="24"/>
          <w:lang w:eastAsia="lv-LV"/>
        </w:rPr>
      </w:pPr>
    </w:p>
    <w:p w14:paraId="174BF262" w14:textId="213E0E36" w:rsidR="00F55D5E" w:rsidRDefault="00F55D5E" w:rsidP="0061422A">
      <w:pPr>
        <w:spacing w:after="0" w:line="240" w:lineRule="auto"/>
        <w:ind w:firstLine="709"/>
        <w:jc w:val="both"/>
        <w:rPr>
          <w:rFonts w:ascii="Times New Roman" w:eastAsia="Times New Roman" w:hAnsi="Times New Roman" w:cs="Times New Roman"/>
          <w:sz w:val="24"/>
          <w:szCs w:val="24"/>
          <w:lang w:eastAsia="lv-LV"/>
        </w:rPr>
      </w:pPr>
      <w:r w:rsidRPr="00F55D5E">
        <w:rPr>
          <w:rFonts w:ascii="Times New Roman" w:eastAsia="Times New Roman" w:hAnsi="Times New Roman" w:cs="Times New Roman"/>
          <w:sz w:val="24"/>
          <w:szCs w:val="24"/>
          <w:lang w:eastAsia="lv-LV"/>
        </w:rPr>
        <w:t>Kopumā var izš</w:t>
      </w:r>
      <w:r>
        <w:rPr>
          <w:rFonts w:ascii="Times New Roman" w:eastAsia="Times New Roman" w:hAnsi="Times New Roman" w:cs="Times New Roman"/>
          <w:sz w:val="24"/>
          <w:szCs w:val="24"/>
          <w:lang w:eastAsia="lv-LV"/>
        </w:rPr>
        <w:t xml:space="preserve">ķirt </w:t>
      </w:r>
      <w:r w:rsidR="00A00CFF">
        <w:rPr>
          <w:rFonts w:ascii="Times New Roman" w:eastAsia="Times New Roman" w:hAnsi="Times New Roman" w:cs="Times New Roman"/>
          <w:sz w:val="24"/>
          <w:szCs w:val="24"/>
          <w:lang w:eastAsia="lv-LV"/>
        </w:rPr>
        <w:t>trīs</w:t>
      </w:r>
      <w:r>
        <w:rPr>
          <w:rFonts w:ascii="Times New Roman" w:eastAsia="Times New Roman" w:hAnsi="Times New Roman" w:cs="Times New Roman"/>
          <w:sz w:val="24"/>
          <w:szCs w:val="24"/>
          <w:lang w:eastAsia="lv-LV"/>
        </w:rPr>
        <w:t xml:space="preserve"> atbalsta veidus, kuru ietvaros tiek sniegts </w:t>
      </w:r>
      <w:r w:rsidR="001D2398">
        <w:rPr>
          <w:rFonts w:ascii="Times New Roman" w:eastAsia="Times New Roman" w:hAnsi="Times New Roman" w:cs="Times New Roman"/>
          <w:sz w:val="24"/>
          <w:szCs w:val="24"/>
          <w:lang w:eastAsia="lv-LV"/>
        </w:rPr>
        <w:t xml:space="preserve">pastāvīgs </w:t>
      </w:r>
      <w:r>
        <w:rPr>
          <w:rFonts w:ascii="Times New Roman" w:eastAsia="Times New Roman" w:hAnsi="Times New Roman" w:cs="Times New Roman"/>
          <w:sz w:val="24"/>
          <w:szCs w:val="24"/>
          <w:lang w:eastAsia="lv-LV"/>
        </w:rPr>
        <w:t>atbalsts noteiktām iedzīvotāju grupām,</w:t>
      </w:r>
      <w:r w:rsidRPr="00F55D5E">
        <w:t xml:space="preserve"> </w:t>
      </w:r>
      <w:r w:rsidRPr="00F55D5E">
        <w:rPr>
          <w:rFonts w:ascii="Times New Roman" w:eastAsia="Times New Roman" w:hAnsi="Times New Roman" w:cs="Times New Roman"/>
          <w:sz w:val="24"/>
          <w:szCs w:val="24"/>
          <w:lang w:eastAsia="lv-LV"/>
        </w:rPr>
        <w:t xml:space="preserve">kurām ir grūtības norēķināties par </w:t>
      </w:r>
      <w:r w:rsidR="00CF379E">
        <w:rPr>
          <w:rFonts w:ascii="Times New Roman" w:eastAsia="Times New Roman" w:hAnsi="Times New Roman" w:cs="Times New Roman"/>
          <w:sz w:val="24"/>
          <w:szCs w:val="24"/>
          <w:lang w:eastAsia="lv-LV"/>
        </w:rPr>
        <w:t>energoresursiem</w:t>
      </w:r>
      <w:r w:rsidR="00CF379E" w:rsidRPr="00F55D5E">
        <w:rPr>
          <w:rFonts w:ascii="Times New Roman" w:eastAsia="Times New Roman" w:hAnsi="Times New Roman" w:cs="Times New Roman"/>
          <w:sz w:val="24"/>
          <w:szCs w:val="24"/>
          <w:lang w:eastAsia="lv-LV"/>
        </w:rPr>
        <w:t xml:space="preserve"> </w:t>
      </w:r>
      <w:r w:rsidRPr="00F55D5E">
        <w:rPr>
          <w:rFonts w:ascii="Times New Roman" w:eastAsia="Times New Roman" w:hAnsi="Times New Roman" w:cs="Times New Roman"/>
          <w:sz w:val="24"/>
          <w:szCs w:val="24"/>
          <w:lang w:eastAsia="lv-LV"/>
        </w:rPr>
        <w:t>un nodrošināt pietiekamu pārtiku</w:t>
      </w:r>
      <w:r>
        <w:rPr>
          <w:rFonts w:ascii="Times New Roman" w:eastAsia="Times New Roman" w:hAnsi="Times New Roman" w:cs="Times New Roman"/>
          <w:sz w:val="24"/>
          <w:szCs w:val="24"/>
          <w:lang w:eastAsia="lv-LV"/>
        </w:rPr>
        <w:t>:</w:t>
      </w:r>
    </w:p>
    <w:p w14:paraId="4FD8A45B" w14:textId="67708DE1" w:rsidR="00F55D5E" w:rsidRPr="00F86151" w:rsidRDefault="00F86151" w:rsidP="00146594">
      <w:pPr>
        <w:pStyle w:val="ListParagraph"/>
        <w:numPr>
          <w:ilvl w:val="0"/>
          <w:numId w:val="23"/>
        </w:numPr>
        <w:spacing w:after="0" w:line="240" w:lineRule="auto"/>
        <w:jc w:val="both"/>
        <w:rPr>
          <w:rFonts w:ascii="Times New Roman" w:eastAsia="Times New Roman" w:hAnsi="Times New Roman" w:cs="Times New Roman"/>
          <w:sz w:val="24"/>
          <w:szCs w:val="24"/>
          <w:lang w:eastAsia="lv-LV"/>
        </w:rPr>
      </w:pPr>
      <w:r w:rsidRPr="00F86151">
        <w:rPr>
          <w:rFonts w:ascii="Times New Roman" w:eastAsia="Times New Roman" w:hAnsi="Times New Roman" w:cs="Times New Roman"/>
          <w:sz w:val="24"/>
          <w:szCs w:val="24"/>
          <w:lang w:eastAsia="lv-LV"/>
        </w:rPr>
        <w:t xml:space="preserve">GMI pabalsts un </w:t>
      </w:r>
      <w:r w:rsidR="00F55D5E" w:rsidRPr="00F86151">
        <w:rPr>
          <w:rFonts w:ascii="Times New Roman" w:eastAsia="Times New Roman" w:hAnsi="Times New Roman" w:cs="Times New Roman"/>
          <w:sz w:val="24"/>
          <w:szCs w:val="24"/>
          <w:lang w:eastAsia="lv-LV"/>
        </w:rPr>
        <w:t>mājokļa pabalsts;</w:t>
      </w:r>
    </w:p>
    <w:p w14:paraId="6720BBC1" w14:textId="03A360CD" w:rsidR="00F55D5E" w:rsidRDefault="00F55D5E" w:rsidP="005817AF">
      <w:pPr>
        <w:pStyle w:val="ListParagraph"/>
        <w:numPr>
          <w:ilvl w:val="0"/>
          <w:numId w:val="2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atbalsts </w:t>
      </w:r>
      <w:r w:rsidRPr="00F55D5E">
        <w:rPr>
          <w:rFonts w:ascii="Times New Roman" w:eastAsia="Times New Roman" w:hAnsi="Times New Roman" w:cs="Times New Roman"/>
          <w:sz w:val="24"/>
          <w:szCs w:val="24"/>
          <w:lang w:eastAsia="lv-LV"/>
        </w:rPr>
        <w:t>Eiropas Atbalsta fonda vistrūcīgākajām personām</w:t>
      </w:r>
      <w:r>
        <w:rPr>
          <w:rFonts w:ascii="Times New Roman" w:eastAsia="Times New Roman" w:hAnsi="Times New Roman" w:cs="Times New Roman"/>
          <w:sz w:val="24"/>
          <w:szCs w:val="24"/>
          <w:lang w:eastAsia="lv-LV"/>
        </w:rPr>
        <w:t xml:space="preserve"> ietvaros;</w:t>
      </w:r>
    </w:p>
    <w:p w14:paraId="72034CBA" w14:textId="3B7D4CA9" w:rsidR="00F55D5E" w:rsidRPr="00F55D5E" w:rsidRDefault="00F55D5E" w:rsidP="005817AF">
      <w:pPr>
        <w:pStyle w:val="ListParagraph"/>
        <w:numPr>
          <w:ilvl w:val="0"/>
          <w:numId w:val="2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aizsargātā lietotāja </w:t>
      </w:r>
      <w:r w:rsidR="000906D5">
        <w:rPr>
          <w:rFonts w:ascii="Times New Roman" w:eastAsia="Times New Roman" w:hAnsi="Times New Roman" w:cs="Times New Roman"/>
          <w:sz w:val="24"/>
          <w:szCs w:val="24"/>
          <w:lang w:eastAsia="lv-LV"/>
        </w:rPr>
        <w:t xml:space="preserve">tirdzniecības </w:t>
      </w:r>
      <w:r>
        <w:rPr>
          <w:rFonts w:ascii="Times New Roman" w:eastAsia="Times New Roman" w:hAnsi="Times New Roman" w:cs="Times New Roman"/>
          <w:sz w:val="24"/>
          <w:szCs w:val="24"/>
          <w:lang w:eastAsia="lv-LV"/>
        </w:rPr>
        <w:t xml:space="preserve">pakalpojums. </w:t>
      </w:r>
    </w:p>
    <w:p w14:paraId="502875D1" w14:textId="77777777" w:rsidR="00F55D5E" w:rsidRPr="00F55D5E" w:rsidRDefault="00F55D5E" w:rsidP="00651F56">
      <w:pPr>
        <w:spacing w:after="0" w:line="240" w:lineRule="auto"/>
        <w:jc w:val="both"/>
        <w:rPr>
          <w:rFonts w:ascii="Times New Roman" w:eastAsia="Times New Roman" w:hAnsi="Times New Roman" w:cs="Times New Roman"/>
          <w:sz w:val="24"/>
          <w:szCs w:val="24"/>
          <w:lang w:eastAsia="lv-LV"/>
        </w:rPr>
      </w:pPr>
    </w:p>
    <w:p w14:paraId="3D514C36" w14:textId="77777777" w:rsidR="00F55D5E" w:rsidRDefault="00F55D5E" w:rsidP="00651F56">
      <w:pPr>
        <w:spacing w:after="0" w:line="240" w:lineRule="auto"/>
        <w:jc w:val="both"/>
        <w:rPr>
          <w:rFonts w:ascii="Times New Roman" w:eastAsia="Times New Roman" w:hAnsi="Times New Roman" w:cs="Times New Roman"/>
          <w:b/>
          <w:sz w:val="24"/>
          <w:szCs w:val="24"/>
          <w:lang w:eastAsia="lv-LV"/>
        </w:rPr>
      </w:pPr>
    </w:p>
    <w:p w14:paraId="4251A574" w14:textId="3B1BF81D" w:rsidR="00DF7658" w:rsidRPr="00DF7658" w:rsidRDefault="00BA4FED" w:rsidP="00651F56">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GMI un m</w:t>
      </w:r>
      <w:r w:rsidR="00DF7658" w:rsidRPr="00DF7658">
        <w:rPr>
          <w:rFonts w:ascii="Times New Roman" w:eastAsia="Times New Roman" w:hAnsi="Times New Roman" w:cs="Times New Roman"/>
          <w:b/>
          <w:sz w:val="24"/>
          <w:szCs w:val="24"/>
          <w:lang w:eastAsia="lv-LV"/>
        </w:rPr>
        <w:t>ājokļa pabalsts</w:t>
      </w:r>
    </w:p>
    <w:p w14:paraId="2010B64A" w14:textId="77777777" w:rsidR="00DF7658" w:rsidRDefault="00DF7658" w:rsidP="00651F56">
      <w:pPr>
        <w:spacing w:after="0" w:line="240" w:lineRule="auto"/>
        <w:jc w:val="both"/>
        <w:rPr>
          <w:rFonts w:ascii="Times New Roman" w:eastAsia="Times New Roman" w:hAnsi="Times New Roman" w:cs="Times New Roman"/>
          <w:sz w:val="24"/>
          <w:szCs w:val="24"/>
          <w:lang w:eastAsia="lv-LV"/>
        </w:rPr>
      </w:pPr>
    </w:p>
    <w:p w14:paraId="57C98452" w14:textId="77777777" w:rsidR="00651F56" w:rsidRPr="00651F56" w:rsidRDefault="00651F56" w:rsidP="0061422A">
      <w:pPr>
        <w:spacing w:after="0" w:line="240" w:lineRule="auto"/>
        <w:ind w:firstLine="709"/>
        <w:jc w:val="both"/>
        <w:rPr>
          <w:rFonts w:ascii="Times New Roman" w:eastAsia="Times New Roman" w:hAnsi="Times New Roman" w:cs="Times New Roman"/>
          <w:sz w:val="24"/>
          <w:szCs w:val="24"/>
          <w:lang w:eastAsia="lv-LV"/>
        </w:rPr>
      </w:pPr>
      <w:r w:rsidRPr="00651F56">
        <w:rPr>
          <w:rFonts w:ascii="Times New Roman" w:eastAsia="Times New Roman" w:hAnsi="Times New Roman" w:cs="Times New Roman"/>
          <w:sz w:val="24"/>
          <w:szCs w:val="24"/>
          <w:lang w:eastAsia="lv-LV"/>
        </w:rPr>
        <w:t>Sociālo pakalpojumu un sociālās palīdzības likums nosaka divus pamata sociālās palīdzības pabalstus</w:t>
      </w:r>
      <w:r w:rsidRPr="00651F56">
        <w:rPr>
          <w:rStyle w:val="FootnoteReference"/>
          <w:rFonts w:ascii="Times New Roman" w:eastAsia="Times New Roman" w:hAnsi="Times New Roman"/>
          <w:sz w:val="24"/>
          <w:szCs w:val="24"/>
          <w:lang w:eastAsia="lv-LV"/>
        </w:rPr>
        <w:footnoteReference w:id="10"/>
      </w:r>
      <w:r w:rsidRPr="00651F56">
        <w:rPr>
          <w:rFonts w:ascii="Times New Roman" w:eastAsia="Times New Roman" w:hAnsi="Times New Roman" w:cs="Times New Roman"/>
          <w:sz w:val="24"/>
          <w:szCs w:val="24"/>
          <w:lang w:eastAsia="lv-LV"/>
        </w:rPr>
        <w:t>:</w:t>
      </w:r>
    </w:p>
    <w:p w14:paraId="68E61275" w14:textId="77777777" w:rsidR="00651F56" w:rsidRPr="00651F56" w:rsidRDefault="00651F56" w:rsidP="00651F56">
      <w:pPr>
        <w:pStyle w:val="tv213"/>
        <w:shd w:val="clear" w:color="auto" w:fill="FFFFFF"/>
        <w:spacing w:before="0" w:beforeAutospacing="0" w:after="0" w:afterAutospacing="0" w:line="293" w:lineRule="atLeast"/>
        <w:ind w:left="600"/>
        <w:jc w:val="both"/>
      </w:pPr>
      <w:r w:rsidRPr="00651F56">
        <w:t xml:space="preserve">1) </w:t>
      </w:r>
      <w:r w:rsidRPr="00651F56">
        <w:rPr>
          <w:i/>
        </w:rPr>
        <w:t>garantētā minimālā ienākuma pabalsts</w:t>
      </w:r>
      <w:r w:rsidRPr="00651F56">
        <w:t xml:space="preserve"> — materiāls atbalsts naudas izteiksmē minimālo ikdienas izdevumu apmaksai;</w:t>
      </w:r>
    </w:p>
    <w:p w14:paraId="5D5EF615" w14:textId="77777777" w:rsidR="00651F56" w:rsidRPr="00651F56" w:rsidRDefault="00651F56" w:rsidP="00651F56">
      <w:pPr>
        <w:pStyle w:val="tv213"/>
        <w:shd w:val="clear" w:color="auto" w:fill="FFFFFF"/>
        <w:spacing w:before="0" w:beforeAutospacing="0" w:after="0" w:afterAutospacing="0" w:line="293" w:lineRule="atLeast"/>
        <w:ind w:left="600"/>
        <w:jc w:val="both"/>
      </w:pPr>
      <w:r w:rsidRPr="00651F56">
        <w:t xml:space="preserve">2) </w:t>
      </w:r>
      <w:r w:rsidRPr="00651F56">
        <w:rPr>
          <w:i/>
        </w:rPr>
        <w:t>mājokļa pabalsts</w:t>
      </w:r>
      <w:r w:rsidRPr="00651F56">
        <w:t xml:space="preserve"> — materiāls atbalsts ar mājokļa lietošanu saistīto izdevumu segšanai.</w:t>
      </w:r>
    </w:p>
    <w:p w14:paraId="37DE4DB1" w14:textId="77777777" w:rsidR="00BA4FED" w:rsidRDefault="00BA4FED" w:rsidP="00651F56">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p>
    <w:p w14:paraId="4742DBC1" w14:textId="76F236FE" w:rsidR="00651F56" w:rsidRPr="00651F56" w:rsidRDefault="00651F56" w:rsidP="0061422A">
      <w:pPr>
        <w:pStyle w:val="ListParagraph"/>
        <w:shd w:val="clear" w:color="auto" w:fill="FFFFFF"/>
        <w:spacing w:after="0" w:line="240" w:lineRule="auto"/>
        <w:ind w:left="0" w:firstLine="709"/>
        <w:jc w:val="both"/>
        <w:rPr>
          <w:rFonts w:ascii="Times New Roman" w:hAnsi="Times New Roman" w:cs="Times New Roman"/>
          <w:sz w:val="24"/>
          <w:szCs w:val="24"/>
        </w:rPr>
      </w:pPr>
      <w:r w:rsidRPr="00651F56">
        <w:rPr>
          <w:rFonts w:ascii="Times New Roman" w:eastAsia="Times New Roman" w:hAnsi="Times New Roman" w:cs="Times New Roman"/>
          <w:sz w:val="24"/>
          <w:szCs w:val="24"/>
          <w:lang w:eastAsia="lv-LV"/>
        </w:rPr>
        <w:t xml:space="preserve">Mājokļa pabalstu var pieprasīt mājsaimniecība, kura dzīvo īpašumā esošā vai īrētā mājoklī konkrētajā pašvaldībā un tur ir deklarējusi savu dzīves vietu. Ja mājoklis tiek īrēts, ir jābūt noslēgtam īres līgumam par nekustamā īpašuma lietošanu. </w:t>
      </w:r>
      <w:r w:rsidRPr="00651F56">
        <w:rPr>
          <w:rFonts w:ascii="Times New Roman" w:hAnsi="Times New Roman" w:cs="Times New Roman"/>
          <w:sz w:val="24"/>
          <w:szCs w:val="24"/>
        </w:rPr>
        <w:t>Priekšnosacījums mājokļa pabalsta saņemšanai ir mājsaimniecības materiālās situācijas izvērtēšana, sagatavojot iztikas līdzekļu deklarāciju, un izdevumus par mājokli apliecinošu rēķinu un cita veida pierādījumu uzrādīšana pašvaldības sociālajā dienestā.</w:t>
      </w:r>
    </w:p>
    <w:p w14:paraId="6AF553AD" w14:textId="77777777" w:rsidR="00651F56" w:rsidRPr="00651F56" w:rsidRDefault="00651F56" w:rsidP="00651F56">
      <w:pPr>
        <w:shd w:val="clear" w:color="auto" w:fill="FFFFFF"/>
        <w:spacing w:after="0" w:line="240" w:lineRule="auto"/>
        <w:jc w:val="both"/>
        <w:rPr>
          <w:rFonts w:ascii="Times New Roman" w:eastAsia="Times New Roman" w:hAnsi="Times New Roman"/>
          <w:sz w:val="24"/>
          <w:szCs w:val="24"/>
          <w:lang w:eastAsia="lv-LV"/>
        </w:rPr>
      </w:pPr>
      <w:r w:rsidRPr="00651F56">
        <w:rPr>
          <w:rFonts w:ascii="Times New Roman" w:eastAsia="Times New Roman" w:hAnsi="Times New Roman"/>
          <w:sz w:val="24"/>
          <w:szCs w:val="24"/>
          <w:lang w:eastAsia="lv-LV"/>
        </w:rPr>
        <w:t>Mājokļa pabalsta apmēru aprēķina, ņemot vērā šādus izdevumus</w:t>
      </w:r>
      <w:r w:rsidRPr="00651F56">
        <w:rPr>
          <w:rStyle w:val="FootnoteReference"/>
          <w:rFonts w:ascii="Times New Roman" w:eastAsia="Times New Roman" w:hAnsi="Times New Roman"/>
          <w:sz w:val="24"/>
          <w:szCs w:val="24"/>
          <w:lang w:eastAsia="lv-LV"/>
        </w:rPr>
        <w:footnoteReference w:id="11"/>
      </w:r>
      <w:r w:rsidRPr="00651F56">
        <w:rPr>
          <w:rFonts w:ascii="Times New Roman" w:eastAsia="Times New Roman" w:hAnsi="Times New Roman"/>
          <w:sz w:val="24"/>
          <w:szCs w:val="24"/>
          <w:lang w:eastAsia="lv-LV"/>
        </w:rPr>
        <w:t>:</w:t>
      </w:r>
    </w:p>
    <w:p w14:paraId="60980882" w14:textId="77777777" w:rsidR="00651F56" w:rsidRPr="00651F56" w:rsidRDefault="00651F56" w:rsidP="004008A3">
      <w:pPr>
        <w:numPr>
          <w:ilvl w:val="0"/>
          <w:numId w:val="5"/>
        </w:numPr>
        <w:shd w:val="clear" w:color="auto" w:fill="FFFFFF"/>
        <w:spacing w:after="0" w:line="240" w:lineRule="auto"/>
        <w:ind w:left="993"/>
        <w:jc w:val="both"/>
        <w:rPr>
          <w:rFonts w:ascii="Times New Roman" w:eastAsia="Times New Roman" w:hAnsi="Times New Roman"/>
          <w:sz w:val="24"/>
          <w:szCs w:val="24"/>
          <w:lang w:eastAsia="lv-LV"/>
        </w:rPr>
      </w:pPr>
      <w:r w:rsidRPr="00651F56">
        <w:rPr>
          <w:rFonts w:ascii="Times New Roman" w:eastAsia="Times New Roman" w:hAnsi="Times New Roman"/>
          <w:sz w:val="24"/>
          <w:szCs w:val="24"/>
          <w:lang w:eastAsia="lv-LV"/>
        </w:rPr>
        <w:t>par dzīvojamās telpas lietošanu (īres maksa, izdevumi par obligāti veicamajām pārvaldīšanas darbībām);</w:t>
      </w:r>
    </w:p>
    <w:p w14:paraId="438B5C63" w14:textId="77777777" w:rsidR="00651F56" w:rsidRPr="00651F56" w:rsidRDefault="00651F56" w:rsidP="004008A3">
      <w:pPr>
        <w:numPr>
          <w:ilvl w:val="0"/>
          <w:numId w:val="5"/>
        </w:numPr>
        <w:shd w:val="clear" w:color="auto" w:fill="FFFFFF"/>
        <w:spacing w:after="0" w:line="240" w:lineRule="auto"/>
        <w:ind w:left="993"/>
        <w:jc w:val="both"/>
        <w:rPr>
          <w:rFonts w:ascii="Times New Roman" w:eastAsia="Times New Roman" w:hAnsi="Times New Roman"/>
          <w:sz w:val="24"/>
          <w:szCs w:val="24"/>
          <w:lang w:eastAsia="lv-LV"/>
        </w:rPr>
      </w:pPr>
      <w:r w:rsidRPr="00651F56">
        <w:rPr>
          <w:rFonts w:ascii="Times New Roman" w:eastAsia="Times New Roman" w:hAnsi="Times New Roman"/>
          <w:sz w:val="24"/>
          <w:szCs w:val="24"/>
          <w:lang w:eastAsia="lv-LV"/>
        </w:rPr>
        <w:lastRenderedPageBreak/>
        <w:t>par pakalpojumiem, kas saistīti ar dzīvojamās telpas lietošanu (siltumenerģija apkures un karstā ūdens nodrošināšanai, elektroenerģija, ūdens, dabasgāze, kanalizācijas vai asenizācijas nodrošināšana, sadzīves atkritumu apsaimniekošana), ja tie nav ietverti īres maksā vai nepieciešamajos izdevumos par obligāti veicamajām pārvaldīšanas darbībām;</w:t>
      </w:r>
    </w:p>
    <w:p w14:paraId="546410CA" w14:textId="77777777" w:rsidR="00651F56" w:rsidRPr="00651F56" w:rsidRDefault="00651F56" w:rsidP="004008A3">
      <w:pPr>
        <w:numPr>
          <w:ilvl w:val="0"/>
          <w:numId w:val="5"/>
        </w:numPr>
        <w:shd w:val="clear" w:color="auto" w:fill="FFFFFF"/>
        <w:spacing w:after="0" w:line="240" w:lineRule="auto"/>
        <w:ind w:left="993"/>
        <w:jc w:val="both"/>
        <w:rPr>
          <w:rFonts w:ascii="Times New Roman" w:eastAsia="Times New Roman" w:hAnsi="Times New Roman"/>
          <w:sz w:val="24"/>
          <w:szCs w:val="24"/>
          <w:lang w:eastAsia="lv-LV"/>
        </w:rPr>
      </w:pPr>
      <w:r w:rsidRPr="00651F56">
        <w:rPr>
          <w:rFonts w:ascii="Times New Roman" w:eastAsia="Times New Roman" w:hAnsi="Times New Roman"/>
          <w:sz w:val="24"/>
          <w:szCs w:val="24"/>
          <w:lang w:eastAsia="lv-LV"/>
        </w:rPr>
        <w:t>ar telekomunikāciju pakalpojumiem un internetu saistītos izdevumus, kā arī izdevumus par ūdens skaitītāju uzstādīšanu un verifikāciju.</w:t>
      </w:r>
    </w:p>
    <w:p w14:paraId="3EFA1526" w14:textId="77777777" w:rsidR="00941235" w:rsidRDefault="00941235" w:rsidP="00316FEC">
      <w:pPr>
        <w:spacing w:after="0"/>
        <w:jc w:val="both"/>
        <w:rPr>
          <w:rFonts w:ascii="Times New Roman" w:hAnsi="Times New Roman" w:cs="Times New Roman"/>
          <w:sz w:val="24"/>
          <w:szCs w:val="24"/>
        </w:rPr>
      </w:pPr>
    </w:p>
    <w:p w14:paraId="79070BCF" w14:textId="1173AF7B" w:rsidR="00651F56" w:rsidRDefault="00651F56" w:rsidP="0061422A">
      <w:pPr>
        <w:spacing w:after="0"/>
        <w:ind w:firstLine="709"/>
        <w:jc w:val="both"/>
        <w:rPr>
          <w:rFonts w:ascii="Times New Roman" w:hAnsi="Times New Roman" w:cs="Times New Roman"/>
          <w:sz w:val="24"/>
          <w:szCs w:val="24"/>
          <w:shd w:val="clear" w:color="auto" w:fill="FFFFFF"/>
        </w:rPr>
      </w:pPr>
      <w:r w:rsidRPr="00651F56">
        <w:rPr>
          <w:rFonts w:ascii="Times New Roman" w:hAnsi="Times New Roman" w:cs="Times New Roman"/>
          <w:sz w:val="24"/>
          <w:szCs w:val="24"/>
        </w:rPr>
        <w:t>Mājokļa pabalsta apmēru aprēķina kā starpību starp garantētā minimālā ienākuma (GMI) sliekšņu summu mājsaimniecībai un faktiskajiem izdevumiem un mājsaimniecības kopējiem ienākumiem.</w:t>
      </w:r>
      <w:r w:rsidRPr="00651F56">
        <w:rPr>
          <w:rStyle w:val="FootnoteReference"/>
          <w:rFonts w:ascii="Times New Roman" w:hAnsi="Times New Roman"/>
          <w:sz w:val="24"/>
          <w:szCs w:val="24"/>
        </w:rPr>
        <w:footnoteReference w:id="12"/>
      </w:r>
      <w:r w:rsidR="00515F69">
        <w:rPr>
          <w:rFonts w:ascii="Times New Roman" w:hAnsi="Times New Roman" w:cs="Times New Roman"/>
          <w:sz w:val="24"/>
          <w:szCs w:val="24"/>
        </w:rPr>
        <w:t xml:space="preserve"> </w:t>
      </w:r>
      <w:r w:rsidR="00F86151">
        <w:rPr>
          <w:rFonts w:ascii="Times New Roman" w:hAnsi="Times New Roman" w:cs="Times New Roman"/>
          <w:sz w:val="24"/>
          <w:szCs w:val="24"/>
          <w:shd w:val="clear" w:color="auto" w:fill="FFFFFF"/>
        </w:rPr>
        <w:t>GMI</w:t>
      </w:r>
      <w:r w:rsidRPr="00651F56">
        <w:rPr>
          <w:rFonts w:ascii="Times New Roman" w:hAnsi="Times New Roman" w:cs="Times New Roman"/>
          <w:sz w:val="24"/>
          <w:szCs w:val="24"/>
          <w:shd w:val="clear" w:color="auto" w:fill="FFFFFF"/>
        </w:rPr>
        <w:t xml:space="preserve"> slieksnis </w:t>
      </w:r>
      <w:r w:rsidR="00941235">
        <w:rPr>
          <w:rFonts w:ascii="Times New Roman" w:hAnsi="Times New Roman" w:cs="Times New Roman"/>
          <w:sz w:val="24"/>
          <w:szCs w:val="24"/>
          <w:shd w:val="clear" w:color="auto" w:fill="FFFFFF"/>
        </w:rPr>
        <w:t xml:space="preserve">2022.gadā </w:t>
      </w:r>
      <w:r w:rsidRPr="00941235">
        <w:rPr>
          <w:rFonts w:ascii="Times New Roman" w:hAnsi="Times New Roman" w:cs="Times New Roman"/>
          <w:sz w:val="24"/>
          <w:szCs w:val="24"/>
          <w:shd w:val="clear" w:color="auto" w:fill="FFFFFF"/>
        </w:rPr>
        <w:t>ir 109 </w:t>
      </w:r>
      <w:r w:rsidRPr="00941235">
        <w:rPr>
          <w:rFonts w:ascii="Times New Roman" w:hAnsi="Times New Roman" w:cs="Times New Roman"/>
          <w:i/>
          <w:iCs/>
          <w:sz w:val="24"/>
          <w:szCs w:val="24"/>
          <w:shd w:val="clear" w:color="auto" w:fill="FFFFFF"/>
        </w:rPr>
        <w:t>euro</w:t>
      </w:r>
      <w:r w:rsidR="0061422A">
        <w:rPr>
          <w:rFonts w:ascii="Times New Roman" w:hAnsi="Times New Roman" w:cs="Times New Roman"/>
          <w:sz w:val="24"/>
          <w:szCs w:val="24"/>
          <w:shd w:val="clear" w:color="auto" w:fill="FFFFFF"/>
        </w:rPr>
        <w:t xml:space="preserve"> </w:t>
      </w:r>
      <w:r w:rsidRPr="00941235">
        <w:rPr>
          <w:rFonts w:ascii="Times New Roman" w:hAnsi="Times New Roman" w:cs="Times New Roman"/>
          <w:sz w:val="24"/>
          <w:szCs w:val="24"/>
          <w:shd w:val="clear" w:color="auto" w:fill="FFFFFF"/>
        </w:rPr>
        <w:t>pirmajai vai vienīgajai personai mājsaimniecībā un 76 </w:t>
      </w:r>
      <w:r w:rsidRPr="00941235">
        <w:rPr>
          <w:rFonts w:ascii="Times New Roman" w:hAnsi="Times New Roman" w:cs="Times New Roman"/>
          <w:i/>
          <w:iCs/>
          <w:sz w:val="24"/>
          <w:szCs w:val="24"/>
          <w:shd w:val="clear" w:color="auto" w:fill="FFFFFF"/>
        </w:rPr>
        <w:t>euro</w:t>
      </w:r>
      <w:r w:rsidR="0061422A">
        <w:rPr>
          <w:rFonts w:ascii="Times New Roman" w:hAnsi="Times New Roman" w:cs="Times New Roman"/>
          <w:sz w:val="24"/>
          <w:szCs w:val="24"/>
          <w:shd w:val="clear" w:color="auto" w:fill="FFFFFF"/>
        </w:rPr>
        <w:t xml:space="preserve"> </w:t>
      </w:r>
      <w:r w:rsidRPr="00941235">
        <w:rPr>
          <w:rFonts w:ascii="Times New Roman" w:hAnsi="Times New Roman" w:cs="Times New Roman"/>
          <w:sz w:val="24"/>
          <w:szCs w:val="24"/>
          <w:shd w:val="clear" w:color="auto" w:fill="FFFFFF"/>
        </w:rPr>
        <w:t>pārējām personām</w:t>
      </w:r>
      <w:r w:rsidRPr="00651F56">
        <w:rPr>
          <w:rFonts w:ascii="Times New Roman" w:hAnsi="Times New Roman" w:cs="Times New Roman"/>
          <w:sz w:val="24"/>
          <w:szCs w:val="24"/>
          <w:shd w:val="clear" w:color="auto" w:fill="FFFFFF"/>
        </w:rPr>
        <w:t xml:space="preserve"> mājsaimniecībā.</w:t>
      </w:r>
      <w:r w:rsidRPr="00651F56">
        <w:rPr>
          <w:rStyle w:val="FootnoteReference"/>
          <w:rFonts w:ascii="Times New Roman" w:hAnsi="Times New Roman"/>
          <w:sz w:val="24"/>
          <w:szCs w:val="24"/>
          <w:shd w:val="clear" w:color="auto" w:fill="FFFFFF"/>
        </w:rPr>
        <w:footnoteReference w:id="13"/>
      </w:r>
      <w:r w:rsidR="00BA67CB">
        <w:rPr>
          <w:rFonts w:ascii="Times New Roman" w:hAnsi="Times New Roman" w:cs="Times New Roman"/>
          <w:sz w:val="24"/>
          <w:szCs w:val="24"/>
          <w:shd w:val="clear" w:color="auto" w:fill="FFFFFF"/>
        </w:rPr>
        <w:t xml:space="preserve"> </w:t>
      </w:r>
      <w:r w:rsidR="00BA67CB" w:rsidRPr="00BA67CB">
        <w:rPr>
          <w:rFonts w:ascii="Times New Roman" w:hAnsi="Times New Roman" w:cs="Times New Roman"/>
          <w:sz w:val="24"/>
          <w:szCs w:val="24"/>
          <w:shd w:val="clear" w:color="auto" w:fill="FFFFFF"/>
        </w:rPr>
        <w:t>Papildus jāmin, ka Sociālo pakalpojumu un sociālās palīdzības likums nosaka</w:t>
      </w:r>
      <w:r w:rsidR="00BA67CB" w:rsidRPr="00BA67CB">
        <w:rPr>
          <w:rStyle w:val="FootnoteReference"/>
          <w:rFonts w:ascii="Times New Roman" w:eastAsia="Times New Roman" w:hAnsi="Times New Roman"/>
          <w:sz w:val="24"/>
          <w:szCs w:val="24"/>
          <w:lang w:eastAsia="lv-LV"/>
        </w:rPr>
        <w:footnoteReference w:id="14"/>
      </w:r>
      <w:r w:rsidR="00BA67CB" w:rsidRPr="00BA67CB">
        <w:rPr>
          <w:rFonts w:ascii="Times New Roman" w:hAnsi="Times New Roman" w:cs="Times New Roman"/>
          <w:sz w:val="24"/>
          <w:szCs w:val="24"/>
          <w:shd w:val="clear" w:color="auto" w:fill="FFFFFF"/>
        </w:rPr>
        <w:t xml:space="preserve"> ienākumus, kas netiek ņemti vērā, izvērtējot mājsaimniecības ienākumus, piemēram, vienīgā mājokļa iegādei piešķirtā kredīta pamatsummu un procentu maksājumus, virkni valsts sociālos pabalstus personām ar invaliditāti, ģimenēm ar bērniem, vienreizējos pabalstus, pašvaldības iepriekš izmaksātos sociālās palīdzības pabalstus un brīvprātīgo iniciatīvu pabalstus u.c. Tāpat ir noteikts, kāds kustamais un nekustamais īpašums un naudas līdzekļu uzkrājumi var piederēt trūcīgai un maznodrošinātai mājsaimniecībai.  </w:t>
      </w:r>
      <w:r w:rsidR="008B04F6">
        <w:rPr>
          <w:rFonts w:ascii="Times New Roman" w:hAnsi="Times New Roman" w:cs="Times New Roman"/>
          <w:sz w:val="24"/>
          <w:szCs w:val="24"/>
          <w:shd w:val="clear" w:color="auto" w:fill="FFFFFF"/>
        </w:rPr>
        <w:t xml:space="preserve">Detalizēta informācija par mājokļa pabalsta saņēmēju skaitu, tā apmēru un </w:t>
      </w:r>
      <w:r w:rsidR="00842A62">
        <w:rPr>
          <w:rFonts w:ascii="Times New Roman" w:hAnsi="Times New Roman" w:cs="Times New Roman"/>
          <w:sz w:val="24"/>
          <w:szCs w:val="24"/>
          <w:shd w:val="clear" w:color="auto" w:fill="FFFFFF"/>
        </w:rPr>
        <w:t xml:space="preserve">mājokļa pabalstam </w:t>
      </w:r>
      <w:r w:rsidR="008B04F6">
        <w:rPr>
          <w:rFonts w:ascii="Times New Roman" w:hAnsi="Times New Roman" w:cs="Times New Roman"/>
          <w:sz w:val="24"/>
          <w:szCs w:val="24"/>
          <w:shd w:val="clear" w:color="auto" w:fill="FFFFFF"/>
        </w:rPr>
        <w:t>izlietoto finansējumu ir sniegta apakšsadaļā “</w:t>
      </w:r>
      <w:r w:rsidR="008B04F6" w:rsidRPr="008B04F6">
        <w:rPr>
          <w:rFonts w:ascii="Times New Roman" w:hAnsi="Times New Roman" w:cs="Times New Roman"/>
          <w:sz w:val="24"/>
          <w:szCs w:val="24"/>
          <w:shd w:val="clear" w:color="auto" w:fill="FFFFFF"/>
        </w:rPr>
        <w:t>2021.gadā un 2022.gadā ieviestie vienreizējie un terminētie mehānismi</w:t>
      </w:r>
      <w:r w:rsidR="008B04F6">
        <w:rPr>
          <w:rFonts w:ascii="Times New Roman" w:hAnsi="Times New Roman" w:cs="Times New Roman"/>
          <w:sz w:val="24"/>
          <w:szCs w:val="24"/>
          <w:shd w:val="clear" w:color="auto" w:fill="FFFFFF"/>
        </w:rPr>
        <w:t xml:space="preserve">”. </w:t>
      </w:r>
    </w:p>
    <w:p w14:paraId="5303056E" w14:textId="77777777" w:rsidR="007113C7" w:rsidRPr="00651F56" w:rsidRDefault="007113C7" w:rsidP="00316FEC">
      <w:pPr>
        <w:spacing w:after="0"/>
        <w:jc w:val="both"/>
        <w:rPr>
          <w:rFonts w:ascii="Times New Roman" w:hAnsi="Times New Roman" w:cs="Times New Roman"/>
          <w:sz w:val="24"/>
          <w:szCs w:val="24"/>
        </w:rPr>
      </w:pPr>
    </w:p>
    <w:p w14:paraId="3C4CC859" w14:textId="77777777" w:rsidR="000F2019" w:rsidRPr="000F2019" w:rsidRDefault="000F2019" w:rsidP="000F2019">
      <w:pPr>
        <w:spacing w:after="0" w:line="240" w:lineRule="auto"/>
        <w:jc w:val="both"/>
        <w:rPr>
          <w:rFonts w:ascii="Times New Roman" w:hAnsi="Times New Roman" w:cs="Times New Roman"/>
          <w:sz w:val="24"/>
          <w:szCs w:val="24"/>
        </w:rPr>
      </w:pPr>
      <w:r w:rsidRPr="000F2019">
        <w:rPr>
          <w:rFonts w:ascii="Times New Roman" w:hAnsi="Times New Roman" w:cs="Times New Roman"/>
          <w:b/>
          <w:sz w:val="24"/>
          <w:szCs w:val="24"/>
        </w:rPr>
        <w:t>Eiropas Atbalsta fonda vistrūcīgākajām personām</w:t>
      </w:r>
      <w:r w:rsidRPr="000F2019">
        <w:rPr>
          <w:rFonts w:ascii="Times New Roman" w:hAnsi="Times New Roman" w:cs="Times New Roman"/>
          <w:sz w:val="24"/>
          <w:szCs w:val="24"/>
        </w:rPr>
        <w:t xml:space="preserve"> (turpmāk – EAFVP) darbības programmas 2014.-2020. gadā ietvaros tiek sniegts pārtikas atbalsts un pamata materiālā palīdzība, apvienojot to ar pasākumiem vistrūcīgāko iedzīvotāju sociālās atstumtības mazināšanai.</w:t>
      </w:r>
    </w:p>
    <w:p w14:paraId="68AED5EC" w14:textId="77777777" w:rsidR="000F2019" w:rsidRPr="000F2019" w:rsidRDefault="000F2019" w:rsidP="000F2019">
      <w:pPr>
        <w:spacing w:after="0" w:line="240" w:lineRule="auto"/>
        <w:jc w:val="both"/>
        <w:rPr>
          <w:rFonts w:ascii="Times New Roman" w:hAnsi="Times New Roman" w:cs="Times New Roman"/>
          <w:sz w:val="24"/>
          <w:szCs w:val="24"/>
        </w:rPr>
      </w:pPr>
    </w:p>
    <w:p w14:paraId="1651A58A" w14:textId="77777777" w:rsidR="000F2019" w:rsidRPr="000F2019" w:rsidRDefault="000F2019" w:rsidP="000F2019">
      <w:p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EAFVP atbalstu var saņemt mājsaimniecības, kurām pašvaldības sociālais dienests izsniedzis izziņu par atbilstību:</w:t>
      </w:r>
    </w:p>
    <w:p w14:paraId="55485AB3" w14:textId="77777777" w:rsidR="000F2019" w:rsidRPr="000F2019" w:rsidRDefault="000F2019" w:rsidP="004008A3">
      <w:pPr>
        <w:numPr>
          <w:ilvl w:val="0"/>
          <w:numId w:val="1"/>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trūcīgas mājsaimniecības statusam;</w:t>
      </w:r>
    </w:p>
    <w:p w14:paraId="53CC6E60" w14:textId="1C68D2A7" w:rsidR="000F2019" w:rsidRPr="000F2019" w:rsidRDefault="000F2019" w:rsidP="004008A3">
      <w:pPr>
        <w:numPr>
          <w:ilvl w:val="0"/>
          <w:numId w:val="1"/>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maznodrošinātas mājsaimniecības statusam (</w:t>
      </w:r>
      <w:r w:rsidR="00A00CFF" w:rsidRPr="00A00CFF">
        <w:rPr>
          <w:rFonts w:ascii="Times New Roman" w:hAnsi="Times New Roman" w:cs="Times New Roman"/>
          <w:sz w:val="24"/>
          <w:szCs w:val="24"/>
        </w:rPr>
        <w:t xml:space="preserve">attiecībā uz EAFVP atbalsta saņemšanu noteikti šādi visā valstī vienoti ienākumu sliekšņi (atšķirībā no maznodrošinātā statusa, ko katra pašvaldība nosaka pati) </w:t>
      </w:r>
      <w:r w:rsidR="00A00CFF">
        <w:rPr>
          <w:rFonts w:ascii="Times New Roman" w:hAnsi="Times New Roman" w:cs="Times New Roman"/>
          <w:sz w:val="24"/>
          <w:szCs w:val="24"/>
        </w:rPr>
        <w:t>-</w:t>
      </w:r>
      <w:r w:rsidRPr="000F2019">
        <w:rPr>
          <w:rFonts w:ascii="Times New Roman" w:hAnsi="Times New Roman" w:cs="Times New Roman"/>
          <w:sz w:val="24"/>
          <w:szCs w:val="24"/>
        </w:rPr>
        <w:t xml:space="preserve"> ienākumi nepārsniedz 327 </w:t>
      </w:r>
      <w:r w:rsidRPr="000F2019">
        <w:rPr>
          <w:rFonts w:ascii="Times New Roman" w:hAnsi="Times New Roman" w:cs="Times New Roman"/>
          <w:i/>
          <w:sz w:val="24"/>
          <w:szCs w:val="24"/>
        </w:rPr>
        <w:t>euro</w:t>
      </w:r>
      <w:r w:rsidRPr="000F2019">
        <w:rPr>
          <w:rFonts w:ascii="Times New Roman" w:hAnsi="Times New Roman" w:cs="Times New Roman"/>
          <w:sz w:val="24"/>
          <w:szCs w:val="24"/>
        </w:rPr>
        <w:t xml:space="preserve"> pirmajai vai vienīgajai personai mājsaimniecībā, bet katrai nākamai personai 229 </w:t>
      </w:r>
      <w:r w:rsidRPr="000F2019">
        <w:rPr>
          <w:rFonts w:ascii="Times New Roman" w:hAnsi="Times New Roman" w:cs="Times New Roman"/>
          <w:i/>
          <w:sz w:val="24"/>
          <w:szCs w:val="24"/>
        </w:rPr>
        <w:t>euro</w:t>
      </w:r>
      <w:r w:rsidRPr="000F2019">
        <w:rPr>
          <w:rFonts w:ascii="Times New Roman" w:hAnsi="Times New Roman" w:cs="Times New Roman"/>
          <w:sz w:val="24"/>
          <w:szCs w:val="24"/>
        </w:rPr>
        <w:t>).</w:t>
      </w:r>
    </w:p>
    <w:p w14:paraId="64B3418C" w14:textId="77777777" w:rsidR="000F2019" w:rsidRPr="000F2019" w:rsidRDefault="000F2019" w:rsidP="004008A3">
      <w:pPr>
        <w:numPr>
          <w:ilvl w:val="0"/>
          <w:numId w:val="1"/>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krīzes situācijā nonākušās mājsaimniecības statusam.</w:t>
      </w:r>
    </w:p>
    <w:p w14:paraId="4BE68E8C" w14:textId="77777777" w:rsidR="000F2019" w:rsidRPr="000F2019" w:rsidRDefault="000F2019" w:rsidP="000F2019">
      <w:pPr>
        <w:spacing w:after="0" w:line="240" w:lineRule="auto"/>
        <w:jc w:val="both"/>
        <w:rPr>
          <w:rFonts w:ascii="Times New Roman" w:hAnsi="Times New Roman" w:cs="Times New Roman"/>
          <w:sz w:val="24"/>
          <w:szCs w:val="24"/>
        </w:rPr>
      </w:pPr>
    </w:p>
    <w:p w14:paraId="66F75FE8" w14:textId="77777777" w:rsidR="000F2019" w:rsidRPr="000F2019" w:rsidRDefault="000F2019" w:rsidP="000F2019">
      <w:p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Katra persona mājsaimniecībā trīs mēnešos var saņemt:</w:t>
      </w:r>
    </w:p>
    <w:p w14:paraId="3B273953" w14:textId="77777777" w:rsidR="000F2019" w:rsidRPr="000F2019" w:rsidRDefault="000F2019" w:rsidP="004008A3">
      <w:pPr>
        <w:numPr>
          <w:ilvl w:val="0"/>
          <w:numId w:val="2"/>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2 pārtikas komplektus;</w:t>
      </w:r>
    </w:p>
    <w:p w14:paraId="6ACEEA29" w14:textId="77777777" w:rsidR="000F2019" w:rsidRPr="000F2019" w:rsidRDefault="000F2019" w:rsidP="004008A3">
      <w:pPr>
        <w:numPr>
          <w:ilvl w:val="0"/>
          <w:numId w:val="2"/>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1 higiēnas un saimniecības preču komplektu;</w:t>
      </w:r>
    </w:p>
    <w:p w14:paraId="1EFA0BE6" w14:textId="77777777" w:rsidR="000F2019" w:rsidRPr="000F2019" w:rsidRDefault="000F2019" w:rsidP="004008A3">
      <w:pPr>
        <w:numPr>
          <w:ilvl w:val="0"/>
          <w:numId w:val="2"/>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2 papildu bērnu pārtikas komplektus, ja ģimenē ir mazi bērni vecumā no 7 līdz 24 mēnešiem;</w:t>
      </w:r>
    </w:p>
    <w:p w14:paraId="79A74AB2" w14:textId="77777777" w:rsidR="000F2019" w:rsidRPr="000F2019" w:rsidRDefault="000F2019" w:rsidP="004008A3">
      <w:pPr>
        <w:numPr>
          <w:ilvl w:val="0"/>
          <w:numId w:val="2"/>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lastRenderedPageBreak/>
        <w:t>1 papildu higiēnas preču komplektu, ja ģimenē ir mazi bērni vecumā līdz 2 gadiem.</w:t>
      </w:r>
    </w:p>
    <w:p w14:paraId="21E98E32" w14:textId="77777777" w:rsidR="000F2019" w:rsidRPr="000F2019" w:rsidRDefault="000F2019" w:rsidP="004008A3">
      <w:pPr>
        <w:numPr>
          <w:ilvl w:val="0"/>
          <w:numId w:val="2"/>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ģimenes ar sākumskolas un pamatskolas vecuma bērniem var saņemt mācību piederumu komplektu.</w:t>
      </w:r>
    </w:p>
    <w:p w14:paraId="1800CDA3" w14:textId="77777777" w:rsidR="000F2019" w:rsidRPr="000F2019" w:rsidRDefault="000F2019" w:rsidP="000F2019">
      <w:p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EAFVP zupas virtuvēs var saņemt pārtikas atbalstu – gatavās maltītes, bez iepriekš minētās izziņas vai citu dokumentu uzrādīšanas.</w:t>
      </w:r>
    </w:p>
    <w:p w14:paraId="71DDA5E7" w14:textId="77777777" w:rsidR="000F2019" w:rsidRPr="000F2019" w:rsidRDefault="000F2019" w:rsidP="000F2019">
      <w:pPr>
        <w:spacing w:after="0" w:line="240" w:lineRule="auto"/>
        <w:jc w:val="both"/>
        <w:rPr>
          <w:rFonts w:ascii="Times New Roman" w:hAnsi="Times New Roman" w:cs="Times New Roman"/>
          <w:sz w:val="24"/>
          <w:szCs w:val="24"/>
        </w:rPr>
      </w:pPr>
    </w:p>
    <w:p w14:paraId="5F3277E4" w14:textId="77777777" w:rsidR="000F2019" w:rsidRPr="000F2019" w:rsidRDefault="000F2019" w:rsidP="000F2019">
      <w:p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2021. gadā 81 455 unikālās personas saņēmušas 420 455 pārtikas preču komplektus individuālai izdalei bez vecuma ierobežojuma. No šo personu skaita:</w:t>
      </w:r>
    </w:p>
    <w:p w14:paraId="2E2E521A" w14:textId="77777777" w:rsidR="000F2019" w:rsidRPr="000F2019" w:rsidRDefault="000F2019" w:rsidP="004008A3">
      <w:pPr>
        <w:pStyle w:val="ListParagraph"/>
        <w:numPr>
          <w:ilvl w:val="0"/>
          <w:numId w:val="3"/>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81 171 persona saņēmusi 202 160 higiēnas un saimniecības preču komplektus;</w:t>
      </w:r>
    </w:p>
    <w:p w14:paraId="421074FB" w14:textId="77777777" w:rsidR="000F2019" w:rsidRPr="000F2019" w:rsidRDefault="000F2019" w:rsidP="004008A3">
      <w:pPr>
        <w:pStyle w:val="ListParagraph"/>
        <w:numPr>
          <w:ilvl w:val="0"/>
          <w:numId w:val="3"/>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 xml:space="preserve">889 bērni vecumā no 7 līdz 24 mēnešiem saņēmuši </w:t>
      </w:r>
      <w:r w:rsidRPr="000F2019">
        <w:rPr>
          <w:rFonts w:ascii="Times New Roman" w:hAnsi="Times New Roman" w:cs="Times New Roman"/>
          <w:sz w:val="24"/>
        </w:rPr>
        <w:t>4 117 papildu pārtikas preču komplektus;</w:t>
      </w:r>
    </w:p>
    <w:p w14:paraId="0C648A3E" w14:textId="77777777" w:rsidR="000F2019" w:rsidRPr="000F2019" w:rsidRDefault="000F2019" w:rsidP="004008A3">
      <w:pPr>
        <w:pStyle w:val="ListParagraph"/>
        <w:numPr>
          <w:ilvl w:val="0"/>
          <w:numId w:val="3"/>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1 169 bērni vecumā no 0 līdz 24 mēnešiem saņēmuši 3 020 papildu higiēnas preču komplektus;</w:t>
      </w:r>
    </w:p>
    <w:p w14:paraId="081823D3" w14:textId="77777777" w:rsidR="000F2019" w:rsidRPr="000F2019" w:rsidRDefault="000F2019" w:rsidP="004008A3">
      <w:pPr>
        <w:pStyle w:val="ListParagraph"/>
        <w:numPr>
          <w:ilvl w:val="0"/>
          <w:numId w:val="3"/>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8 661 bērns vecumā no 5 līdz 16 gadiem saņēmuši individuālo mācību piederumu komplektus.</w:t>
      </w:r>
    </w:p>
    <w:p w14:paraId="21230B14" w14:textId="77777777" w:rsidR="000F2019" w:rsidRPr="000F2019" w:rsidRDefault="000F2019" w:rsidP="000F2019">
      <w:pPr>
        <w:spacing w:after="0" w:line="240" w:lineRule="auto"/>
        <w:jc w:val="both"/>
        <w:rPr>
          <w:rFonts w:ascii="Times New Roman" w:hAnsi="Times New Roman" w:cs="Times New Roman"/>
          <w:sz w:val="24"/>
          <w:szCs w:val="24"/>
        </w:rPr>
      </w:pPr>
    </w:p>
    <w:p w14:paraId="3F90E93C" w14:textId="6DE8F9F1" w:rsidR="000F2019" w:rsidRPr="000F2019" w:rsidRDefault="000F2019" w:rsidP="000F2019">
      <w:p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Papildus tam 2021. gadā 6 545 personām nodrošinātas 478 373 gatavās maltītes zupas virtuvēs.</w:t>
      </w:r>
      <w:r w:rsidR="003C3506">
        <w:rPr>
          <w:rFonts w:ascii="Times New Roman" w:hAnsi="Times New Roman" w:cs="Times New Roman"/>
          <w:sz w:val="24"/>
          <w:szCs w:val="24"/>
        </w:rPr>
        <w:t xml:space="preserve"> </w:t>
      </w:r>
      <w:r w:rsidRPr="000F2019">
        <w:rPr>
          <w:rFonts w:ascii="Times New Roman" w:hAnsi="Times New Roman" w:cs="Times New Roman"/>
          <w:sz w:val="24"/>
          <w:szCs w:val="24"/>
        </w:rPr>
        <w:t>Gada laikā iedzīvotāju sociālās atstumtības mazināšanai īstenoti 2 378 papildpasākumi, kuros piedalījās 5 489 dalībnieki.</w:t>
      </w:r>
      <w:r w:rsidR="003C3506">
        <w:rPr>
          <w:rFonts w:ascii="Times New Roman" w:hAnsi="Times New Roman" w:cs="Times New Roman"/>
          <w:sz w:val="24"/>
          <w:szCs w:val="24"/>
        </w:rPr>
        <w:t xml:space="preserve"> </w:t>
      </w:r>
      <w:r w:rsidRPr="000F2019">
        <w:rPr>
          <w:rFonts w:ascii="Times New Roman" w:hAnsi="Times New Roman" w:cs="Times New Roman"/>
          <w:sz w:val="24"/>
          <w:szCs w:val="24"/>
        </w:rPr>
        <w:t>2021. gadā pārtikas un pamata materiāl</w:t>
      </w:r>
      <w:r w:rsidR="00A00CFF">
        <w:rPr>
          <w:rFonts w:ascii="Times New Roman" w:hAnsi="Times New Roman" w:cs="Times New Roman"/>
          <w:sz w:val="24"/>
          <w:szCs w:val="24"/>
        </w:rPr>
        <w:t>ās</w:t>
      </w:r>
      <w:r w:rsidRPr="000F2019">
        <w:rPr>
          <w:rFonts w:ascii="Times New Roman" w:hAnsi="Times New Roman" w:cs="Times New Roman"/>
          <w:sz w:val="24"/>
          <w:szCs w:val="24"/>
        </w:rPr>
        <w:t xml:space="preserve"> palīdzības nodrošināšanai izmantoti kopā 9 325 105 </w:t>
      </w:r>
      <w:r w:rsidRPr="000F2019">
        <w:rPr>
          <w:rFonts w:ascii="Times New Roman" w:hAnsi="Times New Roman" w:cs="Times New Roman"/>
          <w:i/>
          <w:sz w:val="24"/>
          <w:szCs w:val="24"/>
        </w:rPr>
        <w:t>euro</w:t>
      </w:r>
      <w:r w:rsidRPr="000F2019">
        <w:rPr>
          <w:rFonts w:ascii="Times New Roman" w:hAnsi="Times New Roman" w:cs="Times New Roman"/>
          <w:sz w:val="24"/>
          <w:szCs w:val="24"/>
        </w:rPr>
        <w:t>.</w:t>
      </w:r>
    </w:p>
    <w:p w14:paraId="35507020" w14:textId="77777777" w:rsidR="000F2019" w:rsidRPr="000F2019" w:rsidRDefault="000F2019" w:rsidP="000F2019">
      <w:pPr>
        <w:spacing w:after="0" w:line="240" w:lineRule="auto"/>
        <w:jc w:val="both"/>
        <w:rPr>
          <w:rFonts w:ascii="Times New Roman" w:hAnsi="Times New Roman" w:cs="Times New Roman"/>
          <w:sz w:val="24"/>
          <w:szCs w:val="24"/>
        </w:rPr>
      </w:pPr>
    </w:p>
    <w:p w14:paraId="69EA407B" w14:textId="77777777" w:rsidR="000F2019" w:rsidRPr="000F2019" w:rsidRDefault="000F2019" w:rsidP="000F2019">
      <w:pPr>
        <w:spacing w:after="0"/>
        <w:jc w:val="both"/>
        <w:rPr>
          <w:rFonts w:ascii="Times New Roman" w:hAnsi="Times New Roman" w:cs="Times New Roman"/>
          <w:sz w:val="24"/>
          <w:szCs w:val="24"/>
        </w:rPr>
      </w:pPr>
      <w:r w:rsidRPr="000F2019">
        <w:rPr>
          <w:rFonts w:ascii="Times New Roman" w:hAnsi="Times New Roman" w:cs="Times New Roman"/>
          <w:sz w:val="24"/>
          <w:szCs w:val="24"/>
        </w:rPr>
        <w:t>2022. gada 1. ceturksnī unikālo EAFVP atbalsta saņēmēju skaits bija 61 853 personas. 2022. gada 1. ceturksnī tām sniegts šāds EAFVP atbalsts:</w:t>
      </w:r>
    </w:p>
    <w:p w14:paraId="5AB8AC1D" w14:textId="77777777" w:rsidR="000F2019" w:rsidRPr="000F2019" w:rsidRDefault="000F2019" w:rsidP="004008A3">
      <w:pPr>
        <w:pStyle w:val="ListParagraph"/>
        <w:numPr>
          <w:ilvl w:val="0"/>
          <w:numId w:val="4"/>
        </w:numPr>
        <w:spacing w:after="0"/>
        <w:jc w:val="both"/>
        <w:rPr>
          <w:rFonts w:ascii="Times New Roman" w:hAnsi="Times New Roman" w:cs="Times New Roman"/>
          <w:sz w:val="24"/>
          <w:szCs w:val="24"/>
        </w:rPr>
      </w:pPr>
      <w:r w:rsidRPr="000F2019">
        <w:rPr>
          <w:rFonts w:ascii="Times New Roman" w:hAnsi="Times New Roman" w:cs="Times New Roman"/>
          <w:sz w:val="24"/>
          <w:szCs w:val="24"/>
        </w:rPr>
        <w:t>112 160 pārtikas preču komplekti;</w:t>
      </w:r>
    </w:p>
    <w:p w14:paraId="79AFB0EB" w14:textId="77777777" w:rsidR="000F2019" w:rsidRPr="000F2019" w:rsidRDefault="000F2019" w:rsidP="004008A3">
      <w:pPr>
        <w:pStyle w:val="ListParagraph"/>
        <w:numPr>
          <w:ilvl w:val="0"/>
          <w:numId w:val="4"/>
        </w:numPr>
        <w:spacing w:after="0"/>
        <w:jc w:val="both"/>
        <w:rPr>
          <w:rFonts w:ascii="Times New Roman" w:hAnsi="Times New Roman" w:cs="Times New Roman"/>
          <w:sz w:val="24"/>
          <w:szCs w:val="24"/>
        </w:rPr>
      </w:pPr>
      <w:r w:rsidRPr="000F2019">
        <w:rPr>
          <w:rFonts w:ascii="Times New Roman" w:hAnsi="Times New Roman" w:cs="Times New Roman"/>
          <w:sz w:val="24"/>
          <w:szCs w:val="24"/>
        </w:rPr>
        <w:t>51 165 higiēnas un saimniecības preču komplekti;</w:t>
      </w:r>
    </w:p>
    <w:p w14:paraId="64232626" w14:textId="77777777" w:rsidR="000F2019" w:rsidRPr="000F2019" w:rsidRDefault="000F2019" w:rsidP="004008A3">
      <w:pPr>
        <w:pStyle w:val="ListParagraph"/>
        <w:numPr>
          <w:ilvl w:val="0"/>
          <w:numId w:val="4"/>
        </w:numPr>
        <w:spacing w:after="0"/>
        <w:jc w:val="both"/>
        <w:rPr>
          <w:rFonts w:ascii="Times New Roman" w:hAnsi="Times New Roman" w:cs="Times New Roman"/>
          <w:sz w:val="24"/>
          <w:szCs w:val="24"/>
        </w:rPr>
      </w:pPr>
      <w:r w:rsidRPr="000F2019">
        <w:rPr>
          <w:rFonts w:ascii="Times New Roman" w:hAnsi="Times New Roman" w:cs="Times New Roman"/>
          <w:sz w:val="24"/>
          <w:szCs w:val="24"/>
        </w:rPr>
        <w:t>17 595 higiēniskās sejas maskas;</w:t>
      </w:r>
    </w:p>
    <w:p w14:paraId="337B6688" w14:textId="77777777" w:rsidR="000F2019" w:rsidRPr="000F2019" w:rsidRDefault="000F2019" w:rsidP="004008A3">
      <w:pPr>
        <w:pStyle w:val="ListParagraph"/>
        <w:numPr>
          <w:ilvl w:val="0"/>
          <w:numId w:val="3"/>
        </w:numPr>
        <w:spacing w:after="0" w:line="240" w:lineRule="auto"/>
        <w:jc w:val="both"/>
        <w:rPr>
          <w:rFonts w:ascii="Times New Roman" w:hAnsi="Times New Roman" w:cs="Times New Roman"/>
          <w:sz w:val="24"/>
          <w:szCs w:val="24"/>
        </w:rPr>
      </w:pPr>
      <w:r w:rsidRPr="000F2019">
        <w:rPr>
          <w:rFonts w:ascii="Times New Roman" w:hAnsi="Times New Roman" w:cs="Times New Roman"/>
          <w:sz w:val="24"/>
        </w:rPr>
        <w:t>905 papildu bērnu pārtikas preču komplekti;</w:t>
      </w:r>
    </w:p>
    <w:p w14:paraId="20194A5F" w14:textId="77777777" w:rsidR="000F2019" w:rsidRPr="000F2019" w:rsidRDefault="000F2019" w:rsidP="004008A3">
      <w:pPr>
        <w:pStyle w:val="ListParagraph"/>
        <w:numPr>
          <w:ilvl w:val="0"/>
          <w:numId w:val="3"/>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678 papildu bērnu higiēnas preču komplekti;</w:t>
      </w:r>
    </w:p>
    <w:p w14:paraId="0546E59F" w14:textId="77777777" w:rsidR="000F2019" w:rsidRPr="000F2019" w:rsidRDefault="000F2019" w:rsidP="004008A3">
      <w:pPr>
        <w:pStyle w:val="ListParagraph"/>
        <w:numPr>
          <w:ilvl w:val="0"/>
          <w:numId w:val="3"/>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1 642 mācību piederumu komplekti.</w:t>
      </w:r>
    </w:p>
    <w:p w14:paraId="0BE3C6B4" w14:textId="77777777" w:rsidR="000F2019" w:rsidRPr="000F2019" w:rsidRDefault="000F2019" w:rsidP="000F2019">
      <w:pPr>
        <w:spacing w:after="0"/>
        <w:jc w:val="both"/>
        <w:rPr>
          <w:rFonts w:ascii="Times New Roman" w:hAnsi="Times New Roman" w:cs="Times New Roman"/>
          <w:sz w:val="24"/>
          <w:szCs w:val="24"/>
        </w:rPr>
      </w:pPr>
      <w:r w:rsidRPr="000F2019">
        <w:rPr>
          <w:rFonts w:ascii="Times New Roman" w:hAnsi="Times New Roman" w:cs="Times New Roman"/>
          <w:sz w:val="24"/>
          <w:szCs w:val="24"/>
        </w:rPr>
        <w:t>EAFVP zupas virtuvēs izsniegtas 115 536 gatavās maltītes. Īstenoti 285 papildpasākumi, kuros piedalījās 1 154 dalībnieki.</w:t>
      </w:r>
    </w:p>
    <w:p w14:paraId="3C4A94DF" w14:textId="77777777" w:rsidR="000F2019" w:rsidRPr="000F2019" w:rsidRDefault="000F2019" w:rsidP="000F2019">
      <w:pPr>
        <w:spacing w:after="0"/>
        <w:jc w:val="both"/>
        <w:rPr>
          <w:rFonts w:ascii="Times New Roman" w:hAnsi="Times New Roman" w:cs="Times New Roman"/>
          <w:sz w:val="24"/>
          <w:szCs w:val="24"/>
        </w:rPr>
      </w:pPr>
    </w:p>
    <w:p w14:paraId="143E12AB" w14:textId="77777777" w:rsidR="000F2019" w:rsidRPr="000F2019" w:rsidRDefault="000F2019" w:rsidP="000F2019">
      <w:pPr>
        <w:spacing w:after="0"/>
        <w:jc w:val="both"/>
        <w:rPr>
          <w:rFonts w:ascii="Times New Roman" w:hAnsi="Times New Roman" w:cs="Times New Roman"/>
          <w:sz w:val="24"/>
          <w:szCs w:val="24"/>
        </w:rPr>
      </w:pPr>
      <w:r w:rsidRPr="000F2019">
        <w:rPr>
          <w:rFonts w:ascii="Times New Roman" w:hAnsi="Times New Roman" w:cs="Times New Roman"/>
          <w:sz w:val="24"/>
          <w:szCs w:val="24"/>
        </w:rPr>
        <w:t>Vienlaikus EAFVP atbalstu saņem arī Ukrainas civiliedzīvotāji. 2022. gada 1. ceturksnī tiem izsniegts šāds EAFVP atbalsts:</w:t>
      </w:r>
    </w:p>
    <w:p w14:paraId="2C5EF3ED" w14:textId="77777777" w:rsidR="000F2019" w:rsidRPr="000F2019" w:rsidRDefault="000F2019" w:rsidP="004008A3">
      <w:pPr>
        <w:pStyle w:val="ListParagraph"/>
        <w:numPr>
          <w:ilvl w:val="0"/>
          <w:numId w:val="4"/>
        </w:numPr>
        <w:spacing w:after="0"/>
        <w:jc w:val="both"/>
        <w:rPr>
          <w:rFonts w:ascii="Times New Roman" w:hAnsi="Times New Roman" w:cs="Times New Roman"/>
          <w:sz w:val="24"/>
          <w:szCs w:val="24"/>
        </w:rPr>
      </w:pPr>
      <w:r w:rsidRPr="000F2019">
        <w:rPr>
          <w:rFonts w:ascii="Times New Roman" w:hAnsi="Times New Roman" w:cs="Times New Roman"/>
          <w:sz w:val="24"/>
          <w:szCs w:val="24"/>
        </w:rPr>
        <w:t>10 317 pārtikas preču komplekti;</w:t>
      </w:r>
    </w:p>
    <w:p w14:paraId="51C0A1B7" w14:textId="77777777" w:rsidR="000F2019" w:rsidRPr="000F2019" w:rsidRDefault="000F2019" w:rsidP="004008A3">
      <w:pPr>
        <w:pStyle w:val="ListParagraph"/>
        <w:numPr>
          <w:ilvl w:val="0"/>
          <w:numId w:val="4"/>
        </w:numPr>
        <w:spacing w:after="0"/>
        <w:jc w:val="both"/>
        <w:rPr>
          <w:rFonts w:ascii="Times New Roman" w:hAnsi="Times New Roman" w:cs="Times New Roman"/>
          <w:sz w:val="24"/>
          <w:szCs w:val="24"/>
        </w:rPr>
      </w:pPr>
      <w:r w:rsidRPr="000F2019">
        <w:rPr>
          <w:rFonts w:ascii="Times New Roman" w:hAnsi="Times New Roman" w:cs="Times New Roman"/>
          <w:sz w:val="24"/>
          <w:szCs w:val="24"/>
        </w:rPr>
        <w:t>5 764 higiēnas un saimniecības preču komplekti;</w:t>
      </w:r>
    </w:p>
    <w:p w14:paraId="6608C26B" w14:textId="77777777" w:rsidR="000F2019" w:rsidRPr="000F2019" w:rsidRDefault="000F2019" w:rsidP="004008A3">
      <w:pPr>
        <w:pStyle w:val="ListParagraph"/>
        <w:numPr>
          <w:ilvl w:val="0"/>
          <w:numId w:val="4"/>
        </w:numPr>
        <w:spacing w:after="0"/>
        <w:jc w:val="both"/>
        <w:rPr>
          <w:rFonts w:ascii="Times New Roman" w:hAnsi="Times New Roman" w:cs="Times New Roman"/>
          <w:sz w:val="24"/>
          <w:szCs w:val="24"/>
        </w:rPr>
      </w:pPr>
      <w:r w:rsidRPr="000F2019">
        <w:rPr>
          <w:rFonts w:ascii="Times New Roman" w:hAnsi="Times New Roman" w:cs="Times New Roman"/>
          <w:sz w:val="24"/>
          <w:szCs w:val="24"/>
        </w:rPr>
        <w:t>78 higiēniskās sejas maskas;</w:t>
      </w:r>
    </w:p>
    <w:p w14:paraId="79177402" w14:textId="77777777" w:rsidR="000F2019" w:rsidRPr="000F2019" w:rsidRDefault="000F2019" w:rsidP="004008A3">
      <w:pPr>
        <w:pStyle w:val="ListParagraph"/>
        <w:numPr>
          <w:ilvl w:val="0"/>
          <w:numId w:val="3"/>
        </w:numPr>
        <w:spacing w:after="0" w:line="240" w:lineRule="auto"/>
        <w:jc w:val="both"/>
        <w:rPr>
          <w:rFonts w:ascii="Times New Roman" w:hAnsi="Times New Roman" w:cs="Times New Roman"/>
          <w:sz w:val="24"/>
          <w:szCs w:val="24"/>
        </w:rPr>
      </w:pPr>
      <w:r w:rsidRPr="000F2019">
        <w:rPr>
          <w:rFonts w:ascii="Times New Roman" w:hAnsi="Times New Roman" w:cs="Times New Roman"/>
          <w:sz w:val="24"/>
        </w:rPr>
        <w:t>181 papildu bērnu pārtikas preču komplekti;</w:t>
      </w:r>
    </w:p>
    <w:p w14:paraId="13CA7B92" w14:textId="77777777" w:rsidR="000F2019" w:rsidRPr="000F2019" w:rsidRDefault="000F2019" w:rsidP="004008A3">
      <w:pPr>
        <w:pStyle w:val="ListParagraph"/>
        <w:numPr>
          <w:ilvl w:val="0"/>
          <w:numId w:val="3"/>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153 papildu bērnu higiēnas preču komplekti;</w:t>
      </w:r>
    </w:p>
    <w:p w14:paraId="59F359D8" w14:textId="77777777" w:rsidR="000F2019" w:rsidRPr="000F2019" w:rsidRDefault="000F2019" w:rsidP="004008A3">
      <w:pPr>
        <w:pStyle w:val="ListParagraph"/>
        <w:numPr>
          <w:ilvl w:val="0"/>
          <w:numId w:val="3"/>
        </w:numPr>
        <w:spacing w:after="0" w:line="240" w:lineRule="auto"/>
        <w:jc w:val="both"/>
        <w:rPr>
          <w:rFonts w:ascii="Times New Roman" w:hAnsi="Times New Roman" w:cs="Times New Roman"/>
          <w:sz w:val="24"/>
          <w:szCs w:val="24"/>
        </w:rPr>
      </w:pPr>
      <w:r w:rsidRPr="000F2019">
        <w:rPr>
          <w:rFonts w:ascii="Times New Roman" w:hAnsi="Times New Roman" w:cs="Times New Roman"/>
          <w:sz w:val="24"/>
          <w:szCs w:val="24"/>
        </w:rPr>
        <w:t>1 296 mācību piederumu komplekti.</w:t>
      </w:r>
    </w:p>
    <w:p w14:paraId="6009768A" w14:textId="77777777" w:rsidR="00A00CFF" w:rsidRDefault="000F2019" w:rsidP="003C3506">
      <w:pPr>
        <w:jc w:val="both"/>
        <w:rPr>
          <w:rFonts w:ascii="Times New Roman" w:hAnsi="Times New Roman" w:cs="Times New Roman"/>
          <w:sz w:val="24"/>
          <w:szCs w:val="24"/>
        </w:rPr>
      </w:pPr>
      <w:r w:rsidRPr="003C3506">
        <w:rPr>
          <w:rFonts w:ascii="Times New Roman" w:hAnsi="Times New Roman" w:cs="Times New Roman"/>
          <w:sz w:val="24"/>
          <w:szCs w:val="24"/>
        </w:rPr>
        <w:t>Minētajā periodā Ukrainas civiliedzīvotājiem īstenoti 76 papildpasākumi.</w:t>
      </w:r>
      <w:r w:rsidR="007C481B" w:rsidRPr="003C3506">
        <w:rPr>
          <w:rFonts w:ascii="Times New Roman" w:hAnsi="Times New Roman" w:cs="Times New Roman"/>
          <w:sz w:val="24"/>
          <w:szCs w:val="24"/>
        </w:rPr>
        <w:t xml:space="preserve"> </w:t>
      </w:r>
    </w:p>
    <w:p w14:paraId="3E855594" w14:textId="03DA12A2" w:rsidR="007C481B" w:rsidRPr="003C3506" w:rsidRDefault="007C481B" w:rsidP="003C3506">
      <w:pPr>
        <w:jc w:val="both"/>
        <w:rPr>
          <w:rFonts w:ascii="Times New Roman" w:hAnsi="Times New Roman" w:cs="Times New Roman"/>
          <w:sz w:val="24"/>
          <w:szCs w:val="24"/>
        </w:rPr>
      </w:pPr>
      <w:r w:rsidRPr="003C3506">
        <w:rPr>
          <w:rFonts w:ascii="Times New Roman" w:hAnsi="Times New Roman" w:cs="Times New Roman"/>
          <w:sz w:val="24"/>
          <w:szCs w:val="24"/>
        </w:rPr>
        <w:t>N</w:t>
      </w:r>
      <w:r w:rsidRPr="003C3506">
        <w:rPr>
          <w:rFonts w:ascii="Times New Roman" w:hAnsi="Times New Roman" w:cs="Times New Roman"/>
          <w:bCs/>
          <w:sz w:val="24"/>
          <w:szCs w:val="24"/>
        </w:rPr>
        <w:t>o</w:t>
      </w:r>
      <w:r w:rsidRPr="003C3506">
        <w:rPr>
          <w:rFonts w:ascii="Times New Roman" w:hAnsi="Times New Roman" w:cs="Times New Roman"/>
          <w:sz w:val="24"/>
          <w:szCs w:val="24"/>
        </w:rPr>
        <w:t xml:space="preserve"> </w:t>
      </w:r>
      <w:r w:rsidRPr="003C3506">
        <w:rPr>
          <w:rFonts w:ascii="Times New Roman" w:hAnsi="Times New Roman" w:cs="Times New Roman"/>
          <w:bCs/>
          <w:sz w:val="24"/>
          <w:szCs w:val="24"/>
        </w:rPr>
        <w:t>01.01.2022. līdz 27.05.2022</w:t>
      </w:r>
      <w:r w:rsidRPr="003C3506">
        <w:rPr>
          <w:rFonts w:ascii="Times New Roman" w:hAnsi="Times New Roman" w:cs="Times New Roman"/>
          <w:sz w:val="24"/>
          <w:szCs w:val="24"/>
        </w:rPr>
        <w:t xml:space="preserve">. EAFVP atbalsta nodrošināšanai izmantoti </w:t>
      </w:r>
      <w:r w:rsidRPr="003C3506">
        <w:rPr>
          <w:rFonts w:ascii="Times New Roman" w:hAnsi="Times New Roman" w:cs="Times New Roman"/>
          <w:bCs/>
          <w:sz w:val="24"/>
          <w:szCs w:val="24"/>
        </w:rPr>
        <w:t xml:space="preserve">4 182 567,25 </w:t>
      </w:r>
      <w:r w:rsidRPr="000C5E35">
        <w:rPr>
          <w:rFonts w:ascii="Times New Roman" w:hAnsi="Times New Roman" w:cs="Times New Roman"/>
          <w:bCs/>
          <w:i/>
          <w:sz w:val="24"/>
          <w:szCs w:val="24"/>
        </w:rPr>
        <w:t>euro</w:t>
      </w:r>
      <w:r w:rsidRPr="003C3506">
        <w:rPr>
          <w:rFonts w:ascii="Times New Roman" w:hAnsi="Times New Roman" w:cs="Times New Roman"/>
          <w:sz w:val="24"/>
          <w:szCs w:val="24"/>
        </w:rPr>
        <w:t>.</w:t>
      </w:r>
    </w:p>
    <w:p w14:paraId="6BC97924" w14:textId="77777777" w:rsidR="0060012D" w:rsidRDefault="0060012D" w:rsidP="00DF7658">
      <w:pPr>
        <w:spacing w:after="0" w:line="240" w:lineRule="auto"/>
        <w:jc w:val="both"/>
        <w:rPr>
          <w:rFonts w:ascii="Times New Roman" w:hAnsi="Times New Roman" w:cs="Times New Roman"/>
          <w:b/>
          <w:sz w:val="24"/>
          <w:szCs w:val="24"/>
        </w:rPr>
      </w:pPr>
    </w:p>
    <w:p w14:paraId="1E1FC905" w14:textId="77777777" w:rsidR="00842A62" w:rsidRDefault="00842A62" w:rsidP="00DF7658">
      <w:pPr>
        <w:spacing w:after="0" w:line="240" w:lineRule="auto"/>
        <w:jc w:val="both"/>
        <w:rPr>
          <w:rFonts w:ascii="Times New Roman" w:hAnsi="Times New Roman" w:cs="Times New Roman"/>
          <w:b/>
          <w:sz w:val="24"/>
          <w:szCs w:val="24"/>
        </w:rPr>
      </w:pPr>
    </w:p>
    <w:p w14:paraId="446F754C" w14:textId="77777777" w:rsidR="00842A62" w:rsidRDefault="00842A62" w:rsidP="00DF7658">
      <w:pPr>
        <w:spacing w:after="0" w:line="240" w:lineRule="auto"/>
        <w:jc w:val="both"/>
        <w:rPr>
          <w:rFonts w:ascii="Times New Roman" w:hAnsi="Times New Roman" w:cs="Times New Roman"/>
          <w:b/>
          <w:sz w:val="24"/>
          <w:szCs w:val="24"/>
        </w:rPr>
      </w:pPr>
    </w:p>
    <w:p w14:paraId="1BE3BCB1" w14:textId="77777777" w:rsidR="00DF7658" w:rsidRDefault="00DF7658" w:rsidP="00DF7658">
      <w:pPr>
        <w:spacing w:after="0" w:line="240" w:lineRule="auto"/>
        <w:jc w:val="both"/>
        <w:rPr>
          <w:rFonts w:ascii="Times New Roman" w:hAnsi="Times New Roman" w:cs="Times New Roman"/>
          <w:b/>
          <w:sz w:val="24"/>
          <w:szCs w:val="24"/>
        </w:rPr>
      </w:pPr>
      <w:r w:rsidRPr="00DF7658">
        <w:rPr>
          <w:rFonts w:ascii="Times New Roman" w:hAnsi="Times New Roman" w:cs="Times New Roman"/>
          <w:b/>
          <w:sz w:val="24"/>
          <w:szCs w:val="24"/>
        </w:rPr>
        <w:lastRenderedPageBreak/>
        <w:t xml:space="preserve">Aizsargātais lietotājs </w:t>
      </w:r>
    </w:p>
    <w:p w14:paraId="626C71DE" w14:textId="77777777" w:rsidR="00DF7658" w:rsidRPr="00DF7658" w:rsidRDefault="00DF7658" w:rsidP="00DF7658">
      <w:pPr>
        <w:spacing w:after="0" w:line="240" w:lineRule="auto"/>
        <w:jc w:val="both"/>
        <w:rPr>
          <w:rFonts w:ascii="Times New Roman" w:hAnsi="Times New Roman" w:cs="Times New Roman"/>
          <w:b/>
          <w:sz w:val="24"/>
          <w:szCs w:val="24"/>
        </w:rPr>
      </w:pPr>
    </w:p>
    <w:p w14:paraId="4B206199" w14:textId="584C50A7" w:rsidR="00DF7658" w:rsidRPr="0060012D" w:rsidRDefault="00DF7658" w:rsidP="0036515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2015. gadā</w:t>
      </w:r>
      <w:r w:rsidRPr="00DF7658">
        <w:rPr>
          <w:rFonts w:ascii="Times New Roman" w:hAnsi="Times New Roman" w:cs="Times New Roman"/>
          <w:sz w:val="24"/>
          <w:szCs w:val="24"/>
        </w:rPr>
        <w:t xml:space="preserve"> </w:t>
      </w:r>
      <w:r>
        <w:rPr>
          <w:rFonts w:ascii="Times New Roman" w:hAnsi="Times New Roman" w:cs="Times New Roman"/>
          <w:sz w:val="24"/>
          <w:szCs w:val="24"/>
        </w:rPr>
        <w:t>tika ieviest</w:t>
      </w:r>
      <w:r w:rsidRPr="00DF7658">
        <w:rPr>
          <w:rFonts w:ascii="Times New Roman" w:hAnsi="Times New Roman" w:cs="Times New Roman"/>
          <w:sz w:val="24"/>
          <w:szCs w:val="24"/>
        </w:rPr>
        <w:t>s aizsargātā lietotāja tirdzniecības pakalpojums, kas ir elektroenerģijas rēķinu maksas samazinājums par noteiktu apmēru, ko saņem daudzbērnu ģimenes, ģimenes ar bērniem ar invaliditāti, personas ar I grupa</w:t>
      </w:r>
      <w:r w:rsidR="00F55D5E">
        <w:rPr>
          <w:rFonts w:ascii="Times New Roman" w:hAnsi="Times New Roman" w:cs="Times New Roman"/>
          <w:sz w:val="24"/>
          <w:szCs w:val="24"/>
        </w:rPr>
        <w:t xml:space="preserve">s invaliditāti, kā arī trūcīgas un </w:t>
      </w:r>
      <w:r w:rsidRPr="00DF7658">
        <w:rPr>
          <w:rFonts w:ascii="Times New Roman" w:hAnsi="Times New Roman" w:cs="Times New Roman"/>
          <w:sz w:val="24"/>
          <w:szCs w:val="24"/>
        </w:rPr>
        <w:t>maznodrošinātas mājsaimniecības. Šo pakalpojumu sniedz elektroenerģijas tirgotāji, izmantojot datu apmaiņas procesu ar Būvniecības valsts kontroles biroju, kas ir Aizsargāto lietotāju datu informācijas sistēma</w:t>
      </w:r>
      <w:r w:rsidR="00A00CFF">
        <w:rPr>
          <w:rFonts w:ascii="Times New Roman" w:hAnsi="Times New Roman" w:cs="Times New Roman"/>
          <w:sz w:val="24"/>
          <w:szCs w:val="24"/>
        </w:rPr>
        <w:t>s</w:t>
      </w:r>
      <w:r w:rsidR="00A00CFF" w:rsidRPr="00A00CFF">
        <w:rPr>
          <w:rFonts w:ascii="Times New Roman" w:hAnsi="Times New Roman" w:cs="Times New Roman"/>
          <w:sz w:val="24"/>
          <w:szCs w:val="24"/>
        </w:rPr>
        <w:t xml:space="preserve"> </w:t>
      </w:r>
      <w:r w:rsidR="00A00CFF" w:rsidRPr="00DF7658">
        <w:rPr>
          <w:rFonts w:ascii="Times New Roman" w:hAnsi="Times New Roman" w:cs="Times New Roman"/>
          <w:sz w:val="24"/>
          <w:szCs w:val="24"/>
        </w:rPr>
        <w:t>pārzinis</w:t>
      </w:r>
      <w:r w:rsidRPr="00DF7658">
        <w:rPr>
          <w:rFonts w:ascii="Times New Roman" w:hAnsi="Times New Roman" w:cs="Times New Roman"/>
          <w:sz w:val="24"/>
          <w:szCs w:val="24"/>
        </w:rPr>
        <w:t>. Sistēma primāri identificē visus aizsargātos lietotājus valstī un secīgi aprēķina tiem pienākošos atbalstu, un šī informācija nonāk pie elektroenerģij</w:t>
      </w:r>
      <w:r>
        <w:rPr>
          <w:rFonts w:ascii="Times New Roman" w:hAnsi="Times New Roman" w:cs="Times New Roman"/>
          <w:sz w:val="24"/>
          <w:szCs w:val="24"/>
        </w:rPr>
        <w:t>as tirgotājiem. No 2020. gada 1. </w:t>
      </w:r>
      <w:r w:rsidRPr="00DF7658">
        <w:rPr>
          <w:rFonts w:ascii="Times New Roman" w:hAnsi="Times New Roman" w:cs="Times New Roman"/>
          <w:sz w:val="24"/>
          <w:szCs w:val="24"/>
        </w:rPr>
        <w:t>septembra</w:t>
      </w:r>
      <w:r w:rsidRPr="00DF7658">
        <w:rPr>
          <w:rStyle w:val="FootnoteReference"/>
          <w:rFonts w:ascii="Times New Roman" w:hAnsi="Times New Roman"/>
          <w:sz w:val="24"/>
          <w:szCs w:val="24"/>
        </w:rPr>
        <w:footnoteReference w:id="15"/>
      </w:r>
      <w:r w:rsidRPr="00DF7658">
        <w:rPr>
          <w:rFonts w:ascii="Times New Roman" w:hAnsi="Times New Roman" w:cs="Times New Roman"/>
          <w:sz w:val="24"/>
          <w:szCs w:val="24"/>
        </w:rPr>
        <w:t xml:space="preserve"> sistēma ir automatizēta, kā arī mainīts atbalsta princips no mainīgas uz fiksētu summu, ņemot vērā 2018.-2020.gada atbalsta un tirgus cenu </w:t>
      </w:r>
      <w:r w:rsidRPr="0060012D">
        <w:rPr>
          <w:rFonts w:ascii="Times New Roman" w:hAnsi="Times New Roman" w:cs="Times New Roman"/>
          <w:sz w:val="24"/>
          <w:szCs w:val="24"/>
        </w:rPr>
        <w:t>statistiku.</w:t>
      </w:r>
    </w:p>
    <w:p w14:paraId="479AE544" w14:textId="5034A86C" w:rsidR="0060012D" w:rsidRPr="001F5B58" w:rsidRDefault="0060012D" w:rsidP="00365151">
      <w:pPr>
        <w:spacing w:after="0" w:line="240" w:lineRule="auto"/>
        <w:ind w:firstLine="720"/>
        <w:jc w:val="both"/>
        <w:rPr>
          <w:rFonts w:ascii="Times New Roman" w:hAnsi="Times New Roman" w:cs="Times New Roman"/>
          <w:sz w:val="24"/>
          <w:szCs w:val="24"/>
        </w:rPr>
      </w:pPr>
      <w:r w:rsidRPr="0060012D">
        <w:rPr>
          <w:rFonts w:ascii="Times New Roman" w:hAnsi="Times New Roman" w:cs="Times New Roman"/>
          <w:sz w:val="24"/>
          <w:szCs w:val="24"/>
        </w:rPr>
        <w:t xml:space="preserve">2021.gada </w:t>
      </w:r>
      <w:r w:rsidRPr="001F5B58">
        <w:rPr>
          <w:rFonts w:ascii="Times New Roman" w:hAnsi="Times New Roman" w:cs="Times New Roman"/>
          <w:sz w:val="24"/>
          <w:szCs w:val="24"/>
        </w:rPr>
        <w:t xml:space="preserve">statistiku par aizsargāto lietotāju skaitu, to dalījumu pa kategorijām un izlietoto finansējumu rēķinu atbalstam skatīt </w:t>
      </w:r>
      <w:r w:rsidR="001F5B58" w:rsidRPr="001F5B58">
        <w:rPr>
          <w:rFonts w:ascii="Times New Roman" w:hAnsi="Times New Roman" w:cs="Times New Roman"/>
          <w:sz w:val="24"/>
          <w:szCs w:val="24"/>
        </w:rPr>
        <w:t>3</w:t>
      </w:r>
      <w:r w:rsidRPr="001F5B58">
        <w:rPr>
          <w:rFonts w:ascii="Times New Roman" w:hAnsi="Times New Roman" w:cs="Times New Roman"/>
          <w:sz w:val="24"/>
          <w:szCs w:val="24"/>
        </w:rPr>
        <w:t>. tabulā.</w:t>
      </w:r>
    </w:p>
    <w:p w14:paraId="349DE384" w14:textId="77777777" w:rsidR="0060012D" w:rsidRPr="001F5B58" w:rsidRDefault="0060012D" w:rsidP="00365151">
      <w:pPr>
        <w:spacing w:after="0" w:line="240" w:lineRule="auto"/>
        <w:jc w:val="right"/>
        <w:rPr>
          <w:rFonts w:ascii="Times New Roman" w:hAnsi="Times New Roman" w:cs="Times New Roman"/>
          <w:sz w:val="24"/>
          <w:szCs w:val="24"/>
        </w:rPr>
      </w:pPr>
    </w:p>
    <w:p w14:paraId="6C334234" w14:textId="62CDD573" w:rsidR="005756EC" w:rsidRDefault="006B2434" w:rsidP="006B2434">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3.tabula. </w:t>
      </w:r>
      <w:r w:rsidR="0060012D" w:rsidRPr="0060012D">
        <w:rPr>
          <w:rFonts w:ascii="Times New Roman" w:hAnsi="Times New Roman" w:cs="Times New Roman"/>
          <w:sz w:val="24"/>
          <w:szCs w:val="24"/>
        </w:rPr>
        <w:t>Aizsargāto lietotāju atbalsta statistika 2021.gadā</w:t>
      </w:r>
    </w:p>
    <w:tbl>
      <w:tblPr>
        <w:tblStyle w:val="TableGrid"/>
        <w:tblW w:w="8500" w:type="dxa"/>
        <w:tblLook w:val="04A0" w:firstRow="1" w:lastRow="0" w:firstColumn="1" w:lastColumn="0" w:noHBand="0" w:noVBand="1"/>
      </w:tblPr>
      <w:tblGrid>
        <w:gridCol w:w="1076"/>
        <w:gridCol w:w="1096"/>
        <w:gridCol w:w="1446"/>
        <w:gridCol w:w="1006"/>
        <w:gridCol w:w="1007"/>
        <w:gridCol w:w="787"/>
        <w:gridCol w:w="1029"/>
        <w:gridCol w:w="1053"/>
      </w:tblGrid>
      <w:tr w:rsidR="005756EC" w14:paraId="5BB85400" w14:textId="77777777" w:rsidTr="00062538">
        <w:tc>
          <w:tcPr>
            <w:tcW w:w="1076" w:type="dxa"/>
            <w:shd w:val="clear" w:color="auto" w:fill="D9D9D9" w:themeFill="background1" w:themeFillShade="D9"/>
          </w:tcPr>
          <w:p w14:paraId="4EB54039" w14:textId="77777777" w:rsidR="005756EC" w:rsidRPr="00365151" w:rsidRDefault="005756EC" w:rsidP="005756EC">
            <w:pPr>
              <w:jc w:val="center"/>
              <w:rPr>
                <w:rFonts w:ascii="Times New Roman" w:hAnsi="Times New Roman"/>
                <w:b/>
                <w:bCs/>
                <w:sz w:val="18"/>
                <w:szCs w:val="18"/>
              </w:rPr>
            </w:pPr>
            <w:r w:rsidRPr="00365151">
              <w:rPr>
                <w:rFonts w:ascii="Times New Roman" w:hAnsi="Times New Roman"/>
                <w:b/>
                <w:bCs/>
                <w:sz w:val="18"/>
                <w:szCs w:val="18"/>
              </w:rPr>
              <w:t>Aizsargāto</w:t>
            </w:r>
          </w:p>
          <w:p w14:paraId="33F5033C" w14:textId="1A6DB602" w:rsidR="005756EC" w:rsidRDefault="005756EC" w:rsidP="005756EC">
            <w:pPr>
              <w:jc w:val="center"/>
              <w:rPr>
                <w:rFonts w:ascii="Times New Roman" w:hAnsi="Times New Roman"/>
                <w:sz w:val="24"/>
                <w:szCs w:val="24"/>
              </w:rPr>
            </w:pPr>
            <w:r w:rsidRPr="00365151">
              <w:rPr>
                <w:rFonts w:ascii="Times New Roman" w:hAnsi="Times New Roman"/>
                <w:b/>
                <w:bCs/>
                <w:sz w:val="18"/>
                <w:szCs w:val="18"/>
              </w:rPr>
              <w:t>lietotāju kategorijas / mēnesis</w:t>
            </w:r>
          </w:p>
        </w:tc>
        <w:tc>
          <w:tcPr>
            <w:tcW w:w="1096" w:type="dxa"/>
            <w:shd w:val="clear" w:color="auto" w:fill="D9D9D9" w:themeFill="background1" w:themeFillShade="D9"/>
          </w:tcPr>
          <w:p w14:paraId="5989E2CC" w14:textId="3D6D91E6" w:rsidR="005756EC" w:rsidRDefault="005756EC" w:rsidP="00365151">
            <w:pPr>
              <w:jc w:val="center"/>
              <w:rPr>
                <w:rFonts w:ascii="Times New Roman" w:hAnsi="Times New Roman"/>
                <w:sz w:val="24"/>
                <w:szCs w:val="24"/>
              </w:rPr>
            </w:pPr>
            <w:r w:rsidRPr="00365151">
              <w:rPr>
                <w:rFonts w:ascii="Times New Roman" w:hAnsi="Times New Roman"/>
                <w:sz w:val="18"/>
                <w:szCs w:val="18"/>
              </w:rPr>
              <w:t>Daudzbērnu ģimenes</w:t>
            </w:r>
          </w:p>
        </w:tc>
        <w:tc>
          <w:tcPr>
            <w:tcW w:w="1446" w:type="dxa"/>
            <w:shd w:val="clear" w:color="auto" w:fill="D9D9D9" w:themeFill="background1" w:themeFillShade="D9"/>
          </w:tcPr>
          <w:p w14:paraId="19CE8953" w14:textId="58F382BC" w:rsidR="005756EC" w:rsidRDefault="005756EC" w:rsidP="00365151">
            <w:pPr>
              <w:jc w:val="center"/>
              <w:rPr>
                <w:rFonts w:ascii="Times New Roman" w:hAnsi="Times New Roman"/>
                <w:sz w:val="24"/>
                <w:szCs w:val="24"/>
              </w:rPr>
            </w:pPr>
            <w:r w:rsidRPr="00365151">
              <w:rPr>
                <w:rFonts w:ascii="Times New Roman" w:hAnsi="Times New Roman"/>
                <w:sz w:val="18"/>
                <w:szCs w:val="18"/>
              </w:rPr>
              <w:t>Trūcīgās / Maznodrošinātās mājsaimniecības</w:t>
            </w:r>
          </w:p>
        </w:tc>
        <w:tc>
          <w:tcPr>
            <w:tcW w:w="1006" w:type="dxa"/>
            <w:shd w:val="clear" w:color="auto" w:fill="D9D9D9" w:themeFill="background1" w:themeFillShade="D9"/>
          </w:tcPr>
          <w:p w14:paraId="2376E722" w14:textId="14856CDE" w:rsidR="005756EC" w:rsidRDefault="005756EC" w:rsidP="00365151">
            <w:pPr>
              <w:jc w:val="center"/>
              <w:rPr>
                <w:rFonts w:ascii="Times New Roman" w:hAnsi="Times New Roman"/>
                <w:sz w:val="24"/>
                <w:szCs w:val="24"/>
              </w:rPr>
            </w:pPr>
            <w:r w:rsidRPr="00365151">
              <w:rPr>
                <w:rFonts w:ascii="Times New Roman" w:hAnsi="Times New Roman"/>
                <w:sz w:val="18"/>
                <w:szCs w:val="18"/>
              </w:rPr>
              <w:t>Ģimenes ar bērniem ar invaliditāti</w:t>
            </w:r>
          </w:p>
        </w:tc>
        <w:tc>
          <w:tcPr>
            <w:tcW w:w="1007" w:type="dxa"/>
            <w:shd w:val="clear" w:color="auto" w:fill="D9D9D9" w:themeFill="background1" w:themeFillShade="D9"/>
          </w:tcPr>
          <w:p w14:paraId="238DBCC0" w14:textId="5015AA33" w:rsidR="005756EC" w:rsidRDefault="005756EC" w:rsidP="00365151">
            <w:pPr>
              <w:jc w:val="center"/>
              <w:rPr>
                <w:rFonts w:ascii="Times New Roman" w:hAnsi="Times New Roman"/>
                <w:sz w:val="24"/>
                <w:szCs w:val="24"/>
              </w:rPr>
            </w:pPr>
            <w:r w:rsidRPr="00365151">
              <w:rPr>
                <w:rFonts w:ascii="Times New Roman" w:hAnsi="Times New Roman"/>
                <w:sz w:val="18"/>
                <w:szCs w:val="18"/>
              </w:rPr>
              <w:t>Personas ar 1. grupas invaliditāti</w:t>
            </w:r>
          </w:p>
        </w:tc>
        <w:tc>
          <w:tcPr>
            <w:tcW w:w="787" w:type="dxa"/>
            <w:shd w:val="clear" w:color="auto" w:fill="D9D9D9" w:themeFill="background1" w:themeFillShade="D9"/>
          </w:tcPr>
          <w:p w14:paraId="0F8ECA79" w14:textId="68E4E61D" w:rsidR="005756EC" w:rsidRDefault="005756EC" w:rsidP="009F451B">
            <w:pPr>
              <w:jc w:val="center"/>
              <w:rPr>
                <w:rFonts w:ascii="Times New Roman" w:hAnsi="Times New Roman"/>
                <w:sz w:val="24"/>
                <w:szCs w:val="24"/>
              </w:rPr>
            </w:pPr>
            <w:r w:rsidRPr="00365151">
              <w:rPr>
                <w:rFonts w:ascii="Times New Roman" w:hAnsi="Times New Roman"/>
                <w:b/>
                <w:bCs/>
                <w:sz w:val="18"/>
                <w:szCs w:val="18"/>
              </w:rPr>
              <w:t>Kopā</w:t>
            </w:r>
          </w:p>
        </w:tc>
        <w:tc>
          <w:tcPr>
            <w:tcW w:w="1029" w:type="dxa"/>
            <w:shd w:val="clear" w:color="auto" w:fill="D9D9D9" w:themeFill="background1" w:themeFillShade="D9"/>
          </w:tcPr>
          <w:p w14:paraId="73FA4AB0" w14:textId="6AAD913D" w:rsidR="005756EC" w:rsidRDefault="005756EC" w:rsidP="00365151">
            <w:pPr>
              <w:jc w:val="center"/>
              <w:rPr>
                <w:rFonts w:ascii="Times New Roman" w:hAnsi="Times New Roman"/>
                <w:sz w:val="24"/>
                <w:szCs w:val="24"/>
              </w:rPr>
            </w:pPr>
            <w:r w:rsidRPr="00365151">
              <w:rPr>
                <w:rFonts w:ascii="Times New Roman" w:hAnsi="Times New Roman"/>
                <w:b/>
                <w:bCs/>
                <w:sz w:val="18"/>
                <w:szCs w:val="18"/>
              </w:rPr>
              <w:t>Piešķirtais atbalsts, euro</w:t>
            </w:r>
          </w:p>
        </w:tc>
        <w:tc>
          <w:tcPr>
            <w:tcW w:w="1053" w:type="dxa"/>
            <w:shd w:val="clear" w:color="auto" w:fill="D9D9D9" w:themeFill="background1" w:themeFillShade="D9"/>
          </w:tcPr>
          <w:p w14:paraId="64102DC2" w14:textId="215BBADB" w:rsidR="005756EC" w:rsidRDefault="005756EC" w:rsidP="00365151">
            <w:pPr>
              <w:jc w:val="center"/>
              <w:rPr>
                <w:rFonts w:ascii="Times New Roman" w:hAnsi="Times New Roman"/>
                <w:sz w:val="24"/>
                <w:szCs w:val="24"/>
              </w:rPr>
            </w:pPr>
            <w:r w:rsidRPr="00365151">
              <w:rPr>
                <w:rFonts w:ascii="Times New Roman" w:hAnsi="Times New Roman"/>
                <w:b/>
                <w:bCs/>
                <w:sz w:val="18"/>
                <w:szCs w:val="18"/>
              </w:rPr>
              <w:t>KOPĀ, euro</w:t>
            </w:r>
          </w:p>
        </w:tc>
      </w:tr>
      <w:tr w:rsidR="009F451B" w14:paraId="54C3D268" w14:textId="77777777" w:rsidTr="00062538">
        <w:tc>
          <w:tcPr>
            <w:tcW w:w="1076" w:type="dxa"/>
            <w:shd w:val="clear" w:color="auto" w:fill="D9D9D9" w:themeFill="background1" w:themeFillShade="D9"/>
          </w:tcPr>
          <w:p w14:paraId="497B6CC0" w14:textId="7DEC2265" w:rsidR="009F451B" w:rsidRPr="00062538" w:rsidRDefault="009F451B" w:rsidP="00365151">
            <w:pPr>
              <w:jc w:val="center"/>
              <w:rPr>
                <w:rFonts w:ascii="Times New Roman" w:hAnsi="Times New Roman"/>
                <w:sz w:val="20"/>
                <w:szCs w:val="24"/>
              </w:rPr>
            </w:pPr>
            <w:r w:rsidRPr="00062538">
              <w:rPr>
                <w:rFonts w:ascii="Times New Roman" w:hAnsi="Times New Roman"/>
                <w:sz w:val="20"/>
                <w:szCs w:val="24"/>
              </w:rPr>
              <w:t>01</w:t>
            </w:r>
          </w:p>
        </w:tc>
        <w:tc>
          <w:tcPr>
            <w:tcW w:w="1096" w:type="dxa"/>
          </w:tcPr>
          <w:p w14:paraId="1F07D90B" w14:textId="280A35E2" w:rsidR="009F451B" w:rsidRDefault="009F451B" w:rsidP="00365151">
            <w:pPr>
              <w:jc w:val="center"/>
              <w:rPr>
                <w:rFonts w:ascii="Times New Roman" w:hAnsi="Times New Roman"/>
                <w:sz w:val="24"/>
                <w:szCs w:val="24"/>
              </w:rPr>
            </w:pPr>
            <w:r w:rsidRPr="00365151">
              <w:rPr>
                <w:rFonts w:ascii="Times New Roman" w:hAnsi="Times New Roman"/>
                <w:sz w:val="18"/>
                <w:szCs w:val="18"/>
              </w:rPr>
              <w:t>21</w:t>
            </w:r>
            <w:r>
              <w:rPr>
                <w:rFonts w:ascii="Times New Roman" w:hAnsi="Times New Roman"/>
                <w:sz w:val="18"/>
                <w:szCs w:val="18"/>
              </w:rPr>
              <w:t> </w:t>
            </w:r>
            <w:r w:rsidRPr="00365151">
              <w:rPr>
                <w:rFonts w:ascii="Times New Roman" w:hAnsi="Times New Roman"/>
                <w:sz w:val="18"/>
                <w:szCs w:val="18"/>
              </w:rPr>
              <w:t>817</w:t>
            </w:r>
          </w:p>
        </w:tc>
        <w:tc>
          <w:tcPr>
            <w:tcW w:w="1446" w:type="dxa"/>
          </w:tcPr>
          <w:p w14:paraId="0B1E45EE" w14:textId="639C8FB9" w:rsidR="009F451B" w:rsidRDefault="009F451B" w:rsidP="00365151">
            <w:pPr>
              <w:jc w:val="center"/>
              <w:rPr>
                <w:rFonts w:ascii="Times New Roman" w:hAnsi="Times New Roman"/>
                <w:sz w:val="24"/>
                <w:szCs w:val="24"/>
              </w:rPr>
            </w:pPr>
            <w:r w:rsidRPr="00365151">
              <w:rPr>
                <w:rFonts w:ascii="Times New Roman" w:hAnsi="Times New Roman"/>
                <w:sz w:val="18"/>
                <w:szCs w:val="18"/>
              </w:rPr>
              <w:t>36</w:t>
            </w:r>
            <w:r>
              <w:rPr>
                <w:rFonts w:ascii="Times New Roman" w:hAnsi="Times New Roman"/>
                <w:sz w:val="18"/>
                <w:szCs w:val="18"/>
              </w:rPr>
              <w:t> </w:t>
            </w:r>
            <w:r w:rsidRPr="00365151">
              <w:rPr>
                <w:rFonts w:ascii="Times New Roman" w:hAnsi="Times New Roman"/>
                <w:sz w:val="18"/>
                <w:szCs w:val="18"/>
              </w:rPr>
              <w:t>084</w:t>
            </w:r>
          </w:p>
        </w:tc>
        <w:tc>
          <w:tcPr>
            <w:tcW w:w="1006" w:type="dxa"/>
          </w:tcPr>
          <w:p w14:paraId="236D6127" w14:textId="0EFE3E32" w:rsidR="009F451B" w:rsidRDefault="009F451B" w:rsidP="00365151">
            <w:pPr>
              <w:jc w:val="center"/>
              <w:rPr>
                <w:rFonts w:ascii="Times New Roman" w:hAnsi="Times New Roman"/>
                <w:sz w:val="24"/>
                <w:szCs w:val="24"/>
              </w:rPr>
            </w:pPr>
            <w:r w:rsidRPr="00365151">
              <w:rPr>
                <w:rFonts w:ascii="Times New Roman" w:hAnsi="Times New Roman"/>
                <w:sz w:val="18"/>
                <w:szCs w:val="18"/>
              </w:rPr>
              <w:t>3</w:t>
            </w:r>
            <w:r>
              <w:rPr>
                <w:rFonts w:ascii="Times New Roman" w:hAnsi="Times New Roman"/>
                <w:sz w:val="18"/>
                <w:szCs w:val="18"/>
              </w:rPr>
              <w:t> </w:t>
            </w:r>
            <w:r w:rsidRPr="00365151">
              <w:rPr>
                <w:rFonts w:ascii="Times New Roman" w:hAnsi="Times New Roman"/>
                <w:sz w:val="18"/>
                <w:szCs w:val="18"/>
              </w:rPr>
              <w:t>051</w:t>
            </w:r>
          </w:p>
        </w:tc>
        <w:tc>
          <w:tcPr>
            <w:tcW w:w="1007" w:type="dxa"/>
          </w:tcPr>
          <w:p w14:paraId="3634D6A8" w14:textId="6024A163" w:rsidR="009F451B" w:rsidRDefault="009F451B" w:rsidP="00365151">
            <w:pPr>
              <w:jc w:val="center"/>
              <w:rPr>
                <w:rFonts w:ascii="Times New Roman" w:hAnsi="Times New Roman"/>
                <w:sz w:val="24"/>
                <w:szCs w:val="24"/>
              </w:rPr>
            </w:pPr>
            <w:r w:rsidRPr="00365151">
              <w:rPr>
                <w:rFonts w:ascii="Times New Roman" w:hAnsi="Times New Roman"/>
                <w:sz w:val="18"/>
                <w:szCs w:val="18"/>
              </w:rPr>
              <w:t>9</w:t>
            </w:r>
            <w:r>
              <w:rPr>
                <w:rFonts w:ascii="Times New Roman" w:hAnsi="Times New Roman"/>
                <w:sz w:val="18"/>
                <w:szCs w:val="18"/>
              </w:rPr>
              <w:t> </w:t>
            </w:r>
            <w:r w:rsidRPr="00365151">
              <w:rPr>
                <w:rFonts w:ascii="Times New Roman" w:hAnsi="Times New Roman"/>
                <w:sz w:val="18"/>
                <w:szCs w:val="18"/>
              </w:rPr>
              <w:t>837</w:t>
            </w:r>
          </w:p>
        </w:tc>
        <w:tc>
          <w:tcPr>
            <w:tcW w:w="787" w:type="dxa"/>
          </w:tcPr>
          <w:p w14:paraId="241BBB6E" w14:textId="4D559FD3" w:rsidR="009F451B" w:rsidRDefault="009F451B" w:rsidP="00365151">
            <w:pPr>
              <w:jc w:val="center"/>
              <w:rPr>
                <w:rFonts w:ascii="Times New Roman" w:hAnsi="Times New Roman"/>
                <w:sz w:val="24"/>
                <w:szCs w:val="24"/>
              </w:rPr>
            </w:pPr>
            <w:r w:rsidRPr="00365151">
              <w:rPr>
                <w:rFonts w:ascii="Times New Roman" w:hAnsi="Times New Roman"/>
                <w:b/>
                <w:bCs/>
                <w:sz w:val="18"/>
                <w:szCs w:val="18"/>
              </w:rPr>
              <w:t>70</w:t>
            </w:r>
            <w:r>
              <w:rPr>
                <w:rFonts w:ascii="Times New Roman" w:hAnsi="Times New Roman"/>
                <w:b/>
                <w:bCs/>
                <w:sz w:val="18"/>
                <w:szCs w:val="18"/>
              </w:rPr>
              <w:t> </w:t>
            </w:r>
            <w:r w:rsidRPr="00365151">
              <w:rPr>
                <w:rFonts w:ascii="Times New Roman" w:hAnsi="Times New Roman"/>
                <w:b/>
                <w:bCs/>
                <w:sz w:val="18"/>
                <w:szCs w:val="18"/>
              </w:rPr>
              <w:t>789</w:t>
            </w:r>
          </w:p>
        </w:tc>
        <w:tc>
          <w:tcPr>
            <w:tcW w:w="1029" w:type="dxa"/>
          </w:tcPr>
          <w:p w14:paraId="56F240FA" w14:textId="14D9737D" w:rsidR="009F451B" w:rsidRDefault="009F451B" w:rsidP="00365151">
            <w:pPr>
              <w:jc w:val="center"/>
              <w:rPr>
                <w:rFonts w:ascii="Times New Roman" w:hAnsi="Times New Roman"/>
                <w:sz w:val="24"/>
                <w:szCs w:val="24"/>
              </w:rPr>
            </w:pPr>
            <w:r w:rsidRPr="00365151">
              <w:rPr>
                <w:rFonts w:ascii="Times New Roman" w:hAnsi="Times New Roman"/>
                <w:sz w:val="16"/>
                <w:szCs w:val="16"/>
              </w:rPr>
              <w:t>526</w:t>
            </w:r>
            <w:r w:rsidR="00062538">
              <w:rPr>
                <w:rFonts w:ascii="Times New Roman" w:hAnsi="Times New Roman"/>
                <w:sz w:val="16"/>
                <w:szCs w:val="16"/>
              </w:rPr>
              <w:t xml:space="preserve"> </w:t>
            </w:r>
            <w:r w:rsidRPr="00365151">
              <w:rPr>
                <w:rFonts w:ascii="Times New Roman" w:hAnsi="Times New Roman"/>
                <w:sz w:val="16"/>
                <w:szCs w:val="16"/>
              </w:rPr>
              <w:t>859.51</w:t>
            </w:r>
          </w:p>
        </w:tc>
        <w:tc>
          <w:tcPr>
            <w:tcW w:w="1053" w:type="dxa"/>
            <w:vMerge w:val="restart"/>
            <w:vAlign w:val="center"/>
          </w:tcPr>
          <w:p w14:paraId="26B3A4BE" w14:textId="73C9F868" w:rsidR="009F451B" w:rsidRPr="00062538" w:rsidRDefault="009F451B" w:rsidP="00062538">
            <w:pPr>
              <w:jc w:val="center"/>
              <w:rPr>
                <w:rFonts w:ascii="Times New Roman" w:hAnsi="Times New Roman"/>
                <w:sz w:val="14"/>
                <w:szCs w:val="24"/>
              </w:rPr>
            </w:pPr>
            <w:r w:rsidRPr="00062538">
              <w:rPr>
                <w:rFonts w:ascii="Times New Roman" w:hAnsi="Times New Roman"/>
                <w:b/>
                <w:bCs/>
                <w:color w:val="000000"/>
                <w:sz w:val="14"/>
                <w:szCs w:val="18"/>
              </w:rPr>
              <w:t>8 409 659.05</w:t>
            </w:r>
          </w:p>
        </w:tc>
      </w:tr>
      <w:tr w:rsidR="009F451B" w14:paraId="34197BB5" w14:textId="77777777" w:rsidTr="00062538">
        <w:tc>
          <w:tcPr>
            <w:tcW w:w="1076" w:type="dxa"/>
            <w:shd w:val="clear" w:color="auto" w:fill="D9D9D9" w:themeFill="background1" w:themeFillShade="D9"/>
          </w:tcPr>
          <w:p w14:paraId="776BC143" w14:textId="66F07B51" w:rsidR="009F451B" w:rsidRPr="00062538" w:rsidRDefault="009F451B" w:rsidP="00365151">
            <w:pPr>
              <w:jc w:val="center"/>
              <w:rPr>
                <w:rFonts w:ascii="Times New Roman" w:hAnsi="Times New Roman"/>
                <w:sz w:val="20"/>
                <w:szCs w:val="24"/>
              </w:rPr>
            </w:pPr>
            <w:r w:rsidRPr="00062538">
              <w:rPr>
                <w:rFonts w:ascii="Times New Roman" w:hAnsi="Times New Roman"/>
                <w:sz w:val="20"/>
                <w:szCs w:val="24"/>
              </w:rPr>
              <w:t>02</w:t>
            </w:r>
          </w:p>
        </w:tc>
        <w:tc>
          <w:tcPr>
            <w:tcW w:w="1096" w:type="dxa"/>
          </w:tcPr>
          <w:p w14:paraId="7BE20D3D" w14:textId="0E1116A9" w:rsidR="009F451B" w:rsidRDefault="009F451B" w:rsidP="00365151">
            <w:pPr>
              <w:jc w:val="center"/>
              <w:rPr>
                <w:rFonts w:ascii="Times New Roman" w:hAnsi="Times New Roman"/>
                <w:sz w:val="24"/>
                <w:szCs w:val="24"/>
              </w:rPr>
            </w:pPr>
            <w:r w:rsidRPr="00365151">
              <w:rPr>
                <w:rFonts w:ascii="Times New Roman" w:hAnsi="Times New Roman"/>
                <w:sz w:val="18"/>
                <w:szCs w:val="18"/>
              </w:rPr>
              <w:t>22</w:t>
            </w:r>
            <w:r>
              <w:rPr>
                <w:rFonts w:ascii="Times New Roman" w:hAnsi="Times New Roman"/>
                <w:sz w:val="18"/>
                <w:szCs w:val="18"/>
              </w:rPr>
              <w:t> </w:t>
            </w:r>
            <w:r w:rsidRPr="00365151">
              <w:rPr>
                <w:rFonts w:ascii="Times New Roman" w:hAnsi="Times New Roman"/>
                <w:sz w:val="18"/>
                <w:szCs w:val="18"/>
              </w:rPr>
              <w:t>362</w:t>
            </w:r>
          </w:p>
        </w:tc>
        <w:tc>
          <w:tcPr>
            <w:tcW w:w="1446" w:type="dxa"/>
          </w:tcPr>
          <w:p w14:paraId="2A22DE90" w14:textId="0A294F8F" w:rsidR="009F451B" w:rsidRDefault="009F451B" w:rsidP="00365151">
            <w:pPr>
              <w:jc w:val="center"/>
              <w:rPr>
                <w:rFonts w:ascii="Times New Roman" w:hAnsi="Times New Roman"/>
                <w:sz w:val="24"/>
                <w:szCs w:val="24"/>
              </w:rPr>
            </w:pPr>
            <w:r w:rsidRPr="00365151">
              <w:rPr>
                <w:rFonts w:ascii="Times New Roman" w:hAnsi="Times New Roman"/>
                <w:sz w:val="18"/>
                <w:szCs w:val="18"/>
              </w:rPr>
              <w:t>36</w:t>
            </w:r>
            <w:r>
              <w:rPr>
                <w:rFonts w:ascii="Times New Roman" w:hAnsi="Times New Roman"/>
                <w:sz w:val="18"/>
                <w:szCs w:val="18"/>
              </w:rPr>
              <w:t> </w:t>
            </w:r>
            <w:r w:rsidRPr="00365151">
              <w:rPr>
                <w:rFonts w:ascii="Times New Roman" w:hAnsi="Times New Roman"/>
                <w:sz w:val="18"/>
                <w:szCs w:val="18"/>
              </w:rPr>
              <w:t>758</w:t>
            </w:r>
          </w:p>
        </w:tc>
        <w:tc>
          <w:tcPr>
            <w:tcW w:w="1006" w:type="dxa"/>
          </w:tcPr>
          <w:p w14:paraId="16C10877" w14:textId="50FDF496" w:rsidR="009F451B" w:rsidRDefault="009F451B" w:rsidP="00365151">
            <w:pPr>
              <w:jc w:val="center"/>
              <w:rPr>
                <w:rFonts w:ascii="Times New Roman" w:hAnsi="Times New Roman"/>
                <w:sz w:val="24"/>
                <w:szCs w:val="24"/>
              </w:rPr>
            </w:pPr>
            <w:r w:rsidRPr="00365151">
              <w:rPr>
                <w:rFonts w:ascii="Times New Roman" w:hAnsi="Times New Roman"/>
                <w:sz w:val="18"/>
                <w:szCs w:val="18"/>
              </w:rPr>
              <w:t>3</w:t>
            </w:r>
            <w:r>
              <w:rPr>
                <w:rFonts w:ascii="Times New Roman" w:hAnsi="Times New Roman"/>
                <w:sz w:val="18"/>
                <w:szCs w:val="18"/>
              </w:rPr>
              <w:t> </w:t>
            </w:r>
            <w:r w:rsidRPr="00365151">
              <w:rPr>
                <w:rFonts w:ascii="Times New Roman" w:hAnsi="Times New Roman"/>
                <w:sz w:val="18"/>
                <w:szCs w:val="18"/>
              </w:rPr>
              <w:t>126</w:t>
            </w:r>
          </w:p>
        </w:tc>
        <w:tc>
          <w:tcPr>
            <w:tcW w:w="1007" w:type="dxa"/>
          </w:tcPr>
          <w:p w14:paraId="066E8205" w14:textId="44B4612F" w:rsidR="009F451B" w:rsidRDefault="009F451B" w:rsidP="00365151">
            <w:pPr>
              <w:jc w:val="center"/>
              <w:rPr>
                <w:rFonts w:ascii="Times New Roman" w:hAnsi="Times New Roman"/>
                <w:sz w:val="24"/>
                <w:szCs w:val="24"/>
              </w:rPr>
            </w:pPr>
            <w:r w:rsidRPr="00365151">
              <w:rPr>
                <w:rFonts w:ascii="Times New Roman" w:hAnsi="Times New Roman"/>
                <w:sz w:val="18"/>
                <w:szCs w:val="18"/>
              </w:rPr>
              <w:t>9</w:t>
            </w:r>
            <w:r>
              <w:rPr>
                <w:rFonts w:ascii="Times New Roman" w:hAnsi="Times New Roman"/>
                <w:sz w:val="18"/>
                <w:szCs w:val="18"/>
              </w:rPr>
              <w:t> </w:t>
            </w:r>
            <w:r w:rsidRPr="00365151">
              <w:rPr>
                <w:rFonts w:ascii="Times New Roman" w:hAnsi="Times New Roman"/>
                <w:sz w:val="18"/>
                <w:szCs w:val="18"/>
              </w:rPr>
              <w:t>924</w:t>
            </w:r>
          </w:p>
        </w:tc>
        <w:tc>
          <w:tcPr>
            <w:tcW w:w="787" w:type="dxa"/>
          </w:tcPr>
          <w:p w14:paraId="587EA38D" w14:textId="56CFD292" w:rsidR="009F451B" w:rsidRDefault="009F451B" w:rsidP="00365151">
            <w:pPr>
              <w:jc w:val="center"/>
              <w:rPr>
                <w:rFonts w:ascii="Times New Roman" w:hAnsi="Times New Roman"/>
                <w:sz w:val="24"/>
                <w:szCs w:val="24"/>
              </w:rPr>
            </w:pPr>
            <w:r w:rsidRPr="00365151">
              <w:rPr>
                <w:rFonts w:ascii="Times New Roman" w:hAnsi="Times New Roman"/>
                <w:b/>
                <w:bCs/>
                <w:sz w:val="18"/>
                <w:szCs w:val="18"/>
              </w:rPr>
              <w:t>72</w:t>
            </w:r>
            <w:r>
              <w:rPr>
                <w:rFonts w:ascii="Times New Roman" w:hAnsi="Times New Roman"/>
                <w:b/>
                <w:bCs/>
                <w:sz w:val="18"/>
                <w:szCs w:val="18"/>
              </w:rPr>
              <w:t> </w:t>
            </w:r>
            <w:r w:rsidRPr="00365151">
              <w:rPr>
                <w:rFonts w:ascii="Times New Roman" w:hAnsi="Times New Roman"/>
                <w:b/>
                <w:bCs/>
                <w:sz w:val="18"/>
                <w:szCs w:val="18"/>
              </w:rPr>
              <w:t>170</w:t>
            </w:r>
          </w:p>
        </w:tc>
        <w:tc>
          <w:tcPr>
            <w:tcW w:w="1029" w:type="dxa"/>
          </w:tcPr>
          <w:p w14:paraId="0D5538BC" w14:textId="75303895" w:rsidR="009F451B" w:rsidRDefault="009F451B" w:rsidP="00365151">
            <w:pPr>
              <w:jc w:val="center"/>
              <w:rPr>
                <w:rFonts w:ascii="Times New Roman" w:hAnsi="Times New Roman"/>
                <w:sz w:val="24"/>
                <w:szCs w:val="24"/>
              </w:rPr>
            </w:pPr>
            <w:r w:rsidRPr="00365151">
              <w:rPr>
                <w:rFonts w:ascii="Times New Roman" w:hAnsi="Times New Roman"/>
                <w:sz w:val="16"/>
                <w:szCs w:val="16"/>
              </w:rPr>
              <w:t>499</w:t>
            </w:r>
            <w:r w:rsidR="00062538">
              <w:rPr>
                <w:rFonts w:ascii="Times New Roman" w:hAnsi="Times New Roman"/>
                <w:sz w:val="16"/>
                <w:szCs w:val="16"/>
              </w:rPr>
              <w:t xml:space="preserve"> </w:t>
            </w:r>
            <w:r w:rsidRPr="00365151">
              <w:rPr>
                <w:rFonts w:ascii="Times New Roman" w:hAnsi="Times New Roman"/>
                <w:sz w:val="16"/>
                <w:szCs w:val="16"/>
              </w:rPr>
              <w:t>908.74</w:t>
            </w:r>
          </w:p>
        </w:tc>
        <w:tc>
          <w:tcPr>
            <w:tcW w:w="1053" w:type="dxa"/>
            <w:vMerge/>
          </w:tcPr>
          <w:p w14:paraId="196E35FA" w14:textId="77777777" w:rsidR="009F451B" w:rsidRDefault="009F451B" w:rsidP="00365151">
            <w:pPr>
              <w:jc w:val="center"/>
              <w:rPr>
                <w:rFonts w:ascii="Times New Roman" w:hAnsi="Times New Roman"/>
                <w:sz w:val="24"/>
                <w:szCs w:val="24"/>
              </w:rPr>
            </w:pPr>
          </w:p>
        </w:tc>
      </w:tr>
      <w:tr w:rsidR="009F451B" w14:paraId="6488DBE5" w14:textId="77777777" w:rsidTr="00062538">
        <w:tc>
          <w:tcPr>
            <w:tcW w:w="1076" w:type="dxa"/>
            <w:shd w:val="clear" w:color="auto" w:fill="D9D9D9" w:themeFill="background1" w:themeFillShade="D9"/>
          </w:tcPr>
          <w:p w14:paraId="50AB97F5" w14:textId="32B7D1BB" w:rsidR="009F451B" w:rsidRPr="00062538" w:rsidRDefault="009F451B" w:rsidP="00365151">
            <w:pPr>
              <w:jc w:val="center"/>
              <w:rPr>
                <w:rFonts w:ascii="Times New Roman" w:hAnsi="Times New Roman"/>
                <w:sz w:val="20"/>
                <w:szCs w:val="24"/>
              </w:rPr>
            </w:pPr>
            <w:r w:rsidRPr="00062538">
              <w:rPr>
                <w:rFonts w:ascii="Times New Roman" w:hAnsi="Times New Roman"/>
                <w:sz w:val="20"/>
                <w:szCs w:val="24"/>
              </w:rPr>
              <w:t>03</w:t>
            </w:r>
          </w:p>
        </w:tc>
        <w:tc>
          <w:tcPr>
            <w:tcW w:w="1096" w:type="dxa"/>
          </w:tcPr>
          <w:p w14:paraId="61F17D99" w14:textId="116CD96F" w:rsidR="009F451B" w:rsidRDefault="009F451B" w:rsidP="00365151">
            <w:pPr>
              <w:jc w:val="center"/>
              <w:rPr>
                <w:rFonts w:ascii="Times New Roman" w:hAnsi="Times New Roman"/>
                <w:sz w:val="24"/>
                <w:szCs w:val="24"/>
              </w:rPr>
            </w:pPr>
            <w:r w:rsidRPr="00365151">
              <w:rPr>
                <w:rFonts w:ascii="Times New Roman" w:hAnsi="Times New Roman"/>
                <w:sz w:val="18"/>
                <w:szCs w:val="18"/>
              </w:rPr>
              <w:t>22</w:t>
            </w:r>
            <w:r>
              <w:rPr>
                <w:rFonts w:ascii="Times New Roman" w:hAnsi="Times New Roman"/>
                <w:sz w:val="18"/>
                <w:szCs w:val="18"/>
              </w:rPr>
              <w:t> </w:t>
            </w:r>
            <w:r w:rsidRPr="00365151">
              <w:rPr>
                <w:rFonts w:ascii="Times New Roman" w:hAnsi="Times New Roman"/>
                <w:sz w:val="18"/>
                <w:szCs w:val="18"/>
              </w:rPr>
              <w:t>671</w:t>
            </w:r>
          </w:p>
        </w:tc>
        <w:tc>
          <w:tcPr>
            <w:tcW w:w="1446" w:type="dxa"/>
          </w:tcPr>
          <w:p w14:paraId="086C507E" w14:textId="7C6E1685" w:rsidR="009F451B" w:rsidRDefault="009F451B" w:rsidP="00365151">
            <w:pPr>
              <w:jc w:val="center"/>
              <w:rPr>
                <w:rFonts w:ascii="Times New Roman" w:hAnsi="Times New Roman"/>
                <w:sz w:val="24"/>
                <w:szCs w:val="24"/>
              </w:rPr>
            </w:pPr>
            <w:r w:rsidRPr="00365151">
              <w:rPr>
                <w:rFonts w:ascii="Times New Roman" w:hAnsi="Times New Roman"/>
                <w:sz w:val="18"/>
                <w:szCs w:val="18"/>
              </w:rPr>
              <w:t>37</w:t>
            </w:r>
            <w:r>
              <w:rPr>
                <w:rFonts w:ascii="Times New Roman" w:hAnsi="Times New Roman"/>
                <w:sz w:val="18"/>
                <w:szCs w:val="18"/>
              </w:rPr>
              <w:t> </w:t>
            </w:r>
            <w:r w:rsidRPr="00365151">
              <w:rPr>
                <w:rFonts w:ascii="Times New Roman" w:hAnsi="Times New Roman"/>
                <w:sz w:val="18"/>
                <w:szCs w:val="18"/>
              </w:rPr>
              <w:t>660</w:t>
            </w:r>
          </w:p>
        </w:tc>
        <w:tc>
          <w:tcPr>
            <w:tcW w:w="1006" w:type="dxa"/>
          </w:tcPr>
          <w:p w14:paraId="3E58B98E" w14:textId="3761E0DC" w:rsidR="009F451B" w:rsidRDefault="009F451B" w:rsidP="00365151">
            <w:pPr>
              <w:jc w:val="center"/>
              <w:rPr>
                <w:rFonts w:ascii="Times New Roman" w:hAnsi="Times New Roman"/>
                <w:sz w:val="24"/>
                <w:szCs w:val="24"/>
              </w:rPr>
            </w:pPr>
            <w:r w:rsidRPr="00365151">
              <w:rPr>
                <w:rFonts w:ascii="Times New Roman" w:hAnsi="Times New Roman"/>
                <w:sz w:val="18"/>
                <w:szCs w:val="18"/>
              </w:rPr>
              <w:t>3</w:t>
            </w:r>
            <w:r>
              <w:rPr>
                <w:rFonts w:ascii="Times New Roman" w:hAnsi="Times New Roman"/>
                <w:sz w:val="18"/>
                <w:szCs w:val="18"/>
              </w:rPr>
              <w:t> </w:t>
            </w:r>
            <w:r w:rsidRPr="00365151">
              <w:rPr>
                <w:rFonts w:ascii="Times New Roman" w:hAnsi="Times New Roman"/>
                <w:sz w:val="18"/>
                <w:szCs w:val="18"/>
              </w:rPr>
              <w:t>159</w:t>
            </w:r>
          </w:p>
        </w:tc>
        <w:tc>
          <w:tcPr>
            <w:tcW w:w="1007" w:type="dxa"/>
          </w:tcPr>
          <w:p w14:paraId="6CD356DF" w14:textId="20BA3813" w:rsidR="009F451B" w:rsidRDefault="009F451B" w:rsidP="00365151">
            <w:pPr>
              <w:jc w:val="center"/>
              <w:rPr>
                <w:rFonts w:ascii="Times New Roman" w:hAnsi="Times New Roman"/>
                <w:sz w:val="24"/>
                <w:szCs w:val="24"/>
              </w:rPr>
            </w:pPr>
            <w:r w:rsidRPr="00365151">
              <w:rPr>
                <w:rFonts w:ascii="Times New Roman" w:hAnsi="Times New Roman"/>
                <w:sz w:val="18"/>
                <w:szCs w:val="18"/>
              </w:rPr>
              <w:t>9</w:t>
            </w:r>
            <w:r>
              <w:rPr>
                <w:rFonts w:ascii="Times New Roman" w:hAnsi="Times New Roman"/>
                <w:sz w:val="18"/>
                <w:szCs w:val="18"/>
              </w:rPr>
              <w:t> </w:t>
            </w:r>
            <w:r w:rsidRPr="00365151">
              <w:rPr>
                <w:rFonts w:ascii="Times New Roman" w:hAnsi="Times New Roman"/>
                <w:sz w:val="18"/>
                <w:szCs w:val="18"/>
              </w:rPr>
              <w:t>958</w:t>
            </w:r>
          </w:p>
        </w:tc>
        <w:tc>
          <w:tcPr>
            <w:tcW w:w="787" w:type="dxa"/>
          </w:tcPr>
          <w:p w14:paraId="02B8A47F" w14:textId="120D14A2" w:rsidR="009F451B" w:rsidRDefault="009F451B" w:rsidP="00365151">
            <w:pPr>
              <w:jc w:val="center"/>
              <w:rPr>
                <w:rFonts w:ascii="Times New Roman" w:hAnsi="Times New Roman"/>
                <w:sz w:val="24"/>
                <w:szCs w:val="24"/>
              </w:rPr>
            </w:pPr>
            <w:r w:rsidRPr="00365151">
              <w:rPr>
                <w:rFonts w:ascii="Times New Roman" w:hAnsi="Times New Roman"/>
                <w:b/>
                <w:bCs/>
                <w:sz w:val="18"/>
                <w:szCs w:val="18"/>
              </w:rPr>
              <w:t>73</w:t>
            </w:r>
            <w:r>
              <w:rPr>
                <w:rFonts w:ascii="Times New Roman" w:hAnsi="Times New Roman"/>
                <w:b/>
                <w:bCs/>
                <w:sz w:val="18"/>
                <w:szCs w:val="18"/>
              </w:rPr>
              <w:t> </w:t>
            </w:r>
            <w:r w:rsidRPr="00365151">
              <w:rPr>
                <w:rFonts w:ascii="Times New Roman" w:hAnsi="Times New Roman"/>
                <w:b/>
                <w:bCs/>
                <w:sz w:val="18"/>
                <w:szCs w:val="18"/>
              </w:rPr>
              <w:t>448</w:t>
            </w:r>
          </w:p>
        </w:tc>
        <w:tc>
          <w:tcPr>
            <w:tcW w:w="1029" w:type="dxa"/>
          </w:tcPr>
          <w:p w14:paraId="008B5CCE" w14:textId="55F7927B" w:rsidR="009F451B" w:rsidRDefault="009F451B" w:rsidP="00365151">
            <w:pPr>
              <w:jc w:val="center"/>
              <w:rPr>
                <w:rFonts w:ascii="Times New Roman" w:hAnsi="Times New Roman"/>
                <w:sz w:val="24"/>
                <w:szCs w:val="24"/>
              </w:rPr>
            </w:pPr>
            <w:r w:rsidRPr="00365151">
              <w:rPr>
                <w:rFonts w:ascii="Times New Roman" w:hAnsi="Times New Roman"/>
                <w:sz w:val="16"/>
                <w:szCs w:val="16"/>
              </w:rPr>
              <w:t>506</w:t>
            </w:r>
            <w:r w:rsidR="00062538">
              <w:rPr>
                <w:rFonts w:ascii="Times New Roman" w:hAnsi="Times New Roman"/>
                <w:sz w:val="16"/>
                <w:szCs w:val="16"/>
              </w:rPr>
              <w:t xml:space="preserve"> </w:t>
            </w:r>
            <w:r w:rsidRPr="00365151">
              <w:rPr>
                <w:rFonts w:ascii="Times New Roman" w:hAnsi="Times New Roman"/>
                <w:sz w:val="16"/>
                <w:szCs w:val="16"/>
              </w:rPr>
              <w:t>753.15</w:t>
            </w:r>
          </w:p>
        </w:tc>
        <w:tc>
          <w:tcPr>
            <w:tcW w:w="1053" w:type="dxa"/>
            <w:vMerge/>
          </w:tcPr>
          <w:p w14:paraId="7D73F4F2" w14:textId="77777777" w:rsidR="009F451B" w:rsidRDefault="009F451B" w:rsidP="00365151">
            <w:pPr>
              <w:jc w:val="center"/>
              <w:rPr>
                <w:rFonts w:ascii="Times New Roman" w:hAnsi="Times New Roman"/>
                <w:sz w:val="24"/>
                <w:szCs w:val="24"/>
              </w:rPr>
            </w:pPr>
          </w:p>
        </w:tc>
      </w:tr>
      <w:tr w:rsidR="009F451B" w14:paraId="11A8B0B3" w14:textId="77777777" w:rsidTr="00062538">
        <w:tc>
          <w:tcPr>
            <w:tcW w:w="1076" w:type="dxa"/>
            <w:shd w:val="clear" w:color="auto" w:fill="D9D9D9" w:themeFill="background1" w:themeFillShade="D9"/>
          </w:tcPr>
          <w:p w14:paraId="7168D441" w14:textId="50F5BDB6" w:rsidR="009F451B" w:rsidRPr="00062538" w:rsidRDefault="009F451B" w:rsidP="00365151">
            <w:pPr>
              <w:jc w:val="center"/>
              <w:rPr>
                <w:rFonts w:ascii="Times New Roman" w:hAnsi="Times New Roman"/>
                <w:sz w:val="20"/>
                <w:szCs w:val="24"/>
              </w:rPr>
            </w:pPr>
            <w:r w:rsidRPr="00062538">
              <w:rPr>
                <w:rFonts w:ascii="Times New Roman" w:hAnsi="Times New Roman"/>
                <w:sz w:val="20"/>
                <w:szCs w:val="24"/>
              </w:rPr>
              <w:t>04</w:t>
            </w:r>
          </w:p>
        </w:tc>
        <w:tc>
          <w:tcPr>
            <w:tcW w:w="1096" w:type="dxa"/>
          </w:tcPr>
          <w:p w14:paraId="5DA3A950" w14:textId="773D1884" w:rsidR="009F451B" w:rsidRDefault="009F451B" w:rsidP="00365151">
            <w:pPr>
              <w:jc w:val="center"/>
              <w:rPr>
                <w:rFonts w:ascii="Times New Roman" w:hAnsi="Times New Roman"/>
                <w:sz w:val="24"/>
                <w:szCs w:val="24"/>
              </w:rPr>
            </w:pPr>
            <w:r w:rsidRPr="00365151">
              <w:rPr>
                <w:rFonts w:ascii="Times New Roman" w:hAnsi="Times New Roman"/>
                <w:sz w:val="18"/>
                <w:szCs w:val="18"/>
              </w:rPr>
              <w:t>22</w:t>
            </w:r>
            <w:r>
              <w:rPr>
                <w:rFonts w:ascii="Times New Roman" w:hAnsi="Times New Roman"/>
                <w:sz w:val="18"/>
                <w:szCs w:val="18"/>
              </w:rPr>
              <w:t> </w:t>
            </w:r>
            <w:r w:rsidRPr="00365151">
              <w:rPr>
                <w:rFonts w:ascii="Times New Roman" w:hAnsi="Times New Roman"/>
                <w:sz w:val="18"/>
                <w:szCs w:val="18"/>
              </w:rPr>
              <w:t>879</w:t>
            </w:r>
          </w:p>
        </w:tc>
        <w:tc>
          <w:tcPr>
            <w:tcW w:w="1446" w:type="dxa"/>
          </w:tcPr>
          <w:p w14:paraId="6AA34AE3" w14:textId="744DE7D5" w:rsidR="009F451B" w:rsidRDefault="009F451B" w:rsidP="00365151">
            <w:pPr>
              <w:jc w:val="center"/>
              <w:rPr>
                <w:rFonts w:ascii="Times New Roman" w:hAnsi="Times New Roman"/>
                <w:sz w:val="24"/>
                <w:szCs w:val="24"/>
              </w:rPr>
            </w:pPr>
            <w:r w:rsidRPr="00365151">
              <w:rPr>
                <w:rFonts w:ascii="Times New Roman" w:hAnsi="Times New Roman"/>
                <w:sz w:val="18"/>
                <w:szCs w:val="18"/>
              </w:rPr>
              <w:t>39</w:t>
            </w:r>
            <w:r>
              <w:rPr>
                <w:rFonts w:ascii="Times New Roman" w:hAnsi="Times New Roman"/>
                <w:sz w:val="18"/>
                <w:szCs w:val="18"/>
              </w:rPr>
              <w:t> </w:t>
            </w:r>
            <w:r w:rsidRPr="00365151">
              <w:rPr>
                <w:rFonts w:ascii="Times New Roman" w:hAnsi="Times New Roman"/>
                <w:sz w:val="18"/>
                <w:szCs w:val="18"/>
              </w:rPr>
              <w:t>025</w:t>
            </w:r>
          </w:p>
        </w:tc>
        <w:tc>
          <w:tcPr>
            <w:tcW w:w="1006" w:type="dxa"/>
          </w:tcPr>
          <w:p w14:paraId="157CC4BA" w14:textId="7C99116F" w:rsidR="009F451B" w:rsidRDefault="009F451B" w:rsidP="00365151">
            <w:pPr>
              <w:jc w:val="center"/>
              <w:rPr>
                <w:rFonts w:ascii="Times New Roman" w:hAnsi="Times New Roman"/>
                <w:sz w:val="24"/>
                <w:szCs w:val="24"/>
              </w:rPr>
            </w:pPr>
            <w:r w:rsidRPr="00365151">
              <w:rPr>
                <w:rFonts w:ascii="Times New Roman" w:hAnsi="Times New Roman"/>
                <w:sz w:val="18"/>
                <w:szCs w:val="18"/>
              </w:rPr>
              <w:t>3</w:t>
            </w:r>
            <w:r>
              <w:rPr>
                <w:rFonts w:ascii="Times New Roman" w:hAnsi="Times New Roman"/>
                <w:sz w:val="18"/>
                <w:szCs w:val="18"/>
              </w:rPr>
              <w:t> </w:t>
            </w:r>
            <w:r w:rsidRPr="00365151">
              <w:rPr>
                <w:rFonts w:ascii="Times New Roman" w:hAnsi="Times New Roman"/>
                <w:sz w:val="18"/>
                <w:szCs w:val="18"/>
              </w:rPr>
              <w:t>181</w:t>
            </w:r>
          </w:p>
        </w:tc>
        <w:tc>
          <w:tcPr>
            <w:tcW w:w="1007" w:type="dxa"/>
          </w:tcPr>
          <w:p w14:paraId="6E93DA60" w14:textId="4D74E3CA" w:rsidR="009F451B" w:rsidRDefault="009F451B" w:rsidP="00365151">
            <w:pPr>
              <w:jc w:val="center"/>
              <w:rPr>
                <w:rFonts w:ascii="Times New Roman" w:hAnsi="Times New Roman"/>
                <w:sz w:val="24"/>
                <w:szCs w:val="24"/>
              </w:rPr>
            </w:pPr>
            <w:r w:rsidRPr="00365151">
              <w:rPr>
                <w:rFonts w:ascii="Times New Roman" w:hAnsi="Times New Roman"/>
                <w:sz w:val="18"/>
                <w:szCs w:val="18"/>
              </w:rPr>
              <w:t>9</w:t>
            </w:r>
            <w:r>
              <w:rPr>
                <w:rFonts w:ascii="Times New Roman" w:hAnsi="Times New Roman"/>
                <w:sz w:val="18"/>
                <w:szCs w:val="18"/>
              </w:rPr>
              <w:t> </w:t>
            </w:r>
            <w:r w:rsidRPr="00365151">
              <w:rPr>
                <w:rFonts w:ascii="Times New Roman" w:hAnsi="Times New Roman"/>
                <w:sz w:val="18"/>
                <w:szCs w:val="18"/>
              </w:rPr>
              <w:t>958</w:t>
            </w:r>
          </w:p>
        </w:tc>
        <w:tc>
          <w:tcPr>
            <w:tcW w:w="787" w:type="dxa"/>
          </w:tcPr>
          <w:p w14:paraId="392D87AA" w14:textId="0440BFFE" w:rsidR="009F451B" w:rsidRDefault="009F451B" w:rsidP="00365151">
            <w:pPr>
              <w:jc w:val="center"/>
              <w:rPr>
                <w:rFonts w:ascii="Times New Roman" w:hAnsi="Times New Roman"/>
                <w:sz w:val="24"/>
                <w:szCs w:val="24"/>
              </w:rPr>
            </w:pPr>
            <w:r w:rsidRPr="00365151">
              <w:rPr>
                <w:rFonts w:ascii="Times New Roman" w:hAnsi="Times New Roman"/>
                <w:b/>
                <w:bCs/>
                <w:sz w:val="18"/>
                <w:szCs w:val="18"/>
              </w:rPr>
              <w:t>75</w:t>
            </w:r>
            <w:r>
              <w:rPr>
                <w:rFonts w:ascii="Times New Roman" w:hAnsi="Times New Roman"/>
                <w:b/>
                <w:bCs/>
                <w:sz w:val="18"/>
                <w:szCs w:val="18"/>
              </w:rPr>
              <w:t> </w:t>
            </w:r>
            <w:r w:rsidRPr="00365151">
              <w:rPr>
                <w:rFonts w:ascii="Times New Roman" w:hAnsi="Times New Roman"/>
                <w:b/>
                <w:bCs/>
                <w:sz w:val="18"/>
                <w:szCs w:val="18"/>
              </w:rPr>
              <w:t>043</w:t>
            </w:r>
          </w:p>
        </w:tc>
        <w:tc>
          <w:tcPr>
            <w:tcW w:w="1029" w:type="dxa"/>
          </w:tcPr>
          <w:p w14:paraId="22BA6917" w14:textId="15BB5752" w:rsidR="009F451B" w:rsidRDefault="009F451B" w:rsidP="00365151">
            <w:pPr>
              <w:jc w:val="center"/>
              <w:rPr>
                <w:rFonts w:ascii="Times New Roman" w:hAnsi="Times New Roman"/>
                <w:sz w:val="24"/>
                <w:szCs w:val="24"/>
              </w:rPr>
            </w:pPr>
            <w:r w:rsidRPr="00365151">
              <w:rPr>
                <w:rFonts w:ascii="Times New Roman" w:hAnsi="Times New Roman"/>
                <w:sz w:val="16"/>
                <w:szCs w:val="16"/>
              </w:rPr>
              <w:t>503</w:t>
            </w:r>
            <w:r w:rsidR="00062538">
              <w:rPr>
                <w:rFonts w:ascii="Times New Roman" w:hAnsi="Times New Roman"/>
                <w:sz w:val="16"/>
                <w:szCs w:val="16"/>
              </w:rPr>
              <w:t xml:space="preserve"> </w:t>
            </w:r>
            <w:r w:rsidRPr="00365151">
              <w:rPr>
                <w:rFonts w:ascii="Times New Roman" w:hAnsi="Times New Roman"/>
                <w:sz w:val="16"/>
                <w:szCs w:val="16"/>
              </w:rPr>
              <w:t>488.04</w:t>
            </w:r>
          </w:p>
        </w:tc>
        <w:tc>
          <w:tcPr>
            <w:tcW w:w="1053" w:type="dxa"/>
            <w:vMerge/>
          </w:tcPr>
          <w:p w14:paraId="645E5325" w14:textId="77777777" w:rsidR="009F451B" w:rsidRDefault="009F451B" w:rsidP="00365151">
            <w:pPr>
              <w:jc w:val="center"/>
              <w:rPr>
                <w:rFonts w:ascii="Times New Roman" w:hAnsi="Times New Roman"/>
                <w:sz w:val="24"/>
                <w:szCs w:val="24"/>
              </w:rPr>
            </w:pPr>
          </w:p>
        </w:tc>
      </w:tr>
      <w:tr w:rsidR="009F451B" w14:paraId="3913C2F5" w14:textId="77777777" w:rsidTr="00062538">
        <w:tc>
          <w:tcPr>
            <w:tcW w:w="1076" w:type="dxa"/>
            <w:shd w:val="clear" w:color="auto" w:fill="D9D9D9" w:themeFill="background1" w:themeFillShade="D9"/>
          </w:tcPr>
          <w:p w14:paraId="0F8F78FB" w14:textId="7E7BD398" w:rsidR="009F451B" w:rsidRPr="00062538" w:rsidRDefault="009F451B" w:rsidP="00365151">
            <w:pPr>
              <w:jc w:val="center"/>
              <w:rPr>
                <w:rFonts w:ascii="Times New Roman" w:hAnsi="Times New Roman"/>
                <w:sz w:val="20"/>
                <w:szCs w:val="24"/>
              </w:rPr>
            </w:pPr>
            <w:r w:rsidRPr="00062538">
              <w:rPr>
                <w:rFonts w:ascii="Times New Roman" w:hAnsi="Times New Roman"/>
                <w:sz w:val="20"/>
                <w:szCs w:val="24"/>
              </w:rPr>
              <w:t>05</w:t>
            </w:r>
          </w:p>
        </w:tc>
        <w:tc>
          <w:tcPr>
            <w:tcW w:w="1096" w:type="dxa"/>
          </w:tcPr>
          <w:p w14:paraId="0E20E045" w14:textId="14537EF4" w:rsidR="009F451B" w:rsidRDefault="009F451B" w:rsidP="00365151">
            <w:pPr>
              <w:jc w:val="center"/>
              <w:rPr>
                <w:rFonts w:ascii="Times New Roman" w:hAnsi="Times New Roman"/>
                <w:sz w:val="24"/>
                <w:szCs w:val="24"/>
              </w:rPr>
            </w:pPr>
            <w:r w:rsidRPr="00365151">
              <w:rPr>
                <w:rFonts w:ascii="Times New Roman" w:hAnsi="Times New Roman"/>
                <w:sz w:val="18"/>
                <w:szCs w:val="18"/>
              </w:rPr>
              <w:t>23</w:t>
            </w:r>
            <w:r>
              <w:rPr>
                <w:rFonts w:ascii="Times New Roman" w:hAnsi="Times New Roman"/>
                <w:sz w:val="18"/>
                <w:szCs w:val="18"/>
              </w:rPr>
              <w:t> </w:t>
            </w:r>
            <w:r w:rsidRPr="00365151">
              <w:rPr>
                <w:rFonts w:ascii="Times New Roman" w:hAnsi="Times New Roman"/>
                <w:sz w:val="18"/>
                <w:szCs w:val="18"/>
              </w:rPr>
              <w:t>027</w:t>
            </w:r>
          </w:p>
        </w:tc>
        <w:tc>
          <w:tcPr>
            <w:tcW w:w="1446" w:type="dxa"/>
          </w:tcPr>
          <w:p w14:paraId="1E487B8E" w14:textId="5007D842" w:rsidR="009F451B" w:rsidRDefault="009F451B" w:rsidP="00365151">
            <w:pPr>
              <w:jc w:val="center"/>
              <w:rPr>
                <w:rFonts w:ascii="Times New Roman" w:hAnsi="Times New Roman"/>
                <w:sz w:val="24"/>
                <w:szCs w:val="24"/>
              </w:rPr>
            </w:pPr>
            <w:r w:rsidRPr="00365151">
              <w:rPr>
                <w:rFonts w:ascii="Times New Roman" w:hAnsi="Times New Roman"/>
                <w:sz w:val="18"/>
                <w:szCs w:val="18"/>
              </w:rPr>
              <w:t>39</w:t>
            </w:r>
            <w:r>
              <w:rPr>
                <w:rFonts w:ascii="Times New Roman" w:hAnsi="Times New Roman"/>
                <w:sz w:val="18"/>
                <w:szCs w:val="18"/>
              </w:rPr>
              <w:t> </w:t>
            </w:r>
            <w:r w:rsidRPr="00365151">
              <w:rPr>
                <w:rFonts w:ascii="Times New Roman" w:hAnsi="Times New Roman"/>
                <w:sz w:val="18"/>
                <w:szCs w:val="18"/>
              </w:rPr>
              <w:t>332</w:t>
            </w:r>
          </w:p>
        </w:tc>
        <w:tc>
          <w:tcPr>
            <w:tcW w:w="1006" w:type="dxa"/>
          </w:tcPr>
          <w:p w14:paraId="5DB8AACF" w14:textId="389DEC12" w:rsidR="009F451B" w:rsidRDefault="009F451B" w:rsidP="00365151">
            <w:pPr>
              <w:jc w:val="center"/>
              <w:rPr>
                <w:rFonts w:ascii="Times New Roman" w:hAnsi="Times New Roman"/>
                <w:sz w:val="24"/>
                <w:szCs w:val="24"/>
              </w:rPr>
            </w:pPr>
            <w:r w:rsidRPr="00365151">
              <w:rPr>
                <w:rFonts w:ascii="Times New Roman" w:hAnsi="Times New Roman"/>
                <w:sz w:val="18"/>
                <w:szCs w:val="18"/>
              </w:rPr>
              <w:t>3</w:t>
            </w:r>
            <w:r>
              <w:rPr>
                <w:rFonts w:ascii="Times New Roman" w:hAnsi="Times New Roman"/>
                <w:sz w:val="18"/>
                <w:szCs w:val="18"/>
              </w:rPr>
              <w:t> </w:t>
            </w:r>
            <w:r w:rsidRPr="00365151">
              <w:rPr>
                <w:rFonts w:ascii="Times New Roman" w:hAnsi="Times New Roman"/>
                <w:sz w:val="18"/>
                <w:szCs w:val="18"/>
              </w:rPr>
              <w:t>205</w:t>
            </w:r>
          </w:p>
        </w:tc>
        <w:tc>
          <w:tcPr>
            <w:tcW w:w="1007" w:type="dxa"/>
          </w:tcPr>
          <w:p w14:paraId="107DB832" w14:textId="402A7C6B" w:rsidR="009F451B" w:rsidRDefault="009F451B" w:rsidP="00365151">
            <w:pPr>
              <w:jc w:val="center"/>
              <w:rPr>
                <w:rFonts w:ascii="Times New Roman" w:hAnsi="Times New Roman"/>
                <w:sz w:val="24"/>
                <w:szCs w:val="24"/>
              </w:rPr>
            </w:pPr>
            <w:r w:rsidRPr="00365151">
              <w:rPr>
                <w:rFonts w:ascii="Times New Roman" w:hAnsi="Times New Roman"/>
                <w:sz w:val="18"/>
                <w:szCs w:val="18"/>
              </w:rPr>
              <w:t>9</w:t>
            </w:r>
            <w:r>
              <w:rPr>
                <w:rFonts w:ascii="Times New Roman" w:hAnsi="Times New Roman"/>
                <w:sz w:val="18"/>
                <w:szCs w:val="18"/>
              </w:rPr>
              <w:t> </w:t>
            </w:r>
            <w:r w:rsidRPr="00365151">
              <w:rPr>
                <w:rFonts w:ascii="Times New Roman" w:hAnsi="Times New Roman"/>
                <w:sz w:val="18"/>
                <w:szCs w:val="18"/>
              </w:rPr>
              <w:t>960</w:t>
            </w:r>
          </w:p>
        </w:tc>
        <w:tc>
          <w:tcPr>
            <w:tcW w:w="787" w:type="dxa"/>
          </w:tcPr>
          <w:p w14:paraId="42100658" w14:textId="484180B8" w:rsidR="009F451B" w:rsidRDefault="009F451B" w:rsidP="00365151">
            <w:pPr>
              <w:jc w:val="center"/>
              <w:rPr>
                <w:rFonts w:ascii="Times New Roman" w:hAnsi="Times New Roman"/>
                <w:sz w:val="24"/>
                <w:szCs w:val="24"/>
              </w:rPr>
            </w:pPr>
            <w:r w:rsidRPr="00365151">
              <w:rPr>
                <w:rFonts w:ascii="Times New Roman" w:hAnsi="Times New Roman"/>
                <w:b/>
                <w:bCs/>
                <w:sz w:val="18"/>
                <w:szCs w:val="18"/>
              </w:rPr>
              <w:t>75</w:t>
            </w:r>
            <w:r>
              <w:rPr>
                <w:rFonts w:ascii="Times New Roman" w:hAnsi="Times New Roman"/>
                <w:b/>
                <w:bCs/>
                <w:sz w:val="18"/>
                <w:szCs w:val="18"/>
              </w:rPr>
              <w:t> </w:t>
            </w:r>
            <w:r w:rsidRPr="00365151">
              <w:rPr>
                <w:rFonts w:ascii="Times New Roman" w:hAnsi="Times New Roman"/>
                <w:b/>
                <w:bCs/>
                <w:sz w:val="18"/>
                <w:szCs w:val="18"/>
              </w:rPr>
              <w:t>524</w:t>
            </w:r>
          </w:p>
        </w:tc>
        <w:tc>
          <w:tcPr>
            <w:tcW w:w="1029" w:type="dxa"/>
          </w:tcPr>
          <w:p w14:paraId="7BD02FF0" w14:textId="4F11A813" w:rsidR="009F451B" w:rsidRDefault="009F451B" w:rsidP="00365151">
            <w:pPr>
              <w:jc w:val="center"/>
              <w:rPr>
                <w:rFonts w:ascii="Times New Roman" w:hAnsi="Times New Roman"/>
                <w:sz w:val="24"/>
                <w:szCs w:val="24"/>
              </w:rPr>
            </w:pPr>
            <w:r w:rsidRPr="00365151">
              <w:rPr>
                <w:rFonts w:ascii="Times New Roman" w:hAnsi="Times New Roman"/>
                <w:sz w:val="16"/>
                <w:szCs w:val="16"/>
              </w:rPr>
              <w:t>506</w:t>
            </w:r>
            <w:r w:rsidR="00062538">
              <w:rPr>
                <w:rFonts w:ascii="Times New Roman" w:hAnsi="Times New Roman"/>
                <w:sz w:val="16"/>
                <w:szCs w:val="16"/>
              </w:rPr>
              <w:t xml:space="preserve"> </w:t>
            </w:r>
            <w:r w:rsidRPr="00365151">
              <w:rPr>
                <w:rFonts w:ascii="Times New Roman" w:hAnsi="Times New Roman"/>
                <w:sz w:val="16"/>
                <w:szCs w:val="16"/>
              </w:rPr>
              <w:t>820.02</w:t>
            </w:r>
          </w:p>
        </w:tc>
        <w:tc>
          <w:tcPr>
            <w:tcW w:w="1053" w:type="dxa"/>
            <w:vMerge/>
          </w:tcPr>
          <w:p w14:paraId="7CCBFF72" w14:textId="77777777" w:rsidR="009F451B" w:rsidRDefault="009F451B" w:rsidP="00365151">
            <w:pPr>
              <w:jc w:val="center"/>
              <w:rPr>
                <w:rFonts w:ascii="Times New Roman" w:hAnsi="Times New Roman"/>
                <w:sz w:val="24"/>
                <w:szCs w:val="24"/>
              </w:rPr>
            </w:pPr>
          </w:p>
        </w:tc>
      </w:tr>
      <w:tr w:rsidR="009F451B" w14:paraId="117F4C8B" w14:textId="77777777" w:rsidTr="00062538">
        <w:tc>
          <w:tcPr>
            <w:tcW w:w="1076" w:type="dxa"/>
            <w:shd w:val="clear" w:color="auto" w:fill="D9D9D9" w:themeFill="background1" w:themeFillShade="D9"/>
          </w:tcPr>
          <w:p w14:paraId="462B054C" w14:textId="6F715E4F" w:rsidR="009F451B" w:rsidRPr="00062538" w:rsidRDefault="009F451B" w:rsidP="00365151">
            <w:pPr>
              <w:jc w:val="center"/>
              <w:rPr>
                <w:rFonts w:ascii="Times New Roman" w:hAnsi="Times New Roman"/>
                <w:sz w:val="20"/>
                <w:szCs w:val="24"/>
              </w:rPr>
            </w:pPr>
            <w:r w:rsidRPr="00062538">
              <w:rPr>
                <w:rFonts w:ascii="Times New Roman" w:hAnsi="Times New Roman"/>
                <w:sz w:val="20"/>
                <w:szCs w:val="24"/>
              </w:rPr>
              <w:t>06</w:t>
            </w:r>
          </w:p>
        </w:tc>
        <w:tc>
          <w:tcPr>
            <w:tcW w:w="1096" w:type="dxa"/>
          </w:tcPr>
          <w:p w14:paraId="7B771BB5" w14:textId="3210DB48" w:rsidR="009F451B" w:rsidRDefault="009F451B" w:rsidP="00365151">
            <w:pPr>
              <w:jc w:val="center"/>
              <w:rPr>
                <w:rFonts w:ascii="Times New Roman" w:hAnsi="Times New Roman"/>
                <w:sz w:val="24"/>
                <w:szCs w:val="24"/>
              </w:rPr>
            </w:pPr>
            <w:r w:rsidRPr="00365151">
              <w:rPr>
                <w:rFonts w:ascii="Times New Roman" w:hAnsi="Times New Roman"/>
                <w:sz w:val="18"/>
                <w:szCs w:val="18"/>
              </w:rPr>
              <w:t>23</w:t>
            </w:r>
            <w:r>
              <w:rPr>
                <w:rFonts w:ascii="Times New Roman" w:hAnsi="Times New Roman"/>
                <w:sz w:val="18"/>
                <w:szCs w:val="18"/>
              </w:rPr>
              <w:t> </w:t>
            </w:r>
            <w:r w:rsidRPr="00365151">
              <w:rPr>
                <w:rFonts w:ascii="Times New Roman" w:hAnsi="Times New Roman"/>
                <w:sz w:val="18"/>
                <w:szCs w:val="18"/>
              </w:rPr>
              <w:t>141</w:t>
            </w:r>
          </w:p>
        </w:tc>
        <w:tc>
          <w:tcPr>
            <w:tcW w:w="1446" w:type="dxa"/>
          </w:tcPr>
          <w:p w14:paraId="236EEC90" w14:textId="34D0A449" w:rsidR="009F451B" w:rsidRDefault="009F451B" w:rsidP="00365151">
            <w:pPr>
              <w:jc w:val="center"/>
              <w:rPr>
                <w:rFonts w:ascii="Times New Roman" w:hAnsi="Times New Roman"/>
                <w:sz w:val="24"/>
                <w:szCs w:val="24"/>
              </w:rPr>
            </w:pPr>
            <w:r w:rsidRPr="00365151">
              <w:rPr>
                <w:rFonts w:ascii="Times New Roman" w:hAnsi="Times New Roman"/>
                <w:sz w:val="18"/>
                <w:szCs w:val="18"/>
              </w:rPr>
              <w:t>39</w:t>
            </w:r>
            <w:r>
              <w:rPr>
                <w:rFonts w:ascii="Times New Roman" w:hAnsi="Times New Roman"/>
                <w:sz w:val="18"/>
                <w:szCs w:val="18"/>
              </w:rPr>
              <w:t> </w:t>
            </w:r>
            <w:r w:rsidRPr="00365151">
              <w:rPr>
                <w:rFonts w:ascii="Times New Roman" w:hAnsi="Times New Roman"/>
                <w:sz w:val="18"/>
                <w:szCs w:val="18"/>
              </w:rPr>
              <w:t>205</w:t>
            </w:r>
          </w:p>
        </w:tc>
        <w:tc>
          <w:tcPr>
            <w:tcW w:w="1006" w:type="dxa"/>
          </w:tcPr>
          <w:p w14:paraId="717602E3" w14:textId="252C5C3C" w:rsidR="009F451B" w:rsidRDefault="009F451B" w:rsidP="00365151">
            <w:pPr>
              <w:jc w:val="center"/>
              <w:rPr>
                <w:rFonts w:ascii="Times New Roman" w:hAnsi="Times New Roman"/>
                <w:sz w:val="24"/>
                <w:szCs w:val="24"/>
              </w:rPr>
            </w:pPr>
            <w:r w:rsidRPr="00365151">
              <w:rPr>
                <w:rFonts w:ascii="Times New Roman" w:hAnsi="Times New Roman"/>
                <w:sz w:val="18"/>
                <w:szCs w:val="18"/>
              </w:rPr>
              <w:t>3</w:t>
            </w:r>
            <w:r>
              <w:rPr>
                <w:rFonts w:ascii="Times New Roman" w:hAnsi="Times New Roman"/>
                <w:sz w:val="18"/>
                <w:szCs w:val="18"/>
              </w:rPr>
              <w:t> </w:t>
            </w:r>
            <w:r w:rsidRPr="00365151">
              <w:rPr>
                <w:rFonts w:ascii="Times New Roman" w:hAnsi="Times New Roman"/>
                <w:sz w:val="18"/>
                <w:szCs w:val="18"/>
              </w:rPr>
              <w:t>222</w:t>
            </w:r>
          </w:p>
        </w:tc>
        <w:tc>
          <w:tcPr>
            <w:tcW w:w="1007" w:type="dxa"/>
          </w:tcPr>
          <w:p w14:paraId="5759AF9B" w14:textId="5555BB55" w:rsidR="009F451B" w:rsidRDefault="009F451B" w:rsidP="00365151">
            <w:pPr>
              <w:jc w:val="center"/>
              <w:rPr>
                <w:rFonts w:ascii="Times New Roman" w:hAnsi="Times New Roman"/>
                <w:sz w:val="24"/>
                <w:szCs w:val="24"/>
              </w:rPr>
            </w:pPr>
            <w:r w:rsidRPr="00365151">
              <w:rPr>
                <w:rFonts w:ascii="Times New Roman" w:hAnsi="Times New Roman"/>
                <w:sz w:val="18"/>
                <w:szCs w:val="18"/>
              </w:rPr>
              <w:t>9</w:t>
            </w:r>
            <w:r>
              <w:rPr>
                <w:rFonts w:ascii="Times New Roman" w:hAnsi="Times New Roman"/>
                <w:sz w:val="18"/>
                <w:szCs w:val="18"/>
              </w:rPr>
              <w:t> </w:t>
            </w:r>
            <w:r w:rsidRPr="00365151">
              <w:rPr>
                <w:rFonts w:ascii="Times New Roman" w:hAnsi="Times New Roman"/>
                <w:sz w:val="18"/>
                <w:szCs w:val="18"/>
              </w:rPr>
              <w:t>935</w:t>
            </w:r>
          </w:p>
        </w:tc>
        <w:tc>
          <w:tcPr>
            <w:tcW w:w="787" w:type="dxa"/>
          </w:tcPr>
          <w:p w14:paraId="26B2B1F0" w14:textId="173054C0" w:rsidR="009F451B" w:rsidRDefault="009F451B" w:rsidP="00365151">
            <w:pPr>
              <w:jc w:val="center"/>
              <w:rPr>
                <w:rFonts w:ascii="Times New Roman" w:hAnsi="Times New Roman"/>
                <w:sz w:val="24"/>
                <w:szCs w:val="24"/>
              </w:rPr>
            </w:pPr>
            <w:r w:rsidRPr="00365151">
              <w:rPr>
                <w:rFonts w:ascii="Times New Roman" w:hAnsi="Times New Roman"/>
                <w:b/>
                <w:bCs/>
                <w:sz w:val="18"/>
                <w:szCs w:val="18"/>
              </w:rPr>
              <w:t>75</w:t>
            </w:r>
            <w:r>
              <w:rPr>
                <w:rFonts w:ascii="Times New Roman" w:hAnsi="Times New Roman"/>
                <w:b/>
                <w:bCs/>
                <w:sz w:val="18"/>
                <w:szCs w:val="18"/>
              </w:rPr>
              <w:t> </w:t>
            </w:r>
            <w:r w:rsidRPr="00365151">
              <w:rPr>
                <w:rFonts w:ascii="Times New Roman" w:hAnsi="Times New Roman"/>
                <w:b/>
                <w:bCs/>
                <w:sz w:val="18"/>
                <w:szCs w:val="18"/>
              </w:rPr>
              <w:t>503</w:t>
            </w:r>
          </w:p>
        </w:tc>
        <w:tc>
          <w:tcPr>
            <w:tcW w:w="1029" w:type="dxa"/>
          </w:tcPr>
          <w:p w14:paraId="30611BDB" w14:textId="7369BF16" w:rsidR="009F451B" w:rsidRDefault="009F451B" w:rsidP="00365151">
            <w:pPr>
              <w:jc w:val="center"/>
              <w:rPr>
                <w:rFonts w:ascii="Times New Roman" w:hAnsi="Times New Roman"/>
                <w:sz w:val="24"/>
                <w:szCs w:val="24"/>
              </w:rPr>
            </w:pPr>
            <w:r w:rsidRPr="00365151">
              <w:rPr>
                <w:rFonts w:ascii="Times New Roman" w:hAnsi="Times New Roman"/>
                <w:sz w:val="16"/>
                <w:szCs w:val="16"/>
              </w:rPr>
              <w:t>516</w:t>
            </w:r>
            <w:r w:rsidR="00062538">
              <w:rPr>
                <w:rFonts w:ascii="Times New Roman" w:hAnsi="Times New Roman"/>
                <w:sz w:val="16"/>
                <w:szCs w:val="16"/>
              </w:rPr>
              <w:t xml:space="preserve"> </w:t>
            </w:r>
            <w:r w:rsidRPr="00365151">
              <w:rPr>
                <w:rFonts w:ascii="Times New Roman" w:hAnsi="Times New Roman"/>
                <w:sz w:val="16"/>
                <w:szCs w:val="16"/>
              </w:rPr>
              <w:t>500.77</w:t>
            </w:r>
          </w:p>
        </w:tc>
        <w:tc>
          <w:tcPr>
            <w:tcW w:w="1053" w:type="dxa"/>
            <w:vMerge/>
          </w:tcPr>
          <w:p w14:paraId="187667F8" w14:textId="77777777" w:rsidR="009F451B" w:rsidRDefault="009F451B" w:rsidP="00365151">
            <w:pPr>
              <w:jc w:val="center"/>
              <w:rPr>
                <w:rFonts w:ascii="Times New Roman" w:hAnsi="Times New Roman"/>
                <w:sz w:val="24"/>
                <w:szCs w:val="24"/>
              </w:rPr>
            </w:pPr>
          </w:p>
        </w:tc>
      </w:tr>
      <w:tr w:rsidR="009F451B" w14:paraId="232F9CF2" w14:textId="77777777" w:rsidTr="00062538">
        <w:tc>
          <w:tcPr>
            <w:tcW w:w="1076" w:type="dxa"/>
            <w:shd w:val="clear" w:color="auto" w:fill="D9D9D9" w:themeFill="background1" w:themeFillShade="D9"/>
          </w:tcPr>
          <w:p w14:paraId="5BA833DB" w14:textId="6B3BF2B5" w:rsidR="009F451B" w:rsidRPr="00062538" w:rsidRDefault="009F451B" w:rsidP="00365151">
            <w:pPr>
              <w:jc w:val="center"/>
              <w:rPr>
                <w:rFonts w:ascii="Times New Roman" w:hAnsi="Times New Roman"/>
                <w:sz w:val="20"/>
                <w:szCs w:val="24"/>
              </w:rPr>
            </w:pPr>
            <w:r w:rsidRPr="00062538">
              <w:rPr>
                <w:rFonts w:ascii="Times New Roman" w:hAnsi="Times New Roman"/>
                <w:sz w:val="20"/>
                <w:szCs w:val="24"/>
              </w:rPr>
              <w:t>07</w:t>
            </w:r>
          </w:p>
        </w:tc>
        <w:tc>
          <w:tcPr>
            <w:tcW w:w="1096" w:type="dxa"/>
          </w:tcPr>
          <w:p w14:paraId="5EDA3DB6" w14:textId="05C67DDB" w:rsidR="009F451B" w:rsidRDefault="009F451B" w:rsidP="00365151">
            <w:pPr>
              <w:jc w:val="center"/>
              <w:rPr>
                <w:rFonts w:ascii="Times New Roman" w:hAnsi="Times New Roman"/>
                <w:sz w:val="24"/>
                <w:szCs w:val="24"/>
              </w:rPr>
            </w:pPr>
            <w:r w:rsidRPr="00365151">
              <w:rPr>
                <w:rFonts w:ascii="Times New Roman" w:hAnsi="Times New Roman"/>
                <w:sz w:val="18"/>
                <w:szCs w:val="18"/>
              </w:rPr>
              <w:t>23</w:t>
            </w:r>
            <w:r>
              <w:rPr>
                <w:rFonts w:ascii="Times New Roman" w:hAnsi="Times New Roman"/>
                <w:sz w:val="18"/>
                <w:szCs w:val="18"/>
              </w:rPr>
              <w:t> </w:t>
            </w:r>
            <w:r w:rsidRPr="00365151">
              <w:rPr>
                <w:rFonts w:ascii="Times New Roman" w:hAnsi="Times New Roman"/>
                <w:sz w:val="18"/>
                <w:szCs w:val="18"/>
              </w:rPr>
              <w:t>264</w:t>
            </w:r>
          </w:p>
        </w:tc>
        <w:tc>
          <w:tcPr>
            <w:tcW w:w="1446" w:type="dxa"/>
          </w:tcPr>
          <w:p w14:paraId="757E5132" w14:textId="198F3F5D" w:rsidR="009F451B" w:rsidRDefault="009F451B" w:rsidP="00365151">
            <w:pPr>
              <w:jc w:val="center"/>
              <w:rPr>
                <w:rFonts w:ascii="Times New Roman" w:hAnsi="Times New Roman"/>
                <w:sz w:val="24"/>
                <w:szCs w:val="24"/>
              </w:rPr>
            </w:pPr>
            <w:r w:rsidRPr="00365151">
              <w:rPr>
                <w:rFonts w:ascii="Times New Roman" w:hAnsi="Times New Roman"/>
                <w:sz w:val="18"/>
                <w:szCs w:val="18"/>
              </w:rPr>
              <w:t>34</w:t>
            </w:r>
            <w:r>
              <w:rPr>
                <w:rFonts w:ascii="Times New Roman" w:hAnsi="Times New Roman"/>
                <w:sz w:val="18"/>
                <w:szCs w:val="18"/>
              </w:rPr>
              <w:t> </w:t>
            </w:r>
            <w:r w:rsidRPr="00365151">
              <w:rPr>
                <w:rFonts w:ascii="Times New Roman" w:hAnsi="Times New Roman"/>
                <w:sz w:val="18"/>
                <w:szCs w:val="18"/>
              </w:rPr>
              <w:t>539</w:t>
            </w:r>
          </w:p>
        </w:tc>
        <w:tc>
          <w:tcPr>
            <w:tcW w:w="1006" w:type="dxa"/>
          </w:tcPr>
          <w:p w14:paraId="09FDE274" w14:textId="4DE03136" w:rsidR="009F451B" w:rsidRDefault="009F451B" w:rsidP="00365151">
            <w:pPr>
              <w:jc w:val="center"/>
              <w:rPr>
                <w:rFonts w:ascii="Times New Roman" w:hAnsi="Times New Roman"/>
                <w:sz w:val="24"/>
                <w:szCs w:val="24"/>
              </w:rPr>
            </w:pPr>
            <w:r w:rsidRPr="00365151">
              <w:rPr>
                <w:rFonts w:ascii="Times New Roman" w:hAnsi="Times New Roman"/>
                <w:sz w:val="18"/>
                <w:szCs w:val="18"/>
              </w:rPr>
              <w:t>3</w:t>
            </w:r>
            <w:r>
              <w:rPr>
                <w:rFonts w:ascii="Times New Roman" w:hAnsi="Times New Roman"/>
                <w:sz w:val="18"/>
                <w:szCs w:val="18"/>
              </w:rPr>
              <w:t> </w:t>
            </w:r>
            <w:r w:rsidRPr="00365151">
              <w:rPr>
                <w:rFonts w:ascii="Times New Roman" w:hAnsi="Times New Roman"/>
                <w:sz w:val="18"/>
                <w:szCs w:val="18"/>
              </w:rPr>
              <w:t>246</w:t>
            </w:r>
          </w:p>
        </w:tc>
        <w:tc>
          <w:tcPr>
            <w:tcW w:w="1007" w:type="dxa"/>
          </w:tcPr>
          <w:p w14:paraId="6BE53635" w14:textId="7C94473A" w:rsidR="009F451B" w:rsidRDefault="009F451B" w:rsidP="00365151">
            <w:pPr>
              <w:jc w:val="center"/>
              <w:rPr>
                <w:rFonts w:ascii="Times New Roman" w:hAnsi="Times New Roman"/>
                <w:sz w:val="24"/>
                <w:szCs w:val="24"/>
              </w:rPr>
            </w:pPr>
            <w:r w:rsidRPr="00365151">
              <w:rPr>
                <w:rFonts w:ascii="Times New Roman" w:hAnsi="Times New Roman"/>
                <w:sz w:val="18"/>
                <w:szCs w:val="18"/>
              </w:rPr>
              <w:t>9</w:t>
            </w:r>
            <w:r>
              <w:rPr>
                <w:rFonts w:ascii="Times New Roman" w:hAnsi="Times New Roman"/>
                <w:sz w:val="18"/>
                <w:szCs w:val="18"/>
              </w:rPr>
              <w:t> </w:t>
            </w:r>
            <w:r w:rsidRPr="00365151">
              <w:rPr>
                <w:rFonts w:ascii="Times New Roman" w:hAnsi="Times New Roman"/>
                <w:sz w:val="18"/>
                <w:szCs w:val="18"/>
              </w:rPr>
              <w:t>969</w:t>
            </w:r>
          </w:p>
        </w:tc>
        <w:tc>
          <w:tcPr>
            <w:tcW w:w="787" w:type="dxa"/>
          </w:tcPr>
          <w:p w14:paraId="535D86B0" w14:textId="7863D02E" w:rsidR="009F451B" w:rsidRDefault="009F451B" w:rsidP="00365151">
            <w:pPr>
              <w:jc w:val="center"/>
              <w:rPr>
                <w:rFonts w:ascii="Times New Roman" w:hAnsi="Times New Roman"/>
                <w:sz w:val="24"/>
                <w:szCs w:val="24"/>
              </w:rPr>
            </w:pPr>
            <w:r w:rsidRPr="00365151">
              <w:rPr>
                <w:rFonts w:ascii="Times New Roman" w:hAnsi="Times New Roman"/>
                <w:b/>
                <w:bCs/>
                <w:sz w:val="18"/>
                <w:szCs w:val="18"/>
              </w:rPr>
              <w:t>71</w:t>
            </w:r>
            <w:r>
              <w:rPr>
                <w:rFonts w:ascii="Times New Roman" w:hAnsi="Times New Roman"/>
                <w:b/>
                <w:bCs/>
                <w:sz w:val="18"/>
                <w:szCs w:val="18"/>
              </w:rPr>
              <w:t> </w:t>
            </w:r>
            <w:r w:rsidRPr="00365151">
              <w:rPr>
                <w:rFonts w:ascii="Times New Roman" w:hAnsi="Times New Roman"/>
                <w:b/>
                <w:bCs/>
                <w:sz w:val="18"/>
                <w:szCs w:val="18"/>
              </w:rPr>
              <w:t>018</w:t>
            </w:r>
          </w:p>
        </w:tc>
        <w:tc>
          <w:tcPr>
            <w:tcW w:w="1029" w:type="dxa"/>
          </w:tcPr>
          <w:p w14:paraId="4604FC75" w14:textId="3AD49532" w:rsidR="009F451B" w:rsidRDefault="009F451B" w:rsidP="00365151">
            <w:pPr>
              <w:jc w:val="center"/>
              <w:rPr>
                <w:rFonts w:ascii="Times New Roman" w:hAnsi="Times New Roman"/>
                <w:sz w:val="24"/>
                <w:szCs w:val="24"/>
              </w:rPr>
            </w:pPr>
            <w:r w:rsidRPr="00365151">
              <w:rPr>
                <w:rFonts w:ascii="Times New Roman" w:hAnsi="Times New Roman"/>
                <w:sz w:val="16"/>
                <w:szCs w:val="16"/>
              </w:rPr>
              <w:t>522</w:t>
            </w:r>
            <w:r w:rsidR="00062538">
              <w:rPr>
                <w:rFonts w:ascii="Times New Roman" w:hAnsi="Times New Roman"/>
                <w:sz w:val="16"/>
                <w:szCs w:val="16"/>
              </w:rPr>
              <w:t xml:space="preserve"> </w:t>
            </w:r>
            <w:r w:rsidRPr="00365151">
              <w:rPr>
                <w:rFonts w:ascii="Times New Roman" w:hAnsi="Times New Roman"/>
                <w:sz w:val="16"/>
                <w:szCs w:val="16"/>
              </w:rPr>
              <w:t>177.70</w:t>
            </w:r>
          </w:p>
        </w:tc>
        <w:tc>
          <w:tcPr>
            <w:tcW w:w="1053" w:type="dxa"/>
            <w:vMerge/>
          </w:tcPr>
          <w:p w14:paraId="4855EB45" w14:textId="77777777" w:rsidR="009F451B" w:rsidRDefault="009F451B" w:rsidP="00365151">
            <w:pPr>
              <w:jc w:val="center"/>
              <w:rPr>
                <w:rFonts w:ascii="Times New Roman" w:hAnsi="Times New Roman"/>
                <w:sz w:val="24"/>
                <w:szCs w:val="24"/>
              </w:rPr>
            </w:pPr>
          </w:p>
        </w:tc>
      </w:tr>
      <w:tr w:rsidR="009F451B" w14:paraId="6E8BDBA3" w14:textId="77777777" w:rsidTr="00062538">
        <w:tc>
          <w:tcPr>
            <w:tcW w:w="1076" w:type="dxa"/>
            <w:shd w:val="clear" w:color="auto" w:fill="D9D9D9" w:themeFill="background1" w:themeFillShade="D9"/>
          </w:tcPr>
          <w:p w14:paraId="6ABD013E" w14:textId="75DB0D40" w:rsidR="009F451B" w:rsidRPr="00062538" w:rsidRDefault="009F451B" w:rsidP="00365151">
            <w:pPr>
              <w:jc w:val="center"/>
              <w:rPr>
                <w:rFonts w:ascii="Times New Roman" w:hAnsi="Times New Roman"/>
                <w:sz w:val="20"/>
                <w:szCs w:val="24"/>
              </w:rPr>
            </w:pPr>
            <w:r w:rsidRPr="00062538">
              <w:rPr>
                <w:rFonts w:ascii="Times New Roman" w:hAnsi="Times New Roman"/>
                <w:sz w:val="20"/>
                <w:szCs w:val="24"/>
              </w:rPr>
              <w:t>08</w:t>
            </w:r>
          </w:p>
        </w:tc>
        <w:tc>
          <w:tcPr>
            <w:tcW w:w="1096" w:type="dxa"/>
          </w:tcPr>
          <w:p w14:paraId="6FE5961D" w14:textId="77A1C838" w:rsidR="009F451B" w:rsidRDefault="009F451B" w:rsidP="00365151">
            <w:pPr>
              <w:jc w:val="center"/>
              <w:rPr>
                <w:rFonts w:ascii="Times New Roman" w:hAnsi="Times New Roman"/>
                <w:sz w:val="24"/>
                <w:szCs w:val="24"/>
              </w:rPr>
            </w:pPr>
            <w:r w:rsidRPr="00365151">
              <w:rPr>
                <w:rFonts w:ascii="Times New Roman" w:hAnsi="Times New Roman"/>
                <w:sz w:val="18"/>
                <w:szCs w:val="18"/>
              </w:rPr>
              <w:t>23</w:t>
            </w:r>
            <w:r>
              <w:rPr>
                <w:rFonts w:ascii="Times New Roman" w:hAnsi="Times New Roman"/>
                <w:sz w:val="18"/>
                <w:szCs w:val="18"/>
              </w:rPr>
              <w:t> </w:t>
            </w:r>
            <w:r w:rsidRPr="00365151">
              <w:rPr>
                <w:rFonts w:ascii="Times New Roman" w:hAnsi="Times New Roman"/>
                <w:sz w:val="18"/>
                <w:szCs w:val="18"/>
              </w:rPr>
              <w:t>433</w:t>
            </w:r>
          </w:p>
        </w:tc>
        <w:tc>
          <w:tcPr>
            <w:tcW w:w="1446" w:type="dxa"/>
          </w:tcPr>
          <w:p w14:paraId="55BCDAA2" w14:textId="228FC429" w:rsidR="009F451B" w:rsidRDefault="009F451B" w:rsidP="00365151">
            <w:pPr>
              <w:jc w:val="center"/>
              <w:rPr>
                <w:rFonts w:ascii="Times New Roman" w:hAnsi="Times New Roman"/>
                <w:sz w:val="24"/>
                <w:szCs w:val="24"/>
              </w:rPr>
            </w:pPr>
            <w:r w:rsidRPr="00365151">
              <w:rPr>
                <w:rFonts w:ascii="Times New Roman" w:hAnsi="Times New Roman"/>
                <w:sz w:val="18"/>
                <w:szCs w:val="18"/>
              </w:rPr>
              <w:t>34</w:t>
            </w:r>
            <w:r>
              <w:rPr>
                <w:rFonts w:ascii="Times New Roman" w:hAnsi="Times New Roman"/>
                <w:sz w:val="18"/>
                <w:szCs w:val="18"/>
              </w:rPr>
              <w:t> </w:t>
            </w:r>
            <w:r w:rsidRPr="00365151">
              <w:rPr>
                <w:rFonts w:ascii="Times New Roman" w:hAnsi="Times New Roman"/>
                <w:sz w:val="18"/>
                <w:szCs w:val="18"/>
              </w:rPr>
              <w:t>533</w:t>
            </w:r>
          </w:p>
        </w:tc>
        <w:tc>
          <w:tcPr>
            <w:tcW w:w="1006" w:type="dxa"/>
          </w:tcPr>
          <w:p w14:paraId="491C5BAF" w14:textId="6AF1D7D0" w:rsidR="009F451B" w:rsidRDefault="009F451B" w:rsidP="00365151">
            <w:pPr>
              <w:jc w:val="center"/>
              <w:rPr>
                <w:rFonts w:ascii="Times New Roman" w:hAnsi="Times New Roman"/>
                <w:sz w:val="24"/>
                <w:szCs w:val="24"/>
              </w:rPr>
            </w:pPr>
            <w:r w:rsidRPr="00365151">
              <w:rPr>
                <w:rFonts w:ascii="Times New Roman" w:hAnsi="Times New Roman"/>
                <w:sz w:val="18"/>
                <w:szCs w:val="18"/>
              </w:rPr>
              <w:t>3</w:t>
            </w:r>
            <w:r>
              <w:rPr>
                <w:rFonts w:ascii="Times New Roman" w:hAnsi="Times New Roman"/>
                <w:sz w:val="18"/>
                <w:szCs w:val="18"/>
              </w:rPr>
              <w:t> </w:t>
            </w:r>
            <w:r w:rsidRPr="00365151">
              <w:rPr>
                <w:rFonts w:ascii="Times New Roman" w:hAnsi="Times New Roman"/>
                <w:sz w:val="18"/>
                <w:szCs w:val="18"/>
              </w:rPr>
              <w:t>266</w:t>
            </w:r>
          </w:p>
        </w:tc>
        <w:tc>
          <w:tcPr>
            <w:tcW w:w="1007" w:type="dxa"/>
          </w:tcPr>
          <w:p w14:paraId="5FF61274" w14:textId="5700D12C" w:rsidR="009F451B" w:rsidRDefault="009F451B" w:rsidP="00365151">
            <w:pPr>
              <w:jc w:val="center"/>
              <w:rPr>
                <w:rFonts w:ascii="Times New Roman" w:hAnsi="Times New Roman"/>
                <w:sz w:val="24"/>
                <w:szCs w:val="24"/>
              </w:rPr>
            </w:pPr>
            <w:r w:rsidRPr="00365151">
              <w:rPr>
                <w:rFonts w:ascii="Times New Roman" w:hAnsi="Times New Roman"/>
                <w:sz w:val="18"/>
                <w:szCs w:val="18"/>
              </w:rPr>
              <w:t>9</w:t>
            </w:r>
            <w:r>
              <w:rPr>
                <w:rFonts w:ascii="Times New Roman" w:hAnsi="Times New Roman"/>
                <w:sz w:val="18"/>
                <w:szCs w:val="18"/>
              </w:rPr>
              <w:t> </w:t>
            </w:r>
            <w:r w:rsidRPr="00365151">
              <w:rPr>
                <w:rFonts w:ascii="Times New Roman" w:hAnsi="Times New Roman"/>
                <w:sz w:val="18"/>
                <w:szCs w:val="18"/>
              </w:rPr>
              <w:t>977</w:t>
            </w:r>
          </w:p>
        </w:tc>
        <w:tc>
          <w:tcPr>
            <w:tcW w:w="787" w:type="dxa"/>
          </w:tcPr>
          <w:p w14:paraId="7E2EC9B9" w14:textId="75C296F6" w:rsidR="009F451B" w:rsidRDefault="009F451B" w:rsidP="00365151">
            <w:pPr>
              <w:jc w:val="center"/>
              <w:rPr>
                <w:rFonts w:ascii="Times New Roman" w:hAnsi="Times New Roman"/>
                <w:sz w:val="24"/>
                <w:szCs w:val="24"/>
              </w:rPr>
            </w:pPr>
            <w:r w:rsidRPr="00365151">
              <w:rPr>
                <w:rFonts w:ascii="Times New Roman" w:hAnsi="Times New Roman"/>
                <w:b/>
                <w:bCs/>
                <w:sz w:val="18"/>
                <w:szCs w:val="18"/>
              </w:rPr>
              <w:t>71</w:t>
            </w:r>
            <w:r>
              <w:rPr>
                <w:rFonts w:ascii="Times New Roman" w:hAnsi="Times New Roman"/>
                <w:b/>
                <w:bCs/>
                <w:sz w:val="18"/>
                <w:szCs w:val="18"/>
              </w:rPr>
              <w:t> </w:t>
            </w:r>
            <w:r w:rsidRPr="00365151">
              <w:rPr>
                <w:rFonts w:ascii="Times New Roman" w:hAnsi="Times New Roman"/>
                <w:b/>
                <w:bCs/>
                <w:sz w:val="18"/>
                <w:szCs w:val="18"/>
              </w:rPr>
              <w:t>209</w:t>
            </w:r>
          </w:p>
        </w:tc>
        <w:tc>
          <w:tcPr>
            <w:tcW w:w="1029" w:type="dxa"/>
          </w:tcPr>
          <w:p w14:paraId="63FDB963" w14:textId="086C6FB7" w:rsidR="009F451B" w:rsidRDefault="009F451B" w:rsidP="00365151">
            <w:pPr>
              <w:jc w:val="center"/>
              <w:rPr>
                <w:rFonts w:ascii="Times New Roman" w:hAnsi="Times New Roman"/>
                <w:sz w:val="24"/>
                <w:szCs w:val="24"/>
              </w:rPr>
            </w:pPr>
            <w:r w:rsidRPr="00365151">
              <w:rPr>
                <w:rFonts w:ascii="Times New Roman" w:hAnsi="Times New Roman"/>
                <w:sz w:val="16"/>
                <w:szCs w:val="16"/>
              </w:rPr>
              <w:t>507</w:t>
            </w:r>
            <w:r w:rsidR="00062538">
              <w:rPr>
                <w:rFonts w:ascii="Times New Roman" w:hAnsi="Times New Roman"/>
                <w:sz w:val="16"/>
                <w:szCs w:val="16"/>
              </w:rPr>
              <w:t xml:space="preserve"> </w:t>
            </w:r>
            <w:r w:rsidRPr="00365151">
              <w:rPr>
                <w:rFonts w:ascii="Times New Roman" w:hAnsi="Times New Roman"/>
                <w:sz w:val="16"/>
                <w:szCs w:val="16"/>
              </w:rPr>
              <w:t>901.12</w:t>
            </w:r>
          </w:p>
        </w:tc>
        <w:tc>
          <w:tcPr>
            <w:tcW w:w="1053" w:type="dxa"/>
            <w:vMerge/>
          </w:tcPr>
          <w:p w14:paraId="17BDFC7C" w14:textId="77777777" w:rsidR="009F451B" w:rsidRDefault="009F451B" w:rsidP="00365151">
            <w:pPr>
              <w:jc w:val="center"/>
              <w:rPr>
                <w:rFonts w:ascii="Times New Roman" w:hAnsi="Times New Roman"/>
                <w:sz w:val="24"/>
                <w:szCs w:val="24"/>
              </w:rPr>
            </w:pPr>
          </w:p>
        </w:tc>
      </w:tr>
      <w:tr w:rsidR="009F451B" w14:paraId="160E4508" w14:textId="77777777" w:rsidTr="00062538">
        <w:tc>
          <w:tcPr>
            <w:tcW w:w="1076" w:type="dxa"/>
            <w:shd w:val="clear" w:color="auto" w:fill="D9D9D9" w:themeFill="background1" w:themeFillShade="D9"/>
          </w:tcPr>
          <w:p w14:paraId="13B1E3E9" w14:textId="6F98480F" w:rsidR="009F451B" w:rsidRPr="00062538" w:rsidRDefault="009F451B" w:rsidP="00365151">
            <w:pPr>
              <w:jc w:val="center"/>
              <w:rPr>
                <w:rFonts w:ascii="Times New Roman" w:hAnsi="Times New Roman"/>
                <w:sz w:val="20"/>
                <w:szCs w:val="24"/>
              </w:rPr>
            </w:pPr>
            <w:r w:rsidRPr="00062538">
              <w:rPr>
                <w:rFonts w:ascii="Times New Roman" w:hAnsi="Times New Roman"/>
                <w:sz w:val="20"/>
                <w:szCs w:val="24"/>
              </w:rPr>
              <w:t>09</w:t>
            </w:r>
          </w:p>
        </w:tc>
        <w:tc>
          <w:tcPr>
            <w:tcW w:w="1096" w:type="dxa"/>
          </w:tcPr>
          <w:p w14:paraId="2A811BDE" w14:textId="3DCB95BF" w:rsidR="009F451B" w:rsidRDefault="009F451B" w:rsidP="00365151">
            <w:pPr>
              <w:jc w:val="center"/>
              <w:rPr>
                <w:rFonts w:ascii="Times New Roman" w:hAnsi="Times New Roman"/>
                <w:sz w:val="24"/>
                <w:szCs w:val="24"/>
              </w:rPr>
            </w:pPr>
            <w:r w:rsidRPr="00365151">
              <w:rPr>
                <w:rFonts w:ascii="Times New Roman" w:hAnsi="Times New Roman"/>
                <w:sz w:val="18"/>
                <w:szCs w:val="18"/>
              </w:rPr>
              <w:t>29</w:t>
            </w:r>
            <w:r>
              <w:rPr>
                <w:rFonts w:ascii="Times New Roman" w:hAnsi="Times New Roman"/>
                <w:sz w:val="18"/>
                <w:szCs w:val="18"/>
              </w:rPr>
              <w:t> </w:t>
            </w:r>
            <w:r w:rsidRPr="00365151">
              <w:rPr>
                <w:rFonts w:ascii="Times New Roman" w:hAnsi="Times New Roman"/>
                <w:sz w:val="18"/>
                <w:szCs w:val="18"/>
              </w:rPr>
              <w:t>593</w:t>
            </w:r>
          </w:p>
        </w:tc>
        <w:tc>
          <w:tcPr>
            <w:tcW w:w="1446" w:type="dxa"/>
          </w:tcPr>
          <w:p w14:paraId="3616CC4C" w14:textId="5DA77A40" w:rsidR="009F451B" w:rsidRDefault="009F451B" w:rsidP="00365151">
            <w:pPr>
              <w:jc w:val="center"/>
              <w:rPr>
                <w:rFonts w:ascii="Times New Roman" w:hAnsi="Times New Roman"/>
                <w:sz w:val="24"/>
                <w:szCs w:val="24"/>
              </w:rPr>
            </w:pPr>
            <w:r w:rsidRPr="00365151">
              <w:rPr>
                <w:rFonts w:ascii="Times New Roman" w:hAnsi="Times New Roman"/>
                <w:sz w:val="18"/>
                <w:szCs w:val="18"/>
              </w:rPr>
              <w:t>35</w:t>
            </w:r>
            <w:r>
              <w:rPr>
                <w:rFonts w:ascii="Times New Roman" w:hAnsi="Times New Roman"/>
                <w:sz w:val="18"/>
                <w:szCs w:val="18"/>
              </w:rPr>
              <w:t> </w:t>
            </w:r>
            <w:r w:rsidRPr="00365151">
              <w:rPr>
                <w:rFonts w:ascii="Times New Roman" w:hAnsi="Times New Roman"/>
                <w:sz w:val="18"/>
                <w:szCs w:val="18"/>
              </w:rPr>
              <w:t>799</w:t>
            </w:r>
          </w:p>
        </w:tc>
        <w:tc>
          <w:tcPr>
            <w:tcW w:w="2013" w:type="dxa"/>
            <w:gridSpan w:val="2"/>
          </w:tcPr>
          <w:p w14:paraId="08940F75" w14:textId="0920BD33" w:rsidR="009F451B" w:rsidRDefault="009F451B" w:rsidP="00365151">
            <w:pPr>
              <w:jc w:val="center"/>
              <w:rPr>
                <w:rFonts w:ascii="Times New Roman" w:hAnsi="Times New Roman"/>
                <w:sz w:val="24"/>
                <w:szCs w:val="24"/>
              </w:rPr>
            </w:pPr>
            <w:r w:rsidRPr="00365151">
              <w:rPr>
                <w:rFonts w:ascii="Times New Roman" w:hAnsi="Times New Roman"/>
                <w:sz w:val="18"/>
                <w:szCs w:val="18"/>
              </w:rPr>
              <w:t>16</w:t>
            </w:r>
            <w:r>
              <w:rPr>
                <w:rFonts w:ascii="Times New Roman" w:hAnsi="Times New Roman"/>
                <w:sz w:val="18"/>
                <w:szCs w:val="18"/>
              </w:rPr>
              <w:t> </w:t>
            </w:r>
            <w:r w:rsidRPr="00365151">
              <w:rPr>
                <w:rFonts w:ascii="Times New Roman" w:hAnsi="Times New Roman"/>
                <w:sz w:val="18"/>
                <w:szCs w:val="18"/>
              </w:rPr>
              <w:t>644</w:t>
            </w:r>
          </w:p>
        </w:tc>
        <w:tc>
          <w:tcPr>
            <w:tcW w:w="787" w:type="dxa"/>
          </w:tcPr>
          <w:p w14:paraId="3321BD38" w14:textId="5C8DCC1E" w:rsidR="009F451B" w:rsidRDefault="009F451B" w:rsidP="00365151">
            <w:pPr>
              <w:jc w:val="center"/>
              <w:rPr>
                <w:rFonts w:ascii="Times New Roman" w:hAnsi="Times New Roman"/>
                <w:sz w:val="24"/>
                <w:szCs w:val="24"/>
              </w:rPr>
            </w:pPr>
            <w:r w:rsidRPr="00365151">
              <w:rPr>
                <w:rFonts w:ascii="Times New Roman" w:hAnsi="Times New Roman"/>
                <w:b/>
                <w:bCs/>
                <w:sz w:val="18"/>
                <w:szCs w:val="18"/>
              </w:rPr>
              <w:t>82</w:t>
            </w:r>
            <w:r>
              <w:rPr>
                <w:rFonts w:ascii="Times New Roman" w:hAnsi="Times New Roman"/>
                <w:b/>
                <w:bCs/>
                <w:sz w:val="18"/>
                <w:szCs w:val="18"/>
              </w:rPr>
              <w:t> </w:t>
            </w:r>
            <w:r w:rsidRPr="00365151">
              <w:rPr>
                <w:rFonts w:ascii="Times New Roman" w:hAnsi="Times New Roman"/>
                <w:b/>
                <w:bCs/>
                <w:sz w:val="18"/>
                <w:szCs w:val="18"/>
              </w:rPr>
              <w:t>036</w:t>
            </w:r>
          </w:p>
        </w:tc>
        <w:tc>
          <w:tcPr>
            <w:tcW w:w="1029" w:type="dxa"/>
          </w:tcPr>
          <w:p w14:paraId="3064CC49" w14:textId="43067D12" w:rsidR="009F451B" w:rsidRDefault="009F451B" w:rsidP="00365151">
            <w:pPr>
              <w:jc w:val="center"/>
              <w:rPr>
                <w:rFonts w:ascii="Times New Roman" w:hAnsi="Times New Roman"/>
                <w:sz w:val="24"/>
                <w:szCs w:val="24"/>
              </w:rPr>
            </w:pPr>
            <w:r w:rsidRPr="00365151">
              <w:rPr>
                <w:rFonts w:ascii="Times New Roman" w:hAnsi="Times New Roman"/>
                <w:sz w:val="16"/>
                <w:szCs w:val="16"/>
              </w:rPr>
              <w:t>558</w:t>
            </w:r>
            <w:r w:rsidR="00062538">
              <w:rPr>
                <w:rFonts w:ascii="Times New Roman" w:hAnsi="Times New Roman"/>
                <w:sz w:val="16"/>
                <w:szCs w:val="16"/>
              </w:rPr>
              <w:t xml:space="preserve"> </w:t>
            </w:r>
            <w:r w:rsidRPr="00365151">
              <w:rPr>
                <w:rFonts w:ascii="Times New Roman" w:hAnsi="Times New Roman"/>
                <w:sz w:val="16"/>
                <w:szCs w:val="16"/>
              </w:rPr>
              <w:t>145</w:t>
            </w:r>
          </w:p>
        </w:tc>
        <w:tc>
          <w:tcPr>
            <w:tcW w:w="1053" w:type="dxa"/>
            <w:vMerge/>
          </w:tcPr>
          <w:p w14:paraId="25FDD62D" w14:textId="77777777" w:rsidR="009F451B" w:rsidRDefault="009F451B" w:rsidP="00365151">
            <w:pPr>
              <w:jc w:val="center"/>
              <w:rPr>
                <w:rFonts w:ascii="Times New Roman" w:hAnsi="Times New Roman"/>
                <w:sz w:val="24"/>
                <w:szCs w:val="24"/>
              </w:rPr>
            </w:pPr>
          </w:p>
        </w:tc>
      </w:tr>
      <w:tr w:rsidR="009F451B" w14:paraId="7D617575" w14:textId="77777777" w:rsidTr="00062538">
        <w:tc>
          <w:tcPr>
            <w:tcW w:w="1076" w:type="dxa"/>
            <w:shd w:val="clear" w:color="auto" w:fill="D9D9D9" w:themeFill="background1" w:themeFillShade="D9"/>
          </w:tcPr>
          <w:p w14:paraId="639C50E1" w14:textId="4011525F" w:rsidR="009F451B" w:rsidRPr="00062538" w:rsidRDefault="009F451B" w:rsidP="00365151">
            <w:pPr>
              <w:jc w:val="center"/>
              <w:rPr>
                <w:rFonts w:ascii="Times New Roman" w:hAnsi="Times New Roman"/>
                <w:sz w:val="20"/>
                <w:szCs w:val="24"/>
              </w:rPr>
            </w:pPr>
            <w:r w:rsidRPr="00062538">
              <w:rPr>
                <w:rFonts w:ascii="Times New Roman" w:hAnsi="Times New Roman"/>
                <w:sz w:val="20"/>
                <w:szCs w:val="24"/>
              </w:rPr>
              <w:t>10</w:t>
            </w:r>
          </w:p>
        </w:tc>
        <w:tc>
          <w:tcPr>
            <w:tcW w:w="1096" w:type="dxa"/>
          </w:tcPr>
          <w:p w14:paraId="7ED7BBE0" w14:textId="65A083C0" w:rsidR="009F451B" w:rsidRDefault="009F451B" w:rsidP="00365151">
            <w:pPr>
              <w:jc w:val="center"/>
              <w:rPr>
                <w:rFonts w:ascii="Times New Roman" w:hAnsi="Times New Roman"/>
                <w:sz w:val="24"/>
                <w:szCs w:val="24"/>
              </w:rPr>
            </w:pPr>
            <w:r w:rsidRPr="00365151">
              <w:rPr>
                <w:rFonts w:ascii="Times New Roman" w:hAnsi="Times New Roman"/>
                <w:color w:val="000000"/>
                <w:sz w:val="18"/>
                <w:szCs w:val="18"/>
              </w:rPr>
              <w:t>35</w:t>
            </w:r>
            <w:r>
              <w:rPr>
                <w:rFonts w:ascii="Times New Roman" w:hAnsi="Times New Roman"/>
                <w:color w:val="000000"/>
                <w:sz w:val="18"/>
                <w:szCs w:val="18"/>
              </w:rPr>
              <w:t> </w:t>
            </w:r>
            <w:r w:rsidRPr="00365151">
              <w:rPr>
                <w:rFonts w:ascii="Times New Roman" w:hAnsi="Times New Roman"/>
                <w:color w:val="000000"/>
                <w:sz w:val="18"/>
                <w:szCs w:val="18"/>
              </w:rPr>
              <w:t>085</w:t>
            </w:r>
          </w:p>
        </w:tc>
        <w:tc>
          <w:tcPr>
            <w:tcW w:w="1446" w:type="dxa"/>
          </w:tcPr>
          <w:p w14:paraId="354F6F0C" w14:textId="47F951D5" w:rsidR="009F451B" w:rsidRDefault="009F451B" w:rsidP="00365151">
            <w:pPr>
              <w:jc w:val="center"/>
              <w:rPr>
                <w:rFonts w:ascii="Times New Roman" w:hAnsi="Times New Roman"/>
                <w:sz w:val="24"/>
                <w:szCs w:val="24"/>
              </w:rPr>
            </w:pPr>
            <w:r w:rsidRPr="00365151">
              <w:rPr>
                <w:rFonts w:ascii="Times New Roman" w:hAnsi="Times New Roman"/>
                <w:color w:val="000000"/>
                <w:sz w:val="18"/>
                <w:szCs w:val="18"/>
              </w:rPr>
              <w:t>35</w:t>
            </w:r>
            <w:r>
              <w:rPr>
                <w:rFonts w:ascii="Times New Roman" w:hAnsi="Times New Roman"/>
                <w:color w:val="000000"/>
                <w:sz w:val="18"/>
                <w:szCs w:val="18"/>
              </w:rPr>
              <w:t> </w:t>
            </w:r>
            <w:r w:rsidRPr="00365151">
              <w:rPr>
                <w:rFonts w:ascii="Times New Roman" w:hAnsi="Times New Roman"/>
                <w:color w:val="000000"/>
                <w:sz w:val="18"/>
                <w:szCs w:val="18"/>
              </w:rPr>
              <w:t>888</w:t>
            </w:r>
          </w:p>
        </w:tc>
        <w:tc>
          <w:tcPr>
            <w:tcW w:w="2013" w:type="dxa"/>
            <w:gridSpan w:val="2"/>
          </w:tcPr>
          <w:p w14:paraId="693FDA88" w14:textId="51A1E26B" w:rsidR="009F451B" w:rsidRDefault="009F451B" w:rsidP="00365151">
            <w:pPr>
              <w:jc w:val="center"/>
              <w:rPr>
                <w:rFonts w:ascii="Times New Roman" w:hAnsi="Times New Roman"/>
                <w:sz w:val="24"/>
                <w:szCs w:val="24"/>
              </w:rPr>
            </w:pPr>
            <w:r w:rsidRPr="00365151">
              <w:rPr>
                <w:rFonts w:ascii="Times New Roman" w:hAnsi="Times New Roman"/>
                <w:color w:val="000000"/>
                <w:sz w:val="18"/>
                <w:szCs w:val="18"/>
              </w:rPr>
              <w:t>21</w:t>
            </w:r>
            <w:r>
              <w:rPr>
                <w:rFonts w:ascii="Times New Roman" w:hAnsi="Times New Roman"/>
                <w:color w:val="000000"/>
                <w:sz w:val="18"/>
                <w:szCs w:val="18"/>
              </w:rPr>
              <w:t> </w:t>
            </w:r>
            <w:r w:rsidRPr="00365151">
              <w:rPr>
                <w:rFonts w:ascii="Times New Roman" w:hAnsi="Times New Roman"/>
                <w:color w:val="000000"/>
                <w:sz w:val="18"/>
                <w:szCs w:val="18"/>
              </w:rPr>
              <w:t>307</w:t>
            </w:r>
          </w:p>
        </w:tc>
        <w:tc>
          <w:tcPr>
            <w:tcW w:w="787" w:type="dxa"/>
          </w:tcPr>
          <w:p w14:paraId="51AF78EF" w14:textId="52999C11" w:rsidR="009F451B" w:rsidRDefault="009F451B" w:rsidP="00365151">
            <w:pPr>
              <w:jc w:val="center"/>
              <w:rPr>
                <w:rFonts w:ascii="Times New Roman" w:hAnsi="Times New Roman"/>
                <w:sz w:val="24"/>
                <w:szCs w:val="24"/>
              </w:rPr>
            </w:pPr>
            <w:r w:rsidRPr="00365151">
              <w:rPr>
                <w:rFonts w:ascii="Times New Roman" w:hAnsi="Times New Roman"/>
                <w:b/>
                <w:bCs/>
                <w:color w:val="000000"/>
                <w:sz w:val="18"/>
                <w:szCs w:val="18"/>
              </w:rPr>
              <w:t>92</w:t>
            </w:r>
            <w:r>
              <w:rPr>
                <w:rFonts w:ascii="Times New Roman" w:hAnsi="Times New Roman"/>
                <w:b/>
                <w:bCs/>
                <w:color w:val="000000"/>
                <w:sz w:val="18"/>
                <w:szCs w:val="18"/>
              </w:rPr>
              <w:t> </w:t>
            </w:r>
            <w:r w:rsidRPr="00365151">
              <w:rPr>
                <w:rFonts w:ascii="Times New Roman" w:hAnsi="Times New Roman"/>
                <w:b/>
                <w:bCs/>
                <w:color w:val="000000"/>
                <w:sz w:val="18"/>
                <w:szCs w:val="18"/>
              </w:rPr>
              <w:t>280</w:t>
            </w:r>
          </w:p>
        </w:tc>
        <w:tc>
          <w:tcPr>
            <w:tcW w:w="1029" w:type="dxa"/>
          </w:tcPr>
          <w:p w14:paraId="53BF4762" w14:textId="6AF90137" w:rsidR="009F451B" w:rsidRDefault="009F451B" w:rsidP="00365151">
            <w:pPr>
              <w:jc w:val="center"/>
              <w:rPr>
                <w:rFonts w:ascii="Times New Roman" w:hAnsi="Times New Roman"/>
                <w:sz w:val="24"/>
                <w:szCs w:val="24"/>
              </w:rPr>
            </w:pPr>
            <w:r w:rsidRPr="00365151">
              <w:rPr>
                <w:rFonts w:ascii="Times New Roman" w:hAnsi="Times New Roman"/>
                <w:sz w:val="16"/>
                <w:szCs w:val="16"/>
              </w:rPr>
              <w:t>661</w:t>
            </w:r>
            <w:r w:rsidR="00062538">
              <w:rPr>
                <w:rFonts w:ascii="Times New Roman" w:hAnsi="Times New Roman"/>
                <w:sz w:val="16"/>
                <w:szCs w:val="16"/>
              </w:rPr>
              <w:t xml:space="preserve"> </w:t>
            </w:r>
            <w:r w:rsidRPr="00365151">
              <w:rPr>
                <w:rFonts w:ascii="Times New Roman" w:hAnsi="Times New Roman"/>
                <w:sz w:val="16"/>
                <w:szCs w:val="16"/>
              </w:rPr>
              <w:t>960</w:t>
            </w:r>
          </w:p>
        </w:tc>
        <w:tc>
          <w:tcPr>
            <w:tcW w:w="1053" w:type="dxa"/>
            <w:vMerge/>
          </w:tcPr>
          <w:p w14:paraId="6C225D48" w14:textId="77777777" w:rsidR="009F451B" w:rsidRDefault="009F451B" w:rsidP="00365151">
            <w:pPr>
              <w:jc w:val="center"/>
              <w:rPr>
                <w:rFonts w:ascii="Times New Roman" w:hAnsi="Times New Roman"/>
                <w:sz w:val="24"/>
                <w:szCs w:val="24"/>
              </w:rPr>
            </w:pPr>
          </w:p>
        </w:tc>
      </w:tr>
      <w:tr w:rsidR="009F451B" w14:paraId="60732AE5" w14:textId="77777777" w:rsidTr="00062538">
        <w:tc>
          <w:tcPr>
            <w:tcW w:w="1076" w:type="dxa"/>
            <w:shd w:val="clear" w:color="auto" w:fill="D9D9D9" w:themeFill="background1" w:themeFillShade="D9"/>
          </w:tcPr>
          <w:p w14:paraId="01A156BE" w14:textId="7391E824" w:rsidR="009F451B" w:rsidRPr="00062538" w:rsidRDefault="009F451B" w:rsidP="00365151">
            <w:pPr>
              <w:jc w:val="center"/>
              <w:rPr>
                <w:rFonts w:ascii="Times New Roman" w:hAnsi="Times New Roman"/>
                <w:sz w:val="20"/>
                <w:szCs w:val="24"/>
              </w:rPr>
            </w:pPr>
            <w:r w:rsidRPr="00062538">
              <w:rPr>
                <w:rFonts w:ascii="Times New Roman" w:hAnsi="Times New Roman"/>
                <w:sz w:val="20"/>
                <w:szCs w:val="24"/>
              </w:rPr>
              <w:t>11</w:t>
            </w:r>
          </w:p>
        </w:tc>
        <w:tc>
          <w:tcPr>
            <w:tcW w:w="1096" w:type="dxa"/>
          </w:tcPr>
          <w:p w14:paraId="25897524" w14:textId="4C625DB0" w:rsidR="009F451B" w:rsidRDefault="009F451B" w:rsidP="00365151">
            <w:pPr>
              <w:jc w:val="center"/>
              <w:rPr>
                <w:rFonts w:ascii="Times New Roman" w:hAnsi="Times New Roman"/>
                <w:sz w:val="24"/>
                <w:szCs w:val="24"/>
              </w:rPr>
            </w:pPr>
            <w:r w:rsidRPr="00365151">
              <w:rPr>
                <w:rFonts w:ascii="Times New Roman" w:hAnsi="Times New Roman"/>
                <w:color w:val="000000"/>
                <w:sz w:val="18"/>
                <w:szCs w:val="18"/>
              </w:rPr>
              <w:t>37</w:t>
            </w:r>
            <w:r>
              <w:rPr>
                <w:rFonts w:ascii="Times New Roman" w:hAnsi="Times New Roman"/>
                <w:color w:val="000000"/>
                <w:sz w:val="18"/>
                <w:szCs w:val="18"/>
              </w:rPr>
              <w:t> </w:t>
            </w:r>
            <w:r w:rsidRPr="00365151">
              <w:rPr>
                <w:rFonts w:ascii="Times New Roman" w:hAnsi="Times New Roman"/>
                <w:color w:val="000000"/>
                <w:sz w:val="18"/>
                <w:szCs w:val="18"/>
              </w:rPr>
              <w:t>159</w:t>
            </w:r>
          </w:p>
        </w:tc>
        <w:tc>
          <w:tcPr>
            <w:tcW w:w="1446" w:type="dxa"/>
          </w:tcPr>
          <w:p w14:paraId="255FAFD0" w14:textId="1A8C164E" w:rsidR="009F451B" w:rsidRDefault="009F451B" w:rsidP="00365151">
            <w:pPr>
              <w:jc w:val="center"/>
              <w:rPr>
                <w:rFonts w:ascii="Times New Roman" w:hAnsi="Times New Roman"/>
                <w:sz w:val="24"/>
                <w:szCs w:val="24"/>
              </w:rPr>
            </w:pPr>
            <w:r w:rsidRPr="00365151">
              <w:rPr>
                <w:rFonts w:ascii="Times New Roman" w:hAnsi="Times New Roman"/>
                <w:color w:val="000000"/>
                <w:sz w:val="18"/>
                <w:szCs w:val="18"/>
              </w:rPr>
              <w:t>36</w:t>
            </w:r>
            <w:r>
              <w:rPr>
                <w:rFonts w:ascii="Times New Roman" w:hAnsi="Times New Roman"/>
                <w:color w:val="000000"/>
                <w:sz w:val="18"/>
                <w:szCs w:val="18"/>
              </w:rPr>
              <w:t> </w:t>
            </w:r>
            <w:r w:rsidRPr="00365151">
              <w:rPr>
                <w:rFonts w:ascii="Times New Roman" w:hAnsi="Times New Roman"/>
                <w:color w:val="000000"/>
                <w:sz w:val="18"/>
                <w:szCs w:val="18"/>
              </w:rPr>
              <w:t>585</w:t>
            </w:r>
          </w:p>
        </w:tc>
        <w:tc>
          <w:tcPr>
            <w:tcW w:w="2013" w:type="dxa"/>
            <w:gridSpan w:val="2"/>
          </w:tcPr>
          <w:p w14:paraId="0A9E090C" w14:textId="26D6588D" w:rsidR="009F451B" w:rsidRDefault="009F451B" w:rsidP="00365151">
            <w:pPr>
              <w:jc w:val="center"/>
              <w:rPr>
                <w:rFonts w:ascii="Times New Roman" w:hAnsi="Times New Roman"/>
                <w:sz w:val="24"/>
                <w:szCs w:val="24"/>
              </w:rPr>
            </w:pPr>
            <w:r w:rsidRPr="00365151">
              <w:rPr>
                <w:rFonts w:ascii="Times New Roman" w:hAnsi="Times New Roman"/>
                <w:color w:val="000000"/>
                <w:sz w:val="18"/>
                <w:szCs w:val="18"/>
              </w:rPr>
              <w:t>21</w:t>
            </w:r>
            <w:r>
              <w:rPr>
                <w:rFonts w:ascii="Times New Roman" w:hAnsi="Times New Roman"/>
                <w:color w:val="000000"/>
                <w:sz w:val="18"/>
                <w:szCs w:val="18"/>
              </w:rPr>
              <w:t> </w:t>
            </w:r>
            <w:r w:rsidRPr="00365151">
              <w:rPr>
                <w:rFonts w:ascii="Times New Roman" w:hAnsi="Times New Roman"/>
                <w:color w:val="000000"/>
                <w:sz w:val="18"/>
                <w:szCs w:val="18"/>
              </w:rPr>
              <w:t>879</w:t>
            </w:r>
          </w:p>
        </w:tc>
        <w:tc>
          <w:tcPr>
            <w:tcW w:w="787" w:type="dxa"/>
          </w:tcPr>
          <w:p w14:paraId="6BCDB5C6" w14:textId="5E7845A2" w:rsidR="009F451B" w:rsidRDefault="009F451B" w:rsidP="00365151">
            <w:pPr>
              <w:jc w:val="center"/>
              <w:rPr>
                <w:rFonts w:ascii="Times New Roman" w:hAnsi="Times New Roman"/>
                <w:sz w:val="24"/>
                <w:szCs w:val="24"/>
              </w:rPr>
            </w:pPr>
            <w:r w:rsidRPr="00365151">
              <w:rPr>
                <w:rFonts w:ascii="Times New Roman" w:hAnsi="Times New Roman"/>
                <w:b/>
                <w:bCs/>
                <w:color w:val="000000"/>
                <w:sz w:val="18"/>
                <w:szCs w:val="18"/>
              </w:rPr>
              <w:t>95</w:t>
            </w:r>
            <w:r>
              <w:rPr>
                <w:rFonts w:ascii="Times New Roman" w:hAnsi="Times New Roman"/>
                <w:b/>
                <w:bCs/>
                <w:color w:val="000000"/>
                <w:sz w:val="18"/>
                <w:szCs w:val="18"/>
              </w:rPr>
              <w:t> </w:t>
            </w:r>
            <w:r w:rsidRPr="00365151">
              <w:rPr>
                <w:rFonts w:ascii="Times New Roman" w:hAnsi="Times New Roman"/>
                <w:b/>
                <w:bCs/>
                <w:color w:val="000000"/>
                <w:sz w:val="18"/>
                <w:szCs w:val="18"/>
              </w:rPr>
              <w:t>623</w:t>
            </w:r>
          </w:p>
        </w:tc>
        <w:tc>
          <w:tcPr>
            <w:tcW w:w="1029" w:type="dxa"/>
          </w:tcPr>
          <w:p w14:paraId="4DC35168" w14:textId="2C367610" w:rsidR="009F451B" w:rsidRDefault="009F451B" w:rsidP="00365151">
            <w:pPr>
              <w:jc w:val="center"/>
              <w:rPr>
                <w:rFonts w:ascii="Times New Roman" w:hAnsi="Times New Roman"/>
                <w:sz w:val="24"/>
                <w:szCs w:val="24"/>
              </w:rPr>
            </w:pPr>
            <w:r w:rsidRPr="00365151">
              <w:rPr>
                <w:rFonts w:ascii="Times New Roman" w:hAnsi="Times New Roman"/>
                <w:sz w:val="16"/>
                <w:szCs w:val="16"/>
              </w:rPr>
              <w:t>1</w:t>
            </w:r>
            <w:r w:rsidR="00062538">
              <w:rPr>
                <w:rFonts w:ascii="Times New Roman" w:hAnsi="Times New Roman"/>
                <w:sz w:val="16"/>
                <w:szCs w:val="16"/>
              </w:rPr>
              <w:t> </w:t>
            </w:r>
            <w:r w:rsidRPr="00365151">
              <w:rPr>
                <w:rFonts w:ascii="Times New Roman" w:hAnsi="Times New Roman"/>
                <w:sz w:val="16"/>
                <w:szCs w:val="16"/>
              </w:rPr>
              <w:t>620</w:t>
            </w:r>
            <w:r w:rsidR="00062538">
              <w:rPr>
                <w:rFonts w:ascii="Times New Roman" w:hAnsi="Times New Roman"/>
                <w:sz w:val="16"/>
                <w:szCs w:val="16"/>
              </w:rPr>
              <w:t xml:space="preserve"> </w:t>
            </w:r>
            <w:r w:rsidRPr="00365151">
              <w:rPr>
                <w:rFonts w:ascii="Times New Roman" w:hAnsi="Times New Roman"/>
                <w:sz w:val="16"/>
                <w:szCs w:val="16"/>
              </w:rPr>
              <w:t>310</w:t>
            </w:r>
          </w:p>
        </w:tc>
        <w:tc>
          <w:tcPr>
            <w:tcW w:w="1053" w:type="dxa"/>
            <w:vMerge/>
          </w:tcPr>
          <w:p w14:paraId="5916F2F3" w14:textId="77777777" w:rsidR="009F451B" w:rsidRDefault="009F451B" w:rsidP="00365151">
            <w:pPr>
              <w:jc w:val="center"/>
              <w:rPr>
                <w:rFonts w:ascii="Times New Roman" w:hAnsi="Times New Roman"/>
                <w:sz w:val="24"/>
                <w:szCs w:val="24"/>
              </w:rPr>
            </w:pPr>
          </w:p>
        </w:tc>
      </w:tr>
      <w:tr w:rsidR="009F451B" w14:paraId="6C043AD6" w14:textId="77777777" w:rsidTr="00062538">
        <w:tc>
          <w:tcPr>
            <w:tcW w:w="1076" w:type="dxa"/>
            <w:shd w:val="clear" w:color="auto" w:fill="D9D9D9" w:themeFill="background1" w:themeFillShade="D9"/>
          </w:tcPr>
          <w:p w14:paraId="5256BBFC" w14:textId="795203B9" w:rsidR="009F451B" w:rsidRPr="00062538" w:rsidRDefault="009F451B" w:rsidP="00365151">
            <w:pPr>
              <w:jc w:val="center"/>
              <w:rPr>
                <w:rFonts w:ascii="Times New Roman" w:hAnsi="Times New Roman"/>
                <w:sz w:val="20"/>
                <w:szCs w:val="24"/>
              </w:rPr>
            </w:pPr>
            <w:r w:rsidRPr="00062538">
              <w:rPr>
                <w:rFonts w:ascii="Times New Roman" w:hAnsi="Times New Roman"/>
                <w:sz w:val="20"/>
                <w:szCs w:val="24"/>
              </w:rPr>
              <w:t>12</w:t>
            </w:r>
          </w:p>
        </w:tc>
        <w:tc>
          <w:tcPr>
            <w:tcW w:w="1096" w:type="dxa"/>
          </w:tcPr>
          <w:p w14:paraId="647691EE" w14:textId="7FFBB127" w:rsidR="009F451B" w:rsidRDefault="009F451B" w:rsidP="00365151">
            <w:pPr>
              <w:jc w:val="center"/>
              <w:rPr>
                <w:rFonts w:ascii="Times New Roman" w:hAnsi="Times New Roman"/>
                <w:sz w:val="24"/>
                <w:szCs w:val="24"/>
              </w:rPr>
            </w:pPr>
            <w:r w:rsidRPr="00365151">
              <w:rPr>
                <w:rFonts w:ascii="Times New Roman" w:hAnsi="Times New Roman"/>
                <w:color w:val="000000"/>
                <w:sz w:val="18"/>
                <w:szCs w:val="18"/>
              </w:rPr>
              <w:t>32</w:t>
            </w:r>
            <w:r>
              <w:rPr>
                <w:rFonts w:ascii="Times New Roman" w:hAnsi="Times New Roman"/>
                <w:color w:val="000000"/>
                <w:sz w:val="18"/>
                <w:szCs w:val="18"/>
              </w:rPr>
              <w:t> </w:t>
            </w:r>
            <w:r w:rsidRPr="00365151">
              <w:rPr>
                <w:rFonts w:ascii="Times New Roman" w:hAnsi="Times New Roman"/>
                <w:color w:val="000000"/>
                <w:sz w:val="18"/>
                <w:szCs w:val="18"/>
              </w:rPr>
              <w:t>739</w:t>
            </w:r>
          </w:p>
        </w:tc>
        <w:tc>
          <w:tcPr>
            <w:tcW w:w="1446" w:type="dxa"/>
          </w:tcPr>
          <w:p w14:paraId="33C93A11" w14:textId="040B8FA2" w:rsidR="009F451B" w:rsidRDefault="009F451B" w:rsidP="00365151">
            <w:pPr>
              <w:jc w:val="center"/>
              <w:rPr>
                <w:rFonts w:ascii="Times New Roman" w:hAnsi="Times New Roman"/>
                <w:sz w:val="24"/>
                <w:szCs w:val="24"/>
              </w:rPr>
            </w:pPr>
            <w:r w:rsidRPr="00365151">
              <w:rPr>
                <w:rFonts w:ascii="Times New Roman" w:hAnsi="Times New Roman"/>
                <w:color w:val="000000"/>
                <w:sz w:val="18"/>
                <w:szCs w:val="18"/>
              </w:rPr>
              <w:t>37</w:t>
            </w:r>
            <w:r>
              <w:rPr>
                <w:rFonts w:ascii="Times New Roman" w:hAnsi="Times New Roman"/>
                <w:color w:val="000000"/>
                <w:sz w:val="18"/>
                <w:szCs w:val="18"/>
              </w:rPr>
              <w:t> </w:t>
            </w:r>
            <w:r w:rsidRPr="00365151">
              <w:rPr>
                <w:rFonts w:ascii="Times New Roman" w:hAnsi="Times New Roman"/>
                <w:color w:val="000000"/>
                <w:sz w:val="18"/>
                <w:szCs w:val="18"/>
              </w:rPr>
              <w:t>672</w:t>
            </w:r>
          </w:p>
        </w:tc>
        <w:tc>
          <w:tcPr>
            <w:tcW w:w="2013" w:type="dxa"/>
            <w:gridSpan w:val="2"/>
          </w:tcPr>
          <w:p w14:paraId="37D3808A" w14:textId="19FECB44" w:rsidR="009F451B" w:rsidRDefault="009F451B" w:rsidP="00365151">
            <w:pPr>
              <w:jc w:val="center"/>
              <w:rPr>
                <w:rFonts w:ascii="Times New Roman" w:hAnsi="Times New Roman"/>
                <w:sz w:val="24"/>
                <w:szCs w:val="24"/>
              </w:rPr>
            </w:pPr>
            <w:r w:rsidRPr="00365151">
              <w:rPr>
                <w:rFonts w:ascii="Times New Roman" w:hAnsi="Times New Roman"/>
                <w:color w:val="000000"/>
                <w:sz w:val="18"/>
                <w:szCs w:val="18"/>
              </w:rPr>
              <w:t>22</w:t>
            </w:r>
            <w:r>
              <w:rPr>
                <w:rFonts w:ascii="Times New Roman" w:hAnsi="Times New Roman"/>
                <w:color w:val="000000"/>
                <w:sz w:val="18"/>
                <w:szCs w:val="18"/>
              </w:rPr>
              <w:t> </w:t>
            </w:r>
            <w:r w:rsidRPr="00365151">
              <w:rPr>
                <w:rFonts w:ascii="Times New Roman" w:hAnsi="Times New Roman"/>
                <w:color w:val="000000"/>
                <w:sz w:val="18"/>
                <w:szCs w:val="18"/>
              </w:rPr>
              <w:t>023</w:t>
            </w:r>
          </w:p>
        </w:tc>
        <w:tc>
          <w:tcPr>
            <w:tcW w:w="787" w:type="dxa"/>
          </w:tcPr>
          <w:p w14:paraId="47F701D4" w14:textId="22BFBA69" w:rsidR="009F451B" w:rsidRDefault="009F451B" w:rsidP="00365151">
            <w:pPr>
              <w:jc w:val="center"/>
              <w:rPr>
                <w:rFonts w:ascii="Times New Roman" w:hAnsi="Times New Roman"/>
                <w:sz w:val="24"/>
                <w:szCs w:val="24"/>
              </w:rPr>
            </w:pPr>
            <w:r w:rsidRPr="00365151">
              <w:rPr>
                <w:rFonts w:ascii="Times New Roman" w:hAnsi="Times New Roman"/>
                <w:b/>
                <w:bCs/>
                <w:color w:val="000000"/>
                <w:sz w:val="18"/>
                <w:szCs w:val="18"/>
              </w:rPr>
              <w:t>92</w:t>
            </w:r>
            <w:r>
              <w:rPr>
                <w:rFonts w:ascii="Times New Roman" w:hAnsi="Times New Roman"/>
                <w:b/>
                <w:bCs/>
                <w:color w:val="000000"/>
                <w:sz w:val="18"/>
                <w:szCs w:val="18"/>
              </w:rPr>
              <w:t> </w:t>
            </w:r>
            <w:r w:rsidRPr="00365151">
              <w:rPr>
                <w:rFonts w:ascii="Times New Roman" w:hAnsi="Times New Roman"/>
                <w:b/>
                <w:bCs/>
                <w:color w:val="000000"/>
                <w:sz w:val="18"/>
                <w:szCs w:val="18"/>
              </w:rPr>
              <w:t>434</w:t>
            </w:r>
          </w:p>
        </w:tc>
        <w:tc>
          <w:tcPr>
            <w:tcW w:w="1029" w:type="dxa"/>
          </w:tcPr>
          <w:p w14:paraId="6A0DF7BB" w14:textId="231C0565" w:rsidR="009F451B" w:rsidRDefault="009F451B" w:rsidP="00365151">
            <w:pPr>
              <w:jc w:val="center"/>
              <w:rPr>
                <w:rFonts w:ascii="Times New Roman" w:hAnsi="Times New Roman"/>
                <w:sz w:val="24"/>
                <w:szCs w:val="24"/>
              </w:rPr>
            </w:pPr>
            <w:r w:rsidRPr="00365151">
              <w:rPr>
                <w:rFonts w:ascii="Times New Roman" w:hAnsi="Times New Roman"/>
                <w:sz w:val="16"/>
                <w:szCs w:val="16"/>
              </w:rPr>
              <w:t>1</w:t>
            </w:r>
            <w:r w:rsidR="00062538">
              <w:rPr>
                <w:rFonts w:ascii="Times New Roman" w:hAnsi="Times New Roman"/>
                <w:sz w:val="16"/>
                <w:szCs w:val="16"/>
              </w:rPr>
              <w:t> </w:t>
            </w:r>
            <w:r w:rsidRPr="00365151">
              <w:rPr>
                <w:rFonts w:ascii="Times New Roman" w:hAnsi="Times New Roman"/>
                <w:sz w:val="16"/>
                <w:szCs w:val="16"/>
              </w:rPr>
              <w:t>478</w:t>
            </w:r>
            <w:r w:rsidR="00062538">
              <w:rPr>
                <w:rFonts w:ascii="Times New Roman" w:hAnsi="Times New Roman"/>
                <w:sz w:val="16"/>
                <w:szCs w:val="16"/>
              </w:rPr>
              <w:t xml:space="preserve"> </w:t>
            </w:r>
            <w:r w:rsidRPr="00365151">
              <w:rPr>
                <w:rFonts w:ascii="Times New Roman" w:hAnsi="Times New Roman"/>
                <w:sz w:val="16"/>
                <w:szCs w:val="16"/>
              </w:rPr>
              <w:t>835</w:t>
            </w:r>
          </w:p>
        </w:tc>
        <w:tc>
          <w:tcPr>
            <w:tcW w:w="1053" w:type="dxa"/>
            <w:vMerge/>
          </w:tcPr>
          <w:p w14:paraId="34E5B958" w14:textId="77777777" w:rsidR="009F451B" w:rsidRDefault="009F451B" w:rsidP="00365151">
            <w:pPr>
              <w:jc w:val="center"/>
              <w:rPr>
                <w:rFonts w:ascii="Times New Roman" w:hAnsi="Times New Roman"/>
                <w:sz w:val="24"/>
                <w:szCs w:val="24"/>
              </w:rPr>
            </w:pPr>
          </w:p>
        </w:tc>
      </w:tr>
    </w:tbl>
    <w:p w14:paraId="3F1A3754" w14:textId="1FEA8946" w:rsidR="0060012D" w:rsidRPr="00365151" w:rsidRDefault="0060012D" w:rsidP="0060012D">
      <w:pPr>
        <w:jc w:val="both"/>
        <w:rPr>
          <w:rFonts w:ascii="Times New Roman" w:hAnsi="Times New Roman" w:cs="Times New Roman"/>
          <w:sz w:val="20"/>
          <w:szCs w:val="24"/>
        </w:rPr>
      </w:pPr>
      <w:r w:rsidRPr="00365151">
        <w:rPr>
          <w:rFonts w:ascii="Times New Roman" w:hAnsi="Times New Roman" w:cs="Times New Roman"/>
          <w:sz w:val="20"/>
          <w:szCs w:val="24"/>
        </w:rPr>
        <w:t>Datu avots:</w:t>
      </w:r>
      <w:r w:rsidR="002A37A5">
        <w:rPr>
          <w:rFonts w:ascii="Times New Roman" w:hAnsi="Times New Roman" w:cs="Times New Roman"/>
          <w:sz w:val="20"/>
          <w:szCs w:val="24"/>
        </w:rPr>
        <w:t xml:space="preserve"> </w:t>
      </w:r>
      <w:r w:rsidR="002A37A5" w:rsidRPr="002A37A5">
        <w:rPr>
          <w:rFonts w:ascii="Times New Roman" w:hAnsi="Times New Roman" w:cs="Times New Roman"/>
          <w:sz w:val="20"/>
          <w:szCs w:val="24"/>
        </w:rPr>
        <w:t>Būvniecības valsts kontroles birojs</w:t>
      </w:r>
    </w:p>
    <w:p w14:paraId="31E55FD9" w14:textId="77777777" w:rsidR="0060012D" w:rsidRPr="00DF7658" w:rsidRDefault="0060012D" w:rsidP="00DF7658">
      <w:pPr>
        <w:spacing w:after="0" w:line="240" w:lineRule="auto"/>
        <w:jc w:val="both"/>
        <w:rPr>
          <w:rFonts w:ascii="Times New Roman" w:hAnsi="Times New Roman" w:cs="Times New Roman"/>
          <w:sz w:val="24"/>
          <w:szCs w:val="24"/>
        </w:rPr>
      </w:pPr>
    </w:p>
    <w:p w14:paraId="544940E0" w14:textId="5EC66C0F" w:rsidR="00F55D5E" w:rsidRPr="00F55D5E" w:rsidRDefault="00F55D5E" w:rsidP="0087275E">
      <w:pPr>
        <w:jc w:val="both"/>
        <w:rPr>
          <w:rFonts w:ascii="Times New Roman" w:hAnsi="Times New Roman" w:cs="Times New Roman"/>
          <w:sz w:val="24"/>
          <w:szCs w:val="24"/>
          <w:u w:val="single"/>
        </w:rPr>
      </w:pPr>
      <w:r w:rsidRPr="00F55D5E">
        <w:rPr>
          <w:rFonts w:ascii="Times New Roman" w:hAnsi="Times New Roman" w:cs="Times New Roman"/>
          <w:sz w:val="24"/>
          <w:szCs w:val="24"/>
          <w:u w:val="single"/>
        </w:rPr>
        <w:t>Secinājumi:</w:t>
      </w:r>
    </w:p>
    <w:p w14:paraId="17EF4B2C" w14:textId="562D7AAF" w:rsidR="000906D5" w:rsidRDefault="00F55D5E" w:rsidP="005817AF">
      <w:pPr>
        <w:pStyle w:val="ListParagraph"/>
        <w:numPr>
          <w:ilvl w:val="1"/>
          <w:numId w:val="24"/>
        </w:numPr>
        <w:spacing w:after="0" w:line="240" w:lineRule="auto"/>
        <w:ind w:left="425" w:hanging="357"/>
        <w:jc w:val="both"/>
        <w:rPr>
          <w:rFonts w:ascii="Times New Roman" w:hAnsi="Times New Roman" w:cs="Times New Roman"/>
          <w:sz w:val="24"/>
          <w:szCs w:val="24"/>
        </w:rPr>
      </w:pPr>
      <w:r w:rsidRPr="00F55D5E">
        <w:rPr>
          <w:rFonts w:ascii="Times New Roman" w:hAnsi="Times New Roman" w:cs="Times New Roman"/>
          <w:sz w:val="24"/>
          <w:szCs w:val="24"/>
        </w:rPr>
        <w:t xml:space="preserve">visi trīs esošie atbalsta veidi ir </w:t>
      </w:r>
      <w:r w:rsidR="000F5DC1">
        <w:rPr>
          <w:rFonts w:ascii="Times New Roman" w:hAnsi="Times New Roman" w:cs="Times New Roman"/>
          <w:sz w:val="24"/>
          <w:szCs w:val="24"/>
        </w:rPr>
        <w:t xml:space="preserve">tieši </w:t>
      </w:r>
      <w:r w:rsidRPr="00F55D5E">
        <w:rPr>
          <w:rFonts w:ascii="Times New Roman" w:hAnsi="Times New Roman" w:cs="Times New Roman"/>
          <w:sz w:val="24"/>
          <w:szCs w:val="24"/>
        </w:rPr>
        <w:t>mērķēti uz trūcīgām un maznodrošinātām personām</w:t>
      </w:r>
      <w:r w:rsidR="000906D5">
        <w:rPr>
          <w:rFonts w:ascii="Times New Roman" w:hAnsi="Times New Roman" w:cs="Times New Roman"/>
          <w:sz w:val="24"/>
          <w:szCs w:val="24"/>
        </w:rPr>
        <w:t>/ģimenēm</w:t>
      </w:r>
      <w:r w:rsidR="000F5DC1">
        <w:rPr>
          <w:rFonts w:ascii="Times New Roman" w:hAnsi="Times New Roman" w:cs="Times New Roman"/>
          <w:sz w:val="24"/>
          <w:szCs w:val="24"/>
        </w:rPr>
        <w:t>, kuru ienākumi atbilst 1.-2.kvintiles ienākumiem</w:t>
      </w:r>
      <w:r w:rsidRPr="00F55D5E">
        <w:rPr>
          <w:rFonts w:ascii="Times New Roman" w:hAnsi="Times New Roman" w:cs="Times New Roman"/>
          <w:sz w:val="24"/>
          <w:szCs w:val="24"/>
        </w:rPr>
        <w:t>;</w:t>
      </w:r>
    </w:p>
    <w:p w14:paraId="574DCFD7" w14:textId="74D7FD78" w:rsidR="00F55D5E" w:rsidRPr="000906D5" w:rsidRDefault="000906D5" w:rsidP="005817AF">
      <w:pPr>
        <w:pStyle w:val="ListParagraph"/>
        <w:numPr>
          <w:ilvl w:val="1"/>
          <w:numId w:val="24"/>
        </w:numPr>
        <w:spacing w:after="0" w:line="240" w:lineRule="auto"/>
        <w:ind w:left="425" w:hanging="357"/>
        <w:jc w:val="both"/>
        <w:rPr>
          <w:rFonts w:ascii="Times New Roman" w:hAnsi="Times New Roman" w:cs="Times New Roman"/>
          <w:sz w:val="24"/>
          <w:szCs w:val="24"/>
        </w:rPr>
      </w:pPr>
      <w:r w:rsidRPr="000906D5">
        <w:rPr>
          <w:rFonts w:ascii="Times New Roman" w:hAnsi="Times New Roman" w:cs="Times New Roman"/>
          <w:sz w:val="24"/>
          <w:szCs w:val="24"/>
        </w:rPr>
        <w:t>aizsargātā lieto</w:t>
      </w:r>
      <w:r>
        <w:rPr>
          <w:rFonts w:ascii="Times New Roman" w:hAnsi="Times New Roman" w:cs="Times New Roman"/>
          <w:sz w:val="24"/>
          <w:szCs w:val="24"/>
        </w:rPr>
        <w:t xml:space="preserve">tāja tirdzniecības pakalpojums ir mērķēts arī uz </w:t>
      </w:r>
      <w:r w:rsidR="000F5DC1">
        <w:rPr>
          <w:rFonts w:ascii="Times New Roman" w:hAnsi="Times New Roman" w:cs="Times New Roman"/>
          <w:sz w:val="24"/>
          <w:szCs w:val="24"/>
        </w:rPr>
        <w:t xml:space="preserve">noteiktām sociālajām </w:t>
      </w:r>
      <w:r>
        <w:rPr>
          <w:rFonts w:ascii="Times New Roman" w:hAnsi="Times New Roman" w:cs="Times New Roman"/>
          <w:sz w:val="24"/>
          <w:szCs w:val="24"/>
        </w:rPr>
        <w:t xml:space="preserve">grupām, kuru ienākumi var būt 4.-5.kvintilē, t.i., </w:t>
      </w:r>
      <w:r w:rsidRPr="00DF7658">
        <w:rPr>
          <w:rFonts w:ascii="Times New Roman" w:hAnsi="Times New Roman" w:cs="Times New Roman"/>
          <w:sz w:val="24"/>
          <w:szCs w:val="24"/>
        </w:rPr>
        <w:t>daudzbērnu ģimenes, ģimenes ar bērniem ar invaliditāti</w:t>
      </w:r>
      <w:r w:rsidR="000F5DC1">
        <w:rPr>
          <w:rFonts w:ascii="Times New Roman" w:hAnsi="Times New Roman" w:cs="Times New Roman"/>
          <w:sz w:val="24"/>
          <w:szCs w:val="24"/>
        </w:rPr>
        <w:t xml:space="preserve"> un </w:t>
      </w:r>
      <w:r w:rsidRPr="00DF7658">
        <w:rPr>
          <w:rFonts w:ascii="Times New Roman" w:hAnsi="Times New Roman" w:cs="Times New Roman"/>
          <w:sz w:val="24"/>
          <w:szCs w:val="24"/>
        </w:rPr>
        <w:t>personas ar I grupa</w:t>
      </w:r>
      <w:r>
        <w:rPr>
          <w:rFonts w:ascii="Times New Roman" w:hAnsi="Times New Roman" w:cs="Times New Roman"/>
          <w:sz w:val="24"/>
          <w:szCs w:val="24"/>
        </w:rPr>
        <w:t>s invaliditāti.</w:t>
      </w:r>
      <w:r w:rsidR="000F5DC1">
        <w:rPr>
          <w:rFonts w:ascii="Times New Roman" w:hAnsi="Times New Roman" w:cs="Times New Roman"/>
          <w:sz w:val="24"/>
          <w:szCs w:val="24"/>
        </w:rPr>
        <w:t xml:space="preserve"> Tomēr personas ar invaliditāti ir viena no nabadzības riskam visvairāk</w:t>
      </w:r>
      <w:r w:rsidR="001311DC">
        <w:rPr>
          <w:rFonts w:ascii="Times New Roman" w:hAnsi="Times New Roman" w:cs="Times New Roman"/>
          <w:sz w:val="24"/>
          <w:szCs w:val="24"/>
        </w:rPr>
        <w:t xml:space="preserve"> pakļautajām iedzīvotāju grupām</w:t>
      </w:r>
      <w:r w:rsidR="000F5DC1">
        <w:rPr>
          <w:rFonts w:ascii="Times New Roman" w:hAnsi="Times New Roman" w:cs="Times New Roman"/>
          <w:sz w:val="24"/>
          <w:szCs w:val="24"/>
        </w:rPr>
        <w:t xml:space="preserve">. </w:t>
      </w:r>
    </w:p>
    <w:p w14:paraId="7D2C7042" w14:textId="7AC4D86B" w:rsidR="001311DC" w:rsidRDefault="00F55D5E" w:rsidP="0087275E">
      <w:pPr>
        <w:jc w:val="both"/>
        <w:rPr>
          <w:rFonts w:ascii="Times New Roman" w:hAnsi="Times New Roman" w:cs="Times New Roman"/>
          <w:sz w:val="24"/>
          <w:szCs w:val="24"/>
        </w:rPr>
      </w:pPr>
      <w:r>
        <w:rPr>
          <w:rFonts w:ascii="Times New Roman" w:hAnsi="Times New Roman" w:cs="Times New Roman"/>
          <w:sz w:val="24"/>
          <w:szCs w:val="24"/>
        </w:rPr>
        <w:t xml:space="preserve"> </w:t>
      </w:r>
    </w:p>
    <w:p w14:paraId="48AA70F2" w14:textId="2434A44B" w:rsidR="009C4E13" w:rsidRDefault="009C4E13">
      <w:pPr>
        <w:rPr>
          <w:rFonts w:ascii="Times New Roman" w:hAnsi="Times New Roman" w:cs="Times New Roman"/>
          <w:sz w:val="24"/>
          <w:szCs w:val="24"/>
        </w:rPr>
      </w:pPr>
      <w:r>
        <w:rPr>
          <w:rFonts w:ascii="Times New Roman" w:hAnsi="Times New Roman" w:cs="Times New Roman"/>
          <w:sz w:val="24"/>
          <w:szCs w:val="24"/>
        </w:rPr>
        <w:t>Vienlaikus ir jāmin arī atbalsta veidi, kuri ir vērsti uz energoefektivitātes uzlabošanu, lai samazinātu mājsaimniecību izdevumus par energoresursiem.</w:t>
      </w:r>
    </w:p>
    <w:p w14:paraId="37950503" w14:textId="77777777" w:rsidR="009C4E13" w:rsidRPr="008D0819" w:rsidRDefault="009C4E13" w:rsidP="009C4E13">
      <w:pPr>
        <w:jc w:val="both"/>
        <w:rPr>
          <w:rFonts w:ascii="Times New Roman" w:hAnsi="Times New Roman" w:cs="Times New Roman"/>
          <w:b/>
          <w:bCs/>
          <w:sz w:val="24"/>
          <w:szCs w:val="24"/>
        </w:rPr>
      </w:pPr>
      <w:r w:rsidRPr="008D0819">
        <w:rPr>
          <w:rFonts w:ascii="Times New Roman" w:hAnsi="Times New Roman" w:cs="Times New Roman"/>
          <w:b/>
          <w:bCs/>
          <w:sz w:val="24"/>
          <w:szCs w:val="24"/>
        </w:rPr>
        <w:lastRenderedPageBreak/>
        <w:t xml:space="preserve">ALTUM atbalsts privātmāju energoefektivitātei </w:t>
      </w:r>
    </w:p>
    <w:p w14:paraId="51DAC030" w14:textId="77777777" w:rsidR="009C4E13" w:rsidRDefault="009C4E13" w:rsidP="000C5E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D0819">
        <w:rPr>
          <w:rFonts w:ascii="Times New Roman" w:hAnsi="Times New Roman" w:cs="Times New Roman"/>
          <w:sz w:val="24"/>
          <w:szCs w:val="24"/>
        </w:rPr>
        <w:t xml:space="preserve">Lai pretendētu uz atbalstu ALTUM privātmāju energoefektivitātes programmā, mājai ir jāatbilst šādiem kritērijiem: māja atbilst viena vai divu dzīvokļu mājas klasei, tai ir jābūt nodotai ekspluatācijā, mājā netiek veikta saimnieciskā darbība, kā arī pieteikuma iesniedzējam ir jābūt ēkas īpašniekam un viņa apgādībā un kopā ar viņu jābūt deklarētam vismaz vienam bērnam. </w:t>
      </w:r>
    </w:p>
    <w:p w14:paraId="4ADF9211" w14:textId="6F60778E" w:rsidR="009C4E13" w:rsidRPr="008D0819" w:rsidRDefault="009C4E13" w:rsidP="000C5E35">
      <w:pPr>
        <w:spacing w:after="0" w:line="240" w:lineRule="auto"/>
        <w:ind w:firstLine="720"/>
        <w:jc w:val="both"/>
        <w:rPr>
          <w:rFonts w:ascii="Times New Roman" w:hAnsi="Times New Roman" w:cs="Times New Roman"/>
          <w:sz w:val="24"/>
          <w:szCs w:val="24"/>
        </w:rPr>
      </w:pPr>
      <w:r w:rsidRPr="008D0819">
        <w:rPr>
          <w:rFonts w:ascii="Times New Roman" w:hAnsi="Times New Roman" w:cs="Times New Roman"/>
          <w:sz w:val="24"/>
          <w:szCs w:val="24"/>
        </w:rPr>
        <w:t xml:space="preserve">Grantu 5000 </w:t>
      </w:r>
      <w:r w:rsidRPr="002B567D">
        <w:rPr>
          <w:rFonts w:ascii="Times New Roman" w:hAnsi="Times New Roman" w:cs="Times New Roman"/>
          <w:bCs/>
          <w:i/>
          <w:sz w:val="24"/>
          <w:szCs w:val="24"/>
        </w:rPr>
        <w:t>euro</w:t>
      </w:r>
      <w:r w:rsidRPr="008D0819">
        <w:rPr>
          <w:rFonts w:ascii="Times New Roman" w:hAnsi="Times New Roman" w:cs="Times New Roman"/>
          <w:sz w:val="24"/>
          <w:szCs w:val="24"/>
        </w:rPr>
        <w:t xml:space="preserve"> </w:t>
      </w:r>
      <w:r w:rsidRPr="008D0819">
        <w:rPr>
          <w:rFonts w:ascii="Times New Roman" w:hAnsi="Times New Roman" w:cs="Times New Roman"/>
          <w:sz w:val="24"/>
          <w:szCs w:val="24"/>
        </w:rPr>
        <w:t xml:space="preserve">apmērā un tehnisko palīdzību 1000 </w:t>
      </w:r>
      <w:r w:rsidRPr="002B567D">
        <w:rPr>
          <w:rFonts w:ascii="Times New Roman" w:hAnsi="Times New Roman" w:cs="Times New Roman"/>
          <w:bCs/>
          <w:i/>
          <w:sz w:val="24"/>
          <w:szCs w:val="24"/>
        </w:rPr>
        <w:t>euro</w:t>
      </w:r>
      <w:r w:rsidRPr="008D0819">
        <w:rPr>
          <w:rFonts w:ascii="Times New Roman" w:hAnsi="Times New Roman" w:cs="Times New Roman"/>
          <w:sz w:val="24"/>
          <w:szCs w:val="24"/>
        </w:rPr>
        <w:t xml:space="preserve"> </w:t>
      </w:r>
      <w:r w:rsidRPr="008D0819">
        <w:rPr>
          <w:rFonts w:ascii="Times New Roman" w:hAnsi="Times New Roman" w:cs="Times New Roman"/>
          <w:sz w:val="24"/>
          <w:szCs w:val="24"/>
        </w:rPr>
        <w:t>apmērā varēs saņemt iedzīvotāji, kuriem pēc energoefektivitātes pasākumu īstenošanas ir paaugstināta dzīvojamās mājas energoefektivitātes klase vismaz līdz C līmenim un samazināts siltumenerģijas patēriņš apkurei vismaz par 20%.</w:t>
      </w:r>
    </w:p>
    <w:p w14:paraId="7DF365D2" w14:textId="77777777" w:rsidR="009C4E13" w:rsidRPr="008D0819" w:rsidRDefault="009C4E13" w:rsidP="000C5E35">
      <w:pPr>
        <w:spacing w:after="0" w:line="240" w:lineRule="auto"/>
        <w:ind w:firstLine="720"/>
        <w:jc w:val="both"/>
        <w:rPr>
          <w:rFonts w:ascii="Times New Roman" w:hAnsi="Times New Roman" w:cs="Times New Roman"/>
          <w:sz w:val="24"/>
          <w:szCs w:val="24"/>
        </w:rPr>
      </w:pPr>
      <w:r w:rsidRPr="008D0819">
        <w:rPr>
          <w:rFonts w:ascii="Times New Roman" w:hAnsi="Times New Roman" w:cs="Times New Roman"/>
          <w:sz w:val="24"/>
          <w:szCs w:val="24"/>
        </w:rPr>
        <w:t>Grantu elektroenerģijas ražošanas iekārtām – saules paneļiem vai vēja ģeneratoriem - varēs saņemt, ja plānots iegādāties un uzstādīt elektroenerģijas ražošanas iekārtas ar jaudu līdz 11,1 kW (ieskaitot) ar un bez pieslēguma kopējam elektroapgādes tīklam. Atbalsta apmērs būs atkarīgs no uzstādītās iekārtas jaudas.</w:t>
      </w:r>
    </w:p>
    <w:p w14:paraId="7D962CB6" w14:textId="77777777" w:rsidR="009C4E13" w:rsidRPr="008D0819" w:rsidRDefault="009C4E13" w:rsidP="000C5E35">
      <w:pPr>
        <w:spacing w:after="0" w:line="240" w:lineRule="auto"/>
        <w:ind w:firstLine="720"/>
        <w:jc w:val="both"/>
        <w:rPr>
          <w:rFonts w:ascii="Times New Roman" w:hAnsi="Times New Roman" w:cs="Times New Roman"/>
          <w:sz w:val="24"/>
          <w:szCs w:val="24"/>
        </w:rPr>
      </w:pPr>
      <w:r w:rsidRPr="008D0819">
        <w:rPr>
          <w:rFonts w:ascii="Times New Roman" w:hAnsi="Times New Roman" w:cs="Times New Roman"/>
          <w:sz w:val="24"/>
          <w:szCs w:val="24"/>
        </w:rPr>
        <w:t>ALTUM arī izsniegs garantiju bankas aizdevumam līdz 30 % no aizdevuma summas, ja iedzīvotājam nepieciešams papildu nodrošinājums kredītiestādes aizdevumam, bet nepārsniedzot 20 000 eiro. Šādas garantijas termiņš ir desmit gadi, un uz to var pretendēt jebkura fiziska persona, kuras īpašumā ir ekspluatācijā nodota privātmāja. Garantija būs pieejama pēc sadarbības līgumu noslēgšanas ar bankām.</w:t>
      </w:r>
    </w:p>
    <w:p w14:paraId="053E330A" w14:textId="551F38B9" w:rsidR="009C4E13" w:rsidRDefault="009C4E13" w:rsidP="000C5E35">
      <w:pPr>
        <w:spacing w:after="0" w:line="240" w:lineRule="auto"/>
        <w:ind w:firstLine="720"/>
        <w:jc w:val="both"/>
        <w:rPr>
          <w:rFonts w:ascii="Times New Roman" w:hAnsi="Times New Roman" w:cs="Times New Roman"/>
          <w:sz w:val="24"/>
          <w:szCs w:val="24"/>
        </w:rPr>
      </w:pPr>
      <w:r w:rsidRPr="008D0819">
        <w:rPr>
          <w:rFonts w:ascii="Times New Roman" w:hAnsi="Times New Roman" w:cs="Times New Roman"/>
          <w:sz w:val="24"/>
          <w:szCs w:val="24"/>
        </w:rPr>
        <w:t xml:space="preserve">Līdz 17.06.2022 saņemti 285 pieteikumi par kopējo finansējuma apmēru 1 miljons </w:t>
      </w:r>
      <w:r w:rsidRPr="002B567D">
        <w:rPr>
          <w:rFonts w:ascii="Times New Roman" w:hAnsi="Times New Roman" w:cs="Times New Roman"/>
          <w:bCs/>
          <w:i/>
          <w:sz w:val="24"/>
          <w:szCs w:val="24"/>
        </w:rPr>
        <w:t>euro</w:t>
      </w:r>
      <w:r w:rsidRPr="008D0819">
        <w:rPr>
          <w:rFonts w:ascii="Times New Roman" w:hAnsi="Times New Roman" w:cs="Times New Roman"/>
          <w:sz w:val="24"/>
          <w:szCs w:val="24"/>
        </w:rPr>
        <w:t>. 85% pieteikumu ir par saules paneļu iegādi, pārējie par privātmājas renovāciju un energoefektivitātes pasākumiem.</w:t>
      </w:r>
    </w:p>
    <w:p w14:paraId="6AFC036A" w14:textId="77777777" w:rsidR="009C4E13" w:rsidRPr="008D0819" w:rsidRDefault="009C4E13" w:rsidP="000C5E35">
      <w:pPr>
        <w:spacing w:after="0" w:line="240" w:lineRule="auto"/>
        <w:ind w:firstLine="720"/>
        <w:jc w:val="both"/>
        <w:rPr>
          <w:rFonts w:ascii="Times New Roman" w:hAnsi="Times New Roman" w:cs="Times New Roman"/>
          <w:sz w:val="24"/>
          <w:szCs w:val="24"/>
        </w:rPr>
      </w:pPr>
    </w:p>
    <w:p w14:paraId="1FC1A76F" w14:textId="650C98CF" w:rsidR="009C4E13" w:rsidRPr="008D0819" w:rsidRDefault="009C4E13" w:rsidP="009C4E13">
      <w:pPr>
        <w:jc w:val="both"/>
        <w:rPr>
          <w:rFonts w:ascii="Times New Roman" w:hAnsi="Times New Roman" w:cs="Times New Roman"/>
          <w:b/>
          <w:bCs/>
          <w:sz w:val="24"/>
          <w:szCs w:val="24"/>
        </w:rPr>
      </w:pPr>
      <w:r w:rsidRPr="008D0819">
        <w:rPr>
          <w:rFonts w:ascii="Times New Roman" w:hAnsi="Times New Roman" w:cs="Times New Roman"/>
          <w:b/>
          <w:bCs/>
          <w:sz w:val="24"/>
          <w:szCs w:val="24"/>
        </w:rPr>
        <w:t>V</w:t>
      </w:r>
      <w:r>
        <w:rPr>
          <w:rFonts w:ascii="Times New Roman" w:hAnsi="Times New Roman" w:cs="Times New Roman"/>
          <w:b/>
          <w:bCs/>
          <w:sz w:val="24"/>
          <w:szCs w:val="24"/>
        </w:rPr>
        <w:t xml:space="preserve">ides aizsardzības un reģionālās attīstības ministrijas </w:t>
      </w:r>
      <w:r w:rsidRPr="008D0819">
        <w:rPr>
          <w:rFonts w:ascii="Times New Roman" w:hAnsi="Times New Roman" w:cs="Times New Roman"/>
          <w:b/>
          <w:bCs/>
          <w:sz w:val="24"/>
          <w:szCs w:val="24"/>
        </w:rPr>
        <w:t>atbalsta programma atjaunojamo energoresursu izmantošanai mājsaimniecībās</w:t>
      </w:r>
    </w:p>
    <w:p w14:paraId="634117BA" w14:textId="7D09DBDC" w:rsidR="009C4E13" w:rsidRPr="008D0819" w:rsidRDefault="009C4E13" w:rsidP="000C5E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D0819">
        <w:rPr>
          <w:rFonts w:ascii="Times New Roman" w:hAnsi="Times New Roman" w:cs="Times New Roman"/>
          <w:sz w:val="24"/>
          <w:szCs w:val="24"/>
        </w:rPr>
        <w:t>Atbalsta programmas mērķis ir CO2 emisiju samazināšanu un pāreja uz alternatīviem ražošanas resursiem. Atbalstu var saņemt saules paneļiem, arī granulu katliem un siltumsūkņiem, bet tad jāatsakās no gāzes apkures. Kopējais pieejamais finansējums ir 30 miljoni</w:t>
      </w:r>
      <w:r>
        <w:rPr>
          <w:rFonts w:ascii="Times New Roman" w:hAnsi="Times New Roman" w:cs="Times New Roman"/>
          <w:sz w:val="24"/>
          <w:szCs w:val="24"/>
        </w:rPr>
        <w:t xml:space="preserve"> </w:t>
      </w:r>
      <w:r w:rsidRPr="002B567D">
        <w:rPr>
          <w:rFonts w:ascii="Times New Roman" w:hAnsi="Times New Roman" w:cs="Times New Roman"/>
          <w:bCs/>
          <w:i/>
          <w:sz w:val="24"/>
          <w:szCs w:val="24"/>
        </w:rPr>
        <w:t>euro</w:t>
      </w:r>
      <w:r w:rsidRPr="008D0819">
        <w:rPr>
          <w:rFonts w:ascii="Times New Roman" w:hAnsi="Times New Roman" w:cs="Times New Roman"/>
          <w:sz w:val="24"/>
          <w:szCs w:val="24"/>
        </w:rPr>
        <w:t>. Valsts sabiedrība ar ierobežotu atbildību "Vides investīciju fonds" pieņem un vērtē projektu iesniegumus, kā arī pieņems lēmumus par finansējuma piešķiršanu vai atteikumu.</w:t>
      </w:r>
    </w:p>
    <w:p w14:paraId="53382292" w14:textId="77777777" w:rsidR="009C4E13" w:rsidRPr="008D0819" w:rsidRDefault="009C4E13" w:rsidP="000C5E35">
      <w:pPr>
        <w:spacing w:after="0" w:line="240" w:lineRule="auto"/>
        <w:jc w:val="both"/>
        <w:rPr>
          <w:rFonts w:ascii="Times New Roman" w:hAnsi="Times New Roman" w:cs="Times New Roman"/>
          <w:sz w:val="24"/>
          <w:szCs w:val="24"/>
        </w:rPr>
      </w:pPr>
      <w:r w:rsidRPr="008D0819">
        <w:rPr>
          <w:rFonts w:ascii="Times New Roman" w:hAnsi="Times New Roman" w:cs="Times New Roman"/>
          <w:sz w:val="24"/>
          <w:szCs w:val="24"/>
        </w:rPr>
        <w:t>Atbalstāmas ir šādas aktivitātes:</w:t>
      </w:r>
    </w:p>
    <w:p w14:paraId="2B931960" w14:textId="77777777" w:rsidR="009C4E13" w:rsidRPr="008D0819" w:rsidRDefault="009C4E13" w:rsidP="009C4E13">
      <w:pPr>
        <w:pStyle w:val="ListParagraph"/>
        <w:numPr>
          <w:ilvl w:val="0"/>
          <w:numId w:val="56"/>
        </w:numPr>
        <w:jc w:val="both"/>
        <w:rPr>
          <w:rFonts w:ascii="Times New Roman" w:hAnsi="Times New Roman" w:cs="Times New Roman"/>
          <w:sz w:val="24"/>
          <w:szCs w:val="24"/>
        </w:rPr>
      </w:pPr>
      <w:r w:rsidRPr="008D0819">
        <w:rPr>
          <w:rFonts w:ascii="Times New Roman" w:hAnsi="Times New Roman" w:cs="Times New Roman"/>
          <w:sz w:val="24"/>
          <w:szCs w:val="24"/>
        </w:rPr>
        <w:t>pāreja no esošām fosilo energoresursu (dabasgāze, ogles, dīzeļdegviela) apkures iekārtām uz jaunām atjaunojamo energoresursu apkures iekārtām (biomasas granulu katli, saules kolektori, siltumsūkņi);</w:t>
      </w:r>
    </w:p>
    <w:p w14:paraId="454145A7" w14:textId="77777777" w:rsidR="009C4E13" w:rsidRPr="008D0819" w:rsidRDefault="009C4E13" w:rsidP="009C4E13">
      <w:pPr>
        <w:pStyle w:val="ListParagraph"/>
        <w:numPr>
          <w:ilvl w:val="0"/>
          <w:numId w:val="56"/>
        </w:numPr>
        <w:jc w:val="both"/>
        <w:rPr>
          <w:rFonts w:ascii="Times New Roman" w:hAnsi="Times New Roman" w:cs="Times New Roman"/>
          <w:sz w:val="24"/>
          <w:szCs w:val="24"/>
        </w:rPr>
      </w:pPr>
      <w:r w:rsidRPr="008D0819">
        <w:rPr>
          <w:rFonts w:ascii="Times New Roman" w:hAnsi="Times New Roman" w:cs="Times New Roman"/>
          <w:sz w:val="24"/>
          <w:szCs w:val="24"/>
        </w:rPr>
        <w:t>jaunu atjaunojamo energoresursu iekārtu elektroenerģijas ražošanai iegāde (saules paneļi, vēja ģeneratori) (neņemot vērā dzīvojamās mājas pašreizējo apkures veidu);</w:t>
      </w:r>
    </w:p>
    <w:p w14:paraId="7419DFF9" w14:textId="77777777" w:rsidR="009C4E13" w:rsidRPr="008D0819" w:rsidRDefault="009C4E13" w:rsidP="009C4E13">
      <w:pPr>
        <w:pStyle w:val="ListParagraph"/>
        <w:numPr>
          <w:ilvl w:val="0"/>
          <w:numId w:val="56"/>
        </w:numPr>
        <w:jc w:val="both"/>
        <w:rPr>
          <w:rFonts w:ascii="Times New Roman" w:hAnsi="Times New Roman" w:cs="Times New Roman"/>
          <w:sz w:val="24"/>
          <w:szCs w:val="24"/>
        </w:rPr>
      </w:pPr>
      <w:r w:rsidRPr="008D0819">
        <w:rPr>
          <w:rFonts w:ascii="Times New Roman" w:hAnsi="Times New Roman" w:cs="Times New Roman"/>
          <w:sz w:val="24"/>
          <w:szCs w:val="24"/>
        </w:rPr>
        <w:t>pieslēguma projektēšana un izveide centralizētai siltumapgādes sistēmai (neņemot vērā dzīvojamās mājas pašreizējo apkures veidu).</w:t>
      </w:r>
    </w:p>
    <w:p w14:paraId="6CAF7190" w14:textId="01C133B2" w:rsidR="001311DC" w:rsidRDefault="009C4E13" w:rsidP="000C5E35">
      <w:pPr>
        <w:jc w:val="both"/>
        <w:rPr>
          <w:rFonts w:ascii="Times New Roman" w:hAnsi="Times New Roman" w:cs="Times New Roman"/>
          <w:sz w:val="24"/>
          <w:szCs w:val="24"/>
        </w:rPr>
      </w:pPr>
      <w:r w:rsidRPr="008D0819">
        <w:rPr>
          <w:rFonts w:ascii="Times New Roman" w:hAnsi="Times New Roman" w:cs="Times New Roman"/>
          <w:sz w:val="24"/>
          <w:szCs w:val="24"/>
        </w:rPr>
        <w:t>Līdz 17.06.2022 atbalstam pieteicās 433 personas, tostarp ar 150 personām ir jau noslēgti līgumi.</w:t>
      </w:r>
      <w:r w:rsidR="001311DC">
        <w:rPr>
          <w:rFonts w:ascii="Times New Roman" w:hAnsi="Times New Roman" w:cs="Times New Roman"/>
          <w:sz w:val="24"/>
          <w:szCs w:val="24"/>
        </w:rPr>
        <w:br w:type="page"/>
      </w:r>
    </w:p>
    <w:p w14:paraId="691A0691" w14:textId="6FE1B148" w:rsidR="00B57DD5" w:rsidRDefault="00CE0A22" w:rsidP="00365151">
      <w:pPr>
        <w:shd w:val="clear" w:color="auto" w:fill="FFFFFF" w:themeFill="background1"/>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2.1.4. </w:t>
      </w:r>
      <w:r w:rsidR="00525F5F" w:rsidRPr="00316FEC">
        <w:rPr>
          <w:rFonts w:ascii="Times New Roman" w:hAnsi="Times New Roman" w:cs="Times New Roman"/>
          <w:b/>
          <w:sz w:val="24"/>
          <w:szCs w:val="24"/>
        </w:rPr>
        <w:t>2021.</w:t>
      </w:r>
      <w:r w:rsidR="008B04F6">
        <w:rPr>
          <w:rFonts w:ascii="Times New Roman" w:hAnsi="Times New Roman" w:cs="Times New Roman"/>
          <w:b/>
          <w:sz w:val="24"/>
          <w:szCs w:val="24"/>
        </w:rPr>
        <w:t xml:space="preserve">gadā </w:t>
      </w:r>
      <w:r w:rsidR="00525F5F" w:rsidRPr="00316FEC">
        <w:rPr>
          <w:rFonts w:ascii="Times New Roman" w:hAnsi="Times New Roman" w:cs="Times New Roman"/>
          <w:b/>
          <w:sz w:val="24"/>
          <w:szCs w:val="24"/>
        </w:rPr>
        <w:t xml:space="preserve">un 2022.gadā ieviestie </w:t>
      </w:r>
      <w:r w:rsidR="000906D5" w:rsidRPr="00316FEC">
        <w:rPr>
          <w:rFonts w:ascii="Times New Roman" w:hAnsi="Times New Roman" w:cs="Times New Roman"/>
          <w:b/>
          <w:sz w:val="24"/>
          <w:szCs w:val="24"/>
        </w:rPr>
        <w:t xml:space="preserve">vienreizējie un terminētie </w:t>
      </w:r>
      <w:r w:rsidR="000906D5">
        <w:rPr>
          <w:rFonts w:ascii="Times New Roman" w:hAnsi="Times New Roman" w:cs="Times New Roman"/>
          <w:b/>
          <w:sz w:val="24"/>
          <w:szCs w:val="24"/>
        </w:rPr>
        <w:t xml:space="preserve">mehānismi </w:t>
      </w:r>
    </w:p>
    <w:p w14:paraId="6CB028B3" w14:textId="77777777" w:rsidR="003C3506" w:rsidRPr="00316FEC" w:rsidRDefault="003C3506" w:rsidP="00B57DD5">
      <w:pPr>
        <w:spacing w:after="0"/>
        <w:jc w:val="both"/>
        <w:rPr>
          <w:rFonts w:ascii="Times New Roman" w:hAnsi="Times New Roman" w:cs="Times New Roman"/>
          <w:b/>
          <w:sz w:val="24"/>
          <w:szCs w:val="24"/>
        </w:rPr>
      </w:pPr>
    </w:p>
    <w:p w14:paraId="0DE6EA1F" w14:textId="20F4B777" w:rsidR="000906D5" w:rsidRPr="000906D5" w:rsidRDefault="000906D5" w:rsidP="00316FEC">
      <w:pPr>
        <w:spacing w:after="0"/>
        <w:jc w:val="both"/>
        <w:rPr>
          <w:rFonts w:ascii="Times New Roman" w:hAnsi="Times New Roman" w:cs="Times New Roman"/>
          <w:sz w:val="24"/>
          <w:szCs w:val="24"/>
        </w:rPr>
      </w:pPr>
      <w:r w:rsidRPr="000906D5">
        <w:rPr>
          <w:rFonts w:ascii="Times New Roman" w:hAnsi="Times New Roman" w:cs="Times New Roman"/>
          <w:sz w:val="24"/>
          <w:szCs w:val="24"/>
        </w:rPr>
        <w:t xml:space="preserve">Lai mazinātu </w:t>
      </w:r>
      <w:r w:rsidR="000655A8">
        <w:rPr>
          <w:rFonts w:ascii="Times New Roman" w:hAnsi="Times New Roman" w:cs="Times New Roman"/>
          <w:sz w:val="24"/>
          <w:szCs w:val="24"/>
        </w:rPr>
        <w:t>energoresursu</w:t>
      </w:r>
      <w:r w:rsidR="000655A8" w:rsidRPr="000906D5">
        <w:rPr>
          <w:rFonts w:ascii="Times New Roman" w:hAnsi="Times New Roman" w:cs="Times New Roman"/>
          <w:sz w:val="24"/>
          <w:szCs w:val="24"/>
        </w:rPr>
        <w:t xml:space="preserve"> </w:t>
      </w:r>
      <w:r w:rsidRPr="000906D5">
        <w:rPr>
          <w:rFonts w:ascii="Times New Roman" w:hAnsi="Times New Roman" w:cs="Times New Roman"/>
          <w:sz w:val="24"/>
          <w:szCs w:val="24"/>
        </w:rPr>
        <w:t>cenu kāpuma negatīv</w:t>
      </w:r>
      <w:r>
        <w:rPr>
          <w:rFonts w:ascii="Times New Roman" w:hAnsi="Times New Roman" w:cs="Times New Roman"/>
          <w:sz w:val="24"/>
          <w:szCs w:val="24"/>
        </w:rPr>
        <w:t>o</w:t>
      </w:r>
      <w:r w:rsidRPr="000906D5">
        <w:rPr>
          <w:rFonts w:ascii="Times New Roman" w:hAnsi="Times New Roman" w:cs="Times New Roman"/>
          <w:sz w:val="24"/>
          <w:szCs w:val="24"/>
        </w:rPr>
        <w:t xml:space="preserve"> ietekm</w:t>
      </w:r>
      <w:r>
        <w:rPr>
          <w:rFonts w:ascii="Times New Roman" w:hAnsi="Times New Roman" w:cs="Times New Roman"/>
          <w:sz w:val="24"/>
          <w:szCs w:val="24"/>
        </w:rPr>
        <w:t>i</w:t>
      </w:r>
      <w:r w:rsidRPr="000906D5">
        <w:rPr>
          <w:rFonts w:ascii="Times New Roman" w:hAnsi="Times New Roman" w:cs="Times New Roman"/>
          <w:sz w:val="24"/>
          <w:szCs w:val="24"/>
        </w:rPr>
        <w:t xml:space="preserve"> uz iedzīvotājiem</w:t>
      </w:r>
      <w:r>
        <w:rPr>
          <w:rFonts w:ascii="Times New Roman" w:hAnsi="Times New Roman" w:cs="Times New Roman"/>
          <w:sz w:val="24"/>
          <w:szCs w:val="24"/>
        </w:rPr>
        <w:t xml:space="preserve">, 2021.gadā un 2022.gadā tika un tiek īstenoti gan terminēti, gan vienreizēji atbalsta pasākumi. </w:t>
      </w:r>
    </w:p>
    <w:p w14:paraId="6EB050D8" w14:textId="77777777" w:rsidR="000906D5" w:rsidRPr="000906D5" w:rsidRDefault="000906D5" w:rsidP="00316FEC">
      <w:pPr>
        <w:spacing w:after="0"/>
        <w:jc w:val="both"/>
        <w:rPr>
          <w:rFonts w:ascii="Times New Roman" w:hAnsi="Times New Roman" w:cs="Times New Roman"/>
          <w:b/>
          <w:sz w:val="24"/>
          <w:szCs w:val="24"/>
        </w:rPr>
      </w:pPr>
    </w:p>
    <w:p w14:paraId="4BB928D6" w14:textId="21828472" w:rsidR="00316FEC" w:rsidRPr="00365151" w:rsidRDefault="003C3506" w:rsidP="00365151">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center"/>
        <w:rPr>
          <w:rFonts w:ascii="Times New Roman" w:hAnsi="Times New Roman" w:cs="Times New Roman"/>
          <w:b/>
          <w:sz w:val="24"/>
          <w:szCs w:val="24"/>
        </w:rPr>
      </w:pPr>
      <w:r w:rsidRPr="00365151">
        <w:rPr>
          <w:rFonts w:ascii="Times New Roman" w:hAnsi="Times New Roman" w:cs="Times New Roman"/>
          <w:b/>
          <w:sz w:val="24"/>
          <w:szCs w:val="24"/>
        </w:rPr>
        <w:t>Mājokļa pabalsts</w:t>
      </w:r>
    </w:p>
    <w:p w14:paraId="4745652B" w14:textId="77777777" w:rsidR="00316FEC" w:rsidRPr="00651F56" w:rsidRDefault="00316FEC" w:rsidP="00316FEC">
      <w:pPr>
        <w:spacing w:after="0"/>
        <w:jc w:val="both"/>
        <w:rPr>
          <w:rFonts w:ascii="Times New Roman" w:hAnsi="Times New Roman" w:cs="Times New Roman"/>
          <w:sz w:val="24"/>
          <w:szCs w:val="24"/>
        </w:rPr>
      </w:pPr>
    </w:p>
    <w:p w14:paraId="41D48026" w14:textId="3E33227A" w:rsidR="0059117C" w:rsidRPr="007113C7" w:rsidRDefault="0059117C" w:rsidP="0059117C">
      <w:pPr>
        <w:spacing w:after="0"/>
        <w:jc w:val="both"/>
        <w:rPr>
          <w:rFonts w:ascii="Times New Roman" w:hAnsi="Times New Roman" w:cs="Times New Roman"/>
          <w:sz w:val="24"/>
          <w:szCs w:val="24"/>
        </w:rPr>
      </w:pPr>
      <w:r w:rsidRPr="007113C7">
        <w:rPr>
          <w:rFonts w:ascii="Times New Roman" w:hAnsi="Times New Roman" w:cs="Times New Roman"/>
          <w:sz w:val="24"/>
          <w:szCs w:val="24"/>
        </w:rPr>
        <w:t xml:space="preserve">2021.gadā mājokļa pabalstam pašvaldības </w:t>
      </w:r>
      <w:r w:rsidRPr="0059117C">
        <w:rPr>
          <w:rFonts w:ascii="Times New Roman" w:hAnsi="Times New Roman" w:cs="Times New Roman"/>
          <w:sz w:val="24"/>
          <w:szCs w:val="24"/>
        </w:rPr>
        <w:t xml:space="preserve">izlietoja 13 704 327 </w:t>
      </w:r>
      <w:r w:rsidRPr="0059117C">
        <w:rPr>
          <w:rFonts w:ascii="Times New Roman" w:hAnsi="Times New Roman" w:cs="Times New Roman"/>
          <w:i/>
          <w:sz w:val="24"/>
          <w:szCs w:val="24"/>
        </w:rPr>
        <w:t>euro</w:t>
      </w:r>
      <w:r w:rsidRPr="0059117C">
        <w:rPr>
          <w:rFonts w:ascii="Times New Roman" w:hAnsi="Times New Roman" w:cs="Times New Roman"/>
          <w:sz w:val="24"/>
          <w:szCs w:val="24"/>
        </w:rPr>
        <w:t xml:space="preserve"> un to</w:t>
      </w:r>
      <w:r w:rsidRPr="007113C7">
        <w:rPr>
          <w:rFonts w:ascii="Times New Roman" w:hAnsi="Times New Roman" w:cs="Times New Roman"/>
          <w:sz w:val="24"/>
          <w:szCs w:val="24"/>
        </w:rPr>
        <w:t xml:space="preserve"> saņēma  59 854 personas jeb 33 932 mājsaimniecības. Vidējais mājokļa pabalsta apmērs 2021.gadā bija 334,19 </w:t>
      </w:r>
      <w:r w:rsidRPr="007113C7">
        <w:rPr>
          <w:rFonts w:ascii="Times New Roman" w:hAnsi="Times New Roman" w:cs="Times New Roman"/>
          <w:i/>
          <w:sz w:val="24"/>
          <w:szCs w:val="24"/>
        </w:rPr>
        <w:t>euro</w:t>
      </w:r>
      <w:r w:rsidRPr="007113C7">
        <w:rPr>
          <w:rFonts w:ascii="Times New Roman" w:hAnsi="Times New Roman" w:cs="Times New Roman"/>
          <w:sz w:val="24"/>
          <w:szCs w:val="24"/>
        </w:rPr>
        <w:t xml:space="preserve"> mājsaimniecībai jeb 228,96 </w:t>
      </w:r>
      <w:r w:rsidRPr="007113C7">
        <w:rPr>
          <w:rFonts w:ascii="Times New Roman" w:hAnsi="Times New Roman" w:cs="Times New Roman"/>
          <w:i/>
          <w:sz w:val="24"/>
          <w:szCs w:val="24"/>
        </w:rPr>
        <w:t xml:space="preserve">euro </w:t>
      </w:r>
      <w:r w:rsidRPr="007113C7">
        <w:rPr>
          <w:rFonts w:ascii="Times New Roman" w:hAnsi="Times New Roman" w:cs="Times New Roman"/>
          <w:sz w:val="24"/>
          <w:szCs w:val="24"/>
        </w:rPr>
        <w:t>personai</w:t>
      </w:r>
      <w:r w:rsidR="00941235">
        <w:rPr>
          <w:rFonts w:ascii="Times New Roman" w:hAnsi="Times New Roman" w:cs="Times New Roman"/>
          <w:sz w:val="24"/>
          <w:szCs w:val="24"/>
        </w:rPr>
        <w:t xml:space="preserve"> gadā</w:t>
      </w:r>
      <w:r w:rsidRPr="007113C7">
        <w:rPr>
          <w:rFonts w:ascii="Times New Roman" w:hAnsi="Times New Roman" w:cs="Times New Roman"/>
          <w:sz w:val="24"/>
          <w:szCs w:val="24"/>
        </w:rPr>
        <w:t xml:space="preserve">.  </w:t>
      </w:r>
    </w:p>
    <w:p w14:paraId="10450966" w14:textId="77777777" w:rsidR="0059117C" w:rsidRDefault="0059117C" w:rsidP="0059117C">
      <w:pPr>
        <w:spacing w:after="0"/>
        <w:jc w:val="both"/>
        <w:rPr>
          <w:rFonts w:ascii="Times New Roman" w:hAnsi="Times New Roman" w:cs="Times New Roman"/>
          <w:sz w:val="24"/>
          <w:szCs w:val="24"/>
        </w:rPr>
      </w:pPr>
    </w:p>
    <w:p w14:paraId="127E19B5" w14:textId="0BB13F76" w:rsidR="0059117C" w:rsidRPr="00941235" w:rsidRDefault="001F5B58" w:rsidP="0059117C">
      <w:pPr>
        <w:spacing w:after="0"/>
        <w:jc w:val="both"/>
        <w:rPr>
          <w:rFonts w:ascii="Times New Roman" w:hAnsi="Times New Roman" w:cs="Times New Roman"/>
          <w:i/>
          <w:sz w:val="24"/>
          <w:szCs w:val="24"/>
        </w:rPr>
      </w:pPr>
      <w:r>
        <w:rPr>
          <w:rFonts w:ascii="Times New Roman" w:hAnsi="Times New Roman" w:cs="Times New Roman"/>
          <w:i/>
          <w:sz w:val="24"/>
          <w:szCs w:val="24"/>
        </w:rPr>
        <w:t>4</w:t>
      </w:r>
      <w:r w:rsidR="0059117C" w:rsidRPr="00941235">
        <w:rPr>
          <w:rFonts w:ascii="Times New Roman" w:hAnsi="Times New Roman" w:cs="Times New Roman"/>
          <w:i/>
          <w:sz w:val="24"/>
          <w:szCs w:val="24"/>
        </w:rPr>
        <w:t xml:space="preserve">.tabula Personu skaits, kurām 2021.gada 12 mēnešos izmaksāts mājokļa pabalsts, mājokļa pabalstam izlietotie līdzekļi un mājokļa pabalstu saņēmušo trūcīgo un maznodrošināto personu īpatsvars no personām, kurām noteikts attiecīgs statuss   </w:t>
      </w:r>
    </w:p>
    <w:p w14:paraId="5C53695E" w14:textId="77777777" w:rsidR="0059117C" w:rsidRPr="00651F56" w:rsidRDefault="0059117C" w:rsidP="0059117C">
      <w:pPr>
        <w:spacing w:after="0"/>
        <w:jc w:val="both"/>
        <w:rPr>
          <w:rFonts w:ascii="Times New Roman" w:hAnsi="Times New Roman" w:cs="Times New Roman"/>
          <w:b/>
          <w:sz w:val="24"/>
          <w:szCs w:val="24"/>
        </w:rPr>
      </w:pPr>
    </w:p>
    <w:tbl>
      <w:tblPr>
        <w:tblW w:w="8217" w:type="dxa"/>
        <w:tblLook w:val="04A0" w:firstRow="1" w:lastRow="0" w:firstColumn="1" w:lastColumn="0" w:noHBand="0" w:noVBand="1"/>
      </w:tblPr>
      <w:tblGrid>
        <w:gridCol w:w="1120"/>
        <w:gridCol w:w="1680"/>
        <w:gridCol w:w="1740"/>
        <w:gridCol w:w="1820"/>
        <w:gridCol w:w="1857"/>
      </w:tblGrid>
      <w:tr w:rsidR="0059117C" w:rsidRPr="0059117C" w14:paraId="6F3558E5" w14:textId="77777777" w:rsidTr="006F1FD3">
        <w:trPr>
          <w:trHeight w:val="105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71AA2"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29B59B29" w14:textId="77777777" w:rsidR="0059117C" w:rsidRPr="0059117C" w:rsidRDefault="0059117C" w:rsidP="006F1FD3">
            <w:pPr>
              <w:spacing w:after="0" w:line="240" w:lineRule="auto"/>
              <w:jc w:val="center"/>
              <w:rPr>
                <w:rFonts w:ascii="Times New Roman" w:eastAsia="Times New Roman" w:hAnsi="Times New Roman" w:cs="Times New Roman"/>
                <w:sz w:val="20"/>
                <w:szCs w:val="20"/>
                <w:lang w:eastAsia="lv-LV"/>
              </w:rPr>
            </w:pPr>
            <w:r w:rsidRPr="00122F8D">
              <w:rPr>
                <w:rFonts w:ascii="Times New Roman" w:eastAsia="Times New Roman" w:hAnsi="Times New Roman" w:cs="Times New Roman"/>
                <w:b/>
                <w:sz w:val="20"/>
                <w:szCs w:val="20"/>
                <w:lang w:eastAsia="lv-LV"/>
              </w:rPr>
              <w:t>Personas</w:t>
            </w:r>
            <w:r w:rsidRPr="0059117C">
              <w:rPr>
                <w:rFonts w:ascii="Times New Roman" w:eastAsia="Times New Roman" w:hAnsi="Times New Roman" w:cs="Times New Roman"/>
                <w:sz w:val="20"/>
                <w:szCs w:val="20"/>
                <w:lang w:eastAsia="lv-LV"/>
              </w:rPr>
              <w:t xml:space="preserve">, kurām pārskata mēnesī izmaksāts </w:t>
            </w:r>
            <w:r w:rsidRPr="00122F8D">
              <w:rPr>
                <w:rFonts w:ascii="Times New Roman" w:eastAsia="Times New Roman" w:hAnsi="Times New Roman" w:cs="Times New Roman"/>
                <w:bCs/>
                <w:sz w:val="20"/>
                <w:szCs w:val="20"/>
                <w:lang w:eastAsia="lv-LV"/>
              </w:rPr>
              <w:t>mājokļa pabalsts</w:t>
            </w:r>
            <w:r w:rsidRPr="00122F8D">
              <w:rPr>
                <w:rFonts w:ascii="Times New Roman" w:eastAsia="Times New Roman" w:hAnsi="Times New Roman" w:cs="Times New Roman"/>
                <w:sz w:val="20"/>
                <w:szCs w:val="20"/>
                <w:lang w:eastAsia="lv-LV"/>
              </w:rPr>
              <w:br/>
            </w:r>
            <w:r w:rsidRPr="0059117C">
              <w:rPr>
                <w:rFonts w:ascii="Times New Roman" w:eastAsia="Times New Roman" w:hAnsi="Times New Roman" w:cs="Times New Roman"/>
                <w:sz w:val="20"/>
                <w:szCs w:val="20"/>
                <w:lang w:eastAsia="lv-LV"/>
              </w:rPr>
              <w:t xml:space="preserve">                           </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370E335C" w14:textId="77777777" w:rsidR="0059117C" w:rsidRPr="0059117C" w:rsidRDefault="0059117C" w:rsidP="006F1FD3">
            <w:pPr>
              <w:spacing w:after="0" w:line="240" w:lineRule="auto"/>
              <w:jc w:val="center"/>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Pārskata mēnesī </w:t>
            </w:r>
            <w:r w:rsidRPr="00122F8D">
              <w:rPr>
                <w:rFonts w:ascii="Times New Roman" w:eastAsia="Times New Roman" w:hAnsi="Times New Roman" w:cs="Times New Roman"/>
                <w:bCs/>
                <w:sz w:val="20"/>
                <w:szCs w:val="20"/>
                <w:lang w:eastAsia="lv-LV"/>
              </w:rPr>
              <w:t>mājokļa pabalstam</w:t>
            </w:r>
            <w:r w:rsidRPr="0059117C">
              <w:rPr>
                <w:rFonts w:ascii="Times New Roman" w:eastAsia="Times New Roman" w:hAnsi="Times New Roman" w:cs="Times New Roman"/>
                <w:sz w:val="20"/>
                <w:szCs w:val="20"/>
                <w:lang w:eastAsia="lv-LV"/>
              </w:rPr>
              <w:t xml:space="preserve"> </w:t>
            </w:r>
            <w:r w:rsidRPr="00122F8D">
              <w:rPr>
                <w:rFonts w:ascii="Times New Roman" w:eastAsia="Times New Roman" w:hAnsi="Times New Roman" w:cs="Times New Roman"/>
                <w:b/>
                <w:sz w:val="20"/>
                <w:szCs w:val="20"/>
                <w:lang w:eastAsia="lv-LV"/>
              </w:rPr>
              <w:t>izlietotie līdzekļi</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6D5247E" w14:textId="77777777" w:rsidR="0059117C" w:rsidRPr="0059117C" w:rsidRDefault="0059117C" w:rsidP="006F1FD3">
            <w:pPr>
              <w:spacing w:after="0" w:line="240" w:lineRule="auto"/>
              <w:jc w:val="center"/>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Mājokļa pabalstu saņēmušo </w:t>
            </w:r>
            <w:r w:rsidRPr="0059117C">
              <w:rPr>
                <w:rFonts w:ascii="Times New Roman" w:eastAsia="Times New Roman" w:hAnsi="Times New Roman" w:cs="Times New Roman"/>
                <w:b/>
                <w:bCs/>
                <w:sz w:val="20"/>
                <w:szCs w:val="20"/>
                <w:lang w:eastAsia="lv-LV"/>
              </w:rPr>
              <w:t>trūcīgo personu īpatsvars</w:t>
            </w:r>
            <w:r w:rsidRPr="0059117C">
              <w:rPr>
                <w:rFonts w:ascii="Times New Roman" w:eastAsia="Times New Roman" w:hAnsi="Times New Roman" w:cs="Times New Roman"/>
                <w:sz w:val="20"/>
                <w:szCs w:val="20"/>
                <w:lang w:eastAsia="lv-LV"/>
              </w:rPr>
              <w:t xml:space="preserve"> starp trūcīgām personām, %</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14:paraId="29E5C7F9" w14:textId="77777777" w:rsidR="0059117C" w:rsidRPr="0059117C" w:rsidRDefault="0059117C" w:rsidP="006F1FD3">
            <w:pPr>
              <w:spacing w:after="0" w:line="240" w:lineRule="auto"/>
              <w:jc w:val="center"/>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Mājokļa pabalstu saņēmušo </w:t>
            </w:r>
            <w:r w:rsidRPr="0059117C">
              <w:rPr>
                <w:rFonts w:ascii="Times New Roman" w:eastAsia="Times New Roman" w:hAnsi="Times New Roman" w:cs="Times New Roman"/>
                <w:b/>
                <w:bCs/>
                <w:sz w:val="20"/>
                <w:szCs w:val="20"/>
                <w:lang w:eastAsia="lv-LV"/>
              </w:rPr>
              <w:t>maznodrošināto personu īpatsvars</w:t>
            </w:r>
            <w:r w:rsidRPr="0059117C">
              <w:rPr>
                <w:rFonts w:ascii="Times New Roman" w:eastAsia="Times New Roman" w:hAnsi="Times New Roman" w:cs="Times New Roman"/>
                <w:sz w:val="20"/>
                <w:szCs w:val="20"/>
                <w:lang w:eastAsia="lv-LV"/>
              </w:rPr>
              <w:t xml:space="preserve"> starp maznodrošinātajām personām, %</w:t>
            </w:r>
          </w:p>
        </w:tc>
      </w:tr>
      <w:tr w:rsidR="0059117C" w:rsidRPr="0059117C" w14:paraId="4A09E9C6" w14:textId="77777777" w:rsidTr="006F1FD3">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CA0474B"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2021.01</w:t>
            </w:r>
          </w:p>
        </w:tc>
        <w:tc>
          <w:tcPr>
            <w:tcW w:w="1680" w:type="dxa"/>
            <w:tcBorders>
              <w:top w:val="nil"/>
              <w:left w:val="nil"/>
              <w:bottom w:val="single" w:sz="4" w:space="0" w:color="auto"/>
              <w:right w:val="single" w:sz="4" w:space="0" w:color="auto"/>
            </w:tcBorders>
            <w:shd w:val="clear" w:color="auto" w:fill="auto"/>
            <w:noWrap/>
            <w:vAlign w:val="bottom"/>
            <w:hideMark/>
          </w:tcPr>
          <w:p w14:paraId="5BDBFD0F"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20 990 </w:t>
            </w:r>
          </w:p>
        </w:tc>
        <w:tc>
          <w:tcPr>
            <w:tcW w:w="1740" w:type="dxa"/>
            <w:tcBorders>
              <w:top w:val="nil"/>
              <w:left w:val="nil"/>
              <w:bottom w:val="single" w:sz="4" w:space="0" w:color="auto"/>
              <w:right w:val="single" w:sz="4" w:space="0" w:color="auto"/>
            </w:tcBorders>
            <w:shd w:val="clear" w:color="auto" w:fill="auto"/>
            <w:noWrap/>
            <w:vAlign w:val="bottom"/>
            <w:hideMark/>
          </w:tcPr>
          <w:p w14:paraId="2188092F"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1 376 179 </w:t>
            </w:r>
          </w:p>
        </w:tc>
        <w:tc>
          <w:tcPr>
            <w:tcW w:w="1820" w:type="dxa"/>
            <w:tcBorders>
              <w:top w:val="nil"/>
              <w:left w:val="nil"/>
              <w:bottom w:val="single" w:sz="4" w:space="0" w:color="auto"/>
              <w:right w:val="single" w:sz="4" w:space="0" w:color="auto"/>
            </w:tcBorders>
            <w:shd w:val="clear" w:color="auto" w:fill="auto"/>
            <w:noWrap/>
            <w:vAlign w:val="bottom"/>
            <w:hideMark/>
          </w:tcPr>
          <w:p w14:paraId="7AD516A7"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33.6</w:t>
            </w:r>
          </w:p>
        </w:tc>
        <w:tc>
          <w:tcPr>
            <w:tcW w:w="1857" w:type="dxa"/>
            <w:tcBorders>
              <w:top w:val="nil"/>
              <w:left w:val="nil"/>
              <w:bottom w:val="single" w:sz="4" w:space="0" w:color="auto"/>
              <w:right w:val="single" w:sz="4" w:space="0" w:color="auto"/>
            </w:tcBorders>
            <w:shd w:val="clear" w:color="auto" w:fill="auto"/>
            <w:noWrap/>
            <w:vAlign w:val="bottom"/>
            <w:hideMark/>
          </w:tcPr>
          <w:p w14:paraId="5BD308EA"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26.1</w:t>
            </w:r>
          </w:p>
        </w:tc>
      </w:tr>
      <w:tr w:rsidR="0059117C" w:rsidRPr="0059117C" w14:paraId="7AEFEEE6" w14:textId="77777777" w:rsidTr="006F1FD3">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95A38ED"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2021.02</w:t>
            </w:r>
          </w:p>
        </w:tc>
        <w:tc>
          <w:tcPr>
            <w:tcW w:w="1680" w:type="dxa"/>
            <w:tcBorders>
              <w:top w:val="nil"/>
              <w:left w:val="nil"/>
              <w:bottom w:val="single" w:sz="4" w:space="0" w:color="auto"/>
              <w:right w:val="single" w:sz="4" w:space="0" w:color="auto"/>
            </w:tcBorders>
            <w:shd w:val="clear" w:color="auto" w:fill="auto"/>
            <w:noWrap/>
            <w:vAlign w:val="bottom"/>
            <w:hideMark/>
          </w:tcPr>
          <w:p w14:paraId="1546E0CC"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25 220 </w:t>
            </w:r>
          </w:p>
        </w:tc>
        <w:tc>
          <w:tcPr>
            <w:tcW w:w="1740" w:type="dxa"/>
            <w:tcBorders>
              <w:top w:val="nil"/>
              <w:left w:val="nil"/>
              <w:bottom w:val="single" w:sz="4" w:space="0" w:color="auto"/>
              <w:right w:val="single" w:sz="4" w:space="0" w:color="auto"/>
            </w:tcBorders>
            <w:shd w:val="clear" w:color="auto" w:fill="auto"/>
            <w:noWrap/>
            <w:vAlign w:val="bottom"/>
            <w:hideMark/>
          </w:tcPr>
          <w:p w14:paraId="5B2ABFF5"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1 866 313 </w:t>
            </w:r>
          </w:p>
        </w:tc>
        <w:tc>
          <w:tcPr>
            <w:tcW w:w="1820" w:type="dxa"/>
            <w:tcBorders>
              <w:top w:val="nil"/>
              <w:left w:val="nil"/>
              <w:bottom w:val="single" w:sz="4" w:space="0" w:color="auto"/>
              <w:right w:val="single" w:sz="4" w:space="0" w:color="auto"/>
            </w:tcBorders>
            <w:shd w:val="clear" w:color="auto" w:fill="auto"/>
            <w:noWrap/>
            <w:vAlign w:val="bottom"/>
            <w:hideMark/>
          </w:tcPr>
          <w:p w14:paraId="12130FA5"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36.5</w:t>
            </w:r>
          </w:p>
        </w:tc>
        <w:tc>
          <w:tcPr>
            <w:tcW w:w="1857" w:type="dxa"/>
            <w:tcBorders>
              <w:top w:val="nil"/>
              <w:left w:val="nil"/>
              <w:bottom w:val="single" w:sz="4" w:space="0" w:color="auto"/>
              <w:right w:val="single" w:sz="4" w:space="0" w:color="auto"/>
            </w:tcBorders>
            <w:shd w:val="clear" w:color="auto" w:fill="auto"/>
            <w:noWrap/>
            <w:vAlign w:val="bottom"/>
            <w:hideMark/>
          </w:tcPr>
          <w:p w14:paraId="004BE72A"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31.6</w:t>
            </w:r>
          </w:p>
        </w:tc>
      </w:tr>
      <w:tr w:rsidR="0059117C" w:rsidRPr="0059117C" w14:paraId="05AFC47C" w14:textId="77777777" w:rsidTr="006F1FD3">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1ACFA0C"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2021.03</w:t>
            </w:r>
          </w:p>
        </w:tc>
        <w:tc>
          <w:tcPr>
            <w:tcW w:w="1680" w:type="dxa"/>
            <w:tcBorders>
              <w:top w:val="nil"/>
              <w:left w:val="nil"/>
              <w:bottom w:val="single" w:sz="4" w:space="0" w:color="auto"/>
              <w:right w:val="single" w:sz="4" w:space="0" w:color="auto"/>
            </w:tcBorders>
            <w:shd w:val="clear" w:color="auto" w:fill="auto"/>
            <w:noWrap/>
            <w:vAlign w:val="bottom"/>
            <w:hideMark/>
          </w:tcPr>
          <w:p w14:paraId="44017666"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26 709 </w:t>
            </w:r>
          </w:p>
        </w:tc>
        <w:tc>
          <w:tcPr>
            <w:tcW w:w="1740" w:type="dxa"/>
            <w:tcBorders>
              <w:top w:val="nil"/>
              <w:left w:val="nil"/>
              <w:bottom w:val="single" w:sz="4" w:space="0" w:color="auto"/>
              <w:right w:val="single" w:sz="4" w:space="0" w:color="auto"/>
            </w:tcBorders>
            <w:shd w:val="clear" w:color="auto" w:fill="auto"/>
            <w:noWrap/>
            <w:vAlign w:val="bottom"/>
            <w:hideMark/>
          </w:tcPr>
          <w:p w14:paraId="0728114F"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1 998 855 </w:t>
            </w:r>
          </w:p>
        </w:tc>
        <w:tc>
          <w:tcPr>
            <w:tcW w:w="1820" w:type="dxa"/>
            <w:tcBorders>
              <w:top w:val="nil"/>
              <w:left w:val="nil"/>
              <w:bottom w:val="single" w:sz="4" w:space="0" w:color="auto"/>
              <w:right w:val="single" w:sz="4" w:space="0" w:color="auto"/>
            </w:tcBorders>
            <w:shd w:val="clear" w:color="auto" w:fill="auto"/>
            <w:noWrap/>
            <w:vAlign w:val="bottom"/>
            <w:hideMark/>
          </w:tcPr>
          <w:p w14:paraId="272CA68B"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36.4</w:t>
            </w:r>
          </w:p>
        </w:tc>
        <w:tc>
          <w:tcPr>
            <w:tcW w:w="1857" w:type="dxa"/>
            <w:tcBorders>
              <w:top w:val="nil"/>
              <w:left w:val="nil"/>
              <w:bottom w:val="single" w:sz="4" w:space="0" w:color="auto"/>
              <w:right w:val="single" w:sz="4" w:space="0" w:color="auto"/>
            </w:tcBorders>
            <w:shd w:val="clear" w:color="auto" w:fill="auto"/>
            <w:noWrap/>
            <w:vAlign w:val="bottom"/>
            <w:hideMark/>
          </w:tcPr>
          <w:p w14:paraId="76FDE7BA"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32.6</w:t>
            </w:r>
          </w:p>
        </w:tc>
      </w:tr>
      <w:tr w:rsidR="0059117C" w:rsidRPr="0059117C" w14:paraId="1533EB84" w14:textId="77777777" w:rsidTr="006F1FD3">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3116A8A"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2021.04</w:t>
            </w:r>
          </w:p>
        </w:tc>
        <w:tc>
          <w:tcPr>
            <w:tcW w:w="1680" w:type="dxa"/>
            <w:tcBorders>
              <w:top w:val="nil"/>
              <w:left w:val="nil"/>
              <w:bottom w:val="single" w:sz="4" w:space="0" w:color="auto"/>
              <w:right w:val="single" w:sz="4" w:space="0" w:color="auto"/>
            </w:tcBorders>
            <w:shd w:val="clear" w:color="auto" w:fill="auto"/>
            <w:noWrap/>
            <w:vAlign w:val="bottom"/>
            <w:hideMark/>
          </w:tcPr>
          <w:p w14:paraId="0E311165"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23 731 </w:t>
            </w:r>
          </w:p>
        </w:tc>
        <w:tc>
          <w:tcPr>
            <w:tcW w:w="1740" w:type="dxa"/>
            <w:tcBorders>
              <w:top w:val="nil"/>
              <w:left w:val="nil"/>
              <w:bottom w:val="single" w:sz="4" w:space="0" w:color="auto"/>
              <w:right w:val="single" w:sz="4" w:space="0" w:color="auto"/>
            </w:tcBorders>
            <w:shd w:val="clear" w:color="auto" w:fill="auto"/>
            <w:noWrap/>
            <w:vAlign w:val="bottom"/>
            <w:hideMark/>
          </w:tcPr>
          <w:p w14:paraId="0B74FA54"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1 630 708 </w:t>
            </w:r>
          </w:p>
        </w:tc>
        <w:tc>
          <w:tcPr>
            <w:tcW w:w="1820" w:type="dxa"/>
            <w:tcBorders>
              <w:top w:val="nil"/>
              <w:left w:val="nil"/>
              <w:bottom w:val="single" w:sz="4" w:space="0" w:color="auto"/>
              <w:right w:val="single" w:sz="4" w:space="0" w:color="auto"/>
            </w:tcBorders>
            <w:shd w:val="clear" w:color="auto" w:fill="auto"/>
            <w:noWrap/>
            <w:vAlign w:val="bottom"/>
            <w:hideMark/>
          </w:tcPr>
          <w:p w14:paraId="21B4298E"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29.9</w:t>
            </w:r>
          </w:p>
        </w:tc>
        <w:tc>
          <w:tcPr>
            <w:tcW w:w="1857" w:type="dxa"/>
            <w:tcBorders>
              <w:top w:val="nil"/>
              <w:left w:val="nil"/>
              <w:bottom w:val="single" w:sz="4" w:space="0" w:color="auto"/>
              <w:right w:val="single" w:sz="4" w:space="0" w:color="auto"/>
            </w:tcBorders>
            <w:shd w:val="clear" w:color="auto" w:fill="auto"/>
            <w:noWrap/>
            <w:vAlign w:val="bottom"/>
            <w:hideMark/>
          </w:tcPr>
          <w:p w14:paraId="17AAF98A"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32.7</w:t>
            </w:r>
          </w:p>
        </w:tc>
      </w:tr>
      <w:tr w:rsidR="0059117C" w:rsidRPr="0059117C" w14:paraId="4EEB2893" w14:textId="77777777" w:rsidTr="006F1FD3">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3DEEC44"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2021.05</w:t>
            </w:r>
          </w:p>
        </w:tc>
        <w:tc>
          <w:tcPr>
            <w:tcW w:w="1680" w:type="dxa"/>
            <w:tcBorders>
              <w:top w:val="nil"/>
              <w:left w:val="nil"/>
              <w:bottom w:val="single" w:sz="4" w:space="0" w:color="auto"/>
              <w:right w:val="single" w:sz="4" w:space="0" w:color="auto"/>
            </w:tcBorders>
            <w:shd w:val="clear" w:color="auto" w:fill="auto"/>
            <w:noWrap/>
            <w:vAlign w:val="bottom"/>
            <w:hideMark/>
          </w:tcPr>
          <w:p w14:paraId="1A1AA0DB"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18 088 </w:t>
            </w:r>
          </w:p>
        </w:tc>
        <w:tc>
          <w:tcPr>
            <w:tcW w:w="1740" w:type="dxa"/>
            <w:tcBorders>
              <w:top w:val="nil"/>
              <w:left w:val="nil"/>
              <w:bottom w:val="single" w:sz="4" w:space="0" w:color="auto"/>
              <w:right w:val="single" w:sz="4" w:space="0" w:color="auto"/>
            </w:tcBorders>
            <w:shd w:val="clear" w:color="auto" w:fill="auto"/>
            <w:noWrap/>
            <w:vAlign w:val="bottom"/>
            <w:hideMark/>
          </w:tcPr>
          <w:p w14:paraId="0A99B539"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1 186 409 </w:t>
            </w:r>
          </w:p>
        </w:tc>
        <w:tc>
          <w:tcPr>
            <w:tcW w:w="1820" w:type="dxa"/>
            <w:tcBorders>
              <w:top w:val="nil"/>
              <w:left w:val="nil"/>
              <w:bottom w:val="single" w:sz="4" w:space="0" w:color="auto"/>
              <w:right w:val="single" w:sz="4" w:space="0" w:color="auto"/>
            </w:tcBorders>
            <w:shd w:val="clear" w:color="auto" w:fill="auto"/>
            <w:noWrap/>
            <w:vAlign w:val="bottom"/>
            <w:hideMark/>
          </w:tcPr>
          <w:p w14:paraId="45CA0002"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28.0</w:t>
            </w:r>
          </w:p>
        </w:tc>
        <w:tc>
          <w:tcPr>
            <w:tcW w:w="1857" w:type="dxa"/>
            <w:tcBorders>
              <w:top w:val="nil"/>
              <w:left w:val="nil"/>
              <w:bottom w:val="single" w:sz="4" w:space="0" w:color="auto"/>
              <w:right w:val="single" w:sz="4" w:space="0" w:color="auto"/>
            </w:tcBorders>
            <w:shd w:val="clear" w:color="auto" w:fill="auto"/>
            <w:noWrap/>
            <w:vAlign w:val="bottom"/>
            <w:hideMark/>
          </w:tcPr>
          <w:p w14:paraId="716F1E52"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16.3</w:t>
            </w:r>
          </w:p>
        </w:tc>
      </w:tr>
      <w:tr w:rsidR="0059117C" w:rsidRPr="0059117C" w14:paraId="35B8C8D6" w14:textId="77777777" w:rsidTr="006F1FD3">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E8061C0"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2021.06</w:t>
            </w:r>
          </w:p>
        </w:tc>
        <w:tc>
          <w:tcPr>
            <w:tcW w:w="1680" w:type="dxa"/>
            <w:tcBorders>
              <w:top w:val="nil"/>
              <w:left w:val="nil"/>
              <w:bottom w:val="single" w:sz="4" w:space="0" w:color="auto"/>
              <w:right w:val="single" w:sz="4" w:space="0" w:color="auto"/>
            </w:tcBorders>
            <w:shd w:val="clear" w:color="auto" w:fill="auto"/>
            <w:noWrap/>
            <w:vAlign w:val="bottom"/>
            <w:hideMark/>
          </w:tcPr>
          <w:p w14:paraId="0E32CE22"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15 672 </w:t>
            </w:r>
          </w:p>
        </w:tc>
        <w:tc>
          <w:tcPr>
            <w:tcW w:w="1740" w:type="dxa"/>
            <w:tcBorders>
              <w:top w:val="nil"/>
              <w:left w:val="nil"/>
              <w:bottom w:val="single" w:sz="4" w:space="0" w:color="auto"/>
              <w:right w:val="single" w:sz="4" w:space="0" w:color="auto"/>
            </w:tcBorders>
            <w:shd w:val="clear" w:color="auto" w:fill="auto"/>
            <w:noWrap/>
            <w:vAlign w:val="bottom"/>
            <w:hideMark/>
          </w:tcPr>
          <w:p w14:paraId="4E1A977D"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955 074 </w:t>
            </w:r>
          </w:p>
        </w:tc>
        <w:tc>
          <w:tcPr>
            <w:tcW w:w="1820" w:type="dxa"/>
            <w:tcBorders>
              <w:top w:val="nil"/>
              <w:left w:val="nil"/>
              <w:bottom w:val="single" w:sz="4" w:space="0" w:color="auto"/>
              <w:right w:val="single" w:sz="4" w:space="0" w:color="auto"/>
            </w:tcBorders>
            <w:shd w:val="clear" w:color="auto" w:fill="auto"/>
            <w:noWrap/>
            <w:vAlign w:val="bottom"/>
            <w:hideMark/>
          </w:tcPr>
          <w:p w14:paraId="6D326588"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27.1</w:t>
            </w:r>
          </w:p>
        </w:tc>
        <w:tc>
          <w:tcPr>
            <w:tcW w:w="1857" w:type="dxa"/>
            <w:tcBorders>
              <w:top w:val="nil"/>
              <w:left w:val="nil"/>
              <w:bottom w:val="single" w:sz="4" w:space="0" w:color="auto"/>
              <w:right w:val="single" w:sz="4" w:space="0" w:color="auto"/>
            </w:tcBorders>
            <w:shd w:val="clear" w:color="auto" w:fill="auto"/>
            <w:noWrap/>
            <w:vAlign w:val="bottom"/>
            <w:hideMark/>
          </w:tcPr>
          <w:p w14:paraId="416E0B6A"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13.8</w:t>
            </w:r>
          </w:p>
        </w:tc>
      </w:tr>
      <w:tr w:rsidR="0059117C" w:rsidRPr="0059117C" w14:paraId="4EE9BFBD" w14:textId="77777777" w:rsidTr="006F1FD3">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CFD7FBB"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2021.07</w:t>
            </w:r>
          </w:p>
        </w:tc>
        <w:tc>
          <w:tcPr>
            <w:tcW w:w="1680" w:type="dxa"/>
            <w:tcBorders>
              <w:top w:val="nil"/>
              <w:left w:val="nil"/>
              <w:bottom w:val="single" w:sz="4" w:space="0" w:color="auto"/>
              <w:right w:val="single" w:sz="4" w:space="0" w:color="auto"/>
            </w:tcBorders>
            <w:shd w:val="clear" w:color="auto" w:fill="auto"/>
            <w:noWrap/>
            <w:vAlign w:val="bottom"/>
            <w:hideMark/>
          </w:tcPr>
          <w:p w14:paraId="7419CF12"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10 705 </w:t>
            </w:r>
          </w:p>
        </w:tc>
        <w:tc>
          <w:tcPr>
            <w:tcW w:w="1740" w:type="dxa"/>
            <w:tcBorders>
              <w:top w:val="nil"/>
              <w:left w:val="nil"/>
              <w:bottom w:val="single" w:sz="4" w:space="0" w:color="auto"/>
              <w:right w:val="single" w:sz="4" w:space="0" w:color="auto"/>
            </w:tcBorders>
            <w:shd w:val="clear" w:color="auto" w:fill="auto"/>
            <w:noWrap/>
            <w:vAlign w:val="bottom"/>
            <w:hideMark/>
          </w:tcPr>
          <w:p w14:paraId="1D29D0D7"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730 705 </w:t>
            </w:r>
          </w:p>
        </w:tc>
        <w:tc>
          <w:tcPr>
            <w:tcW w:w="1820" w:type="dxa"/>
            <w:tcBorders>
              <w:top w:val="nil"/>
              <w:left w:val="nil"/>
              <w:bottom w:val="single" w:sz="4" w:space="0" w:color="auto"/>
              <w:right w:val="single" w:sz="4" w:space="0" w:color="auto"/>
            </w:tcBorders>
            <w:shd w:val="clear" w:color="auto" w:fill="auto"/>
            <w:noWrap/>
            <w:vAlign w:val="bottom"/>
            <w:hideMark/>
          </w:tcPr>
          <w:p w14:paraId="683D7FC6"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17.5</w:t>
            </w:r>
          </w:p>
        </w:tc>
        <w:tc>
          <w:tcPr>
            <w:tcW w:w="1857" w:type="dxa"/>
            <w:tcBorders>
              <w:top w:val="nil"/>
              <w:left w:val="nil"/>
              <w:bottom w:val="single" w:sz="4" w:space="0" w:color="auto"/>
              <w:right w:val="single" w:sz="4" w:space="0" w:color="auto"/>
            </w:tcBorders>
            <w:shd w:val="clear" w:color="auto" w:fill="auto"/>
            <w:noWrap/>
            <w:vAlign w:val="bottom"/>
            <w:hideMark/>
          </w:tcPr>
          <w:p w14:paraId="1A5BCD90"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10.5</w:t>
            </w:r>
          </w:p>
        </w:tc>
      </w:tr>
      <w:tr w:rsidR="0059117C" w:rsidRPr="0059117C" w14:paraId="3666CA03" w14:textId="77777777" w:rsidTr="006F1FD3">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86D98DD"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2021.08</w:t>
            </w:r>
          </w:p>
        </w:tc>
        <w:tc>
          <w:tcPr>
            <w:tcW w:w="1680" w:type="dxa"/>
            <w:tcBorders>
              <w:top w:val="nil"/>
              <w:left w:val="nil"/>
              <w:bottom w:val="single" w:sz="4" w:space="0" w:color="auto"/>
              <w:right w:val="single" w:sz="4" w:space="0" w:color="auto"/>
            </w:tcBorders>
            <w:shd w:val="clear" w:color="auto" w:fill="auto"/>
            <w:noWrap/>
            <w:vAlign w:val="bottom"/>
            <w:hideMark/>
          </w:tcPr>
          <w:p w14:paraId="1F8E4302"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9 184 </w:t>
            </w:r>
          </w:p>
        </w:tc>
        <w:tc>
          <w:tcPr>
            <w:tcW w:w="1740" w:type="dxa"/>
            <w:tcBorders>
              <w:top w:val="nil"/>
              <w:left w:val="nil"/>
              <w:bottom w:val="single" w:sz="4" w:space="0" w:color="auto"/>
              <w:right w:val="single" w:sz="4" w:space="0" w:color="auto"/>
            </w:tcBorders>
            <w:shd w:val="clear" w:color="auto" w:fill="auto"/>
            <w:noWrap/>
            <w:vAlign w:val="bottom"/>
            <w:hideMark/>
          </w:tcPr>
          <w:p w14:paraId="2FAD6CC8"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633 420 </w:t>
            </w:r>
          </w:p>
        </w:tc>
        <w:tc>
          <w:tcPr>
            <w:tcW w:w="1820" w:type="dxa"/>
            <w:tcBorders>
              <w:top w:val="nil"/>
              <w:left w:val="nil"/>
              <w:bottom w:val="single" w:sz="4" w:space="0" w:color="auto"/>
              <w:right w:val="single" w:sz="4" w:space="0" w:color="auto"/>
            </w:tcBorders>
            <w:shd w:val="clear" w:color="auto" w:fill="auto"/>
            <w:noWrap/>
            <w:vAlign w:val="bottom"/>
            <w:hideMark/>
          </w:tcPr>
          <w:p w14:paraId="2B331251"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19.2</w:t>
            </w:r>
          </w:p>
        </w:tc>
        <w:tc>
          <w:tcPr>
            <w:tcW w:w="1857" w:type="dxa"/>
            <w:tcBorders>
              <w:top w:val="nil"/>
              <w:left w:val="nil"/>
              <w:bottom w:val="single" w:sz="4" w:space="0" w:color="auto"/>
              <w:right w:val="single" w:sz="4" w:space="0" w:color="auto"/>
            </w:tcBorders>
            <w:shd w:val="clear" w:color="auto" w:fill="auto"/>
            <w:noWrap/>
            <w:vAlign w:val="bottom"/>
            <w:hideMark/>
          </w:tcPr>
          <w:p w14:paraId="61528936"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4.9</w:t>
            </w:r>
          </w:p>
        </w:tc>
      </w:tr>
      <w:tr w:rsidR="0059117C" w:rsidRPr="0059117C" w14:paraId="730AD1FB" w14:textId="77777777" w:rsidTr="006F1FD3">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060B66D"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2021.09</w:t>
            </w:r>
          </w:p>
        </w:tc>
        <w:tc>
          <w:tcPr>
            <w:tcW w:w="1680" w:type="dxa"/>
            <w:tcBorders>
              <w:top w:val="nil"/>
              <w:left w:val="nil"/>
              <w:bottom w:val="single" w:sz="4" w:space="0" w:color="auto"/>
              <w:right w:val="single" w:sz="4" w:space="0" w:color="auto"/>
            </w:tcBorders>
            <w:shd w:val="clear" w:color="auto" w:fill="auto"/>
            <w:noWrap/>
            <w:vAlign w:val="bottom"/>
            <w:hideMark/>
          </w:tcPr>
          <w:p w14:paraId="39432533"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10 535 </w:t>
            </w:r>
          </w:p>
        </w:tc>
        <w:tc>
          <w:tcPr>
            <w:tcW w:w="1740" w:type="dxa"/>
            <w:tcBorders>
              <w:top w:val="nil"/>
              <w:left w:val="nil"/>
              <w:bottom w:val="single" w:sz="4" w:space="0" w:color="auto"/>
              <w:right w:val="single" w:sz="4" w:space="0" w:color="auto"/>
            </w:tcBorders>
            <w:shd w:val="clear" w:color="auto" w:fill="auto"/>
            <w:noWrap/>
            <w:vAlign w:val="bottom"/>
            <w:hideMark/>
          </w:tcPr>
          <w:p w14:paraId="5FF6F8CE"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684 679 </w:t>
            </w:r>
          </w:p>
        </w:tc>
        <w:tc>
          <w:tcPr>
            <w:tcW w:w="1820" w:type="dxa"/>
            <w:tcBorders>
              <w:top w:val="nil"/>
              <w:left w:val="nil"/>
              <w:bottom w:val="single" w:sz="4" w:space="0" w:color="auto"/>
              <w:right w:val="single" w:sz="4" w:space="0" w:color="auto"/>
            </w:tcBorders>
            <w:shd w:val="clear" w:color="auto" w:fill="auto"/>
            <w:noWrap/>
            <w:vAlign w:val="bottom"/>
            <w:hideMark/>
          </w:tcPr>
          <w:p w14:paraId="20B3EA87"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21.6</w:t>
            </w:r>
          </w:p>
        </w:tc>
        <w:tc>
          <w:tcPr>
            <w:tcW w:w="1857" w:type="dxa"/>
            <w:tcBorders>
              <w:top w:val="nil"/>
              <w:left w:val="nil"/>
              <w:bottom w:val="single" w:sz="4" w:space="0" w:color="auto"/>
              <w:right w:val="single" w:sz="4" w:space="0" w:color="auto"/>
            </w:tcBorders>
            <w:shd w:val="clear" w:color="auto" w:fill="auto"/>
            <w:noWrap/>
            <w:vAlign w:val="bottom"/>
            <w:hideMark/>
          </w:tcPr>
          <w:p w14:paraId="313901E7"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6.0</w:t>
            </w:r>
          </w:p>
        </w:tc>
      </w:tr>
      <w:tr w:rsidR="0059117C" w:rsidRPr="0059117C" w14:paraId="7A3FCA1D" w14:textId="77777777" w:rsidTr="006F1FD3">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1268CF0"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2021.10</w:t>
            </w:r>
          </w:p>
        </w:tc>
        <w:tc>
          <w:tcPr>
            <w:tcW w:w="1680" w:type="dxa"/>
            <w:tcBorders>
              <w:top w:val="nil"/>
              <w:left w:val="nil"/>
              <w:bottom w:val="single" w:sz="4" w:space="0" w:color="auto"/>
              <w:right w:val="single" w:sz="4" w:space="0" w:color="auto"/>
            </w:tcBorders>
            <w:shd w:val="clear" w:color="auto" w:fill="auto"/>
            <w:noWrap/>
            <w:vAlign w:val="bottom"/>
            <w:hideMark/>
          </w:tcPr>
          <w:p w14:paraId="3EF98551"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10 230 </w:t>
            </w:r>
          </w:p>
        </w:tc>
        <w:tc>
          <w:tcPr>
            <w:tcW w:w="1740" w:type="dxa"/>
            <w:tcBorders>
              <w:top w:val="nil"/>
              <w:left w:val="nil"/>
              <w:bottom w:val="single" w:sz="4" w:space="0" w:color="auto"/>
              <w:right w:val="single" w:sz="4" w:space="0" w:color="auto"/>
            </w:tcBorders>
            <w:shd w:val="clear" w:color="auto" w:fill="auto"/>
            <w:noWrap/>
            <w:vAlign w:val="bottom"/>
            <w:hideMark/>
          </w:tcPr>
          <w:p w14:paraId="057C3BC3"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696 212 </w:t>
            </w:r>
          </w:p>
        </w:tc>
        <w:tc>
          <w:tcPr>
            <w:tcW w:w="1820" w:type="dxa"/>
            <w:tcBorders>
              <w:top w:val="nil"/>
              <w:left w:val="nil"/>
              <w:bottom w:val="single" w:sz="4" w:space="0" w:color="auto"/>
              <w:right w:val="single" w:sz="4" w:space="0" w:color="auto"/>
            </w:tcBorders>
            <w:shd w:val="clear" w:color="auto" w:fill="auto"/>
            <w:noWrap/>
            <w:vAlign w:val="bottom"/>
            <w:hideMark/>
          </w:tcPr>
          <w:p w14:paraId="0A0D63C9"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21.2</w:t>
            </w:r>
          </w:p>
        </w:tc>
        <w:tc>
          <w:tcPr>
            <w:tcW w:w="1857" w:type="dxa"/>
            <w:tcBorders>
              <w:top w:val="nil"/>
              <w:left w:val="nil"/>
              <w:bottom w:val="single" w:sz="4" w:space="0" w:color="auto"/>
              <w:right w:val="single" w:sz="4" w:space="0" w:color="auto"/>
            </w:tcBorders>
            <w:shd w:val="clear" w:color="auto" w:fill="auto"/>
            <w:noWrap/>
            <w:vAlign w:val="bottom"/>
            <w:hideMark/>
          </w:tcPr>
          <w:p w14:paraId="3EB9D57C"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5.0</w:t>
            </w:r>
          </w:p>
        </w:tc>
      </w:tr>
      <w:tr w:rsidR="0059117C" w:rsidRPr="0059117C" w14:paraId="5E952117" w14:textId="77777777" w:rsidTr="006F1FD3">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C39B317"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2021.11</w:t>
            </w:r>
          </w:p>
        </w:tc>
        <w:tc>
          <w:tcPr>
            <w:tcW w:w="1680" w:type="dxa"/>
            <w:tcBorders>
              <w:top w:val="nil"/>
              <w:left w:val="nil"/>
              <w:bottom w:val="single" w:sz="4" w:space="0" w:color="auto"/>
              <w:right w:val="single" w:sz="4" w:space="0" w:color="auto"/>
            </w:tcBorders>
            <w:shd w:val="clear" w:color="auto" w:fill="auto"/>
            <w:noWrap/>
            <w:vAlign w:val="bottom"/>
            <w:hideMark/>
          </w:tcPr>
          <w:p w14:paraId="4C988399"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13 091 </w:t>
            </w:r>
          </w:p>
        </w:tc>
        <w:tc>
          <w:tcPr>
            <w:tcW w:w="1740" w:type="dxa"/>
            <w:tcBorders>
              <w:top w:val="nil"/>
              <w:left w:val="nil"/>
              <w:bottom w:val="single" w:sz="4" w:space="0" w:color="auto"/>
              <w:right w:val="single" w:sz="4" w:space="0" w:color="auto"/>
            </w:tcBorders>
            <w:shd w:val="clear" w:color="auto" w:fill="auto"/>
            <w:noWrap/>
            <w:vAlign w:val="bottom"/>
            <w:hideMark/>
          </w:tcPr>
          <w:p w14:paraId="11FD635F"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873 265 </w:t>
            </w:r>
          </w:p>
        </w:tc>
        <w:tc>
          <w:tcPr>
            <w:tcW w:w="1820" w:type="dxa"/>
            <w:tcBorders>
              <w:top w:val="nil"/>
              <w:left w:val="nil"/>
              <w:bottom w:val="single" w:sz="4" w:space="0" w:color="auto"/>
              <w:right w:val="single" w:sz="4" w:space="0" w:color="auto"/>
            </w:tcBorders>
            <w:shd w:val="clear" w:color="auto" w:fill="auto"/>
            <w:noWrap/>
            <w:vAlign w:val="bottom"/>
            <w:hideMark/>
          </w:tcPr>
          <w:p w14:paraId="40D9DE5F"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25.7</w:t>
            </w:r>
          </w:p>
        </w:tc>
        <w:tc>
          <w:tcPr>
            <w:tcW w:w="1857" w:type="dxa"/>
            <w:tcBorders>
              <w:top w:val="nil"/>
              <w:left w:val="nil"/>
              <w:bottom w:val="single" w:sz="4" w:space="0" w:color="auto"/>
              <w:right w:val="single" w:sz="4" w:space="0" w:color="auto"/>
            </w:tcBorders>
            <w:shd w:val="clear" w:color="auto" w:fill="auto"/>
            <w:noWrap/>
            <w:vAlign w:val="bottom"/>
            <w:hideMark/>
          </w:tcPr>
          <w:p w14:paraId="0134B875"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7.9</w:t>
            </w:r>
          </w:p>
        </w:tc>
      </w:tr>
      <w:tr w:rsidR="0059117C" w:rsidRPr="0059117C" w14:paraId="0754FE3F" w14:textId="77777777" w:rsidTr="006F1FD3">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A235F3A"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2021.12</w:t>
            </w:r>
          </w:p>
        </w:tc>
        <w:tc>
          <w:tcPr>
            <w:tcW w:w="1680" w:type="dxa"/>
            <w:tcBorders>
              <w:top w:val="nil"/>
              <w:left w:val="nil"/>
              <w:bottom w:val="single" w:sz="4" w:space="0" w:color="auto"/>
              <w:right w:val="single" w:sz="4" w:space="0" w:color="auto"/>
            </w:tcBorders>
            <w:shd w:val="clear" w:color="auto" w:fill="auto"/>
            <w:noWrap/>
            <w:vAlign w:val="bottom"/>
            <w:hideMark/>
          </w:tcPr>
          <w:p w14:paraId="5A08FA47"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16 244 </w:t>
            </w:r>
          </w:p>
        </w:tc>
        <w:tc>
          <w:tcPr>
            <w:tcW w:w="1740" w:type="dxa"/>
            <w:tcBorders>
              <w:top w:val="nil"/>
              <w:left w:val="nil"/>
              <w:bottom w:val="single" w:sz="4" w:space="0" w:color="auto"/>
              <w:right w:val="single" w:sz="4" w:space="0" w:color="auto"/>
            </w:tcBorders>
            <w:shd w:val="clear" w:color="auto" w:fill="auto"/>
            <w:noWrap/>
            <w:vAlign w:val="bottom"/>
            <w:hideMark/>
          </w:tcPr>
          <w:p w14:paraId="25765734" w14:textId="77777777" w:rsidR="0059117C" w:rsidRPr="0059117C" w:rsidRDefault="0059117C" w:rsidP="006F1FD3">
            <w:pPr>
              <w:spacing w:after="0" w:line="240" w:lineRule="auto"/>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 xml:space="preserve">           1 029 446 </w:t>
            </w:r>
          </w:p>
        </w:tc>
        <w:tc>
          <w:tcPr>
            <w:tcW w:w="1820" w:type="dxa"/>
            <w:tcBorders>
              <w:top w:val="nil"/>
              <w:left w:val="nil"/>
              <w:bottom w:val="single" w:sz="4" w:space="0" w:color="auto"/>
              <w:right w:val="single" w:sz="4" w:space="0" w:color="auto"/>
            </w:tcBorders>
            <w:shd w:val="clear" w:color="auto" w:fill="auto"/>
            <w:noWrap/>
            <w:vAlign w:val="bottom"/>
            <w:hideMark/>
          </w:tcPr>
          <w:p w14:paraId="47FC1E76"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27.9</w:t>
            </w:r>
          </w:p>
        </w:tc>
        <w:tc>
          <w:tcPr>
            <w:tcW w:w="1857" w:type="dxa"/>
            <w:tcBorders>
              <w:top w:val="nil"/>
              <w:left w:val="nil"/>
              <w:bottom w:val="single" w:sz="4" w:space="0" w:color="auto"/>
              <w:right w:val="single" w:sz="4" w:space="0" w:color="auto"/>
            </w:tcBorders>
            <w:shd w:val="clear" w:color="auto" w:fill="auto"/>
            <w:noWrap/>
            <w:vAlign w:val="bottom"/>
            <w:hideMark/>
          </w:tcPr>
          <w:p w14:paraId="2E297407" w14:textId="77777777" w:rsidR="0059117C" w:rsidRPr="0059117C" w:rsidRDefault="0059117C" w:rsidP="006F1FD3">
            <w:pPr>
              <w:spacing w:after="0" w:line="240" w:lineRule="auto"/>
              <w:jc w:val="right"/>
              <w:rPr>
                <w:rFonts w:ascii="Times New Roman" w:eastAsia="Times New Roman" w:hAnsi="Times New Roman" w:cs="Times New Roman"/>
                <w:sz w:val="20"/>
                <w:szCs w:val="20"/>
                <w:lang w:eastAsia="lv-LV"/>
              </w:rPr>
            </w:pPr>
            <w:r w:rsidRPr="0059117C">
              <w:rPr>
                <w:rFonts w:ascii="Times New Roman" w:eastAsia="Times New Roman" w:hAnsi="Times New Roman" w:cs="Times New Roman"/>
                <w:sz w:val="20"/>
                <w:szCs w:val="20"/>
                <w:lang w:eastAsia="lv-LV"/>
              </w:rPr>
              <w:t>15.9</w:t>
            </w:r>
          </w:p>
        </w:tc>
      </w:tr>
    </w:tbl>
    <w:p w14:paraId="42BB2C18" w14:textId="77777777" w:rsidR="0059117C" w:rsidRDefault="0059117C" w:rsidP="0059117C">
      <w:pPr>
        <w:spacing w:after="0"/>
        <w:jc w:val="both"/>
        <w:rPr>
          <w:rFonts w:ascii="Times New Roman" w:hAnsi="Times New Roman" w:cs="Times New Roman"/>
          <w:sz w:val="20"/>
          <w:szCs w:val="20"/>
        </w:rPr>
      </w:pPr>
    </w:p>
    <w:p w14:paraId="7F48B096" w14:textId="1D23E061" w:rsidR="0059117C" w:rsidRPr="00651F56" w:rsidRDefault="0059117C" w:rsidP="0059117C">
      <w:pPr>
        <w:spacing w:after="0"/>
        <w:jc w:val="both"/>
        <w:rPr>
          <w:rFonts w:ascii="Times New Roman" w:hAnsi="Times New Roman" w:cs="Times New Roman"/>
          <w:sz w:val="20"/>
          <w:szCs w:val="20"/>
        </w:rPr>
      </w:pPr>
      <w:r w:rsidRPr="00651F56">
        <w:rPr>
          <w:rFonts w:ascii="Times New Roman" w:hAnsi="Times New Roman" w:cs="Times New Roman"/>
          <w:sz w:val="20"/>
          <w:szCs w:val="20"/>
        </w:rPr>
        <w:t xml:space="preserve">Datu avots: </w:t>
      </w:r>
      <w:r w:rsidR="00EC4DF2" w:rsidRPr="005E6EA0">
        <w:rPr>
          <w:rFonts w:ascii="Times New Roman" w:hAnsi="Times New Roman" w:cs="Times New Roman"/>
          <w:sz w:val="20"/>
          <w:szCs w:val="20"/>
        </w:rPr>
        <w:t xml:space="preserve">LM </w:t>
      </w:r>
      <w:r w:rsidR="00EC4DF2" w:rsidRPr="00161E32">
        <w:rPr>
          <w:rFonts w:ascii="Times New Roman" w:hAnsi="Times New Roman" w:cs="Times New Roman"/>
          <w:sz w:val="20"/>
          <w:szCs w:val="20"/>
        </w:rPr>
        <w:t>oficiālie statistikas pārskati par 2021.gadu</w:t>
      </w:r>
      <w:r w:rsidR="00EC4DF2">
        <w:rPr>
          <w:rFonts w:ascii="Times New Roman" w:hAnsi="Times New Roman" w:cs="Times New Roman"/>
          <w:sz w:val="20"/>
          <w:szCs w:val="20"/>
        </w:rPr>
        <w:t>.</w:t>
      </w:r>
    </w:p>
    <w:p w14:paraId="22AB55F1" w14:textId="77777777" w:rsidR="0059117C" w:rsidRDefault="0059117C" w:rsidP="0059117C">
      <w:pPr>
        <w:spacing w:after="0"/>
        <w:jc w:val="both"/>
        <w:rPr>
          <w:rFonts w:ascii="Times New Roman" w:hAnsi="Times New Roman" w:cs="Times New Roman"/>
          <w:b/>
          <w:sz w:val="24"/>
          <w:szCs w:val="24"/>
        </w:rPr>
      </w:pPr>
    </w:p>
    <w:p w14:paraId="5F32224A" w14:textId="67C6559A" w:rsidR="00EC4DF2" w:rsidRPr="00FA7BB4" w:rsidRDefault="00EC4DF2" w:rsidP="00EC4DF2">
      <w:pPr>
        <w:spacing w:after="0"/>
        <w:jc w:val="both"/>
        <w:rPr>
          <w:rFonts w:ascii="Times New Roman" w:hAnsi="Times New Roman" w:cs="Times New Roman"/>
          <w:sz w:val="24"/>
          <w:szCs w:val="24"/>
        </w:rPr>
      </w:pPr>
      <w:r w:rsidRPr="00FA7BB4">
        <w:rPr>
          <w:rFonts w:ascii="Times New Roman" w:hAnsi="Times New Roman" w:cs="Times New Roman"/>
          <w:sz w:val="24"/>
          <w:szCs w:val="24"/>
        </w:rPr>
        <w:t xml:space="preserve">Kā </w:t>
      </w:r>
      <w:r w:rsidRPr="001F5B58">
        <w:rPr>
          <w:rFonts w:ascii="Times New Roman" w:hAnsi="Times New Roman" w:cs="Times New Roman"/>
          <w:sz w:val="24"/>
          <w:szCs w:val="24"/>
        </w:rPr>
        <w:t xml:space="preserve">redzams </w:t>
      </w:r>
      <w:r w:rsidR="001F5B58" w:rsidRPr="001F5B58">
        <w:rPr>
          <w:rFonts w:ascii="Times New Roman" w:hAnsi="Times New Roman" w:cs="Times New Roman"/>
          <w:sz w:val="24"/>
          <w:szCs w:val="24"/>
        </w:rPr>
        <w:t>4</w:t>
      </w:r>
      <w:r w:rsidR="00BD0965">
        <w:rPr>
          <w:rFonts w:ascii="Times New Roman" w:hAnsi="Times New Roman" w:cs="Times New Roman"/>
          <w:sz w:val="24"/>
          <w:szCs w:val="24"/>
        </w:rPr>
        <w:t>.tabulā</w:t>
      </w:r>
      <w:r w:rsidRPr="001F5B58">
        <w:rPr>
          <w:rFonts w:ascii="Times New Roman" w:hAnsi="Times New Roman" w:cs="Times New Roman"/>
          <w:sz w:val="24"/>
          <w:szCs w:val="24"/>
        </w:rPr>
        <w:t>, ne</w:t>
      </w:r>
      <w:r>
        <w:rPr>
          <w:rFonts w:ascii="Times New Roman" w:hAnsi="Times New Roman" w:cs="Times New Roman"/>
          <w:sz w:val="24"/>
          <w:szCs w:val="24"/>
        </w:rPr>
        <w:t xml:space="preserve"> visas par trūcīgām un maznodrošinātām atzītās personas ir saņēmušas mājokļa pabalstu. Apkures sezonas laikā (oktobris – aprīlis) m</w:t>
      </w:r>
      <w:r w:rsidRPr="00FA7BB4">
        <w:rPr>
          <w:rFonts w:ascii="Times New Roman" w:hAnsi="Times New Roman" w:cs="Times New Roman"/>
          <w:sz w:val="24"/>
          <w:szCs w:val="24"/>
        </w:rPr>
        <w:t>ājokļa pabalstu saņēmušo trūcīgo personu īpatsvar</w:t>
      </w:r>
      <w:r>
        <w:rPr>
          <w:rFonts w:ascii="Times New Roman" w:hAnsi="Times New Roman" w:cs="Times New Roman"/>
          <w:sz w:val="24"/>
          <w:szCs w:val="24"/>
        </w:rPr>
        <w:t>s starp visām trūcīgām personām veidoja vidēji 30%, bet maznodrošināto</w:t>
      </w:r>
      <w:r w:rsidRPr="00EC0756">
        <w:rPr>
          <w:rFonts w:ascii="Times New Roman" w:hAnsi="Times New Roman" w:cs="Times New Roman"/>
          <w:sz w:val="24"/>
          <w:szCs w:val="24"/>
        </w:rPr>
        <w:t xml:space="preserve"> </w:t>
      </w:r>
      <w:r w:rsidRPr="00FA7BB4">
        <w:rPr>
          <w:rFonts w:ascii="Times New Roman" w:hAnsi="Times New Roman" w:cs="Times New Roman"/>
          <w:sz w:val="24"/>
          <w:szCs w:val="24"/>
        </w:rPr>
        <w:t>personu īpatsvar</w:t>
      </w:r>
      <w:r>
        <w:rPr>
          <w:rFonts w:ascii="Times New Roman" w:hAnsi="Times New Roman" w:cs="Times New Roman"/>
          <w:sz w:val="24"/>
          <w:szCs w:val="24"/>
        </w:rPr>
        <w:t>s, kuras saņēma mājokļa pabalstu,  veidoja vidēji – 22% no personām, kuras bija ieguvušas maznodrošinātas personas statusu.</w:t>
      </w:r>
    </w:p>
    <w:p w14:paraId="6088D500" w14:textId="77777777" w:rsidR="0059117C" w:rsidRPr="00651F56" w:rsidRDefault="0059117C" w:rsidP="0059117C">
      <w:pPr>
        <w:spacing w:after="0"/>
        <w:jc w:val="both"/>
        <w:rPr>
          <w:rFonts w:ascii="Times New Roman" w:hAnsi="Times New Roman" w:cs="Times New Roman"/>
          <w:b/>
          <w:sz w:val="24"/>
          <w:szCs w:val="24"/>
        </w:rPr>
      </w:pPr>
    </w:p>
    <w:p w14:paraId="7C604C12" w14:textId="29FCAE20" w:rsidR="0059117C" w:rsidRPr="00651F56" w:rsidRDefault="0059117C" w:rsidP="0059117C">
      <w:pPr>
        <w:spacing w:after="0"/>
        <w:jc w:val="both"/>
        <w:rPr>
          <w:rFonts w:ascii="Times New Roman" w:hAnsi="Times New Roman" w:cs="Times New Roman"/>
          <w:sz w:val="24"/>
          <w:szCs w:val="24"/>
        </w:rPr>
      </w:pPr>
      <w:r w:rsidRPr="00651F56">
        <w:rPr>
          <w:rFonts w:ascii="Times New Roman" w:hAnsi="Times New Roman" w:cs="Times New Roman"/>
          <w:sz w:val="24"/>
          <w:szCs w:val="24"/>
        </w:rPr>
        <w:t>Līdz 2021.g</w:t>
      </w:r>
      <w:r w:rsidR="00EC0756">
        <w:rPr>
          <w:rFonts w:ascii="Times New Roman" w:hAnsi="Times New Roman" w:cs="Times New Roman"/>
          <w:sz w:val="24"/>
          <w:szCs w:val="24"/>
        </w:rPr>
        <w:t>a</w:t>
      </w:r>
      <w:r w:rsidRPr="00651F56">
        <w:rPr>
          <w:rFonts w:ascii="Times New Roman" w:hAnsi="Times New Roman" w:cs="Times New Roman"/>
          <w:sz w:val="24"/>
          <w:szCs w:val="24"/>
        </w:rPr>
        <w:t xml:space="preserve">da 1.jūlijam pašvaldībām bija tiesības noteikt atšķirīgus mājokļa pabalsta piešķiršanas nosacījumus, apmēru un personu  loku, kam tas pienākas. Mājokļa pabalsts tika aprēķināts katru mēnesi (piemēram, Rīgā), izmaksāts apkures sezonā vai reizi gadā. </w:t>
      </w:r>
    </w:p>
    <w:p w14:paraId="78D9203E" w14:textId="0990DDAE" w:rsidR="0059117C" w:rsidRPr="009C7A1C" w:rsidRDefault="001F5B58" w:rsidP="009568C5">
      <w:pPr>
        <w:spacing w:after="120"/>
        <w:jc w:val="both"/>
        <w:rPr>
          <w:rFonts w:ascii="Times New Roman" w:hAnsi="Times New Roman" w:cs="Times New Roman"/>
          <w:i/>
          <w:sz w:val="24"/>
          <w:szCs w:val="24"/>
        </w:rPr>
      </w:pPr>
      <w:r>
        <w:rPr>
          <w:rFonts w:ascii="Times New Roman" w:hAnsi="Times New Roman" w:cs="Times New Roman"/>
          <w:i/>
          <w:sz w:val="24"/>
          <w:szCs w:val="24"/>
        </w:rPr>
        <w:lastRenderedPageBreak/>
        <w:t>5</w:t>
      </w:r>
      <w:r w:rsidR="0059117C" w:rsidRPr="009C7A1C">
        <w:rPr>
          <w:rFonts w:ascii="Times New Roman" w:hAnsi="Times New Roman" w:cs="Times New Roman"/>
          <w:i/>
          <w:sz w:val="24"/>
          <w:szCs w:val="24"/>
        </w:rPr>
        <w:t xml:space="preserve">. tabula Mājokļa pabalsta saņēmēju skaits un struktūra 2021.gadā </w:t>
      </w:r>
    </w:p>
    <w:tbl>
      <w:tblPr>
        <w:tblStyle w:val="TableGrid"/>
        <w:tblW w:w="0" w:type="auto"/>
        <w:tblLook w:val="04A0" w:firstRow="1" w:lastRow="0" w:firstColumn="1" w:lastColumn="0" w:noHBand="0" w:noVBand="1"/>
      </w:tblPr>
      <w:tblGrid>
        <w:gridCol w:w="1555"/>
        <w:gridCol w:w="1134"/>
        <w:gridCol w:w="3118"/>
        <w:gridCol w:w="2489"/>
      </w:tblGrid>
      <w:tr w:rsidR="009568C5" w14:paraId="0BD9405E" w14:textId="0FE89249" w:rsidTr="00735515">
        <w:tc>
          <w:tcPr>
            <w:tcW w:w="1555" w:type="dxa"/>
          </w:tcPr>
          <w:p w14:paraId="079F9214" w14:textId="77777777" w:rsidR="009568C5" w:rsidRPr="00651F56" w:rsidRDefault="009568C5" w:rsidP="009568C5">
            <w:pPr>
              <w:jc w:val="center"/>
              <w:rPr>
                <w:rFonts w:ascii="Times New Roman" w:hAnsi="Times New Roman"/>
                <w:sz w:val="20"/>
                <w:szCs w:val="20"/>
                <w:lang w:eastAsia="lv-LV"/>
              </w:rPr>
            </w:pPr>
            <w:r w:rsidRPr="00651F56">
              <w:rPr>
                <w:rFonts w:ascii="Times New Roman" w:hAnsi="Times New Roman"/>
                <w:sz w:val="20"/>
                <w:szCs w:val="20"/>
                <w:lang w:eastAsia="lv-LV"/>
              </w:rPr>
              <w:t>Personas mājsaimniecībās</w:t>
            </w:r>
          </w:p>
          <w:p w14:paraId="68CDFFD9" w14:textId="0B4E3FC7" w:rsidR="009568C5" w:rsidRDefault="009568C5" w:rsidP="009568C5">
            <w:pPr>
              <w:jc w:val="center"/>
              <w:rPr>
                <w:rFonts w:ascii="Times New Roman" w:hAnsi="Times New Roman"/>
                <w:sz w:val="20"/>
                <w:szCs w:val="20"/>
                <w:lang w:eastAsia="lv-LV"/>
              </w:rPr>
            </w:pPr>
            <w:r>
              <w:rPr>
                <w:rFonts w:ascii="Times New Roman" w:hAnsi="Times New Roman"/>
                <w:sz w:val="20"/>
                <w:szCs w:val="20"/>
                <w:lang w:eastAsia="lv-LV"/>
              </w:rPr>
              <w:t>- kopā</w:t>
            </w:r>
          </w:p>
        </w:tc>
        <w:tc>
          <w:tcPr>
            <w:tcW w:w="1134" w:type="dxa"/>
          </w:tcPr>
          <w:p w14:paraId="590B78D5" w14:textId="77777777" w:rsidR="009568C5" w:rsidRDefault="009568C5" w:rsidP="009568C5">
            <w:pPr>
              <w:jc w:val="both"/>
              <w:rPr>
                <w:rFonts w:ascii="Times New Roman" w:hAnsi="Times New Roman"/>
                <w:sz w:val="20"/>
                <w:szCs w:val="20"/>
              </w:rPr>
            </w:pPr>
          </w:p>
        </w:tc>
        <w:tc>
          <w:tcPr>
            <w:tcW w:w="3118" w:type="dxa"/>
          </w:tcPr>
          <w:p w14:paraId="28276EFA" w14:textId="72313CD8" w:rsidR="009568C5" w:rsidRDefault="009568C5" w:rsidP="009568C5">
            <w:pPr>
              <w:jc w:val="both"/>
              <w:rPr>
                <w:rFonts w:ascii="Times New Roman" w:hAnsi="Times New Roman"/>
                <w:sz w:val="20"/>
                <w:szCs w:val="20"/>
              </w:rPr>
            </w:pPr>
          </w:p>
        </w:tc>
        <w:tc>
          <w:tcPr>
            <w:tcW w:w="2489" w:type="dxa"/>
            <w:vAlign w:val="center"/>
          </w:tcPr>
          <w:p w14:paraId="6840C033" w14:textId="73B09C5B" w:rsidR="009568C5" w:rsidRDefault="009568C5" w:rsidP="00735515">
            <w:pPr>
              <w:jc w:val="center"/>
              <w:rPr>
                <w:rFonts w:ascii="Times New Roman" w:hAnsi="Times New Roman"/>
                <w:sz w:val="20"/>
                <w:szCs w:val="20"/>
              </w:rPr>
            </w:pPr>
            <w:r w:rsidRPr="00651F56">
              <w:rPr>
                <w:rFonts w:ascii="Times New Roman" w:hAnsi="Times New Roman"/>
                <w:b/>
                <w:bCs/>
                <w:sz w:val="20"/>
                <w:szCs w:val="20"/>
                <w:lang w:eastAsia="lv-LV"/>
              </w:rPr>
              <w:t>59</w:t>
            </w:r>
            <w:r>
              <w:rPr>
                <w:rFonts w:ascii="Times New Roman" w:hAnsi="Times New Roman"/>
                <w:b/>
                <w:bCs/>
                <w:sz w:val="20"/>
                <w:szCs w:val="20"/>
                <w:lang w:eastAsia="lv-LV"/>
              </w:rPr>
              <w:t xml:space="preserve"> </w:t>
            </w:r>
            <w:r w:rsidRPr="00651F56">
              <w:rPr>
                <w:rFonts w:ascii="Times New Roman" w:hAnsi="Times New Roman"/>
                <w:b/>
                <w:bCs/>
                <w:sz w:val="20"/>
                <w:szCs w:val="20"/>
                <w:lang w:eastAsia="lv-LV"/>
              </w:rPr>
              <w:t>854</w:t>
            </w:r>
          </w:p>
        </w:tc>
      </w:tr>
      <w:tr w:rsidR="009568C5" w14:paraId="13B68753" w14:textId="171A61E3" w:rsidTr="00735515">
        <w:tc>
          <w:tcPr>
            <w:tcW w:w="1555" w:type="dxa"/>
            <w:vMerge w:val="restart"/>
            <w:vAlign w:val="center"/>
          </w:tcPr>
          <w:p w14:paraId="28871DEE" w14:textId="339CD7ED" w:rsidR="009568C5" w:rsidRDefault="009568C5" w:rsidP="009568C5">
            <w:pPr>
              <w:jc w:val="center"/>
              <w:rPr>
                <w:rFonts w:ascii="Times New Roman" w:hAnsi="Times New Roman"/>
                <w:sz w:val="20"/>
                <w:szCs w:val="20"/>
              </w:rPr>
            </w:pPr>
            <w:r w:rsidRPr="00651F56">
              <w:rPr>
                <w:rFonts w:ascii="Times New Roman" w:hAnsi="Times New Roman"/>
                <w:sz w:val="20"/>
                <w:szCs w:val="20"/>
                <w:lang w:eastAsia="lv-LV"/>
              </w:rPr>
              <w:t>no tām</w:t>
            </w:r>
          </w:p>
        </w:tc>
        <w:tc>
          <w:tcPr>
            <w:tcW w:w="1134" w:type="dxa"/>
            <w:vMerge w:val="restart"/>
            <w:vAlign w:val="center"/>
          </w:tcPr>
          <w:p w14:paraId="64E053DE" w14:textId="60AC2752" w:rsidR="009568C5" w:rsidRDefault="009568C5" w:rsidP="009568C5">
            <w:pPr>
              <w:jc w:val="center"/>
              <w:rPr>
                <w:rFonts w:ascii="Times New Roman" w:hAnsi="Times New Roman"/>
                <w:sz w:val="20"/>
                <w:szCs w:val="20"/>
              </w:rPr>
            </w:pPr>
            <w:r>
              <w:rPr>
                <w:rFonts w:ascii="Times New Roman" w:hAnsi="Times New Roman"/>
                <w:sz w:val="20"/>
                <w:szCs w:val="20"/>
              </w:rPr>
              <w:t>bērni</w:t>
            </w:r>
          </w:p>
        </w:tc>
        <w:tc>
          <w:tcPr>
            <w:tcW w:w="3118" w:type="dxa"/>
          </w:tcPr>
          <w:p w14:paraId="0CFE52AE" w14:textId="7D93BE3A" w:rsidR="009568C5" w:rsidRDefault="009568C5" w:rsidP="009568C5">
            <w:pPr>
              <w:jc w:val="both"/>
              <w:rPr>
                <w:rFonts w:ascii="Times New Roman" w:hAnsi="Times New Roman"/>
                <w:sz w:val="20"/>
                <w:szCs w:val="20"/>
              </w:rPr>
            </w:pPr>
          </w:p>
        </w:tc>
        <w:tc>
          <w:tcPr>
            <w:tcW w:w="2489" w:type="dxa"/>
            <w:vAlign w:val="center"/>
          </w:tcPr>
          <w:p w14:paraId="6A29F084" w14:textId="596B352F" w:rsidR="009568C5" w:rsidRDefault="009568C5" w:rsidP="00735515">
            <w:pPr>
              <w:jc w:val="center"/>
              <w:rPr>
                <w:rFonts w:ascii="Times New Roman" w:hAnsi="Times New Roman"/>
                <w:sz w:val="20"/>
                <w:szCs w:val="20"/>
              </w:rPr>
            </w:pPr>
            <w:r w:rsidRPr="00651F56">
              <w:rPr>
                <w:rFonts w:ascii="Times New Roman" w:hAnsi="Times New Roman"/>
                <w:b/>
                <w:bCs/>
                <w:sz w:val="20"/>
                <w:szCs w:val="20"/>
                <w:lang w:eastAsia="lv-LV"/>
              </w:rPr>
              <w:t>10</w:t>
            </w:r>
            <w:r>
              <w:rPr>
                <w:rFonts w:ascii="Times New Roman" w:hAnsi="Times New Roman"/>
                <w:b/>
                <w:bCs/>
                <w:sz w:val="20"/>
                <w:szCs w:val="20"/>
                <w:lang w:eastAsia="lv-LV"/>
              </w:rPr>
              <w:t xml:space="preserve"> </w:t>
            </w:r>
            <w:r w:rsidRPr="00651F56">
              <w:rPr>
                <w:rFonts w:ascii="Times New Roman" w:hAnsi="Times New Roman"/>
                <w:b/>
                <w:bCs/>
                <w:sz w:val="20"/>
                <w:szCs w:val="20"/>
                <w:lang w:eastAsia="lv-LV"/>
              </w:rPr>
              <w:t>799</w:t>
            </w:r>
          </w:p>
        </w:tc>
      </w:tr>
      <w:tr w:rsidR="009568C5" w14:paraId="5D527CA3" w14:textId="65FCFADA" w:rsidTr="00735515">
        <w:tc>
          <w:tcPr>
            <w:tcW w:w="1555" w:type="dxa"/>
            <w:vMerge/>
          </w:tcPr>
          <w:p w14:paraId="5C7231C6" w14:textId="77777777" w:rsidR="009568C5" w:rsidRDefault="009568C5" w:rsidP="009568C5">
            <w:pPr>
              <w:jc w:val="both"/>
              <w:rPr>
                <w:rFonts w:ascii="Times New Roman" w:hAnsi="Times New Roman"/>
                <w:sz w:val="20"/>
                <w:szCs w:val="20"/>
              </w:rPr>
            </w:pPr>
          </w:p>
        </w:tc>
        <w:tc>
          <w:tcPr>
            <w:tcW w:w="1134" w:type="dxa"/>
            <w:vMerge/>
            <w:vAlign w:val="center"/>
          </w:tcPr>
          <w:p w14:paraId="3E9465B1" w14:textId="2B8597E4" w:rsidR="009568C5" w:rsidRDefault="009568C5" w:rsidP="009568C5">
            <w:pPr>
              <w:jc w:val="center"/>
              <w:rPr>
                <w:rFonts w:ascii="Times New Roman" w:hAnsi="Times New Roman"/>
                <w:sz w:val="20"/>
                <w:szCs w:val="20"/>
              </w:rPr>
            </w:pPr>
          </w:p>
        </w:tc>
        <w:tc>
          <w:tcPr>
            <w:tcW w:w="3118" w:type="dxa"/>
          </w:tcPr>
          <w:p w14:paraId="5E0E1542" w14:textId="744BD339" w:rsidR="009568C5" w:rsidRDefault="009568C5" w:rsidP="009568C5">
            <w:pPr>
              <w:rPr>
                <w:rFonts w:ascii="Times New Roman" w:hAnsi="Times New Roman"/>
                <w:sz w:val="20"/>
                <w:szCs w:val="20"/>
              </w:rPr>
            </w:pPr>
            <w:r w:rsidRPr="00651F56">
              <w:rPr>
                <w:rFonts w:ascii="Times New Roman" w:hAnsi="Times New Roman"/>
                <w:sz w:val="20"/>
                <w:szCs w:val="20"/>
                <w:lang w:eastAsia="lv-LV"/>
              </w:rPr>
              <w:t>tai skaitā bērni ar invaliditāti</w:t>
            </w:r>
          </w:p>
        </w:tc>
        <w:tc>
          <w:tcPr>
            <w:tcW w:w="2489" w:type="dxa"/>
            <w:vAlign w:val="center"/>
          </w:tcPr>
          <w:p w14:paraId="3530638C" w14:textId="00E43C19" w:rsidR="009568C5" w:rsidRDefault="009568C5" w:rsidP="00735515">
            <w:pPr>
              <w:jc w:val="center"/>
              <w:rPr>
                <w:rFonts w:ascii="Times New Roman" w:hAnsi="Times New Roman"/>
                <w:sz w:val="20"/>
                <w:szCs w:val="20"/>
              </w:rPr>
            </w:pPr>
            <w:r w:rsidRPr="00651F56">
              <w:rPr>
                <w:rFonts w:ascii="Times New Roman" w:hAnsi="Times New Roman"/>
                <w:b/>
                <w:bCs/>
                <w:sz w:val="20"/>
                <w:szCs w:val="20"/>
                <w:lang w:eastAsia="lv-LV"/>
              </w:rPr>
              <w:t>599</w:t>
            </w:r>
          </w:p>
        </w:tc>
      </w:tr>
      <w:tr w:rsidR="009568C5" w14:paraId="52493D41" w14:textId="1C67D059" w:rsidTr="00735515">
        <w:tc>
          <w:tcPr>
            <w:tcW w:w="1555" w:type="dxa"/>
            <w:vMerge/>
          </w:tcPr>
          <w:p w14:paraId="40845620" w14:textId="77777777" w:rsidR="009568C5" w:rsidRDefault="009568C5" w:rsidP="009568C5">
            <w:pPr>
              <w:jc w:val="both"/>
              <w:rPr>
                <w:rFonts w:ascii="Times New Roman" w:hAnsi="Times New Roman"/>
                <w:sz w:val="20"/>
                <w:szCs w:val="20"/>
              </w:rPr>
            </w:pPr>
          </w:p>
        </w:tc>
        <w:tc>
          <w:tcPr>
            <w:tcW w:w="4252" w:type="dxa"/>
            <w:gridSpan w:val="2"/>
            <w:vAlign w:val="center"/>
          </w:tcPr>
          <w:p w14:paraId="1D68A330" w14:textId="3D0DAFC5" w:rsidR="009568C5" w:rsidRDefault="009568C5" w:rsidP="009568C5">
            <w:pPr>
              <w:rPr>
                <w:rFonts w:ascii="Times New Roman" w:hAnsi="Times New Roman"/>
                <w:sz w:val="20"/>
                <w:szCs w:val="20"/>
              </w:rPr>
            </w:pPr>
            <w:r w:rsidRPr="00651F56">
              <w:rPr>
                <w:rFonts w:ascii="Times New Roman" w:hAnsi="Times New Roman"/>
                <w:sz w:val="20"/>
                <w:szCs w:val="20"/>
                <w:lang w:eastAsia="lv-LV"/>
              </w:rPr>
              <w:t>pilngadīgas</w:t>
            </w:r>
            <w:r>
              <w:rPr>
                <w:rFonts w:ascii="Times New Roman" w:hAnsi="Times New Roman"/>
                <w:sz w:val="20"/>
                <w:szCs w:val="20"/>
                <w:lang w:eastAsia="lv-LV"/>
              </w:rPr>
              <w:t xml:space="preserve"> </w:t>
            </w:r>
            <w:r w:rsidRPr="00651F56">
              <w:rPr>
                <w:rFonts w:ascii="Times New Roman" w:hAnsi="Times New Roman"/>
                <w:sz w:val="20"/>
                <w:szCs w:val="20"/>
                <w:lang w:eastAsia="lv-LV"/>
              </w:rPr>
              <w:t>darbspējīgas</w:t>
            </w:r>
            <w:r>
              <w:rPr>
                <w:rFonts w:ascii="Times New Roman" w:hAnsi="Times New Roman"/>
                <w:sz w:val="20"/>
                <w:szCs w:val="20"/>
                <w:lang w:eastAsia="lv-LV"/>
              </w:rPr>
              <w:t xml:space="preserve"> </w:t>
            </w:r>
            <w:r w:rsidRPr="00651F56">
              <w:rPr>
                <w:rFonts w:ascii="Times New Roman" w:hAnsi="Times New Roman"/>
                <w:sz w:val="20"/>
                <w:szCs w:val="20"/>
                <w:lang w:eastAsia="lv-LV"/>
              </w:rPr>
              <w:t>personas</w:t>
            </w:r>
          </w:p>
        </w:tc>
        <w:tc>
          <w:tcPr>
            <w:tcW w:w="2489" w:type="dxa"/>
            <w:vAlign w:val="center"/>
          </w:tcPr>
          <w:p w14:paraId="55B09BAE" w14:textId="4EE22D66" w:rsidR="009568C5" w:rsidRDefault="009568C5" w:rsidP="00735515">
            <w:pPr>
              <w:jc w:val="center"/>
              <w:rPr>
                <w:rFonts w:ascii="Times New Roman" w:hAnsi="Times New Roman"/>
                <w:sz w:val="20"/>
                <w:szCs w:val="20"/>
              </w:rPr>
            </w:pPr>
            <w:r w:rsidRPr="00651F56">
              <w:rPr>
                <w:rFonts w:ascii="Times New Roman" w:hAnsi="Times New Roman"/>
                <w:b/>
                <w:bCs/>
                <w:sz w:val="20"/>
                <w:szCs w:val="20"/>
                <w:lang w:eastAsia="lv-LV"/>
              </w:rPr>
              <w:t>14</w:t>
            </w:r>
            <w:r>
              <w:rPr>
                <w:rFonts w:ascii="Times New Roman" w:hAnsi="Times New Roman"/>
                <w:b/>
                <w:bCs/>
                <w:sz w:val="20"/>
                <w:szCs w:val="20"/>
                <w:lang w:eastAsia="lv-LV"/>
              </w:rPr>
              <w:t xml:space="preserve"> </w:t>
            </w:r>
            <w:r w:rsidRPr="00651F56">
              <w:rPr>
                <w:rFonts w:ascii="Times New Roman" w:hAnsi="Times New Roman"/>
                <w:b/>
                <w:bCs/>
                <w:sz w:val="20"/>
                <w:szCs w:val="20"/>
                <w:lang w:eastAsia="lv-LV"/>
              </w:rPr>
              <w:t>266</w:t>
            </w:r>
          </w:p>
        </w:tc>
      </w:tr>
      <w:tr w:rsidR="009568C5" w14:paraId="7858FD77" w14:textId="735148A3" w:rsidTr="00735515">
        <w:tc>
          <w:tcPr>
            <w:tcW w:w="1555" w:type="dxa"/>
            <w:vMerge/>
          </w:tcPr>
          <w:p w14:paraId="5EBFD821" w14:textId="77777777" w:rsidR="009568C5" w:rsidRDefault="009568C5" w:rsidP="009568C5">
            <w:pPr>
              <w:jc w:val="both"/>
              <w:rPr>
                <w:rFonts w:ascii="Times New Roman" w:hAnsi="Times New Roman"/>
                <w:sz w:val="20"/>
                <w:szCs w:val="20"/>
              </w:rPr>
            </w:pPr>
          </w:p>
        </w:tc>
        <w:tc>
          <w:tcPr>
            <w:tcW w:w="1134" w:type="dxa"/>
            <w:vMerge w:val="restart"/>
            <w:vAlign w:val="center"/>
          </w:tcPr>
          <w:p w14:paraId="44EF0167" w14:textId="09B3E1E5" w:rsidR="009568C5" w:rsidRDefault="009568C5" w:rsidP="009568C5">
            <w:pPr>
              <w:jc w:val="center"/>
              <w:rPr>
                <w:rFonts w:ascii="Times New Roman" w:hAnsi="Times New Roman"/>
                <w:sz w:val="20"/>
                <w:szCs w:val="20"/>
              </w:rPr>
            </w:pPr>
            <w:r w:rsidRPr="00651F56">
              <w:rPr>
                <w:rFonts w:ascii="Times New Roman" w:hAnsi="Times New Roman"/>
                <w:sz w:val="20"/>
                <w:szCs w:val="20"/>
                <w:lang w:eastAsia="lv-LV"/>
              </w:rPr>
              <w:t>no tām</w:t>
            </w:r>
          </w:p>
        </w:tc>
        <w:tc>
          <w:tcPr>
            <w:tcW w:w="3118" w:type="dxa"/>
            <w:vAlign w:val="center"/>
          </w:tcPr>
          <w:p w14:paraId="20159DF2" w14:textId="36379552" w:rsidR="009568C5" w:rsidRDefault="009568C5" w:rsidP="009568C5">
            <w:pPr>
              <w:jc w:val="both"/>
              <w:rPr>
                <w:rFonts w:ascii="Times New Roman" w:hAnsi="Times New Roman"/>
                <w:sz w:val="20"/>
                <w:szCs w:val="20"/>
              </w:rPr>
            </w:pPr>
            <w:r w:rsidRPr="00651F56">
              <w:rPr>
                <w:rFonts w:ascii="Times New Roman" w:hAnsi="Times New Roman"/>
                <w:sz w:val="20"/>
                <w:szCs w:val="20"/>
                <w:lang w:eastAsia="lv-LV"/>
              </w:rPr>
              <w:t>strādājošas personas</w:t>
            </w:r>
          </w:p>
        </w:tc>
        <w:tc>
          <w:tcPr>
            <w:tcW w:w="2489" w:type="dxa"/>
            <w:vAlign w:val="center"/>
          </w:tcPr>
          <w:p w14:paraId="105C7AAC" w14:textId="55F4833D" w:rsidR="009568C5" w:rsidRDefault="009568C5" w:rsidP="00735515">
            <w:pPr>
              <w:jc w:val="center"/>
              <w:rPr>
                <w:rFonts w:ascii="Times New Roman" w:hAnsi="Times New Roman"/>
                <w:sz w:val="20"/>
                <w:szCs w:val="20"/>
              </w:rPr>
            </w:pPr>
            <w:r w:rsidRPr="00651F56">
              <w:rPr>
                <w:rFonts w:ascii="Times New Roman" w:hAnsi="Times New Roman"/>
                <w:b/>
                <w:bCs/>
                <w:sz w:val="20"/>
                <w:szCs w:val="20"/>
                <w:lang w:eastAsia="lv-LV"/>
              </w:rPr>
              <w:t>4</w:t>
            </w:r>
            <w:r>
              <w:rPr>
                <w:rFonts w:ascii="Times New Roman" w:hAnsi="Times New Roman"/>
                <w:b/>
                <w:bCs/>
                <w:sz w:val="20"/>
                <w:szCs w:val="20"/>
                <w:lang w:eastAsia="lv-LV"/>
              </w:rPr>
              <w:t xml:space="preserve"> </w:t>
            </w:r>
            <w:r w:rsidRPr="00651F56">
              <w:rPr>
                <w:rFonts w:ascii="Times New Roman" w:hAnsi="Times New Roman"/>
                <w:b/>
                <w:bCs/>
                <w:sz w:val="20"/>
                <w:szCs w:val="20"/>
                <w:lang w:eastAsia="lv-LV"/>
              </w:rPr>
              <w:t>611</w:t>
            </w:r>
          </w:p>
        </w:tc>
      </w:tr>
      <w:tr w:rsidR="009568C5" w14:paraId="47C0A02D" w14:textId="46DAC9DD" w:rsidTr="00735515">
        <w:tc>
          <w:tcPr>
            <w:tcW w:w="1555" w:type="dxa"/>
            <w:vMerge/>
          </w:tcPr>
          <w:p w14:paraId="0900B30C" w14:textId="77777777" w:rsidR="009568C5" w:rsidRDefault="009568C5" w:rsidP="009568C5">
            <w:pPr>
              <w:jc w:val="both"/>
              <w:rPr>
                <w:rFonts w:ascii="Times New Roman" w:hAnsi="Times New Roman"/>
                <w:sz w:val="20"/>
                <w:szCs w:val="20"/>
              </w:rPr>
            </w:pPr>
          </w:p>
        </w:tc>
        <w:tc>
          <w:tcPr>
            <w:tcW w:w="1134" w:type="dxa"/>
            <w:vMerge/>
          </w:tcPr>
          <w:p w14:paraId="3A070584" w14:textId="77777777" w:rsidR="009568C5" w:rsidRDefault="009568C5" w:rsidP="009568C5">
            <w:pPr>
              <w:jc w:val="both"/>
              <w:rPr>
                <w:rFonts w:ascii="Times New Roman" w:hAnsi="Times New Roman"/>
                <w:sz w:val="20"/>
                <w:szCs w:val="20"/>
              </w:rPr>
            </w:pPr>
          </w:p>
        </w:tc>
        <w:tc>
          <w:tcPr>
            <w:tcW w:w="3118" w:type="dxa"/>
          </w:tcPr>
          <w:p w14:paraId="3A6B76FD" w14:textId="64527F36" w:rsidR="009568C5" w:rsidRDefault="009568C5" w:rsidP="009568C5">
            <w:pPr>
              <w:jc w:val="both"/>
              <w:rPr>
                <w:rFonts w:ascii="Times New Roman" w:hAnsi="Times New Roman"/>
                <w:sz w:val="20"/>
                <w:szCs w:val="20"/>
              </w:rPr>
            </w:pPr>
            <w:r w:rsidRPr="00651F56">
              <w:rPr>
                <w:rFonts w:ascii="Times New Roman" w:hAnsi="Times New Roman"/>
                <w:sz w:val="20"/>
                <w:szCs w:val="20"/>
                <w:lang w:eastAsia="lv-LV"/>
              </w:rPr>
              <w:t>nestrādājošas personas</w:t>
            </w:r>
          </w:p>
        </w:tc>
        <w:tc>
          <w:tcPr>
            <w:tcW w:w="2489" w:type="dxa"/>
            <w:vAlign w:val="center"/>
          </w:tcPr>
          <w:p w14:paraId="527EF1A9" w14:textId="205B90A8" w:rsidR="009568C5" w:rsidRDefault="009568C5" w:rsidP="00735515">
            <w:pPr>
              <w:jc w:val="center"/>
              <w:rPr>
                <w:rFonts w:ascii="Times New Roman" w:hAnsi="Times New Roman"/>
                <w:sz w:val="20"/>
                <w:szCs w:val="20"/>
              </w:rPr>
            </w:pPr>
            <w:r w:rsidRPr="00651F56">
              <w:rPr>
                <w:rFonts w:ascii="Times New Roman" w:hAnsi="Times New Roman"/>
                <w:b/>
                <w:bCs/>
                <w:sz w:val="20"/>
                <w:szCs w:val="20"/>
                <w:lang w:eastAsia="lv-LV"/>
              </w:rPr>
              <w:t>8</w:t>
            </w:r>
            <w:r>
              <w:rPr>
                <w:rFonts w:ascii="Times New Roman" w:hAnsi="Times New Roman"/>
                <w:b/>
                <w:bCs/>
                <w:sz w:val="20"/>
                <w:szCs w:val="20"/>
                <w:lang w:eastAsia="lv-LV"/>
              </w:rPr>
              <w:t xml:space="preserve"> </w:t>
            </w:r>
            <w:r w:rsidRPr="00651F56">
              <w:rPr>
                <w:rFonts w:ascii="Times New Roman" w:hAnsi="Times New Roman"/>
                <w:b/>
                <w:bCs/>
                <w:sz w:val="20"/>
                <w:szCs w:val="20"/>
                <w:lang w:eastAsia="lv-LV"/>
              </w:rPr>
              <w:t>626</w:t>
            </w:r>
          </w:p>
        </w:tc>
      </w:tr>
      <w:tr w:rsidR="009568C5" w14:paraId="019736B9" w14:textId="6B09BA15" w:rsidTr="00735515">
        <w:tc>
          <w:tcPr>
            <w:tcW w:w="1555" w:type="dxa"/>
            <w:vMerge/>
          </w:tcPr>
          <w:p w14:paraId="43CDB723" w14:textId="77777777" w:rsidR="009568C5" w:rsidRDefault="009568C5" w:rsidP="009568C5">
            <w:pPr>
              <w:jc w:val="both"/>
              <w:rPr>
                <w:rFonts w:ascii="Times New Roman" w:hAnsi="Times New Roman"/>
                <w:sz w:val="20"/>
                <w:szCs w:val="20"/>
              </w:rPr>
            </w:pPr>
          </w:p>
        </w:tc>
        <w:tc>
          <w:tcPr>
            <w:tcW w:w="1134" w:type="dxa"/>
            <w:vMerge/>
          </w:tcPr>
          <w:p w14:paraId="474BD018" w14:textId="77777777" w:rsidR="009568C5" w:rsidRDefault="009568C5" w:rsidP="009568C5">
            <w:pPr>
              <w:jc w:val="both"/>
              <w:rPr>
                <w:rFonts w:ascii="Times New Roman" w:hAnsi="Times New Roman"/>
                <w:sz w:val="20"/>
                <w:szCs w:val="20"/>
              </w:rPr>
            </w:pPr>
          </w:p>
        </w:tc>
        <w:tc>
          <w:tcPr>
            <w:tcW w:w="3118" w:type="dxa"/>
          </w:tcPr>
          <w:p w14:paraId="427AF1B3" w14:textId="11E434E6" w:rsidR="009568C5" w:rsidRDefault="009568C5" w:rsidP="009568C5">
            <w:pPr>
              <w:jc w:val="both"/>
              <w:rPr>
                <w:rFonts w:ascii="Times New Roman" w:hAnsi="Times New Roman"/>
                <w:sz w:val="20"/>
                <w:szCs w:val="20"/>
              </w:rPr>
            </w:pPr>
            <w:r w:rsidRPr="00651F56">
              <w:rPr>
                <w:rFonts w:ascii="Times New Roman" w:hAnsi="Times New Roman"/>
                <w:sz w:val="20"/>
                <w:szCs w:val="20"/>
                <w:lang w:eastAsia="lv-LV"/>
              </w:rPr>
              <w:t>personas bērna kopšanas atvaļinājumā</w:t>
            </w:r>
          </w:p>
        </w:tc>
        <w:tc>
          <w:tcPr>
            <w:tcW w:w="2489" w:type="dxa"/>
            <w:vAlign w:val="center"/>
          </w:tcPr>
          <w:p w14:paraId="6F34A1BA" w14:textId="73C93A2B" w:rsidR="009568C5" w:rsidRDefault="009568C5" w:rsidP="00735515">
            <w:pPr>
              <w:jc w:val="center"/>
              <w:rPr>
                <w:rFonts w:ascii="Times New Roman" w:hAnsi="Times New Roman"/>
                <w:sz w:val="20"/>
                <w:szCs w:val="20"/>
              </w:rPr>
            </w:pPr>
            <w:r w:rsidRPr="00651F56">
              <w:rPr>
                <w:rFonts w:ascii="Times New Roman" w:hAnsi="Times New Roman"/>
                <w:b/>
                <w:bCs/>
                <w:sz w:val="20"/>
                <w:szCs w:val="20"/>
                <w:lang w:eastAsia="lv-LV"/>
              </w:rPr>
              <w:t>1</w:t>
            </w:r>
            <w:r>
              <w:rPr>
                <w:rFonts w:ascii="Times New Roman" w:hAnsi="Times New Roman"/>
                <w:b/>
                <w:bCs/>
                <w:sz w:val="20"/>
                <w:szCs w:val="20"/>
                <w:lang w:eastAsia="lv-LV"/>
              </w:rPr>
              <w:t xml:space="preserve"> </w:t>
            </w:r>
            <w:r w:rsidRPr="00651F56">
              <w:rPr>
                <w:rFonts w:ascii="Times New Roman" w:hAnsi="Times New Roman"/>
                <w:b/>
                <w:bCs/>
                <w:sz w:val="20"/>
                <w:szCs w:val="20"/>
                <w:lang w:eastAsia="lv-LV"/>
              </w:rPr>
              <w:t>029</w:t>
            </w:r>
          </w:p>
        </w:tc>
      </w:tr>
      <w:tr w:rsidR="009568C5" w14:paraId="563113AC" w14:textId="512D3E33" w:rsidTr="00735515">
        <w:tc>
          <w:tcPr>
            <w:tcW w:w="1555" w:type="dxa"/>
            <w:vMerge/>
          </w:tcPr>
          <w:p w14:paraId="211B10C1" w14:textId="77777777" w:rsidR="009568C5" w:rsidRDefault="009568C5" w:rsidP="009568C5">
            <w:pPr>
              <w:jc w:val="both"/>
              <w:rPr>
                <w:rFonts w:ascii="Times New Roman" w:hAnsi="Times New Roman"/>
                <w:sz w:val="20"/>
                <w:szCs w:val="20"/>
              </w:rPr>
            </w:pPr>
          </w:p>
        </w:tc>
        <w:tc>
          <w:tcPr>
            <w:tcW w:w="4252" w:type="dxa"/>
            <w:gridSpan w:val="2"/>
          </w:tcPr>
          <w:p w14:paraId="2B28C598" w14:textId="6646E3C0" w:rsidR="009568C5" w:rsidRDefault="009568C5" w:rsidP="009568C5">
            <w:pPr>
              <w:rPr>
                <w:rFonts w:ascii="Times New Roman" w:hAnsi="Times New Roman"/>
                <w:sz w:val="20"/>
                <w:szCs w:val="20"/>
              </w:rPr>
            </w:pPr>
            <w:r w:rsidRPr="00651F56">
              <w:rPr>
                <w:rFonts w:ascii="Times New Roman" w:hAnsi="Times New Roman"/>
                <w:sz w:val="20"/>
                <w:szCs w:val="20"/>
                <w:lang w:eastAsia="lv-LV"/>
              </w:rPr>
              <w:t>pilngadīgas</w:t>
            </w:r>
            <w:r>
              <w:rPr>
                <w:rFonts w:ascii="Times New Roman" w:hAnsi="Times New Roman"/>
                <w:sz w:val="20"/>
                <w:szCs w:val="20"/>
                <w:lang w:eastAsia="lv-LV"/>
              </w:rPr>
              <w:t xml:space="preserve"> </w:t>
            </w:r>
            <w:r w:rsidRPr="00651F56">
              <w:rPr>
                <w:rFonts w:ascii="Times New Roman" w:hAnsi="Times New Roman"/>
                <w:sz w:val="20"/>
                <w:szCs w:val="20"/>
                <w:lang w:eastAsia="lv-LV"/>
              </w:rPr>
              <w:t>personas ar</w:t>
            </w:r>
            <w:r>
              <w:rPr>
                <w:rFonts w:ascii="Times New Roman" w:hAnsi="Times New Roman"/>
                <w:sz w:val="20"/>
                <w:szCs w:val="20"/>
                <w:lang w:eastAsia="lv-LV"/>
              </w:rPr>
              <w:t xml:space="preserve"> </w:t>
            </w:r>
            <w:r w:rsidRPr="00651F56">
              <w:rPr>
                <w:rFonts w:ascii="Times New Roman" w:hAnsi="Times New Roman"/>
                <w:sz w:val="20"/>
                <w:szCs w:val="20"/>
                <w:lang w:eastAsia="lv-LV"/>
              </w:rPr>
              <w:t>invaliditāti</w:t>
            </w:r>
          </w:p>
        </w:tc>
        <w:tc>
          <w:tcPr>
            <w:tcW w:w="2489" w:type="dxa"/>
            <w:vAlign w:val="center"/>
          </w:tcPr>
          <w:p w14:paraId="4FB81E71" w14:textId="09C98C38" w:rsidR="009568C5" w:rsidRDefault="009568C5" w:rsidP="00735515">
            <w:pPr>
              <w:jc w:val="center"/>
              <w:rPr>
                <w:rFonts w:ascii="Times New Roman" w:hAnsi="Times New Roman"/>
                <w:sz w:val="20"/>
                <w:szCs w:val="20"/>
              </w:rPr>
            </w:pPr>
            <w:r w:rsidRPr="00651F56">
              <w:rPr>
                <w:rFonts w:ascii="Times New Roman" w:hAnsi="Times New Roman"/>
                <w:b/>
                <w:bCs/>
                <w:sz w:val="20"/>
                <w:szCs w:val="20"/>
                <w:lang w:eastAsia="lv-LV"/>
              </w:rPr>
              <w:t>10</w:t>
            </w:r>
            <w:r>
              <w:rPr>
                <w:rFonts w:ascii="Times New Roman" w:hAnsi="Times New Roman"/>
                <w:b/>
                <w:bCs/>
                <w:sz w:val="20"/>
                <w:szCs w:val="20"/>
                <w:lang w:eastAsia="lv-LV"/>
              </w:rPr>
              <w:t xml:space="preserve"> </w:t>
            </w:r>
            <w:r w:rsidRPr="00651F56">
              <w:rPr>
                <w:rFonts w:ascii="Times New Roman" w:hAnsi="Times New Roman"/>
                <w:b/>
                <w:bCs/>
                <w:sz w:val="20"/>
                <w:szCs w:val="20"/>
                <w:lang w:eastAsia="lv-LV"/>
              </w:rPr>
              <w:t>116</w:t>
            </w:r>
          </w:p>
        </w:tc>
      </w:tr>
      <w:tr w:rsidR="009568C5" w14:paraId="68E2D06B" w14:textId="6574AED0" w:rsidTr="00735515">
        <w:tc>
          <w:tcPr>
            <w:tcW w:w="1555" w:type="dxa"/>
            <w:vMerge/>
          </w:tcPr>
          <w:p w14:paraId="32877E95" w14:textId="77777777" w:rsidR="009568C5" w:rsidRDefault="009568C5" w:rsidP="009568C5">
            <w:pPr>
              <w:jc w:val="both"/>
              <w:rPr>
                <w:rFonts w:ascii="Times New Roman" w:hAnsi="Times New Roman"/>
                <w:sz w:val="20"/>
                <w:szCs w:val="20"/>
              </w:rPr>
            </w:pPr>
          </w:p>
        </w:tc>
        <w:tc>
          <w:tcPr>
            <w:tcW w:w="4252" w:type="dxa"/>
            <w:gridSpan w:val="2"/>
          </w:tcPr>
          <w:p w14:paraId="0A6BE953" w14:textId="29EA1033" w:rsidR="009568C5" w:rsidRDefault="009568C5" w:rsidP="009568C5">
            <w:pPr>
              <w:rPr>
                <w:rFonts w:ascii="Times New Roman" w:hAnsi="Times New Roman"/>
                <w:sz w:val="20"/>
                <w:szCs w:val="20"/>
              </w:rPr>
            </w:pPr>
            <w:r w:rsidRPr="00651F56">
              <w:rPr>
                <w:rFonts w:ascii="Times New Roman" w:hAnsi="Times New Roman"/>
                <w:sz w:val="20"/>
                <w:szCs w:val="20"/>
                <w:lang w:eastAsia="lv-LV"/>
              </w:rPr>
              <w:t>pensijas</w:t>
            </w:r>
            <w:r>
              <w:rPr>
                <w:rFonts w:ascii="Times New Roman" w:hAnsi="Times New Roman"/>
                <w:sz w:val="20"/>
                <w:szCs w:val="20"/>
                <w:lang w:eastAsia="lv-LV"/>
              </w:rPr>
              <w:t xml:space="preserve"> </w:t>
            </w:r>
            <w:r w:rsidRPr="00651F56">
              <w:rPr>
                <w:rFonts w:ascii="Times New Roman" w:hAnsi="Times New Roman"/>
                <w:sz w:val="20"/>
                <w:szCs w:val="20"/>
                <w:lang w:eastAsia="lv-LV"/>
              </w:rPr>
              <w:t>vecuma</w:t>
            </w:r>
            <w:r>
              <w:rPr>
                <w:rFonts w:ascii="Times New Roman" w:hAnsi="Times New Roman"/>
                <w:sz w:val="20"/>
                <w:szCs w:val="20"/>
                <w:lang w:eastAsia="lv-LV"/>
              </w:rPr>
              <w:t xml:space="preserve"> </w:t>
            </w:r>
            <w:r w:rsidRPr="00651F56">
              <w:rPr>
                <w:rFonts w:ascii="Times New Roman" w:hAnsi="Times New Roman"/>
                <w:sz w:val="20"/>
                <w:szCs w:val="20"/>
                <w:lang w:eastAsia="lv-LV"/>
              </w:rPr>
              <w:t>personas</w:t>
            </w:r>
          </w:p>
        </w:tc>
        <w:tc>
          <w:tcPr>
            <w:tcW w:w="2489" w:type="dxa"/>
            <w:vAlign w:val="center"/>
          </w:tcPr>
          <w:p w14:paraId="486352A1" w14:textId="1414F8EB" w:rsidR="009568C5" w:rsidRDefault="009568C5" w:rsidP="00735515">
            <w:pPr>
              <w:jc w:val="center"/>
              <w:rPr>
                <w:rFonts w:ascii="Times New Roman" w:hAnsi="Times New Roman"/>
                <w:sz w:val="20"/>
                <w:szCs w:val="20"/>
              </w:rPr>
            </w:pPr>
            <w:r w:rsidRPr="00651F56">
              <w:rPr>
                <w:rFonts w:ascii="Times New Roman" w:hAnsi="Times New Roman"/>
                <w:b/>
                <w:bCs/>
                <w:sz w:val="20"/>
                <w:szCs w:val="20"/>
                <w:lang w:eastAsia="lv-LV"/>
              </w:rPr>
              <w:t>24</w:t>
            </w:r>
            <w:r>
              <w:rPr>
                <w:rFonts w:ascii="Times New Roman" w:hAnsi="Times New Roman"/>
                <w:b/>
                <w:bCs/>
                <w:sz w:val="20"/>
                <w:szCs w:val="20"/>
                <w:lang w:eastAsia="lv-LV"/>
              </w:rPr>
              <w:t xml:space="preserve"> </w:t>
            </w:r>
            <w:r w:rsidRPr="00651F56">
              <w:rPr>
                <w:rFonts w:ascii="Times New Roman" w:hAnsi="Times New Roman"/>
                <w:b/>
                <w:bCs/>
                <w:sz w:val="20"/>
                <w:szCs w:val="20"/>
                <w:lang w:eastAsia="lv-LV"/>
              </w:rPr>
              <w:t>673</w:t>
            </w:r>
          </w:p>
        </w:tc>
      </w:tr>
    </w:tbl>
    <w:p w14:paraId="3E1E24EE" w14:textId="77777777" w:rsidR="00EC4DF2" w:rsidRDefault="00EC4DF2" w:rsidP="003C3506">
      <w:pPr>
        <w:spacing w:after="0" w:line="240" w:lineRule="auto"/>
        <w:jc w:val="both"/>
        <w:rPr>
          <w:rFonts w:ascii="Times New Roman" w:hAnsi="Times New Roman" w:cs="Times New Roman"/>
          <w:sz w:val="20"/>
          <w:szCs w:val="20"/>
        </w:rPr>
      </w:pPr>
      <w:r w:rsidRPr="00651F56">
        <w:rPr>
          <w:rFonts w:ascii="Times New Roman" w:hAnsi="Times New Roman" w:cs="Times New Roman"/>
          <w:sz w:val="20"/>
          <w:szCs w:val="20"/>
        </w:rPr>
        <w:t xml:space="preserve">LM </w:t>
      </w:r>
      <w:r w:rsidRPr="00023975">
        <w:rPr>
          <w:rFonts w:ascii="Times New Roman" w:hAnsi="Times New Roman" w:cs="Times New Roman"/>
          <w:sz w:val="20"/>
          <w:szCs w:val="20"/>
        </w:rPr>
        <w:t>oficiālie statistikas pārskati par 2021.gadu</w:t>
      </w:r>
      <w:r w:rsidRPr="00651F56" w:rsidDel="00EC4DF2">
        <w:rPr>
          <w:rFonts w:ascii="Times New Roman" w:hAnsi="Times New Roman" w:cs="Times New Roman"/>
          <w:sz w:val="20"/>
          <w:szCs w:val="20"/>
        </w:rPr>
        <w:t xml:space="preserve"> </w:t>
      </w:r>
    </w:p>
    <w:p w14:paraId="52B83D9F" w14:textId="77777777" w:rsidR="0059117C" w:rsidRDefault="0059117C" w:rsidP="003C3506">
      <w:pPr>
        <w:spacing w:after="0" w:line="240" w:lineRule="auto"/>
        <w:jc w:val="both"/>
        <w:rPr>
          <w:rFonts w:ascii="Times New Roman" w:hAnsi="Times New Roman" w:cs="Times New Roman"/>
          <w:sz w:val="24"/>
          <w:szCs w:val="24"/>
        </w:rPr>
      </w:pPr>
    </w:p>
    <w:p w14:paraId="0997F4D7" w14:textId="77777777" w:rsidR="00EC4DF2" w:rsidRPr="00651F56" w:rsidRDefault="00EC4DF2" w:rsidP="00EC4DF2">
      <w:pPr>
        <w:spacing w:after="0"/>
        <w:jc w:val="both"/>
        <w:rPr>
          <w:rFonts w:ascii="Times New Roman" w:hAnsi="Times New Roman" w:cs="Times New Roman"/>
          <w:sz w:val="24"/>
          <w:szCs w:val="24"/>
        </w:rPr>
      </w:pPr>
      <w:r w:rsidRPr="00651F56">
        <w:rPr>
          <w:rFonts w:ascii="Times New Roman" w:hAnsi="Times New Roman" w:cs="Times New Roman"/>
          <w:sz w:val="24"/>
          <w:szCs w:val="24"/>
        </w:rPr>
        <w:t xml:space="preserve">No 2021.gada 1.jūlija stājās spēkā vienotā mājokļa pabalsta apmēra aprēķināšanas un piešķiršanas sistēma. Pašvaldībām Sociālo pakalpojumu un sociālās palīdzības likumā </w:t>
      </w:r>
      <w:r>
        <w:rPr>
          <w:rFonts w:ascii="Times New Roman" w:hAnsi="Times New Roman" w:cs="Times New Roman"/>
          <w:sz w:val="24"/>
          <w:szCs w:val="24"/>
        </w:rPr>
        <w:t>tika</w:t>
      </w:r>
      <w:r w:rsidRPr="00651F56">
        <w:rPr>
          <w:rFonts w:ascii="Times New Roman" w:hAnsi="Times New Roman" w:cs="Times New Roman"/>
          <w:sz w:val="24"/>
          <w:szCs w:val="24"/>
        </w:rPr>
        <w:t xml:space="preserve"> deleģētas tiesības noteikt </w:t>
      </w:r>
      <w:r>
        <w:rPr>
          <w:rFonts w:ascii="Times New Roman" w:hAnsi="Times New Roman" w:cs="Times New Roman"/>
          <w:sz w:val="24"/>
          <w:szCs w:val="24"/>
        </w:rPr>
        <w:t xml:space="preserve">labvēlīgākus </w:t>
      </w:r>
      <w:r w:rsidRPr="00941235">
        <w:rPr>
          <w:rFonts w:ascii="Times New Roman" w:hAnsi="Times New Roman" w:cs="Times New Roman"/>
          <w:sz w:val="24"/>
          <w:szCs w:val="24"/>
        </w:rPr>
        <w:t>mājokļ</w:t>
      </w:r>
      <w:r>
        <w:rPr>
          <w:rFonts w:ascii="Times New Roman" w:hAnsi="Times New Roman" w:cs="Times New Roman"/>
          <w:sz w:val="24"/>
          <w:szCs w:val="24"/>
        </w:rPr>
        <w:t xml:space="preserve">a pabalsta apmēra aprēķināšanas </w:t>
      </w:r>
      <w:r w:rsidRPr="00651F56">
        <w:rPr>
          <w:rFonts w:ascii="Times New Roman" w:hAnsi="Times New Roman" w:cs="Times New Roman"/>
          <w:sz w:val="24"/>
          <w:szCs w:val="24"/>
        </w:rPr>
        <w:t>koeficientus</w:t>
      </w:r>
      <w:r w:rsidRPr="00651F56">
        <w:rPr>
          <w:rStyle w:val="FootnoteReference"/>
          <w:rFonts w:ascii="Times New Roman" w:hAnsi="Times New Roman"/>
          <w:sz w:val="24"/>
          <w:szCs w:val="24"/>
        </w:rPr>
        <w:footnoteReference w:id="16"/>
      </w:r>
      <w:r w:rsidRPr="00651F56">
        <w:rPr>
          <w:rFonts w:ascii="Times New Roman" w:hAnsi="Times New Roman" w:cs="Times New Roman"/>
          <w:sz w:val="24"/>
          <w:szCs w:val="24"/>
        </w:rPr>
        <w:t xml:space="preserve">, </w:t>
      </w:r>
      <w:r>
        <w:rPr>
          <w:rFonts w:ascii="Times New Roman" w:hAnsi="Times New Roman" w:cs="Times New Roman"/>
          <w:sz w:val="24"/>
          <w:szCs w:val="24"/>
        </w:rPr>
        <w:t xml:space="preserve">tomēr šīs tiesības izmantoja tikai </w:t>
      </w:r>
      <w:r w:rsidRPr="00651F56">
        <w:rPr>
          <w:rFonts w:ascii="Times New Roman" w:hAnsi="Times New Roman" w:cs="Times New Roman"/>
          <w:sz w:val="24"/>
          <w:szCs w:val="24"/>
        </w:rPr>
        <w:t xml:space="preserve">nedaudzas pašvaldības, </w:t>
      </w:r>
      <w:r>
        <w:rPr>
          <w:rFonts w:ascii="Times New Roman" w:hAnsi="Times New Roman" w:cs="Times New Roman"/>
          <w:sz w:val="24"/>
          <w:szCs w:val="24"/>
        </w:rPr>
        <w:t xml:space="preserve">jo </w:t>
      </w:r>
      <w:r w:rsidRPr="00651F56">
        <w:rPr>
          <w:rFonts w:ascii="Times New Roman" w:hAnsi="Times New Roman" w:cs="Times New Roman"/>
          <w:sz w:val="24"/>
          <w:szCs w:val="24"/>
        </w:rPr>
        <w:t xml:space="preserve">bija pašvaldības, kuras uzskatīja, ka visā valstī </w:t>
      </w:r>
      <w:r>
        <w:rPr>
          <w:rFonts w:ascii="Times New Roman" w:hAnsi="Times New Roman" w:cs="Times New Roman"/>
          <w:sz w:val="24"/>
          <w:szCs w:val="24"/>
        </w:rPr>
        <w:t xml:space="preserve">ir </w:t>
      </w:r>
      <w:r w:rsidRPr="00651F56">
        <w:rPr>
          <w:rFonts w:ascii="Times New Roman" w:hAnsi="Times New Roman" w:cs="Times New Roman"/>
          <w:sz w:val="24"/>
          <w:szCs w:val="24"/>
        </w:rPr>
        <w:t xml:space="preserve">jānosaka vienādi koeficienti. </w:t>
      </w:r>
      <w:r>
        <w:rPr>
          <w:rFonts w:ascii="Times New Roman" w:hAnsi="Times New Roman" w:cs="Times New Roman"/>
          <w:sz w:val="24"/>
          <w:szCs w:val="24"/>
        </w:rPr>
        <w:t xml:space="preserve">Jāatzīmē, ka </w:t>
      </w:r>
      <w:r w:rsidRPr="00651F56">
        <w:rPr>
          <w:rFonts w:ascii="Times New Roman" w:hAnsi="Times New Roman" w:cs="Times New Roman"/>
          <w:sz w:val="24"/>
          <w:szCs w:val="24"/>
        </w:rPr>
        <w:t>vienotā mājokļa pabalsta apmēra aprēķināšanas un piešķiršanas sistēma bija jāievieš vienlaicīgi ar administratīvi teritoriālo reformu, kas bija nopietns izaicinājums visiem iesaistītajiem</w:t>
      </w:r>
      <w:r>
        <w:rPr>
          <w:rFonts w:ascii="Times New Roman" w:hAnsi="Times New Roman" w:cs="Times New Roman"/>
          <w:sz w:val="24"/>
          <w:szCs w:val="24"/>
        </w:rPr>
        <w:t>, bet jo īpaši pašvaldībām un pašvaldībās strādājošajiem darbiniekiem</w:t>
      </w:r>
      <w:r w:rsidRPr="00651F56">
        <w:rPr>
          <w:rFonts w:ascii="Times New Roman" w:hAnsi="Times New Roman" w:cs="Times New Roman"/>
          <w:sz w:val="24"/>
          <w:szCs w:val="24"/>
        </w:rPr>
        <w:t xml:space="preserve">. </w:t>
      </w:r>
    </w:p>
    <w:p w14:paraId="6736AAE8" w14:textId="77777777" w:rsidR="00EC4DF2" w:rsidRDefault="00EC4DF2" w:rsidP="003C3506">
      <w:pPr>
        <w:spacing w:after="0" w:line="240" w:lineRule="auto"/>
        <w:jc w:val="both"/>
        <w:rPr>
          <w:rFonts w:ascii="Times New Roman" w:hAnsi="Times New Roman" w:cs="Times New Roman"/>
          <w:sz w:val="24"/>
          <w:szCs w:val="24"/>
        </w:rPr>
      </w:pPr>
    </w:p>
    <w:p w14:paraId="4C47103E" w14:textId="6E7B56CB" w:rsidR="00316FEC" w:rsidRPr="003C3506" w:rsidRDefault="009C7A1C" w:rsidP="003C3506">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Laikposmā no 2022. gada 1. janvāra līdz 2022. gada 31. </w:t>
      </w:r>
      <w:r w:rsidR="00316FEC" w:rsidRPr="003C3506">
        <w:rPr>
          <w:rFonts w:ascii="Times New Roman" w:hAnsi="Times New Roman" w:cs="Times New Roman"/>
          <w:sz w:val="24"/>
          <w:szCs w:val="24"/>
        </w:rPr>
        <w:t>decembrim</w:t>
      </w:r>
      <w:r w:rsidR="00316FEC" w:rsidRPr="00651F56">
        <w:rPr>
          <w:rStyle w:val="FootnoteReference"/>
          <w:rFonts w:ascii="Times New Roman" w:hAnsi="Times New Roman"/>
          <w:sz w:val="24"/>
          <w:szCs w:val="24"/>
        </w:rPr>
        <w:footnoteReference w:id="17"/>
      </w:r>
      <w:r w:rsidR="00316FEC" w:rsidRPr="003C3506">
        <w:rPr>
          <w:rFonts w:ascii="Times New Roman" w:hAnsi="Times New Roman" w:cs="Times New Roman"/>
          <w:sz w:val="24"/>
          <w:szCs w:val="24"/>
        </w:rPr>
        <w:t xml:space="preserve"> pašvaldības, aprēķinot mājokļa pabalsta apmēru, garantētā minimālā ienākuma</w:t>
      </w:r>
      <w:r w:rsidR="0059117C">
        <w:rPr>
          <w:rFonts w:ascii="Times New Roman" w:hAnsi="Times New Roman" w:cs="Times New Roman"/>
          <w:sz w:val="24"/>
          <w:szCs w:val="24"/>
        </w:rPr>
        <w:t xml:space="preserve"> (turpmāk – GMI)</w:t>
      </w:r>
      <w:r w:rsidR="00316FEC" w:rsidRPr="003C3506">
        <w:rPr>
          <w:rFonts w:ascii="Times New Roman" w:hAnsi="Times New Roman" w:cs="Times New Roman"/>
          <w:sz w:val="24"/>
          <w:szCs w:val="24"/>
        </w:rPr>
        <w:t xml:space="preserve"> sliekšņu summai piemēro šādus koeficientus:</w:t>
      </w:r>
    </w:p>
    <w:p w14:paraId="5D46EA65" w14:textId="0AD034D5" w:rsidR="00316FEC" w:rsidRPr="00651F56" w:rsidRDefault="00316FEC" w:rsidP="004008A3">
      <w:pPr>
        <w:pStyle w:val="ListParagraph"/>
        <w:numPr>
          <w:ilvl w:val="0"/>
          <w:numId w:val="6"/>
        </w:numPr>
        <w:spacing w:after="0" w:line="240" w:lineRule="auto"/>
        <w:jc w:val="both"/>
        <w:rPr>
          <w:rFonts w:ascii="Times New Roman" w:hAnsi="Times New Roman" w:cs="Times New Roman"/>
          <w:sz w:val="24"/>
          <w:szCs w:val="24"/>
        </w:rPr>
      </w:pPr>
      <w:r w:rsidRPr="00651F56">
        <w:rPr>
          <w:rFonts w:ascii="Times New Roman" w:hAnsi="Times New Roman" w:cs="Times New Roman"/>
          <w:sz w:val="24"/>
          <w:szCs w:val="24"/>
        </w:rPr>
        <w:t xml:space="preserve">1) atsevišķi dzīvojošai pensijas vecuma personai vai atsevišķi dzīvojošai personai ar invaliditāti – </w:t>
      </w:r>
      <w:r w:rsidRPr="00651F56">
        <w:rPr>
          <w:rFonts w:ascii="Times New Roman" w:hAnsi="Times New Roman" w:cs="Times New Roman"/>
          <w:b/>
          <w:i/>
          <w:sz w:val="24"/>
          <w:szCs w:val="24"/>
        </w:rPr>
        <w:t>koeficientu 2,5</w:t>
      </w:r>
      <w:r w:rsidR="009C7A1C">
        <w:rPr>
          <w:rStyle w:val="FootnoteReference"/>
          <w:rFonts w:ascii="Times New Roman" w:hAnsi="Times New Roman"/>
          <w:sz w:val="24"/>
          <w:szCs w:val="24"/>
        </w:rPr>
        <w:footnoteReference w:id="18"/>
      </w:r>
      <w:r w:rsidRPr="00651F56">
        <w:rPr>
          <w:rFonts w:ascii="Times New Roman" w:hAnsi="Times New Roman" w:cs="Times New Roman"/>
          <w:sz w:val="24"/>
          <w:szCs w:val="24"/>
        </w:rPr>
        <w:t xml:space="preserve"> vai pašvaldības noteikto koeficientu, ja tas ir lielāks par šajā punktā noteikto;</w:t>
      </w:r>
    </w:p>
    <w:p w14:paraId="049B16A9" w14:textId="3A9C7209" w:rsidR="00316FEC" w:rsidRPr="00651F56" w:rsidRDefault="00316FEC" w:rsidP="004008A3">
      <w:pPr>
        <w:pStyle w:val="ListParagraph"/>
        <w:numPr>
          <w:ilvl w:val="0"/>
          <w:numId w:val="6"/>
        </w:numPr>
        <w:spacing w:after="0" w:line="240" w:lineRule="auto"/>
        <w:jc w:val="both"/>
        <w:rPr>
          <w:rFonts w:ascii="Times New Roman" w:hAnsi="Times New Roman" w:cs="Times New Roman"/>
          <w:sz w:val="24"/>
          <w:szCs w:val="24"/>
        </w:rPr>
      </w:pPr>
      <w:r w:rsidRPr="00651F56">
        <w:rPr>
          <w:rFonts w:ascii="Times New Roman" w:hAnsi="Times New Roman" w:cs="Times New Roman"/>
          <w:sz w:val="24"/>
          <w:szCs w:val="24"/>
        </w:rPr>
        <w:t xml:space="preserve">2) mājsaimniecībai, kurā ir tikai pensijas vecuma personas vai personas ar invaliditāti, – </w:t>
      </w:r>
      <w:r w:rsidRPr="00651F56">
        <w:rPr>
          <w:rFonts w:ascii="Times New Roman" w:hAnsi="Times New Roman" w:cs="Times New Roman"/>
          <w:b/>
          <w:i/>
          <w:sz w:val="24"/>
          <w:szCs w:val="24"/>
        </w:rPr>
        <w:t>koeficientu 2</w:t>
      </w:r>
      <w:r w:rsidR="009C7A1C" w:rsidRPr="009C7A1C">
        <w:rPr>
          <w:rStyle w:val="FootnoteReference"/>
          <w:rFonts w:ascii="Times New Roman" w:hAnsi="Times New Roman"/>
          <w:i/>
          <w:sz w:val="24"/>
          <w:szCs w:val="24"/>
        </w:rPr>
        <w:footnoteReference w:id="19"/>
      </w:r>
      <w:r w:rsidRPr="00651F56">
        <w:rPr>
          <w:rFonts w:ascii="Times New Roman" w:hAnsi="Times New Roman" w:cs="Times New Roman"/>
          <w:sz w:val="24"/>
          <w:szCs w:val="24"/>
        </w:rPr>
        <w:t xml:space="preserve"> vai pašvaldības noteikto koeficientu, ja tas ir lielāks par šajā punktā noteikto;</w:t>
      </w:r>
    </w:p>
    <w:p w14:paraId="4CC10F6F" w14:textId="2EEA3206" w:rsidR="00316FEC" w:rsidRPr="00651F56" w:rsidRDefault="00316FEC" w:rsidP="004008A3">
      <w:pPr>
        <w:pStyle w:val="ListParagraph"/>
        <w:numPr>
          <w:ilvl w:val="0"/>
          <w:numId w:val="6"/>
        </w:numPr>
        <w:spacing w:after="0" w:line="240" w:lineRule="auto"/>
        <w:jc w:val="both"/>
        <w:rPr>
          <w:rFonts w:ascii="Times New Roman" w:hAnsi="Times New Roman" w:cs="Times New Roman"/>
          <w:sz w:val="24"/>
          <w:szCs w:val="24"/>
        </w:rPr>
      </w:pPr>
      <w:r w:rsidRPr="00651F56">
        <w:rPr>
          <w:rFonts w:ascii="Times New Roman" w:hAnsi="Times New Roman" w:cs="Times New Roman"/>
          <w:sz w:val="24"/>
          <w:szCs w:val="24"/>
        </w:rPr>
        <w:t xml:space="preserve">3) pārējām mājsaimniecībām - </w:t>
      </w:r>
      <w:r w:rsidRPr="00651F56">
        <w:rPr>
          <w:rFonts w:ascii="Times New Roman" w:hAnsi="Times New Roman" w:cs="Times New Roman"/>
          <w:b/>
          <w:i/>
          <w:sz w:val="24"/>
          <w:szCs w:val="24"/>
        </w:rPr>
        <w:t>koeficientu 1,5</w:t>
      </w:r>
      <w:r w:rsidR="009C7A1C">
        <w:rPr>
          <w:rStyle w:val="FootnoteReference"/>
          <w:rFonts w:ascii="Times New Roman" w:hAnsi="Times New Roman"/>
          <w:b/>
          <w:i/>
          <w:sz w:val="24"/>
          <w:szCs w:val="24"/>
        </w:rPr>
        <w:footnoteReference w:id="20"/>
      </w:r>
      <w:r w:rsidRPr="00651F56">
        <w:rPr>
          <w:rFonts w:ascii="Times New Roman" w:hAnsi="Times New Roman" w:cs="Times New Roman"/>
          <w:sz w:val="24"/>
          <w:szCs w:val="24"/>
        </w:rPr>
        <w:t xml:space="preserve"> vai pašvaldības noteikto koeficientu, ja tas ir lielāks par šajā punktā noteikto.</w:t>
      </w:r>
    </w:p>
    <w:p w14:paraId="2579FE73" w14:textId="77777777" w:rsidR="00316FEC" w:rsidRPr="00651F56" w:rsidRDefault="00316FEC" w:rsidP="004008A3">
      <w:pPr>
        <w:numPr>
          <w:ilvl w:val="0"/>
          <w:numId w:val="6"/>
        </w:numPr>
        <w:spacing w:after="0" w:line="240" w:lineRule="auto"/>
        <w:ind w:firstLine="0"/>
        <w:jc w:val="both"/>
        <w:rPr>
          <w:rFonts w:ascii="Times New Roman" w:hAnsi="Times New Roman" w:cs="Times New Roman"/>
          <w:b/>
          <w:i/>
          <w:sz w:val="24"/>
          <w:szCs w:val="24"/>
        </w:rPr>
      </w:pPr>
    </w:p>
    <w:p w14:paraId="5423558C" w14:textId="61709D79" w:rsidR="00316FEC" w:rsidRPr="00651F56" w:rsidRDefault="008F3943" w:rsidP="003C3506">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Palielināto koeficientu piemērošana</w:t>
      </w:r>
      <w:r w:rsidRPr="00651F56">
        <w:rPr>
          <w:rFonts w:ascii="Times New Roman" w:hAnsi="Times New Roman" w:cs="Times New Roman"/>
          <w:sz w:val="24"/>
          <w:szCs w:val="24"/>
        </w:rPr>
        <w:t xml:space="preserve"> </w:t>
      </w:r>
      <w:r w:rsidR="00316FEC" w:rsidRPr="00651F56">
        <w:rPr>
          <w:rFonts w:ascii="Times New Roman" w:hAnsi="Times New Roman" w:cs="Times New Roman"/>
          <w:sz w:val="24"/>
          <w:szCs w:val="24"/>
        </w:rPr>
        <w:t>dod iespēju lielākam skaitam mājsaimniecību kvalificēties mājokļa pabalstam, īpaši pensijas vecuma personām un personām ar invaliditāti.</w:t>
      </w:r>
    </w:p>
    <w:p w14:paraId="6A95B88B" w14:textId="36D71670" w:rsidR="00316FEC" w:rsidRDefault="00316FEC" w:rsidP="00316FEC">
      <w:pPr>
        <w:spacing w:after="0"/>
        <w:jc w:val="both"/>
        <w:rPr>
          <w:rFonts w:ascii="Times New Roman" w:hAnsi="Times New Roman" w:cs="Times New Roman"/>
          <w:sz w:val="24"/>
          <w:szCs w:val="24"/>
        </w:rPr>
      </w:pPr>
    </w:p>
    <w:p w14:paraId="7B94E191" w14:textId="46011D2D" w:rsidR="00A00CFF" w:rsidRPr="001F5B58" w:rsidRDefault="00A00CFF" w:rsidP="00A00CFF">
      <w:pPr>
        <w:spacing w:after="0"/>
        <w:jc w:val="both"/>
        <w:rPr>
          <w:rFonts w:ascii="Times New Roman" w:hAnsi="Times New Roman" w:cs="Times New Roman"/>
          <w:sz w:val="24"/>
          <w:szCs w:val="24"/>
        </w:rPr>
      </w:pPr>
      <w:r w:rsidRPr="001F5B58">
        <w:rPr>
          <w:rFonts w:ascii="Times New Roman" w:hAnsi="Times New Roman" w:cs="Times New Roman"/>
          <w:sz w:val="24"/>
          <w:szCs w:val="24"/>
        </w:rPr>
        <w:t xml:space="preserve">Kā redzams </w:t>
      </w:r>
      <w:r w:rsidR="001F5B58" w:rsidRPr="001F5B58">
        <w:rPr>
          <w:rFonts w:ascii="Times New Roman" w:hAnsi="Times New Roman" w:cs="Times New Roman"/>
          <w:sz w:val="24"/>
          <w:szCs w:val="24"/>
        </w:rPr>
        <w:t>6</w:t>
      </w:r>
      <w:r w:rsidRPr="001F5B58">
        <w:rPr>
          <w:rFonts w:ascii="Times New Roman" w:hAnsi="Times New Roman" w:cs="Times New Roman"/>
          <w:sz w:val="24"/>
          <w:szCs w:val="24"/>
        </w:rPr>
        <w:t xml:space="preserve">.tabulā, mājokļa pabalstu saņēmušo trūcīgo personu skaits un arī īpatsvars starp visām trūcīgajām personām kopš janvāra mēneša ir katru mēnesi palielinājies, </w:t>
      </w:r>
      <w:r w:rsidRPr="001F5B58">
        <w:rPr>
          <w:rFonts w:ascii="Times New Roman" w:hAnsi="Times New Roman" w:cs="Times New Roman"/>
          <w:sz w:val="24"/>
          <w:szCs w:val="24"/>
        </w:rPr>
        <w:lastRenderedPageBreak/>
        <w:t>aprīlī sasniedzot 45%</w:t>
      </w:r>
      <w:r w:rsidR="00832241" w:rsidRPr="001F5B58">
        <w:rPr>
          <w:rFonts w:ascii="Times New Roman" w:hAnsi="Times New Roman" w:cs="Times New Roman"/>
          <w:sz w:val="24"/>
          <w:szCs w:val="24"/>
        </w:rPr>
        <w:t>. Šāds īpatsvars nav bijis vērojams iepriekšējā apkures sezonā, kas liecina par pieaugošām trūcīgo personu grūtībām segt ar mājokli saistītos izdevumus</w:t>
      </w:r>
      <w:r w:rsidR="00914232">
        <w:rPr>
          <w:rFonts w:ascii="Times New Roman" w:hAnsi="Times New Roman" w:cs="Times New Roman"/>
          <w:sz w:val="24"/>
          <w:szCs w:val="24"/>
        </w:rPr>
        <w:t xml:space="preserve">, </w:t>
      </w:r>
      <w:r w:rsidR="00914232">
        <w:rPr>
          <w:rFonts w:ascii="Times New Roman" w:hAnsi="Times New Roman" w:cs="Times New Roman"/>
          <w:sz w:val="24"/>
          <w:szCs w:val="24"/>
        </w:rPr>
        <w:t>kā arī uz pašiem trūcīgākajiem mērķētās vienotās mājokļa pabalsta sistēmas ieviešanas rezultātiem</w:t>
      </w:r>
      <w:r w:rsidR="00832241" w:rsidRPr="001F5B58">
        <w:rPr>
          <w:rFonts w:ascii="Times New Roman" w:hAnsi="Times New Roman" w:cs="Times New Roman"/>
          <w:sz w:val="24"/>
          <w:szCs w:val="24"/>
        </w:rPr>
        <w:t xml:space="preserve">. </w:t>
      </w:r>
    </w:p>
    <w:p w14:paraId="7484A120" w14:textId="6B962EF8" w:rsidR="00A00CFF" w:rsidRPr="001F5B58" w:rsidRDefault="00A00CFF" w:rsidP="00316FEC">
      <w:pPr>
        <w:spacing w:after="0"/>
        <w:jc w:val="both"/>
        <w:rPr>
          <w:rFonts w:ascii="Times New Roman" w:hAnsi="Times New Roman" w:cs="Times New Roman"/>
          <w:sz w:val="24"/>
          <w:szCs w:val="24"/>
        </w:rPr>
      </w:pPr>
    </w:p>
    <w:p w14:paraId="53DF711A" w14:textId="121F6DA3" w:rsidR="00633851" w:rsidRPr="00633851" w:rsidRDefault="001F5B58" w:rsidP="00633851">
      <w:pPr>
        <w:spacing w:after="0"/>
        <w:jc w:val="both"/>
        <w:rPr>
          <w:rFonts w:ascii="Times New Roman" w:hAnsi="Times New Roman" w:cs="Times New Roman"/>
          <w:sz w:val="24"/>
          <w:szCs w:val="24"/>
        </w:rPr>
      </w:pPr>
      <w:r w:rsidRPr="001F5B58">
        <w:rPr>
          <w:rFonts w:ascii="Times New Roman" w:hAnsi="Times New Roman" w:cs="Times New Roman"/>
          <w:sz w:val="24"/>
          <w:szCs w:val="24"/>
        </w:rPr>
        <w:t>6</w:t>
      </w:r>
      <w:r w:rsidR="00633851" w:rsidRPr="001F5B58">
        <w:rPr>
          <w:rFonts w:ascii="Times New Roman" w:hAnsi="Times New Roman" w:cs="Times New Roman"/>
          <w:sz w:val="24"/>
          <w:szCs w:val="24"/>
        </w:rPr>
        <w:t>.tabula. Personu</w:t>
      </w:r>
      <w:r w:rsidR="00633851" w:rsidRPr="00633851">
        <w:rPr>
          <w:rFonts w:ascii="Times New Roman" w:hAnsi="Times New Roman" w:cs="Times New Roman"/>
          <w:sz w:val="24"/>
          <w:szCs w:val="24"/>
        </w:rPr>
        <w:t xml:space="preserve"> skaits, kurām 2022.gada četros mēnešos izmaksāts mājokļa pabalsts, mājokļa pabalstam izlietotie līdzekļi un mājokļa pabalstu saņēmušo trūcīgo un maznodrošināto personu īpatsvars no personām, kurām noteikts attiecīgs statuss  </w:t>
      </w:r>
    </w:p>
    <w:tbl>
      <w:tblPr>
        <w:tblW w:w="8301" w:type="dxa"/>
        <w:tblInd w:w="-5" w:type="dxa"/>
        <w:tblLook w:val="04A0" w:firstRow="1" w:lastRow="0" w:firstColumn="1" w:lastColumn="0" w:noHBand="0" w:noVBand="1"/>
      </w:tblPr>
      <w:tblGrid>
        <w:gridCol w:w="1104"/>
        <w:gridCol w:w="1322"/>
        <w:gridCol w:w="1342"/>
        <w:gridCol w:w="1555"/>
        <w:gridCol w:w="1203"/>
        <w:gridCol w:w="1775"/>
      </w:tblGrid>
      <w:tr w:rsidR="00633851" w:rsidRPr="00633851" w14:paraId="1D91747F" w14:textId="77777777" w:rsidTr="00AD7B38">
        <w:trPr>
          <w:trHeight w:val="2600"/>
        </w:trPr>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2DAAC" w14:textId="77777777" w:rsidR="00633851" w:rsidRPr="00633851" w:rsidRDefault="00633851" w:rsidP="006F1FD3">
            <w:pPr>
              <w:spacing w:after="0" w:line="240" w:lineRule="auto"/>
              <w:rPr>
                <w:rFonts w:ascii="Times New Roman" w:eastAsia="Times New Roman" w:hAnsi="Times New Roman" w:cs="Times New Roman"/>
                <w:sz w:val="20"/>
                <w:szCs w:val="20"/>
                <w:lang w:eastAsia="lv-LV"/>
              </w:rPr>
            </w:pPr>
            <w:r w:rsidRPr="00633851">
              <w:rPr>
                <w:rFonts w:ascii="Times New Roman" w:eastAsia="Times New Roman" w:hAnsi="Times New Roman" w:cs="Times New Roman"/>
                <w:sz w:val="20"/>
                <w:szCs w:val="20"/>
                <w:lang w:eastAsia="lv-LV"/>
              </w:rPr>
              <w:t> </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14:paraId="0E8BC55D" w14:textId="77777777" w:rsidR="00633851" w:rsidRPr="00633851" w:rsidRDefault="00633851" w:rsidP="006F1FD3">
            <w:pPr>
              <w:spacing w:after="0" w:line="240" w:lineRule="auto"/>
              <w:jc w:val="center"/>
              <w:rPr>
                <w:rFonts w:ascii="Times New Roman" w:eastAsia="Times New Roman" w:hAnsi="Times New Roman" w:cs="Times New Roman"/>
                <w:sz w:val="20"/>
                <w:szCs w:val="20"/>
                <w:lang w:eastAsia="lv-LV"/>
              </w:rPr>
            </w:pPr>
            <w:r w:rsidRPr="00633851">
              <w:rPr>
                <w:rFonts w:ascii="Times New Roman" w:eastAsia="Times New Roman" w:hAnsi="Times New Roman" w:cs="Times New Roman"/>
                <w:sz w:val="20"/>
                <w:szCs w:val="20"/>
                <w:lang w:eastAsia="lv-LV"/>
              </w:rPr>
              <w:t xml:space="preserve">Personas, kurām pārskata mēnesī izmaksāts </w:t>
            </w:r>
            <w:r w:rsidRPr="00633851">
              <w:rPr>
                <w:rFonts w:ascii="Times New Roman" w:eastAsia="Times New Roman" w:hAnsi="Times New Roman" w:cs="Times New Roman"/>
                <w:b/>
                <w:bCs/>
                <w:sz w:val="20"/>
                <w:szCs w:val="20"/>
                <w:lang w:eastAsia="lv-LV"/>
              </w:rPr>
              <w:t>mājokļa pabalsts</w:t>
            </w:r>
            <w:r w:rsidRPr="00633851">
              <w:rPr>
                <w:rFonts w:ascii="Times New Roman" w:eastAsia="Times New Roman" w:hAnsi="Times New Roman" w:cs="Times New Roman"/>
                <w:sz w:val="20"/>
                <w:szCs w:val="20"/>
                <w:lang w:eastAsia="lv-LV"/>
              </w:rPr>
              <w:br/>
              <w:t xml:space="preserve">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231F4233" w14:textId="77777777" w:rsidR="00633851" w:rsidRPr="00633851" w:rsidRDefault="00633851" w:rsidP="006F1FD3">
            <w:pPr>
              <w:spacing w:after="0" w:line="240" w:lineRule="auto"/>
              <w:jc w:val="center"/>
              <w:rPr>
                <w:rFonts w:ascii="Times New Roman" w:eastAsia="Times New Roman" w:hAnsi="Times New Roman" w:cs="Times New Roman"/>
                <w:sz w:val="20"/>
                <w:szCs w:val="20"/>
                <w:lang w:eastAsia="lv-LV"/>
              </w:rPr>
            </w:pPr>
            <w:r w:rsidRPr="00633851">
              <w:rPr>
                <w:rFonts w:ascii="Times New Roman" w:eastAsia="Times New Roman" w:hAnsi="Times New Roman" w:cs="Times New Roman"/>
                <w:sz w:val="20"/>
                <w:szCs w:val="20"/>
                <w:lang w:eastAsia="lv-LV"/>
              </w:rPr>
              <w:t xml:space="preserve">Pārskata mēnesī </w:t>
            </w:r>
            <w:r w:rsidRPr="00633851">
              <w:rPr>
                <w:rFonts w:ascii="Times New Roman" w:eastAsia="Times New Roman" w:hAnsi="Times New Roman" w:cs="Times New Roman"/>
                <w:b/>
                <w:bCs/>
                <w:sz w:val="20"/>
                <w:szCs w:val="20"/>
                <w:lang w:eastAsia="lv-LV"/>
              </w:rPr>
              <w:t>mājokļa pabalstam</w:t>
            </w:r>
            <w:r w:rsidRPr="00633851">
              <w:rPr>
                <w:rFonts w:ascii="Times New Roman" w:eastAsia="Times New Roman" w:hAnsi="Times New Roman" w:cs="Times New Roman"/>
                <w:sz w:val="20"/>
                <w:szCs w:val="20"/>
                <w:lang w:eastAsia="lv-LV"/>
              </w:rPr>
              <w:t xml:space="preserve"> izlietotie līdzekļi</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13B67F6" w14:textId="77777777" w:rsidR="00633851" w:rsidRPr="00633851" w:rsidRDefault="00633851" w:rsidP="006F1FD3">
            <w:pPr>
              <w:spacing w:after="0" w:line="240" w:lineRule="auto"/>
              <w:jc w:val="center"/>
              <w:rPr>
                <w:rFonts w:ascii="Times New Roman" w:eastAsia="Times New Roman" w:hAnsi="Times New Roman" w:cs="Times New Roman"/>
                <w:sz w:val="20"/>
                <w:szCs w:val="20"/>
                <w:lang w:eastAsia="lv-LV"/>
              </w:rPr>
            </w:pPr>
            <w:r w:rsidRPr="00633851">
              <w:rPr>
                <w:rFonts w:ascii="Times New Roman" w:eastAsia="Times New Roman" w:hAnsi="Times New Roman" w:cs="Times New Roman"/>
                <w:sz w:val="20"/>
                <w:szCs w:val="20"/>
                <w:lang w:eastAsia="lv-LV"/>
              </w:rPr>
              <w:t xml:space="preserve">Izmaksātais 50% </w:t>
            </w:r>
            <w:r w:rsidRPr="00633851">
              <w:rPr>
                <w:rFonts w:ascii="Times New Roman" w:eastAsia="Times New Roman" w:hAnsi="Times New Roman" w:cs="Times New Roman"/>
                <w:b/>
                <w:bCs/>
                <w:sz w:val="20"/>
                <w:szCs w:val="20"/>
                <w:lang w:eastAsia="lv-LV"/>
              </w:rPr>
              <w:t>līdzfinansējums</w:t>
            </w:r>
            <w:r w:rsidRPr="00633851">
              <w:rPr>
                <w:rFonts w:ascii="Times New Roman" w:eastAsia="Times New Roman" w:hAnsi="Times New Roman" w:cs="Times New Roman"/>
                <w:sz w:val="20"/>
                <w:szCs w:val="20"/>
                <w:lang w:eastAsia="lv-LV"/>
              </w:rPr>
              <w:t xml:space="preserve"> pašvaldībām</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5F0FFC24" w14:textId="77777777" w:rsidR="00633851" w:rsidRPr="00633851" w:rsidRDefault="00633851" w:rsidP="006F1FD3">
            <w:pPr>
              <w:spacing w:after="0" w:line="240" w:lineRule="auto"/>
              <w:jc w:val="center"/>
              <w:rPr>
                <w:rFonts w:ascii="Times New Roman" w:eastAsia="Times New Roman" w:hAnsi="Times New Roman" w:cs="Times New Roman"/>
                <w:sz w:val="20"/>
                <w:szCs w:val="20"/>
                <w:lang w:eastAsia="lv-LV"/>
              </w:rPr>
            </w:pPr>
            <w:r w:rsidRPr="00633851">
              <w:rPr>
                <w:rFonts w:ascii="Times New Roman" w:eastAsia="Times New Roman" w:hAnsi="Times New Roman" w:cs="Times New Roman"/>
                <w:sz w:val="20"/>
                <w:szCs w:val="20"/>
                <w:lang w:eastAsia="lv-LV"/>
              </w:rPr>
              <w:t xml:space="preserve">Mājokļa pabalstu saņēmušo </w:t>
            </w:r>
            <w:r w:rsidRPr="00633851">
              <w:rPr>
                <w:rFonts w:ascii="Times New Roman" w:eastAsia="Times New Roman" w:hAnsi="Times New Roman" w:cs="Times New Roman"/>
                <w:b/>
                <w:bCs/>
                <w:sz w:val="20"/>
                <w:szCs w:val="20"/>
                <w:lang w:eastAsia="lv-LV"/>
              </w:rPr>
              <w:t>trūcīgo personu īpatsvars</w:t>
            </w:r>
            <w:r w:rsidRPr="00633851">
              <w:rPr>
                <w:rFonts w:ascii="Times New Roman" w:eastAsia="Times New Roman" w:hAnsi="Times New Roman" w:cs="Times New Roman"/>
                <w:sz w:val="20"/>
                <w:szCs w:val="20"/>
                <w:lang w:eastAsia="lv-LV"/>
              </w:rPr>
              <w:t xml:space="preserve"> starp trūcīgām personām, %</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0348DEA1" w14:textId="77777777" w:rsidR="00633851" w:rsidRPr="00633851" w:rsidRDefault="00633851" w:rsidP="006F1FD3">
            <w:pPr>
              <w:spacing w:after="0" w:line="240" w:lineRule="auto"/>
              <w:jc w:val="center"/>
              <w:rPr>
                <w:rFonts w:ascii="Times New Roman" w:eastAsia="Times New Roman" w:hAnsi="Times New Roman" w:cs="Times New Roman"/>
                <w:sz w:val="20"/>
                <w:szCs w:val="20"/>
                <w:lang w:eastAsia="lv-LV"/>
              </w:rPr>
            </w:pPr>
            <w:r w:rsidRPr="00633851">
              <w:rPr>
                <w:rFonts w:ascii="Times New Roman" w:eastAsia="Times New Roman" w:hAnsi="Times New Roman" w:cs="Times New Roman"/>
                <w:sz w:val="20"/>
                <w:szCs w:val="20"/>
                <w:lang w:eastAsia="lv-LV"/>
              </w:rPr>
              <w:t xml:space="preserve">Mājokļa pabalstu saņēmušo </w:t>
            </w:r>
            <w:r w:rsidRPr="00633851">
              <w:rPr>
                <w:rFonts w:ascii="Times New Roman" w:eastAsia="Times New Roman" w:hAnsi="Times New Roman" w:cs="Times New Roman"/>
                <w:b/>
                <w:bCs/>
                <w:sz w:val="20"/>
                <w:szCs w:val="20"/>
                <w:lang w:eastAsia="lv-LV"/>
              </w:rPr>
              <w:t>maznodrošināto personu īpatsvars</w:t>
            </w:r>
            <w:r w:rsidRPr="00633851">
              <w:rPr>
                <w:rFonts w:ascii="Times New Roman" w:eastAsia="Times New Roman" w:hAnsi="Times New Roman" w:cs="Times New Roman"/>
                <w:sz w:val="20"/>
                <w:szCs w:val="20"/>
                <w:lang w:eastAsia="lv-LV"/>
              </w:rPr>
              <w:t xml:space="preserve"> starp maznodrošinātajām personām, %</w:t>
            </w:r>
          </w:p>
        </w:tc>
      </w:tr>
      <w:tr w:rsidR="00AD7B38" w:rsidRPr="00633851" w14:paraId="27CD2BEE" w14:textId="77777777" w:rsidTr="00AD7B38">
        <w:trPr>
          <w:trHeight w:val="290"/>
        </w:trPr>
        <w:tc>
          <w:tcPr>
            <w:tcW w:w="11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02EF3D8"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2022.01</w:t>
            </w:r>
          </w:p>
        </w:tc>
        <w:tc>
          <w:tcPr>
            <w:tcW w:w="1327" w:type="dxa"/>
            <w:tcBorders>
              <w:top w:val="nil"/>
              <w:left w:val="nil"/>
              <w:bottom w:val="single" w:sz="4" w:space="0" w:color="auto"/>
              <w:right w:val="single" w:sz="4" w:space="0" w:color="auto"/>
            </w:tcBorders>
            <w:shd w:val="clear" w:color="auto" w:fill="FFFFFF" w:themeFill="background1"/>
            <w:noWrap/>
            <w:vAlign w:val="bottom"/>
            <w:hideMark/>
          </w:tcPr>
          <w:p w14:paraId="544D8FCB" w14:textId="21FAB458" w:rsidR="00AD7B38" w:rsidRPr="00AD7B38" w:rsidRDefault="00AD7B38" w:rsidP="00AD7B38">
            <w:pPr>
              <w:spacing w:after="0" w:line="240" w:lineRule="auto"/>
              <w:jc w:val="both"/>
              <w:rPr>
                <w:rFonts w:ascii="Times New Roman" w:eastAsia="Times New Roman" w:hAnsi="Times New Roman" w:cs="Times New Roman"/>
                <w:color w:val="000000" w:themeColor="text1"/>
                <w:sz w:val="20"/>
                <w:szCs w:val="20"/>
                <w:lang w:eastAsia="lv-LV"/>
              </w:rPr>
            </w:pPr>
            <w:r w:rsidRPr="00AD7B38">
              <w:rPr>
                <w:rFonts w:ascii="Times New Roman" w:eastAsia="Times New Roman" w:hAnsi="Times New Roman" w:cs="Times New Roman"/>
                <w:color w:val="000000" w:themeColor="text1"/>
                <w:sz w:val="20"/>
                <w:szCs w:val="20"/>
                <w:lang w:eastAsia="lv-LV"/>
              </w:rPr>
              <w:t xml:space="preserve">           14 553 </w:t>
            </w:r>
          </w:p>
        </w:tc>
        <w:tc>
          <w:tcPr>
            <w:tcW w:w="1347" w:type="dxa"/>
            <w:tcBorders>
              <w:top w:val="nil"/>
              <w:left w:val="nil"/>
              <w:bottom w:val="single" w:sz="4" w:space="0" w:color="auto"/>
              <w:right w:val="single" w:sz="4" w:space="0" w:color="auto"/>
            </w:tcBorders>
            <w:shd w:val="clear" w:color="auto" w:fill="FFFFFF" w:themeFill="background1"/>
            <w:noWrap/>
            <w:vAlign w:val="bottom"/>
            <w:hideMark/>
          </w:tcPr>
          <w:p w14:paraId="3E922EFF" w14:textId="6064FEDF" w:rsidR="00AD7B38" w:rsidRPr="00AD7B38" w:rsidRDefault="00AD7B38" w:rsidP="00AD7B38">
            <w:pPr>
              <w:spacing w:after="0" w:line="240" w:lineRule="auto"/>
              <w:jc w:val="both"/>
              <w:rPr>
                <w:rFonts w:ascii="Times New Roman" w:eastAsia="Times New Roman" w:hAnsi="Times New Roman" w:cs="Times New Roman"/>
                <w:color w:val="000000" w:themeColor="text1"/>
                <w:sz w:val="20"/>
                <w:szCs w:val="20"/>
                <w:lang w:eastAsia="lv-LV"/>
              </w:rPr>
            </w:pPr>
            <w:r w:rsidRPr="00AD7B38">
              <w:rPr>
                <w:rFonts w:ascii="Times New Roman" w:hAnsi="Times New Roman" w:cs="Times New Roman"/>
                <w:color w:val="000000" w:themeColor="text1"/>
                <w:sz w:val="20"/>
                <w:szCs w:val="20"/>
              </w:rPr>
              <w:t xml:space="preserve">       1 174 655 </w:t>
            </w:r>
          </w:p>
        </w:tc>
        <w:tc>
          <w:tcPr>
            <w:tcW w:w="1545" w:type="dxa"/>
            <w:tcBorders>
              <w:top w:val="nil"/>
              <w:left w:val="nil"/>
              <w:bottom w:val="single" w:sz="4" w:space="0" w:color="auto"/>
              <w:right w:val="single" w:sz="4" w:space="0" w:color="auto"/>
            </w:tcBorders>
            <w:shd w:val="clear" w:color="auto" w:fill="FFFFFF" w:themeFill="background1"/>
            <w:noWrap/>
            <w:vAlign w:val="bottom"/>
            <w:hideMark/>
          </w:tcPr>
          <w:p w14:paraId="0921B4B9"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 xml:space="preserve">          587 328 </w:t>
            </w:r>
          </w:p>
        </w:tc>
        <w:tc>
          <w:tcPr>
            <w:tcW w:w="1208" w:type="dxa"/>
            <w:tcBorders>
              <w:top w:val="nil"/>
              <w:left w:val="nil"/>
              <w:bottom w:val="single" w:sz="4" w:space="0" w:color="auto"/>
              <w:right w:val="single" w:sz="4" w:space="0" w:color="auto"/>
            </w:tcBorders>
            <w:shd w:val="clear" w:color="auto" w:fill="FFFFFF" w:themeFill="background1"/>
            <w:noWrap/>
            <w:vAlign w:val="bottom"/>
            <w:hideMark/>
          </w:tcPr>
          <w:p w14:paraId="6D1EC6A4"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27.7</w:t>
            </w:r>
          </w:p>
        </w:tc>
        <w:tc>
          <w:tcPr>
            <w:tcW w:w="1765" w:type="dxa"/>
            <w:tcBorders>
              <w:top w:val="nil"/>
              <w:left w:val="nil"/>
              <w:bottom w:val="single" w:sz="4" w:space="0" w:color="auto"/>
              <w:right w:val="single" w:sz="4" w:space="0" w:color="auto"/>
            </w:tcBorders>
            <w:shd w:val="clear" w:color="auto" w:fill="FFFFFF" w:themeFill="background1"/>
            <w:noWrap/>
            <w:vAlign w:val="bottom"/>
            <w:hideMark/>
          </w:tcPr>
          <w:p w14:paraId="50B76C93"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9.0</w:t>
            </w:r>
          </w:p>
        </w:tc>
      </w:tr>
      <w:tr w:rsidR="00AD7B38" w:rsidRPr="00633851" w14:paraId="6ECA1A6B" w14:textId="77777777" w:rsidTr="00AD7B38">
        <w:trPr>
          <w:trHeight w:val="290"/>
        </w:trPr>
        <w:tc>
          <w:tcPr>
            <w:tcW w:w="11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1B0BDA"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2022.02</w:t>
            </w:r>
          </w:p>
        </w:tc>
        <w:tc>
          <w:tcPr>
            <w:tcW w:w="1327" w:type="dxa"/>
            <w:tcBorders>
              <w:top w:val="nil"/>
              <w:left w:val="nil"/>
              <w:bottom w:val="single" w:sz="4" w:space="0" w:color="auto"/>
              <w:right w:val="single" w:sz="4" w:space="0" w:color="auto"/>
            </w:tcBorders>
            <w:shd w:val="clear" w:color="auto" w:fill="FFFFFF" w:themeFill="background1"/>
            <w:noWrap/>
            <w:vAlign w:val="bottom"/>
            <w:hideMark/>
          </w:tcPr>
          <w:p w14:paraId="79A25B1F" w14:textId="1C7AC120" w:rsidR="00AD7B38" w:rsidRPr="00AD7B38" w:rsidRDefault="00AD7B38" w:rsidP="00AD7B38">
            <w:pPr>
              <w:spacing w:after="0" w:line="240" w:lineRule="auto"/>
              <w:jc w:val="both"/>
              <w:rPr>
                <w:rFonts w:ascii="Times New Roman" w:eastAsia="Times New Roman" w:hAnsi="Times New Roman" w:cs="Times New Roman"/>
                <w:color w:val="000000" w:themeColor="text1"/>
                <w:sz w:val="20"/>
                <w:szCs w:val="20"/>
                <w:lang w:eastAsia="lv-LV"/>
              </w:rPr>
            </w:pPr>
            <w:r w:rsidRPr="00AD7B38">
              <w:rPr>
                <w:rFonts w:ascii="Times New Roman" w:eastAsia="Times New Roman" w:hAnsi="Times New Roman" w:cs="Times New Roman"/>
                <w:color w:val="000000" w:themeColor="text1"/>
                <w:sz w:val="20"/>
                <w:szCs w:val="20"/>
                <w:lang w:eastAsia="lv-LV"/>
              </w:rPr>
              <w:t xml:space="preserve">           24 088 </w:t>
            </w:r>
          </w:p>
        </w:tc>
        <w:tc>
          <w:tcPr>
            <w:tcW w:w="1347" w:type="dxa"/>
            <w:tcBorders>
              <w:top w:val="nil"/>
              <w:left w:val="nil"/>
              <w:bottom w:val="single" w:sz="4" w:space="0" w:color="auto"/>
              <w:right w:val="single" w:sz="4" w:space="0" w:color="auto"/>
            </w:tcBorders>
            <w:shd w:val="clear" w:color="auto" w:fill="FFFFFF" w:themeFill="background1"/>
            <w:noWrap/>
            <w:vAlign w:val="bottom"/>
            <w:hideMark/>
          </w:tcPr>
          <w:p w14:paraId="648EA58D" w14:textId="06C2507F" w:rsidR="00AD7B38" w:rsidRPr="00AD7B38" w:rsidRDefault="00AD7B38" w:rsidP="00AD7B38">
            <w:pPr>
              <w:spacing w:after="0" w:line="240" w:lineRule="auto"/>
              <w:jc w:val="both"/>
              <w:rPr>
                <w:rFonts w:ascii="Times New Roman" w:eastAsia="Times New Roman" w:hAnsi="Times New Roman" w:cs="Times New Roman"/>
                <w:color w:val="000000" w:themeColor="text1"/>
                <w:sz w:val="20"/>
                <w:szCs w:val="20"/>
                <w:lang w:eastAsia="lv-LV"/>
              </w:rPr>
            </w:pPr>
            <w:r w:rsidRPr="00AD7B38">
              <w:rPr>
                <w:rFonts w:ascii="Times New Roman" w:hAnsi="Times New Roman" w:cs="Times New Roman"/>
                <w:color w:val="000000" w:themeColor="text1"/>
                <w:sz w:val="20"/>
                <w:szCs w:val="20"/>
              </w:rPr>
              <w:t xml:space="preserve">       2 399 708 </w:t>
            </w:r>
          </w:p>
        </w:tc>
        <w:tc>
          <w:tcPr>
            <w:tcW w:w="1545" w:type="dxa"/>
            <w:tcBorders>
              <w:top w:val="nil"/>
              <w:left w:val="nil"/>
              <w:bottom w:val="single" w:sz="4" w:space="0" w:color="auto"/>
              <w:right w:val="single" w:sz="4" w:space="0" w:color="auto"/>
            </w:tcBorders>
            <w:shd w:val="clear" w:color="auto" w:fill="FFFFFF" w:themeFill="background1"/>
            <w:noWrap/>
            <w:vAlign w:val="bottom"/>
            <w:hideMark/>
          </w:tcPr>
          <w:p w14:paraId="4F7204A3"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 xml:space="preserve">       1 199 854 </w:t>
            </w:r>
          </w:p>
        </w:tc>
        <w:tc>
          <w:tcPr>
            <w:tcW w:w="1208" w:type="dxa"/>
            <w:tcBorders>
              <w:top w:val="nil"/>
              <w:left w:val="nil"/>
              <w:bottom w:val="single" w:sz="4" w:space="0" w:color="auto"/>
              <w:right w:val="single" w:sz="4" w:space="0" w:color="auto"/>
            </w:tcBorders>
            <w:shd w:val="clear" w:color="auto" w:fill="FFFFFF" w:themeFill="background1"/>
            <w:noWrap/>
            <w:vAlign w:val="bottom"/>
            <w:hideMark/>
          </w:tcPr>
          <w:p w14:paraId="6428C910"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35.8</w:t>
            </w:r>
          </w:p>
        </w:tc>
        <w:tc>
          <w:tcPr>
            <w:tcW w:w="1765" w:type="dxa"/>
            <w:tcBorders>
              <w:top w:val="nil"/>
              <w:left w:val="nil"/>
              <w:bottom w:val="single" w:sz="4" w:space="0" w:color="auto"/>
              <w:right w:val="single" w:sz="4" w:space="0" w:color="auto"/>
            </w:tcBorders>
            <w:shd w:val="clear" w:color="auto" w:fill="FFFFFF" w:themeFill="background1"/>
            <w:noWrap/>
            <w:vAlign w:val="bottom"/>
            <w:hideMark/>
          </w:tcPr>
          <w:p w14:paraId="0BB66194"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22.3</w:t>
            </w:r>
          </w:p>
        </w:tc>
      </w:tr>
      <w:tr w:rsidR="00AD7B38" w:rsidRPr="00633851" w14:paraId="31209A52" w14:textId="77777777" w:rsidTr="00AD7B38">
        <w:trPr>
          <w:trHeight w:val="290"/>
        </w:trPr>
        <w:tc>
          <w:tcPr>
            <w:tcW w:w="11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6468CA"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2022.03</w:t>
            </w:r>
          </w:p>
        </w:tc>
        <w:tc>
          <w:tcPr>
            <w:tcW w:w="1327" w:type="dxa"/>
            <w:tcBorders>
              <w:top w:val="nil"/>
              <w:left w:val="nil"/>
              <w:bottom w:val="single" w:sz="4" w:space="0" w:color="auto"/>
              <w:right w:val="single" w:sz="4" w:space="0" w:color="auto"/>
            </w:tcBorders>
            <w:shd w:val="clear" w:color="auto" w:fill="FFFFFF" w:themeFill="background1"/>
            <w:noWrap/>
            <w:vAlign w:val="bottom"/>
            <w:hideMark/>
          </w:tcPr>
          <w:p w14:paraId="5914F934" w14:textId="220AB54F" w:rsidR="00AD7B38" w:rsidRPr="00AD7B38" w:rsidRDefault="00AD7B38" w:rsidP="00AD7B38">
            <w:pPr>
              <w:spacing w:after="0" w:line="240" w:lineRule="auto"/>
              <w:jc w:val="both"/>
              <w:rPr>
                <w:rFonts w:ascii="Times New Roman" w:eastAsia="Times New Roman" w:hAnsi="Times New Roman" w:cs="Times New Roman"/>
                <w:color w:val="000000" w:themeColor="text1"/>
                <w:sz w:val="20"/>
                <w:szCs w:val="20"/>
                <w:lang w:eastAsia="lv-LV"/>
              </w:rPr>
            </w:pPr>
            <w:r w:rsidRPr="00AD7B38">
              <w:rPr>
                <w:rFonts w:ascii="Times New Roman" w:eastAsia="Times New Roman" w:hAnsi="Times New Roman" w:cs="Times New Roman"/>
                <w:color w:val="000000" w:themeColor="text1"/>
                <w:sz w:val="20"/>
                <w:szCs w:val="20"/>
                <w:lang w:eastAsia="lv-LV"/>
              </w:rPr>
              <w:t xml:space="preserve">           28 209 </w:t>
            </w:r>
          </w:p>
        </w:tc>
        <w:tc>
          <w:tcPr>
            <w:tcW w:w="1347" w:type="dxa"/>
            <w:tcBorders>
              <w:top w:val="nil"/>
              <w:left w:val="nil"/>
              <w:bottom w:val="single" w:sz="4" w:space="0" w:color="auto"/>
              <w:right w:val="single" w:sz="4" w:space="0" w:color="auto"/>
            </w:tcBorders>
            <w:shd w:val="clear" w:color="auto" w:fill="FFFFFF" w:themeFill="background1"/>
            <w:noWrap/>
            <w:vAlign w:val="bottom"/>
            <w:hideMark/>
          </w:tcPr>
          <w:p w14:paraId="14A92858" w14:textId="46E4339A" w:rsidR="00AD7B38" w:rsidRPr="00AD7B38" w:rsidRDefault="00AD7B38" w:rsidP="00AD7B38">
            <w:pPr>
              <w:spacing w:after="0" w:line="240" w:lineRule="auto"/>
              <w:jc w:val="both"/>
              <w:rPr>
                <w:rFonts w:ascii="Times New Roman" w:eastAsia="Times New Roman" w:hAnsi="Times New Roman" w:cs="Times New Roman"/>
                <w:color w:val="000000" w:themeColor="text1"/>
                <w:sz w:val="20"/>
                <w:szCs w:val="20"/>
                <w:lang w:eastAsia="lv-LV"/>
              </w:rPr>
            </w:pPr>
            <w:r w:rsidRPr="00AD7B38">
              <w:rPr>
                <w:rFonts w:ascii="Times New Roman" w:hAnsi="Times New Roman" w:cs="Times New Roman"/>
                <w:color w:val="000000" w:themeColor="text1"/>
                <w:sz w:val="20"/>
                <w:szCs w:val="20"/>
              </w:rPr>
              <w:t xml:space="preserve">       2 866 966 </w:t>
            </w:r>
          </w:p>
        </w:tc>
        <w:tc>
          <w:tcPr>
            <w:tcW w:w="1545" w:type="dxa"/>
            <w:tcBorders>
              <w:top w:val="nil"/>
              <w:left w:val="nil"/>
              <w:bottom w:val="single" w:sz="4" w:space="0" w:color="auto"/>
              <w:right w:val="single" w:sz="4" w:space="0" w:color="auto"/>
            </w:tcBorders>
            <w:shd w:val="clear" w:color="auto" w:fill="FFFFFF" w:themeFill="background1"/>
            <w:noWrap/>
            <w:vAlign w:val="bottom"/>
            <w:hideMark/>
          </w:tcPr>
          <w:p w14:paraId="387D7363"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 xml:space="preserve">       1 433 483 </w:t>
            </w:r>
          </w:p>
        </w:tc>
        <w:tc>
          <w:tcPr>
            <w:tcW w:w="1208" w:type="dxa"/>
            <w:tcBorders>
              <w:top w:val="nil"/>
              <w:left w:val="nil"/>
              <w:bottom w:val="single" w:sz="4" w:space="0" w:color="auto"/>
              <w:right w:val="single" w:sz="4" w:space="0" w:color="auto"/>
            </w:tcBorders>
            <w:shd w:val="clear" w:color="auto" w:fill="FFFFFF" w:themeFill="background1"/>
            <w:noWrap/>
            <w:vAlign w:val="bottom"/>
            <w:hideMark/>
          </w:tcPr>
          <w:p w14:paraId="3FC07861"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42.8</w:t>
            </w:r>
          </w:p>
        </w:tc>
        <w:tc>
          <w:tcPr>
            <w:tcW w:w="1765" w:type="dxa"/>
            <w:tcBorders>
              <w:top w:val="nil"/>
              <w:left w:val="nil"/>
              <w:bottom w:val="single" w:sz="4" w:space="0" w:color="auto"/>
              <w:right w:val="single" w:sz="4" w:space="0" w:color="auto"/>
            </w:tcBorders>
            <w:shd w:val="clear" w:color="auto" w:fill="FFFFFF" w:themeFill="background1"/>
            <w:noWrap/>
            <w:vAlign w:val="bottom"/>
            <w:hideMark/>
          </w:tcPr>
          <w:p w14:paraId="55D6EBCA"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29.3</w:t>
            </w:r>
          </w:p>
        </w:tc>
      </w:tr>
      <w:tr w:rsidR="00AD7B38" w:rsidRPr="00633851" w14:paraId="1A046D3F" w14:textId="77777777" w:rsidTr="00AD7B38">
        <w:trPr>
          <w:trHeight w:val="290"/>
        </w:trPr>
        <w:tc>
          <w:tcPr>
            <w:tcW w:w="11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CD11E2"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2022.04</w:t>
            </w:r>
          </w:p>
        </w:tc>
        <w:tc>
          <w:tcPr>
            <w:tcW w:w="1327" w:type="dxa"/>
            <w:tcBorders>
              <w:top w:val="nil"/>
              <w:left w:val="nil"/>
              <w:bottom w:val="single" w:sz="4" w:space="0" w:color="auto"/>
              <w:right w:val="single" w:sz="4" w:space="0" w:color="auto"/>
            </w:tcBorders>
            <w:shd w:val="clear" w:color="auto" w:fill="FFFFFF" w:themeFill="background1"/>
            <w:noWrap/>
            <w:vAlign w:val="bottom"/>
            <w:hideMark/>
          </w:tcPr>
          <w:p w14:paraId="3833D9A1" w14:textId="7D754676" w:rsidR="00AD7B38" w:rsidRPr="00AD7B38" w:rsidRDefault="00AD7B38" w:rsidP="00AD7B38">
            <w:pPr>
              <w:spacing w:after="0" w:line="240" w:lineRule="auto"/>
              <w:jc w:val="both"/>
              <w:rPr>
                <w:rFonts w:ascii="Times New Roman" w:eastAsia="Times New Roman" w:hAnsi="Times New Roman" w:cs="Times New Roman"/>
                <w:color w:val="000000" w:themeColor="text1"/>
                <w:sz w:val="20"/>
                <w:szCs w:val="20"/>
                <w:lang w:eastAsia="lv-LV"/>
              </w:rPr>
            </w:pPr>
            <w:r w:rsidRPr="00AD7B38">
              <w:rPr>
                <w:rFonts w:ascii="Times New Roman" w:eastAsia="Times New Roman" w:hAnsi="Times New Roman" w:cs="Times New Roman"/>
                <w:color w:val="000000" w:themeColor="text1"/>
                <w:sz w:val="20"/>
                <w:szCs w:val="20"/>
                <w:lang w:eastAsia="lv-LV"/>
              </w:rPr>
              <w:t xml:space="preserve">           26 683 </w:t>
            </w:r>
          </w:p>
        </w:tc>
        <w:tc>
          <w:tcPr>
            <w:tcW w:w="1347" w:type="dxa"/>
            <w:tcBorders>
              <w:top w:val="nil"/>
              <w:left w:val="nil"/>
              <w:bottom w:val="single" w:sz="4" w:space="0" w:color="auto"/>
              <w:right w:val="single" w:sz="4" w:space="0" w:color="auto"/>
            </w:tcBorders>
            <w:shd w:val="clear" w:color="auto" w:fill="FFFFFF" w:themeFill="background1"/>
            <w:noWrap/>
            <w:vAlign w:val="bottom"/>
            <w:hideMark/>
          </w:tcPr>
          <w:p w14:paraId="3830B6C0" w14:textId="53EE01E7" w:rsidR="00AD7B38" w:rsidRPr="00AD7B38" w:rsidRDefault="00AD7B38" w:rsidP="00AD7B38">
            <w:pPr>
              <w:spacing w:after="0" w:line="240" w:lineRule="auto"/>
              <w:jc w:val="both"/>
              <w:rPr>
                <w:rFonts w:ascii="Times New Roman" w:eastAsia="Times New Roman" w:hAnsi="Times New Roman" w:cs="Times New Roman"/>
                <w:color w:val="000000" w:themeColor="text1"/>
                <w:sz w:val="20"/>
                <w:szCs w:val="20"/>
                <w:lang w:eastAsia="lv-LV"/>
              </w:rPr>
            </w:pPr>
            <w:r w:rsidRPr="00AD7B38">
              <w:rPr>
                <w:rFonts w:ascii="Times New Roman" w:hAnsi="Times New Roman" w:cs="Times New Roman"/>
                <w:color w:val="000000" w:themeColor="text1"/>
                <w:sz w:val="20"/>
                <w:szCs w:val="20"/>
              </w:rPr>
              <w:t xml:space="preserve">       2 477 327 </w:t>
            </w:r>
          </w:p>
        </w:tc>
        <w:tc>
          <w:tcPr>
            <w:tcW w:w="1545" w:type="dxa"/>
            <w:tcBorders>
              <w:top w:val="nil"/>
              <w:left w:val="nil"/>
              <w:bottom w:val="single" w:sz="4" w:space="0" w:color="auto"/>
              <w:right w:val="single" w:sz="4" w:space="0" w:color="auto"/>
            </w:tcBorders>
            <w:shd w:val="clear" w:color="auto" w:fill="FFFFFF" w:themeFill="background1"/>
            <w:noWrap/>
            <w:vAlign w:val="bottom"/>
            <w:hideMark/>
          </w:tcPr>
          <w:p w14:paraId="3FDFC59B"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 xml:space="preserve">       1 238 664 </w:t>
            </w:r>
          </w:p>
        </w:tc>
        <w:tc>
          <w:tcPr>
            <w:tcW w:w="1208" w:type="dxa"/>
            <w:tcBorders>
              <w:top w:val="nil"/>
              <w:left w:val="nil"/>
              <w:bottom w:val="single" w:sz="4" w:space="0" w:color="auto"/>
              <w:right w:val="single" w:sz="4" w:space="0" w:color="auto"/>
            </w:tcBorders>
            <w:shd w:val="clear" w:color="auto" w:fill="FFFFFF" w:themeFill="background1"/>
            <w:noWrap/>
            <w:vAlign w:val="bottom"/>
            <w:hideMark/>
          </w:tcPr>
          <w:p w14:paraId="06ACADB1"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45.0</w:t>
            </w:r>
          </w:p>
        </w:tc>
        <w:tc>
          <w:tcPr>
            <w:tcW w:w="1765" w:type="dxa"/>
            <w:tcBorders>
              <w:top w:val="nil"/>
              <w:left w:val="nil"/>
              <w:bottom w:val="single" w:sz="4" w:space="0" w:color="auto"/>
              <w:right w:val="single" w:sz="4" w:space="0" w:color="auto"/>
            </w:tcBorders>
            <w:shd w:val="clear" w:color="auto" w:fill="FFFFFF" w:themeFill="background1"/>
            <w:noWrap/>
            <w:vAlign w:val="bottom"/>
            <w:hideMark/>
          </w:tcPr>
          <w:p w14:paraId="299025BC" w14:textId="77777777" w:rsidR="00AD7B38" w:rsidRPr="00AD7B38" w:rsidRDefault="00AD7B38" w:rsidP="00AD7B38">
            <w:pPr>
              <w:spacing w:after="0" w:line="240" w:lineRule="auto"/>
              <w:jc w:val="both"/>
              <w:rPr>
                <w:rFonts w:ascii="Times New Roman" w:eastAsia="Times New Roman" w:hAnsi="Times New Roman" w:cs="Times New Roman"/>
                <w:sz w:val="20"/>
                <w:szCs w:val="20"/>
                <w:lang w:eastAsia="lv-LV"/>
              </w:rPr>
            </w:pPr>
            <w:r w:rsidRPr="00AD7B38">
              <w:rPr>
                <w:rFonts w:ascii="Times New Roman" w:eastAsia="Times New Roman" w:hAnsi="Times New Roman" w:cs="Times New Roman"/>
                <w:sz w:val="20"/>
                <w:szCs w:val="20"/>
                <w:lang w:eastAsia="lv-LV"/>
              </w:rPr>
              <w:t>34.8</w:t>
            </w:r>
          </w:p>
        </w:tc>
      </w:tr>
    </w:tbl>
    <w:p w14:paraId="36DFDC75" w14:textId="77777777" w:rsidR="00633851" w:rsidRPr="00633851" w:rsidRDefault="00633851" w:rsidP="00633851">
      <w:pPr>
        <w:spacing w:after="0"/>
        <w:jc w:val="both"/>
        <w:rPr>
          <w:rFonts w:ascii="Times New Roman" w:hAnsi="Times New Roman" w:cs="Times New Roman"/>
          <w:sz w:val="20"/>
          <w:szCs w:val="20"/>
        </w:rPr>
      </w:pPr>
      <w:r w:rsidRPr="00633851">
        <w:rPr>
          <w:rFonts w:ascii="Times New Roman" w:hAnsi="Times New Roman" w:cs="Times New Roman"/>
          <w:sz w:val="20"/>
          <w:szCs w:val="20"/>
        </w:rPr>
        <w:t xml:space="preserve">Datu avots: LM no SOPA saņemtā informācija. </w:t>
      </w:r>
    </w:p>
    <w:p w14:paraId="0B883845" w14:textId="77777777" w:rsidR="00914232" w:rsidRPr="00633851" w:rsidRDefault="00914232" w:rsidP="00914232">
      <w:pPr>
        <w:spacing w:after="0"/>
        <w:jc w:val="both"/>
        <w:rPr>
          <w:rFonts w:ascii="Times New Roman" w:hAnsi="Times New Roman" w:cs="Times New Roman"/>
          <w:sz w:val="20"/>
          <w:szCs w:val="20"/>
        </w:rPr>
      </w:pPr>
      <w:r w:rsidRPr="00633851">
        <w:rPr>
          <w:rFonts w:ascii="Times New Roman" w:hAnsi="Times New Roman" w:cs="Times New Roman"/>
          <w:sz w:val="20"/>
          <w:szCs w:val="20"/>
        </w:rPr>
        <w:t>*</w:t>
      </w:r>
      <w:r>
        <w:rPr>
          <w:rFonts w:ascii="Times New Roman" w:hAnsi="Times New Roman" w:cs="Times New Roman"/>
          <w:sz w:val="20"/>
          <w:szCs w:val="20"/>
        </w:rPr>
        <w:t>Papildus tam:</w:t>
      </w:r>
      <w:r w:rsidRPr="00633851">
        <w:rPr>
          <w:rFonts w:ascii="Times New Roman" w:hAnsi="Times New Roman" w:cs="Times New Roman"/>
          <w:sz w:val="20"/>
          <w:szCs w:val="20"/>
        </w:rPr>
        <w:t xml:space="preserve"> Ukrainas civiliedzīvotāji: martā – 9 personas un 1 250 </w:t>
      </w:r>
      <w:r w:rsidRPr="00633851">
        <w:rPr>
          <w:rFonts w:ascii="Times New Roman" w:hAnsi="Times New Roman" w:cs="Times New Roman"/>
          <w:i/>
          <w:sz w:val="20"/>
          <w:szCs w:val="20"/>
        </w:rPr>
        <w:t xml:space="preserve">euro; </w:t>
      </w:r>
      <w:r w:rsidRPr="00633851">
        <w:rPr>
          <w:rFonts w:ascii="Times New Roman" w:hAnsi="Times New Roman" w:cs="Times New Roman"/>
          <w:sz w:val="20"/>
          <w:szCs w:val="20"/>
        </w:rPr>
        <w:t xml:space="preserve">martā un aprīlī kopā - 751 persona un 88 778 </w:t>
      </w:r>
      <w:r w:rsidRPr="00633851">
        <w:rPr>
          <w:rFonts w:ascii="Times New Roman" w:hAnsi="Times New Roman" w:cs="Times New Roman"/>
          <w:i/>
          <w:sz w:val="20"/>
          <w:szCs w:val="20"/>
        </w:rPr>
        <w:t>euro</w:t>
      </w:r>
      <w:r w:rsidRPr="00633851">
        <w:rPr>
          <w:rFonts w:ascii="Times New Roman" w:hAnsi="Times New Roman" w:cs="Times New Roman"/>
          <w:sz w:val="20"/>
          <w:szCs w:val="20"/>
        </w:rPr>
        <w:t>.</w:t>
      </w:r>
    </w:p>
    <w:p w14:paraId="77D68C84" w14:textId="77777777" w:rsidR="00633851" w:rsidRPr="00633851" w:rsidRDefault="00633851" w:rsidP="00633851">
      <w:pPr>
        <w:spacing w:after="0"/>
        <w:jc w:val="both"/>
        <w:rPr>
          <w:rFonts w:ascii="Times New Roman" w:hAnsi="Times New Roman" w:cs="Times New Roman"/>
          <w:sz w:val="20"/>
          <w:szCs w:val="20"/>
        </w:rPr>
      </w:pPr>
    </w:p>
    <w:p w14:paraId="7CD99A90" w14:textId="2C22ECF0" w:rsidR="00633851" w:rsidRDefault="00633851" w:rsidP="002B2D7E">
      <w:pPr>
        <w:spacing w:after="0"/>
        <w:ind w:firstLine="709"/>
        <w:jc w:val="both"/>
        <w:rPr>
          <w:rFonts w:ascii="Times New Roman" w:hAnsi="Times New Roman" w:cs="Times New Roman"/>
          <w:sz w:val="24"/>
          <w:szCs w:val="24"/>
        </w:rPr>
      </w:pPr>
      <w:r w:rsidRPr="00633851">
        <w:rPr>
          <w:rFonts w:ascii="Times New Roman" w:hAnsi="Times New Roman" w:cs="Times New Roman"/>
          <w:sz w:val="24"/>
          <w:szCs w:val="24"/>
        </w:rPr>
        <w:t xml:space="preserve">Vienlaikus no 2022.gada 1.janvāra līdz 2022.gada 31.decembrim valsts nodrošina līdzfinansējumu pašvaldībām 50% apmērā no iedzīvotājiem izmaksātajiem mājokļa pabalstiem. </w:t>
      </w:r>
      <w:r w:rsidR="0046338E" w:rsidRPr="00725612">
        <w:rPr>
          <w:rFonts w:ascii="Times New Roman" w:hAnsi="Times New Roman" w:cs="Times New Roman"/>
          <w:sz w:val="24"/>
          <w:szCs w:val="24"/>
        </w:rPr>
        <w:t xml:space="preserve">Pašvaldībām pārskaitītais mērķdotācijas apmērs pirmajos četros 2022.gada mēnešos - 4 459 329 </w:t>
      </w:r>
      <w:r w:rsidR="0046338E" w:rsidRPr="00725612">
        <w:rPr>
          <w:rFonts w:ascii="Times New Roman" w:hAnsi="Times New Roman" w:cs="Times New Roman"/>
          <w:i/>
          <w:sz w:val="24"/>
          <w:szCs w:val="24"/>
        </w:rPr>
        <w:t>euro</w:t>
      </w:r>
      <w:r w:rsidR="0046338E" w:rsidRPr="00725612">
        <w:rPr>
          <w:rFonts w:ascii="Times New Roman" w:hAnsi="Times New Roman" w:cs="Times New Roman"/>
          <w:sz w:val="24"/>
          <w:szCs w:val="24"/>
        </w:rPr>
        <w:t>.</w:t>
      </w:r>
    </w:p>
    <w:p w14:paraId="44460F68" w14:textId="77777777" w:rsidR="00EE3FA3" w:rsidRDefault="00EE3FA3" w:rsidP="00633851">
      <w:pPr>
        <w:spacing w:after="0"/>
        <w:jc w:val="both"/>
        <w:rPr>
          <w:rFonts w:ascii="Times New Roman" w:hAnsi="Times New Roman" w:cs="Times New Roman"/>
          <w:sz w:val="24"/>
          <w:szCs w:val="24"/>
        </w:rPr>
      </w:pPr>
    </w:p>
    <w:p w14:paraId="4EC9D159" w14:textId="284A77A1" w:rsidR="00EE3FA3" w:rsidRDefault="00EE3FA3" w:rsidP="00633851">
      <w:pPr>
        <w:spacing w:after="0"/>
        <w:jc w:val="both"/>
        <w:rPr>
          <w:rFonts w:ascii="Times New Roman" w:hAnsi="Times New Roman" w:cs="Times New Roman"/>
          <w:sz w:val="24"/>
          <w:szCs w:val="24"/>
        </w:rPr>
      </w:pPr>
      <w:r w:rsidRPr="00365151">
        <w:rPr>
          <w:rFonts w:ascii="Times New Roman" w:hAnsi="Times New Roman" w:cs="Times New Roman"/>
          <w:sz w:val="24"/>
          <w:szCs w:val="24"/>
          <w:u w:val="single"/>
        </w:rPr>
        <w:t>Priekšrocības</w:t>
      </w:r>
      <w:r>
        <w:rPr>
          <w:rFonts w:ascii="Times New Roman" w:hAnsi="Times New Roman" w:cs="Times New Roman"/>
          <w:sz w:val="24"/>
          <w:szCs w:val="24"/>
        </w:rPr>
        <w:t>:</w:t>
      </w:r>
    </w:p>
    <w:p w14:paraId="5FA1D515" w14:textId="215D6CB8" w:rsidR="00EE3FA3" w:rsidRDefault="00070C71" w:rsidP="005817AF">
      <w:pPr>
        <w:pStyle w:val="ListParagraph"/>
        <w:numPr>
          <w:ilvl w:val="0"/>
          <w:numId w:val="36"/>
        </w:numPr>
        <w:spacing w:after="0"/>
        <w:ind w:left="709"/>
        <w:jc w:val="both"/>
        <w:rPr>
          <w:rFonts w:ascii="Times New Roman" w:hAnsi="Times New Roman" w:cs="Times New Roman"/>
          <w:sz w:val="24"/>
          <w:szCs w:val="24"/>
        </w:rPr>
      </w:pPr>
      <w:r w:rsidRPr="00B129B9">
        <w:rPr>
          <w:rFonts w:ascii="Times New Roman" w:hAnsi="Times New Roman" w:cs="Times New Roman"/>
          <w:sz w:val="24"/>
          <w:szCs w:val="24"/>
        </w:rPr>
        <w:t>m</w:t>
      </w:r>
      <w:r w:rsidR="00EE3FA3" w:rsidRPr="00365151">
        <w:rPr>
          <w:rFonts w:ascii="Times New Roman" w:hAnsi="Times New Roman" w:cs="Times New Roman"/>
          <w:sz w:val="24"/>
          <w:szCs w:val="24"/>
        </w:rPr>
        <w:t>ājokļa pabalsts ir mērķēts uz iedzīvotājiem ar viszemākajiem ienākumiem (1.-2.kvintile)</w:t>
      </w:r>
      <w:r>
        <w:rPr>
          <w:rFonts w:ascii="Times New Roman" w:hAnsi="Times New Roman" w:cs="Times New Roman"/>
          <w:sz w:val="24"/>
          <w:szCs w:val="24"/>
        </w:rPr>
        <w:t>;</w:t>
      </w:r>
    </w:p>
    <w:p w14:paraId="38AC1E56" w14:textId="4C7FC349" w:rsidR="005A11EF" w:rsidRPr="00365151" w:rsidRDefault="005A11EF" w:rsidP="005817AF">
      <w:pPr>
        <w:pStyle w:val="ListParagraph"/>
        <w:numPr>
          <w:ilvl w:val="0"/>
          <w:numId w:val="36"/>
        </w:num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atbalsts </w:t>
      </w:r>
      <w:r w:rsidR="005F0F2B">
        <w:rPr>
          <w:rFonts w:ascii="Times New Roman" w:hAnsi="Times New Roman" w:cs="Times New Roman"/>
          <w:sz w:val="24"/>
          <w:szCs w:val="24"/>
        </w:rPr>
        <w:t xml:space="preserve">ar mājokli saistīto izdevumu segšanā tiek </w:t>
      </w:r>
      <w:r>
        <w:rPr>
          <w:rFonts w:ascii="Times New Roman" w:hAnsi="Times New Roman" w:cs="Times New Roman"/>
          <w:sz w:val="24"/>
          <w:szCs w:val="24"/>
        </w:rPr>
        <w:t>sniegts atbilstoši vienotiem kritērijiem visās pašvaldībās.</w:t>
      </w:r>
    </w:p>
    <w:p w14:paraId="4BDC19C1" w14:textId="77777777" w:rsidR="00EE3FA3" w:rsidRDefault="00EE3FA3" w:rsidP="00633851">
      <w:pPr>
        <w:spacing w:after="0"/>
        <w:jc w:val="both"/>
        <w:rPr>
          <w:rFonts w:ascii="Times New Roman" w:hAnsi="Times New Roman" w:cs="Times New Roman"/>
          <w:sz w:val="24"/>
          <w:szCs w:val="24"/>
        </w:rPr>
      </w:pPr>
    </w:p>
    <w:p w14:paraId="55D4D8C7" w14:textId="425F5DE4" w:rsidR="00EE3FA3" w:rsidRDefault="00EE3FA3" w:rsidP="00633851">
      <w:pPr>
        <w:spacing w:after="0"/>
        <w:jc w:val="both"/>
        <w:rPr>
          <w:rFonts w:ascii="Times New Roman" w:hAnsi="Times New Roman" w:cs="Times New Roman"/>
          <w:sz w:val="24"/>
          <w:szCs w:val="24"/>
        </w:rPr>
      </w:pPr>
      <w:r w:rsidRPr="00365151">
        <w:rPr>
          <w:rFonts w:ascii="Times New Roman" w:hAnsi="Times New Roman" w:cs="Times New Roman"/>
          <w:sz w:val="24"/>
          <w:szCs w:val="24"/>
          <w:u w:val="single"/>
        </w:rPr>
        <w:t>Trūkumi</w:t>
      </w:r>
      <w:r>
        <w:rPr>
          <w:rFonts w:ascii="Times New Roman" w:hAnsi="Times New Roman" w:cs="Times New Roman"/>
          <w:sz w:val="24"/>
          <w:szCs w:val="24"/>
        </w:rPr>
        <w:t xml:space="preserve">: </w:t>
      </w:r>
    </w:p>
    <w:p w14:paraId="4EFEE874" w14:textId="77777777" w:rsidR="006C1278" w:rsidRDefault="004614CD" w:rsidP="005817AF">
      <w:pPr>
        <w:pStyle w:val="ListParagraph"/>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 xml:space="preserve">tiesības saņemt </w:t>
      </w:r>
      <w:r w:rsidR="00070C71" w:rsidRPr="00B129B9">
        <w:rPr>
          <w:rFonts w:ascii="Times New Roman" w:hAnsi="Times New Roman" w:cs="Times New Roman"/>
          <w:sz w:val="24"/>
          <w:szCs w:val="24"/>
        </w:rPr>
        <w:t>m</w:t>
      </w:r>
      <w:r w:rsidR="00EE3FA3" w:rsidRPr="00365151">
        <w:rPr>
          <w:rFonts w:ascii="Times New Roman" w:hAnsi="Times New Roman" w:cs="Times New Roman"/>
          <w:sz w:val="24"/>
          <w:szCs w:val="24"/>
        </w:rPr>
        <w:t xml:space="preserve">ājokļa </w:t>
      </w:r>
      <w:r w:rsidRPr="00B129B9">
        <w:rPr>
          <w:rFonts w:ascii="Times New Roman" w:hAnsi="Times New Roman" w:cs="Times New Roman"/>
          <w:sz w:val="24"/>
          <w:szCs w:val="24"/>
        </w:rPr>
        <w:t>pabalstu nav cilv</w:t>
      </w:r>
      <w:r>
        <w:rPr>
          <w:rFonts w:ascii="Times New Roman" w:hAnsi="Times New Roman" w:cs="Times New Roman"/>
          <w:sz w:val="24"/>
          <w:szCs w:val="24"/>
        </w:rPr>
        <w:t xml:space="preserve">ēkiem, kuriem </w:t>
      </w:r>
      <w:r w:rsidR="002B2D7E">
        <w:rPr>
          <w:rFonts w:ascii="Times New Roman" w:hAnsi="Times New Roman" w:cs="Times New Roman"/>
          <w:sz w:val="24"/>
          <w:szCs w:val="24"/>
        </w:rPr>
        <w:t xml:space="preserve">ienākumi </w:t>
      </w:r>
      <w:r>
        <w:rPr>
          <w:rFonts w:ascii="Times New Roman" w:hAnsi="Times New Roman" w:cs="Times New Roman"/>
          <w:sz w:val="24"/>
          <w:szCs w:val="24"/>
        </w:rPr>
        <w:t>arī ir relatīvi zemi (</w:t>
      </w:r>
      <w:r w:rsidR="00EE3FA3" w:rsidRPr="00365151">
        <w:rPr>
          <w:rFonts w:ascii="Times New Roman" w:hAnsi="Times New Roman" w:cs="Times New Roman"/>
          <w:sz w:val="24"/>
          <w:szCs w:val="24"/>
        </w:rPr>
        <w:t>da</w:t>
      </w:r>
      <w:r w:rsidRPr="00B129B9">
        <w:rPr>
          <w:rFonts w:ascii="Times New Roman" w:hAnsi="Times New Roman" w:cs="Times New Roman"/>
          <w:sz w:val="24"/>
          <w:szCs w:val="24"/>
        </w:rPr>
        <w:t>ļa no</w:t>
      </w:r>
      <w:r w:rsidR="00EE3FA3" w:rsidRPr="00365151">
        <w:rPr>
          <w:rFonts w:ascii="Times New Roman" w:hAnsi="Times New Roman" w:cs="Times New Roman"/>
          <w:sz w:val="24"/>
          <w:szCs w:val="24"/>
        </w:rPr>
        <w:t xml:space="preserve"> 2.kvintil</w:t>
      </w:r>
      <w:r w:rsidRPr="00B129B9">
        <w:rPr>
          <w:rFonts w:ascii="Times New Roman" w:hAnsi="Times New Roman" w:cs="Times New Roman"/>
          <w:sz w:val="24"/>
          <w:szCs w:val="24"/>
        </w:rPr>
        <w:t>es</w:t>
      </w:r>
      <w:r w:rsidR="00EE3FA3" w:rsidRPr="00365151">
        <w:rPr>
          <w:rFonts w:ascii="Times New Roman" w:hAnsi="Times New Roman" w:cs="Times New Roman"/>
          <w:sz w:val="24"/>
          <w:szCs w:val="24"/>
        </w:rPr>
        <w:t xml:space="preserve"> </w:t>
      </w:r>
      <w:r>
        <w:rPr>
          <w:rFonts w:ascii="Times New Roman" w:hAnsi="Times New Roman" w:cs="Times New Roman"/>
          <w:sz w:val="24"/>
          <w:szCs w:val="24"/>
        </w:rPr>
        <w:t>un</w:t>
      </w:r>
      <w:r w:rsidRPr="00B129B9">
        <w:rPr>
          <w:rFonts w:ascii="Times New Roman" w:hAnsi="Times New Roman" w:cs="Times New Roman"/>
          <w:sz w:val="24"/>
          <w:szCs w:val="24"/>
        </w:rPr>
        <w:t xml:space="preserve"> 3.kvinile</w:t>
      </w:r>
      <w:r>
        <w:rPr>
          <w:rFonts w:ascii="Times New Roman" w:hAnsi="Times New Roman" w:cs="Times New Roman"/>
          <w:sz w:val="24"/>
          <w:szCs w:val="24"/>
        </w:rPr>
        <w:t>)</w:t>
      </w:r>
    </w:p>
    <w:p w14:paraId="370D99BC" w14:textId="77777777" w:rsidR="00E5351A" w:rsidRDefault="006C1278" w:rsidP="005817AF">
      <w:pPr>
        <w:pStyle w:val="ListParagraph"/>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relatīvi sarežģīta administrēšanas sistēma, jo, lai nomērķētu pabalstu uz zemākajiem ienākumiem, tiek veikta mājsaimniecības ienākumu un īpašumu novērtēšana</w:t>
      </w:r>
      <w:r w:rsidR="00A32290">
        <w:rPr>
          <w:rFonts w:ascii="Times New Roman" w:hAnsi="Times New Roman" w:cs="Times New Roman"/>
          <w:sz w:val="24"/>
          <w:szCs w:val="24"/>
        </w:rPr>
        <w:t>, kas ir daļēji manuāls darbs pašvaldībās</w:t>
      </w:r>
      <w:r w:rsidR="00E5351A">
        <w:rPr>
          <w:rFonts w:ascii="Times New Roman" w:hAnsi="Times New Roman" w:cs="Times New Roman"/>
          <w:sz w:val="24"/>
          <w:szCs w:val="24"/>
        </w:rPr>
        <w:t>;</w:t>
      </w:r>
    </w:p>
    <w:p w14:paraId="78C3067B" w14:textId="276A6835" w:rsidR="00EE3FA3" w:rsidRDefault="00E5351A" w:rsidP="005817AF">
      <w:pPr>
        <w:pStyle w:val="ListParagraph"/>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 xml:space="preserve">ne visas par trūcīgām un maznodrošinātām atzītās mājsaimniecības saņem mājokļa pabalstu.  </w:t>
      </w:r>
      <w:r w:rsidR="00EE3FA3" w:rsidRPr="00365151">
        <w:rPr>
          <w:rFonts w:ascii="Times New Roman" w:hAnsi="Times New Roman" w:cs="Times New Roman"/>
          <w:sz w:val="24"/>
          <w:szCs w:val="24"/>
        </w:rPr>
        <w:t xml:space="preserve"> </w:t>
      </w:r>
    </w:p>
    <w:p w14:paraId="0EC7769A" w14:textId="5C73A70D" w:rsidR="005F0F2B" w:rsidRDefault="005F0F2B">
      <w:pPr>
        <w:rPr>
          <w:rFonts w:ascii="Times New Roman" w:hAnsi="Times New Roman" w:cs="Times New Roman"/>
          <w:sz w:val="24"/>
          <w:szCs w:val="24"/>
        </w:rPr>
      </w:pPr>
      <w:r>
        <w:rPr>
          <w:rFonts w:ascii="Times New Roman" w:hAnsi="Times New Roman" w:cs="Times New Roman"/>
          <w:sz w:val="24"/>
          <w:szCs w:val="24"/>
        </w:rPr>
        <w:br w:type="page"/>
      </w:r>
    </w:p>
    <w:p w14:paraId="66409B60" w14:textId="77777777" w:rsidR="00316FEC" w:rsidRPr="00316FEC" w:rsidRDefault="00316FEC" w:rsidP="00316FEC">
      <w:pPr>
        <w:spacing w:after="0"/>
        <w:jc w:val="both"/>
        <w:rPr>
          <w:rFonts w:ascii="Times New Roman" w:hAnsi="Times New Roman" w:cs="Times New Roman"/>
          <w:sz w:val="24"/>
          <w:szCs w:val="24"/>
        </w:rPr>
      </w:pPr>
    </w:p>
    <w:p w14:paraId="7F356B96" w14:textId="29C58421" w:rsidR="003C3506" w:rsidRPr="009C7A1C" w:rsidRDefault="003C3506" w:rsidP="009C7A1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imes New Roman" w:hAnsi="Times New Roman" w:cs="Times New Roman"/>
          <w:b/>
          <w:sz w:val="26"/>
          <w:szCs w:val="24"/>
        </w:rPr>
      </w:pPr>
      <w:r w:rsidRPr="009C7A1C">
        <w:rPr>
          <w:rFonts w:ascii="Times New Roman" w:hAnsi="Times New Roman" w:cs="Times New Roman"/>
          <w:b/>
          <w:sz w:val="26"/>
          <w:szCs w:val="24"/>
        </w:rPr>
        <w:t xml:space="preserve">Valsts </w:t>
      </w:r>
      <w:r w:rsidR="00BF2470">
        <w:rPr>
          <w:rFonts w:ascii="Times New Roman" w:hAnsi="Times New Roman" w:cs="Times New Roman"/>
          <w:b/>
          <w:sz w:val="26"/>
          <w:szCs w:val="24"/>
        </w:rPr>
        <w:t xml:space="preserve">sociālie </w:t>
      </w:r>
      <w:r w:rsidRPr="009C7A1C">
        <w:rPr>
          <w:rFonts w:ascii="Times New Roman" w:hAnsi="Times New Roman" w:cs="Times New Roman"/>
          <w:b/>
          <w:sz w:val="26"/>
          <w:szCs w:val="24"/>
        </w:rPr>
        <w:t>pabalst</w:t>
      </w:r>
      <w:r w:rsidR="00BF2470">
        <w:rPr>
          <w:rFonts w:ascii="Times New Roman" w:hAnsi="Times New Roman" w:cs="Times New Roman"/>
          <w:b/>
          <w:sz w:val="26"/>
          <w:szCs w:val="24"/>
        </w:rPr>
        <w:t>i</w:t>
      </w:r>
      <w:r w:rsidRPr="009C7A1C">
        <w:rPr>
          <w:rFonts w:ascii="Times New Roman" w:hAnsi="Times New Roman" w:cs="Times New Roman"/>
          <w:b/>
          <w:sz w:val="26"/>
          <w:szCs w:val="24"/>
        </w:rPr>
        <w:t xml:space="preserve"> </w:t>
      </w:r>
      <w:r w:rsidR="00350075" w:rsidRPr="009C7A1C">
        <w:rPr>
          <w:rFonts w:ascii="Times New Roman" w:hAnsi="Times New Roman" w:cs="Times New Roman"/>
          <w:b/>
          <w:sz w:val="26"/>
          <w:szCs w:val="24"/>
        </w:rPr>
        <w:t>noteiktām sociālajām grupām</w:t>
      </w:r>
    </w:p>
    <w:p w14:paraId="5C13D866" w14:textId="77777777" w:rsidR="003C3506" w:rsidRPr="00B129B9" w:rsidRDefault="003C3506" w:rsidP="003C3506">
      <w:pPr>
        <w:spacing w:after="0"/>
        <w:jc w:val="both"/>
        <w:rPr>
          <w:rFonts w:ascii="Times New Roman" w:hAnsi="Times New Roman" w:cs="Times New Roman"/>
          <w:sz w:val="24"/>
          <w:szCs w:val="24"/>
        </w:rPr>
      </w:pPr>
    </w:p>
    <w:p w14:paraId="2307C7CA" w14:textId="2C447967" w:rsidR="00BF2470" w:rsidRPr="00365151" w:rsidRDefault="00BF2470" w:rsidP="003C3506">
      <w:pPr>
        <w:spacing w:after="0"/>
        <w:jc w:val="both"/>
        <w:rPr>
          <w:rFonts w:ascii="Times New Roman" w:hAnsi="Times New Roman" w:cs="Times New Roman"/>
          <w:sz w:val="24"/>
          <w:szCs w:val="24"/>
        </w:rPr>
      </w:pPr>
      <w:r w:rsidRPr="00365151">
        <w:rPr>
          <w:rFonts w:ascii="Times New Roman" w:hAnsi="Times New Roman" w:cs="Times New Roman"/>
          <w:sz w:val="24"/>
          <w:szCs w:val="24"/>
        </w:rPr>
        <w:t xml:space="preserve">2021.-2022.gadā </w:t>
      </w:r>
      <w:r w:rsidR="00011C21">
        <w:rPr>
          <w:rFonts w:ascii="Times New Roman" w:hAnsi="Times New Roman" w:cs="Times New Roman"/>
          <w:sz w:val="24"/>
          <w:szCs w:val="24"/>
        </w:rPr>
        <w:t>senioriem, personām ar invaliditāti un ģimenēm ar bērniem tika sniegts finansiāls atbalsts, l</w:t>
      </w:r>
      <w:r w:rsidR="00011C21" w:rsidRPr="00633851">
        <w:rPr>
          <w:rFonts w:ascii="Times New Roman" w:hAnsi="Times New Roman" w:cs="Times New Roman"/>
          <w:bCs/>
          <w:sz w:val="24"/>
          <w:szCs w:val="24"/>
        </w:rPr>
        <w:t xml:space="preserve">ai </w:t>
      </w:r>
      <w:r w:rsidR="00011C21" w:rsidRPr="00633851">
        <w:rPr>
          <w:rFonts w:ascii="Times New Roman" w:eastAsia="Times New Roman" w:hAnsi="Times New Roman" w:cs="Times New Roman"/>
          <w:sz w:val="24"/>
          <w:szCs w:val="24"/>
          <w:lang w:eastAsia="lv-LV"/>
        </w:rPr>
        <w:t>mazinātu negatīv</w:t>
      </w:r>
      <w:r w:rsidR="00011C21">
        <w:rPr>
          <w:rFonts w:ascii="Times New Roman" w:eastAsia="Times New Roman" w:hAnsi="Times New Roman" w:cs="Times New Roman"/>
          <w:sz w:val="24"/>
          <w:szCs w:val="24"/>
          <w:lang w:eastAsia="lv-LV"/>
        </w:rPr>
        <w:t>o</w:t>
      </w:r>
      <w:r w:rsidR="00011C21" w:rsidRPr="00633851">
        <w:rPr>
          <w:rFonts w:ascii="Times New Roman" w:eastAsia="Times New Roman" w:hAnsi="Times New Roman" w:cs="Times New Roman"/>
          <w:sz w:val="24"/>
          <w:szCs w:val="24"/>
          <w:lang w:eastAsia="lv-LV"/>
        </w:rPr>
        <w:t xml:space="preserve"> sociāl</w:t>
      </w:r>
      <w:r w:rsidR="00011C21" w:rsidRPr="00633851">
        <w:rPr>
          <w:rFonts w:ascii="Times New Roman" w:eastAsia="Times New Roman" w:hAnsi="Times New Roman" w:cs="Times New Roman"/>
          <w:sz w:val="24"/>
          <w:szCs w:val="24"/>
          <w:shd w:val="clear" w:color="auto" w:fill="FFFFFF"/>
        </w:rPr>
        <w:t xml:space="preserve">ekonomisko ietekmi </w:t>
      </w:r>
      <w:r w:rsidR="00011C21">
        <w:rPr>
          <w:rFonts w:ascii="Times New Roman" w:eastAsia="Times New Roman" w:hAnsi="Times New Roman" w:cs="Times New Roman"/>
          <w:sz w:val="24"/>
          <w:szCs w:val="24"/>
          <w:shd w:val="clear" w:color="auto" w:fill="FFFFFF"/>
        </w:rPr>
        <w:t>saistībā</w:t>
      </w:r>
      <w:r w:rsidR="00011C21" w:rsidRPr="00633851">
        <w:rPr>
          <w:rFonts w:ascii="Times New Roman" w:eastAsia="Times New Roman" w:hAnsi="Times New Roman" w:cs="Times New Roman"/>
          <w:sz w:val="24"/>
          <w:szCs w:val="24"/>
          <w:shd w:val="clear" w:color="auto" w:fill="FFFFFF"/>
        </w:rPr>
        <w:t xml:space="preserve"> ar energoresursu cenu ārkārtēju pieaugumu uz iedzīvotāju </w:t>
      </w:r>
      <w:r w:rsidR="00011C21">
        <w:rPr>
          <w:rFonts w:ascii="Times New Roman" w:eastAsia="Times New Roman" w:hAnsi="Times New Roman" w:cs="Times New Roman"/>
          <w:sz w:val="24"/>
          <w:szCs w:val="24"/>
          <w:shd w:val="clear" w:color="auto" w:fill="FFFFFF"/>
        </w:rPr>
        <w:t>ienākumiem.</w:t>
      </w:r>
    </w:p>
    <w:p w14:paraId="7C88662C" w14:textId="77777777" w:rsidR="00BF2470" w:rsidRDefault="00BF2470" w:rsidP="003C3506">
      <w:pPr>
        <w:spacing w:after="0"/>
        <w:jc w:val="both"/>
        <w:rPr>
          <w:rFonts w:ascii="Times New Roman" w:hAnsi="Times New Roman" w:cs="Times New Roman"/>
          <w:b/>
          <w:sz w:val="24"/>
          <w:szCs w:val="24"/>
        </w:rPr>
      </w:pPr>
    </w:p>
    <w:p w14:paraId="5CAAB8AE" w14:textId="4690783D" w:rsidR="00B57DD5" w:rsidRPr="00E5351A" w:rsidRDefault="00E5351A" w:rsidP="00E5351A">
      <w:pPr>
        <w:spacing w:after="0"/>
        <w:jc w:val="both"/>
        <w:rPr>
          <w:rFonts w:ascii="Times New Roman" w:hAnsi="Times New Roman" w:cs="Times New Roman"/>
          <w:b/>
          <w:sz w:val="24"/>
          <w:szCs w:val="24"/>
        </w:rPr>
      </w:pPr>
      <w:r w:rsidRPr="00E5351A">
        <w:rPr>
          <w:rFonts w:ascii="Times New Roman" w:hAnsi="Times New Roman" w:cs="Times New Roman"/>
          <w:b/>
          <w:sz w:val="24"/>
          <w:szCs w:val="24"/>
        </w:rPr>
        <w:t>(1</w:t>
      </w:r>
      <w:r>
        <w:rPr>
          <w:rFonts w:ascii="Times New Roman" w:hAnsi="Times New Roman" w:cs="Times New Roman"/>
          <w:b/>
          <w:sz w:val="24"/>
          <w:szCs w:val="24"/>
        </w:rPr>
        <w:t>) p</w:t>
      </w:r>
      <w:r w:rsidR="00525F5F" w:rsidRPr="00E5351A">
        <w:rPr>
          <w:rFonts w:ascii="Times New Roman" w:hAnsi="Times New Roman" w:cs="Times New Roman"/>
          <w:b/>
          <w:sz w:val="24"/>
          <w:szCs w:val="24"/>
        </w:rPr>
        <w:t xml:space="preserve">abalsts </w:t>
      </w:r>
      <w:r w:rsidR="00B177E1" w:rsidRPr="00E5351A">
        <w:rPr>
          <w:rFonts w:ascii="Times New Roman" w:hAnsi="Times New Roman" w:cs="Times New Roman"/>
          <w:b/>
          <w:sz w:val="24"/>
          <w:szCs w:val="24"/>
        </w:rPr>
        <w:t xml:space="preserve">20 </w:t>
      </w:r>
      <w:r w:rsidR="00B177E1" w:rsidRPr="00E5351A">
        <w:rPr>
          <w:rFonts w:ascii="Times New Roman" w:hAnsi="Times New Roman" w:cs="Times New Roman"/>
          <w:b/>
          <w:i/>
          <w:sz w:val="24"/>
          <w:szCs w:val="24"/>
        </w:rPr>
        <w:t>euro</w:t>
      </w:r>
      <w:r w:rsidR="00B177E1" w:rsidRPr="00E5351A">
        <w:rPr>
          <w:rFonts w:ascii="Times New Roman" w:hAnsi="Times New Roman" w:cs="Times New Roman"/>
          <w:b/>
          <w:sz w:val="24"/>
          <w:szCs w:val="24"/>
        </w:rPr>
        <w:t xml:space="preserve"> mēnesī </w:t>
      </w:r>
      <w:r w:rsidR="00B466C8" w:rsidRPr="00E5351A">
        <w:rPr>
          <w:rFonts w:ascii="Times New Roman" w:hAnsi="Times New Roman" w:cs="Times New Roman"/>
          <w:b/>
          <w:sz w:val="24"/>
          <w:szCs w:val="24"/>
        </w:rPr>
        <w:t>(</w:t>
      </w:r>
      <w:r w:rsidR="00694A57" w:rsidRPr="00E5351A">
        <w:rPr>
          <w:rFonts w:ascii="Times New Roman" w:hAnsi="Times New Roman" w:cs="Times New Roman"/>
          <w:b/>
          <w:sz w:val="24"/>
          <w:szCs w:val="24"/>
        </w:rPr>
        <w:t>10</w:t>
      </w:r>
      <w:r w:rsidR="00B466C8" w:rsidRPr="00E5351A">
        <w:rPr>
          <w:rFonts w:ascii="Times New Roman" w:hAnsi="Times New Roman" w:cs="Times New Roman"/>
          <w:b/>
          <w:sz w:val="24"/>
          <w:szCs w:val="24"/>
        </w:rPr>
        <w:t xml:space="preserve">0 </w:t>
      </w:r>
      <w:r w:rsidR="00B466C8" w:rsidRPr="00E5351A">
        <w:rPr>
          <w:rFonts w:ascii="Times New Roman" w:hAnsi="Times New Roman" w:cs="Times New Roman"/>
          <w:b/>
          <w:i/>
          <w:sz w:val="24"/>
          <w:szCs w:val="24"/>
        </w:rPr>
        <w:t>euro</w:t>
      </w:r>
      <w:r w:rsidR="00B466C8" w:rsidRPr="00E5351A">
        <w:rPr>
          <w:rFonts w:ascii="Times New Roman" w:hAnsi="Times New Roman" w:cs="Times New Roman"/>
          <w:b/>
          <w:sz w:val="24"/>
          <w:szCs w:val="24"/>
        </w:rPr>
        <w:t xml:space="preserve"> kopējais atbalsts visā periodā) </w:t>
      </w:r>
      <w:r w:rsidR="00B177E1" w:rsidRPr="00E5351A">
        <w:rPr>
          <w:rFonts w:ascii="Times New Roman" w:hAnsi="Times New Roman" w:cs="Times New Roman"/>
          <w:b/>
          <w:sz w:val="24"/>
          <w:szCs w:val="24"/>
        </w:rPr>
        <w:t xml:space="preserve">vakcinētiem 60 un vairāk gadus veciem </w:t>
      </w:r>
      <w:r w:rsidR="00525F5F" w:rsidRPr="00E5351A">
        <w:rPr>
          <w:rFonts w:ascii="Times New Roman" w:hAnsi="Times New Roman" w:cs="Times New Roman"/>
          <w:b/>
          <w:sz w:val="24"/>
          <w:szCs w:val="24"/>
        </w:rPr>
        <w:t xml:space="preserve">senioriem no 01.11.2021. </w:t>
      </w:r>
      <w:r w:rsidR="00B177E1" w:rsidRPr="00E5351A">
        <w:rPr>
          <w:rFonts w:ascii="Times New Roman" w:hAnsi="Times New Roman" w:cs="Times New Roman"/>
          <w:b/>
          <w:sz w:val="24"/>
          <w:szCs w:val="24"/>
        </w:rPr>
        <w:t>līdz 31.03.2022.</w:t>
      </w:r>
      <w:r w:rsidR="00350075" w:rsidRPr="00E5351A">
        <w:rPr>
          <w:rFonts w:ascii="Times New Roman" w:hAnsi="Times New Roman" w:cs="Times New Roman"/>
          <w:b/>
          <w:sz w:val="24"/>
          <w:szCs w:val="24"/>
        </w:rPr>
        <w:t xml:space="preserve"> </w:t>
      </w:r>
    </w:p>
    <w:p w14:paraId="5CB301B2" w14:textId="77777777" w:rsidR="00B466C8" w:rsidRDefault="00B466C8" w:rsidP="00B466C8">
      <w:pPr>
        <w:pStyle w:val="ListParagraph"/>
        <w:spacing w:after="0"/>
        <w:ind w:left="0"/>
        <w:jc w:val="both"/>
        <w:rPr>
          <w:rFonts w:ascii="Times New Roman" w:hAnsi="Times New Roman" w:cs="Times New Roman"/>
          <w:sz w:val="24"/>
          <w:szCs w:val="24"/>
        </w:rPr>
      </w:pPr>
    </w:p>
    <w:p w14:paraId="11A0C171" w14:textId="2EC6DFC4" w:rsidR="00B466C8" w:rsidRDefault="00B466C8" w:rsidP="00B466C8">
      <w:pPr>
        <w:pStyle w:val="ListParagraph"/>
        <w:spacing w:after="0"/>
        <w:ind w:left="0"/>
        <w:jc w:val="both"/>
        <w:rPr>
          <w:rFonts w:ascii="Times New Roman" w:hAnsi="Times New Roman" w:cs="Times New Roman"/>
          <w:sz w:val="24"/>
          <w:szCs w:val="24"/>
        </w:rPr>
      </w:pPr>
      <w:r w:rsidRPr="00B466C8">
        <w:rPr>
          <w:rFonts w:ascii="Times New Roman" w:hAnsi="Times New Roman" w:cs="Times New Roman"/>
          <w:sz w:val="24"/>
          <w:szCs w:val="24"/>
        </w:rPr>
        <w:t>2021.gada 21.oktobrī Saeima pieņēma grozījumus Covid-19 infekcijas izplatības seku pārvarēšanas likumā, nosakot, ka k</w:t>
      </w:r>
      <w:r w:rsidRPr="00B466C8">
        <w:rPr>
          <w:rFonts w:ascii="Times New Roman" w:eastAsia="Times New Roman" w:hAnsi="Times New Roman" w:cs="Times New Roman"/>
          <w:iCs/>
          <w:noProof/>
          <w:sz w:val="24"/>
          <w:szCs w:val="24"/>
          <w:lang w:eastAsia="lv-LV"/>
        </w:rPr>
        <w:t>atram Latvijā dzīvojošam cilvēkam, kurš līdz 2021.gada beigām sasniedzis 60 gadu vecumu un pabeidzis pilnu vakcinācijas kursu pret Covid-19 infekciju, laikposmā no 2021.gada 1.novembra līdz 2022.gada 31.martam izmaksā pabalst</w:t>
      </w:r>
      <w:r w:rsidR="00832241">
        <w:rPr>
          <w:rFonts w:ascii="Times New Roman" w:eastAsia="Times New Roman" w:hAnsi="Times New Roman" w:cs="Times New Roman"/>
          <w:iCs/>
          <w:noProof/>
          <w:sz w:val="24"/>
          <w:szCs w:val="24"/>
          <w:lang w:eastAsia="lv-LV"/>
        </w:rPr>
        <w:t>u</w:t>
      </w:r>
      <w:r w:rsidRPr="00B466C8">
        <w:rPr>
          <w:rFonts w:ascii="Times New Roman" w:eastAsia="Times New Roman" w:hAnsi="Times New Roman" w:cs="Times New Roman"/>
          <w:iCs/>
          <w:noProof/>
          <w:sz w:val="24"/>
          <w:szCs w:val="24"/>
          <w:lang w:eastAsia="lv-LV"/>
        </w:rPr>
        <w:t xml:space="preserve"> 20 </w:t>
      </w:r>
      <w:r w:rsidRPr="00B466C8">
        <w:rPr>
          <w:rFonts w:ascii="Times New Roman" w:eastAsia="Times New Roman" w:hAnsi="Times New Roman" w:cs="Times New Roman"/>
          <w:i/>
          <w:iCs/>
          <w:noProof/>
          <w:sz w:val="24"/>
          <w:szCs w:val="24"/>
          <w:lang w:eastAsia="lv-LV"/>
        </w:rPr>
        <w:t>euro</w:t>
      </w:r>
      <w:r w:rsidRPr="00B466C8">
        <w:rPr>
          <w:rFonts w:ascii="Times New Roman" w:eastAsia="Times New Roman" w:hAnsi="Times New Roman" w:cs="Times New Roman"/>
          <w:iCs/>
          <w:noProof/>
          <w:sz w:val="24"/>
          <w:szCs w:val="24"/>
          <w:lang w:eastAsia="lv-LV"/>
        </w:rPr>
        <w:t xml:space="preserve"> mēnesī. Šie grozījumi tika izstrādāti</w:t>
      </w:r>
      <w:r w:rsidRPr="00B466C8">
        <w:rPr>
          <w:rFonts w:ascii="Times New Roman" w:hAnsi="Times New Roman" w:cs="Times New Roman"/>
          <w:sz w:val="24"/>
          <w:szCs w:val="24"/>
        </w:rPr>
        <w:t>, lai veicinātu vakcinēšanās pret Covid-19 aptveri valstī vecuma grupā 60 gadi un vairāk, kā arī ņemot vērā vispārējo cenu pieaugumu, tostarp energoresursu cenu sadārdzinājumu.</w:t>
      </w:r>
    </w:p>
    <w:p w14:paraId="7269B789" w14:textId="77777777" w:rsidR="00B466C8" w:rsidRPr="00B466C8" w:rsidRDefault="00B466C8" w:rsidP="00B466C8">
      <w:pPr>
        <w:pStyle w:val="ListParagraph"/>
        <w:spacing w:after="0"/>
        <w:ind w:left="0"/>
        <w:jc w:val="both"/>
        <w:rPr>
          <w:rFonts w:ascii="Times New Roman" w:hAnsi="Times New Roman" w:cs="Times New Roman"/>
          <w:sz w:val="24"/>
          <w:szCs w:val="24"/>
        </w:rPr>
      </w:pPr>
    </w:p>
    <w:p w14:paraId="5F29B9C1" w14:textId="77777777" w:rsidR="00B466C8" w:rsidRPr="00B466C8" w:rsidRDefault="00B466C8" w:rsidP="00B466C8">
      <w:pPr>
        <w:jc w:val="both"/>
        <w:rPr>
          <w:rFonts w:ascii="Times New Roman" w:hAnsi="Times New Roman" w:cs="Times New Roman"/>
          <w:sz w:val="24"/>
          <w:szCs w:val="24"/>
        </w:rPr>
      </w:pPr>
      <w:r w:rsidRPr="00B466C8">
        <w:rPr>
          <w:rFonts w:ascii="Times New Roman" w:hAnsi="Times New Roman" w:cs="Times New Roman"/>
          <w:sz w:val="24"/>
          <w:szCs w:val="24"/>
        </w:rPr>
        <w:t xml:space="preserve">Šo pabalstu saņēma 391 532 personas un kopējie izdevumi – 38 729 760 </w:t>
      </w:r>
      <w:r w:rsidRPr="00B466C8">
        <w:rPr>
          <w:rFonts w:ascii="Times New Roman" w:hAnsi="Times New Roman" w:cs="Times New Roman"/>
          <w:i/>
          <w:sz w:val="24"/>
          <w:szCs w:val="24"/>
        </w:rPr>
        <w:t>euro</w:t>
      </w:r>
      <w:r w:rsidRPr="00B466C8">
        <w:rPr>
          <w:rFonts w:ascii="Times New Roman" w:hAnsi="Times New Roman" w:cs="Times New Roman"/>
          <w:sz w:val="24"/>
          <w:szCs w:val="24"/>
        </w:rPr>
        <w:t xml:space="preserve"> (2021.gadā – 15 016 820 </w:t>
      </w:r>
      <w:r w:rsidRPr="00B466C8">
        <w:rPr>
          <w:rFonts w:ascii="Times New Roman" w:hAnsi="Times New Roman" w:cs="Times New Roman"/>
          <w:i/>
          <w:sz w:val="24"/>
          <w:szCs w:val="24"/>
        </w:rPr>
        <w:t>euro</w:t>
      </w:r>
      <w:r w:rsidRPr="00B466C8">
        <w:rPr>
          <w:rFonts w:ascii="Times New Roman" w:hAnsi="Times New Roman" w:cs="Times New Roman"/>
          <w:sz w:val="24"/>
          <w:szCs w:val="24"/>
        </w:rPr>
        <w:t xml:space="preserve">; 2022.gadā – 23 712 940 </w:t>
      </w:r>
      <w:r w:rsidRPr="00B466C8">
        <w:rPr>
          <w:rFonts w:ascii="Times New Roman" w:hAnsi="Times New Roman" w:cs="Times New Roman"/>
          <w:i/>
          <w:sz w:val="24"/>
          <w:szCs w:val="24"/>
        </w:rPr>
        <w:t>euro</w:t>
      </w:r>
      <w:r w:rsidRPr="00B466C8">
        <w:rPr>
          <w:rFonts w:ascii="Times New Roman" w:hAnsi="Times New Roman" w:cs="Times New Roman"/>
          <w:sz w:val="24"/>
          <w:szCs w:val="24"/>
        </w:rPr>
        <w:t>).</w:t>
      </w:r>
    </w:p>
    <w:p w14:paraId="5EC819AC" w14:textId="77777777" w:rsidR="00B466C8" w:rsidRDefault="00B466C8" w:rsidP="003C3506">
      <w:pPr>
        <w:spacing w:after="0"/>
        <w:jc w:val="both"/>
        <w:rPr>
          <w:rFonts w:ascii="Times New Roman" w:hAnsi="Times New Roman" w:cs="Times New Roman"/>
          <w:b/>
          <w:sz w:val="24"/>
          <w:szCs w:val="24"/>
        </w:rPr>
      </w:pPr>
    </w:p>
    <w:p w14:paraId="2C8EADB5" w14:textId="1083FD4F" w:rsidR="00B57DD5" w:rsidRPr="003C3506" w:rsidRDefault="00E5351A" w:rsidP="003C3506">
      <w:pPr>
        <w:spacing w:after="0"/>
        <w:jc w:val="both"/>
        <w:rPr>
          <w:rFonts w:ascii="Times New Roman" w:hAnsi="Times New Roman" w:cs="Times New Roman"/>
          <w:sz w:val="24"/>
          <w:szCs w:val="24"/>
        </w:rPr>
      </w:pPr>
      <w:r>
        <w:rPr>
          <w:rFonts w:ascii="Times New Roman" w:hAnsi="Times New Roman" w:cs="Times New Roman"/>
          <w:b/>
          <w:sz w:val="24"/>
          <w:szCs w:val="24"/>
        </w:rPr>
        <w:t>(2) a</w:t>
      </w:r>
      <w:r w:rsidR="00350075" w:rsidRPr="00350075">
        <w:rPr>
          <w:rFonts w:ascii="Times New Roman" w:hAnsi="Times New Roman" w:cs="Times New Roman"/>
          <w:b/>
          <w:sz w:val="24"/>
          <w:szCs w:val="24"/>
        </w:rPr>
        <w:t>tbalsts</w:t>
      </w:r>
      <w:r w:rsidR="00B177E1" w:rsidRPr="00350075">
        <w:rPr>
          <w:rFonts w:ascii="Times New Roman" w:hAnsi="Times New Roman" w:cs="Times New Roman"/>
          <w:b/>
          <w:sz w:val="24"/>
          <w:szCs w:val="24"/>
        </w:rPr>
        <w:t xml:space="preserve"> 20 </w:t>
      </w:r>
      <w:r w:rsidR="00B177E1" w:rsidRPr="00350075">
        <w:rPr>
          <w:rFonts w:ascii="Times New Roman" w:hAnsi="Times New Roman" w:cs="Times New Roman"/>
          <w:b/>
          <w:i/>
          <w:sz w:val="24"/>
          <w:szCs w:val="24"/>
        </w:rPr>
        <w:t>euro</w:t>
      </w:r>
      <w:r w:rsidR="00B177E1" w:rsidRPr="00350075">
        <w:rPr>
          <w:rFonts w:ascii="Times New Roman" w:hAnsi="Times New Roman" w:cs="Times New Roman"/>
          <w:b/>
          <w:sz w:val="24"/>
          <w:szCs w:val="24"/>
        </w:rPr>
        <w:t xml:space="preserve"> mēnesī </w:t>
      </w:r>
      <w:r w:rsidR="00B466C8">
        <w:rPr>
          <w:rFonts w:ascii="Times New Roman" w:hAnsi="Times New Roman" w:cs="Times New Roman"/>
          <w:b/>
          <w:sz w:val="24"/>
          <w:szCs w:val="24"/>
        </w:rPr>
        <w:t xml:space="preserve">(80 </w:t>
      </w:r>
      <w:r w:rsidR="00B466C8" w:rsidRPr="00B466C8">
        <w:rPr>
          <w:rFonts w:ascii="Times New Roman" w:hAnsi="Times New Roman" w:cs="Times New Roman"/>
          <w:b/>
          <w:i/>
          <w:sz w:val="24"/>
          <w:szCs w:val="24"/>
        </w:rPr>
        <w:t>euro</w:t>
      </w:r>
      <w:r w:rsidR="00B466C8">
        <w:rPr>
          <w:rFonts w:ascii="Times New Roman" w:hAnsi="Times New Roman" w:cs="Times New Roman"/>
          <w:b/>
          <w:sz w:val="24"/>
          <w:szCs w:val="24"/>
        </w:rPr>
        <w:t xml:space="preserve"> kopējais atbalsts visā periodā) </w:t>
      </w:r>
      <w:r w:rsidR="00B177E1" w:rsidRPr="00350075">
        <w:rPr>
          <w:rFonts w:ascii="Times New Roman" w:hAnsi="Times New Roman" w:cs="Times New Roman"/>
          <w:b/>
          <w:sz w:val="24"/>
          <w:szCs w:val="24"/>
        </w:rPr>
        <w:t>senioriem, personām ar invaliditāti, apgādnieku zaudējušām personām</w:t>
      </w:r>
      <w:r w:rsidR="00B177E1" w:rsidRPr="003C3506">
        <w:rPr>
          <w:rFonts w:ascii="Times New Roman" w:hAnsi="Times New Roman" w:cs="Times New Roman"/>
          <w:sz w:val="24"/>
          <w:szCs w:val="24"/>
        </w:rPr>
        <w:t xml:space="preserve"> </w:t>
      </w:r>
      <w:r w:rsidR="00350075" w:rsidRPr="00350075">
        <w:rPr>
          <w:rFonts w:ascii="Times New Roman" w:hAnsi="Times New Roman" w:cs="Times New Roman"/>
          <w:b/>
          <w:sz w:val="24"/>
          <w:szCs w:val="24"/>
        </w:rPr>
        <w:t xml:space="preserve"> </w:t>
      </w:r>
      <w:r w:rsidR="00350075" w:rsidRPr="00C728F0">
        <w:rPr>
          <w:rFonts w:ascii="Times New Roman" w:hAnsi="Times New Roman" w:cs="Times New Roman"/>
          <w:b/>
          <w:sz w:val="24"/>
          <w:szCs w:val="24"/>
        </w:rPr>
        <w:t>no 01.01.2022. līdz 30.04.2022.</w:t>
      </w:r>
    </w:p>
    <w:p w14:paraId="0BB3E8A1" w14:textId="77777777" w:rsidR="00B466C8" w:rsidRPr="003260A2" w:rsidRDefault="00B466C8" w:rsidP="00B466C8">
      <w:pPr>
        <w:spacing w:after="0" w:line="240" w:lineRule="auto"/>
        <w:jc w:val="both"/>
        <w:rPr>
          <w:rFonts w:ascii="Times New Roman" w:hAnsi="Times New Roman" w:cs="Times New Roman"/>
          <w:sz w:val="24"/>
          <w:szCs w:val="24"/>
        </w:rPr>
      </w:pPr>
      <w:r w:rsidRPr="003260A2">
        <w:rPr>
          <w:rFonts w:ascii="Times New Roman" w:hAnsi="Times New Roman" w:cs="Times New Roman"/>
          <w:noProof/>
          <w:sz w:val="24"/>
          <w:szCs w:val="24"/>
        </w:rPr>
        <w:t xml:space="preserve">2022.gada 27.janvārī Saeima pieņēma Ekonomikas ministrijas un Labklājības ministrijas izstrādāto </w:t>
      </w:r>
      <w:r w:rsidRPr="003260A2">
        <w:rPr>
          <w:rFonts w:ascii="Times New Roman" w:hAnsi="Times New Roman" w:cs="Times New Roman"/>
          <w:i/>
          <w:iCs/>
          <w:sz w:val="24"/>
          <w:szCs w:val="24"/>
        </w:rPr>
        <w:t>Energoresursu cenu ārkārtēja pieauguma samazinājuma pasākumu likumu</w:t>
      </w:r>
      <w:r w:rsidRPr="003260A2">
        <w:rPr>
          <w:rFonts w:ascii="Times New Roman" w:hAnsi="Times New Roman" w:cs="Times New Roman"/>
          <w:noProof/>
          <w:sz w:val="24"/>
          <w:szCs w:val="24"/>
        </w:rPr>
        <w:t xml:space="preserve">, kas nosaka energoresursu cenu pieaugumu mazinošus atbalsta pasākumus mājsaimniecībām. Viens no tiem ir </w:t>
      </w:r>
      <w:r w:rsidRPr="003260A2">
        <w:rPr>
          <w:rFonts w:ascii="Times New Roman" w:hAnsi="Times New Roman" w:cs="Times New Roman"/>
          <w:sz w:val="24"/>
          <w:szCs w:val="24"/>
        </w:rPr>
        <w:t>laikposmā no 2022. gada 1. janvāra līdz 2022. gada 30. aprīlim izmaksāt atbalstu 20 </w:t>
      </w:r>
      <w:r w:rsidRPr="003260A2">
        <w:rPr>
          <w:rFonts w:ascii="Times New Roman" w:hAnsi="Times New Roman" w:cs="Times New Roman"/>
          <w:i/>
          <w:iCs/>
          <w:sz w:val="24"/>
          <w:szCs w:val="24"/>
        </w:rPr>
        <w:t>euro</w:t>
      </w:r>
      <w:r w:rsidRPr="003260A2">
        <w:rPr>
          <w:rFonts w:ascii="Times New Roman" w:hAnsi="Times New Roman" w:cs="Times New Roman"/>
          <w:sz w:val="24"/>
          <w:szCs w:val="24"/>
        </w:rPr>
        <w:t> mēnesī Latvijā dzīvojošai personai, kura atbalsta izmaksas periodā ir:</w:t>
      </w:r>
    </w:p>
    <w:p w14:paraId="0FF02901" w14:textId="77777777" w:rsidR="00B466C8" w:rsidRPr="003260A2" w:rsidRDefault="00B466C8" w:rsidP="00B466C8">
      <w:pPr>
        <w:shd w:val="clear" w:color="auto" w:fill="FFFFFF"/>
        <w:spacing w:before="120" w:after="0" w:line="240" w:lineRule="auto"/>
        <w:ind w:left="601"/>
        <w:jc w:val="both"/>
        <w:rPr>
          <w:rFonts w:ascii="Times New Roman" w:eastAsia="Times New Roman" w:hAnsi="Times New Roman" w:cs="Times New Roman"/>
          <w:sz w:val="24"/>
          <w:szCs w:val="24"/>
          <w:lang w:eastAsia="lv-LV"/>
        </w:rPr>
      </w:pPr>
      <w:r w:rsidRPr="003260A2">
        <w:rPr>
          <w:rFonts w:ascii="Times New Roman" w:eastAsia="Times New Roman" w:hAnsi="Times New Roman" w:cs="Times New Roman"/>
          <w:sz w:val="24"/>
          <w:szCs w:val="24"/>
          <w:lang w:eastAsia="lv-LV"/>
        </w:rPr>
        <w:t>1) Latvijas Republikā piešķirtās vecuma, invaliditātes vai apgādnieka zaudējuma pensijas saņēmēja, tostarp priekšlaicīgi un avansā piešķirtās pensijas saņēmēja, speciālās valsts pensijas saņēmēja, izdienas pensijas saņēmēja, kura sasniegusi vecuma pensijas piešķiršanai nepieciešamo vecumu, bet kurai vecuma pensija nav piešķirta, izdienas pensijas saņēmēja, kura nav sasniegusi vecuma pensijas piešķiršanai nepieciešamo vecumu un kurai ir noteikta invaliditāte, kā arī atlīdzības par darbspēju zaudējumu vai atlīdzības par apgādnieka zaudējumu saņēmēja vai valsts sociālā nodrošinājuma pabalsta saņēmēja, - arī tad, ja pabalsta izmaksa uz laiku ir pārtraukta;</w:t>
      </w:r>
    </w:p>
    <w:p w14:paraId="0B61CDE7" w14:textId="77777777" w:rsidR="00B466C8" w:rsidRPr="003260A2" w:rsidRDefault="00B466C8" w:rsidP="00B466C8">
      <w:pPr>
        <w:shd w:val="clear" w:color="auto" w:fill="FFFFFF"/>
        <w:spacing w:before="120" w:after="0" w:line="293" w:lineRule="atLeast"/>
        <w:ind w:left="601"/>
        <w:jc w:val="both"/>
        <w:rPr>
          <w:rFonts w:ascii="Times New Roman" w:eastAsia="Times New Roman" w:hAnsi="Times New Roman" w:cs="Times New Roman"/>
          <w:sz w:val="24"/>
          <w:szCs w:val="24"/>
          <w:lang w:eastAsia="lv-LV"/>
        </w:rPr>
      </w:pPr>
      <w:r w:rsidRPr="003260A2">
        <w:rPr>
          <w:rFonts w:ascii="Times New Roman" w:eastAsia="Times New Roman" w:hAnsi="Times New Roman" w:cs="Times New Roman"/>
          <w:sz w:val="24"/>
          <w:szCs w:val="24"/>
          <w:lang w:eastAsia="lv-LV"/>
        </w:rPr>
        <w:t>2) bērna ar invaliditāti kopšanas pabalsta saņēmēja vai pabalsta personām ar invaliditāti, kurām nepieciešama kopšana, saņēmēja;</w:t>
      </w:r>
    </w:p>
    <w:p w14:paraId="4224D5C8" w14:textId="77777777" w:rsidR="00B466C8" w:rsidRPr="003260A2" w:rsidRDefault="00B466C8" w:rsidP="00B466C8">
      <w:pPr>
        <w:shd w:val="clear" w:color="auto" w:fill="FFFFFF"/>
        <w:spacing w:before="120" w:after="0" w:line="293" w:lineRule="atLeast"/>
        <w:ind w:left="601"/>
        <w:jc w:val="both"/>
        <w:rPr>
          <w:rFonts w:ascii="Times New Roman" w:eastAsia="Times New Roman" w:hAnsi="Times New Roman" w:cs="Times New Roman"/>
          <w:sz w:val="24"/>
          <w:szCs w:val="24"/>
          <w:lang w:eastAsia="lv-LV"/>
        </w:rPr>
      </w:pPr>
      <w:r w:rsidRPr="003260A2">
        <w:rPr>
          <w:rFonts w:ascii="Times New Roman" w:eastAsia="Times New Roman" w:hAnsi="Times New Roman" w:cs="Times New Roman"/>
          <w:sz w:val="24"/>
          <w:szCs w:val="24"/>
          <w:lang w:eastAsia="lv-LV"/>
        </w:rPr>
        <w:t xml:space="preserve">3) pilngadīga persona, kurai ir piešķirts bēgļa vai alternatīvais statuss un kura ir sasniegusi vecuma pensijas piešķiršanai nepieciešamo vecumu vai kurai ir noteikta invaliditāte un kura nav sasniegusi vecuma pensijas piešķiršanai nepieciešamo vecumu, kā arī persona, kurai ir noteikta invaliditāte un ir izsniegts </w:t>
      </w:r>
      <w:r w:rsidRPr="003260A2">
        <w:rPr>
          <w:rFonts w:ascii="Times New Roman" w:eastAsia="Times New Roman" w:hAnsi="Times New Roman" w:cs="Times New Roman"/>
          <w:sz w:val="24"/>
          <w:szCs w:val="24"/>
          <w:lang w:eastAsia="lv-LV"/>
        </w:rPr>
        <w:lastRenderedPageBreak/>
        <w:t>Veselības un darbspēju ekspertīzes ārstu valsts komisijas atzinums par īpašas kopšanas nepieciešamību.</w:t>
      </w:r>
    </w:p>
    <w:p w14:paraId="46CB5156" w14:textId="77777777" w:rsidR="00E5351A" w:rsidRDefault="00E5351A" w:rsidP="00B466C8">
      <w:pPr>
        <w:jc w:val="both"/>
        <w:rPr>
          <w:rFonts w:ascii="Times New Roman" w:hAnsi="Times New Roman" w:cs="Times New Roman"/>
          <w:sz w:val="24"/>
          <w:szCs w:val="24"/>
        </w:rPr>
      </w:pPr>
    </w:p>
    <w:p w14:paraId="624DE68E" w14:textId="7077B416" w:rsidR="00B466C8" w:rsidRPr="006B694F" w:rsidRDefault="00B466C8" w:rsidP="00B466C8">
      <w:pPr>
        <w:jc w:val="both"/>
        <w:rPr>
          <w:rFonts w:ascii="Times New Roman" w:hAnsi="Times New Roman" w:cs="Times New Roman"/>
          <w:color w:val="1F497D"/>
          <w:sz w:val="24"/>
          <w:szCs w:val="24"/>
        </w:rPr>
      </w:pPr>
      <w:r w:rsidRPr="00B466C8">
        <w:rPr>
          <w:rFonts w:ascii="Times New Roman" w:hAnsi="Times New Roman" w:cs="Times New Roman"/>
          <w:sz w:val="24"/>
          <w:szCs w:val="24"/>
        </w:rPr>
        <w:t xml:space="preserve">Šo pabalstu saņēma 543 797 personas, t.sk. 19 213 </w:t>
      </w:r>
      <w:r w:rsidRPr="00B466C8">
        <w:rPr>
          <w:rFonts w:ascii="Times New Roman" w:eastAsia="Times New Roman" w:hAnsi="Times New Roman" w:cs="Times New Roman"/>
          <w:sz w:val="24"/>
          <w:szCs w:val="24"/>
          <w:lang w:eastAsia="lv-LV"/>
        </w:rPr>
        <w:t xml:space="preserve">bērna ar invaliditāti kopšanas </w:t>
      </w:r>
      <w:r w:rsidRPr="006B694F">
        <w:rPr>
          <w:rFonts w:ascii="Times New Roman" w:eastAsia="Times New Roman" w:hAnsi="Times New Roman" w:cs="Times New Roman"/>
          <w:sz w:val="24"/>
          <w:szCs w:val="24"/>
          <w:lang w:eastAsia="lv-LV"/>
        </w:rPr>
        <w:t xml:space="preserve">pabalsta </w:t>
      </w:r>
      <w:r w:rsidRPr="00961E57">
        <w:rPr>
          <w:rFonts w:ascii="Times New Roman" w:eastAsia="Times New Roman" w:hAnsi="Times New Roman" w:cs="Times New Roman"/>
          <w:sz w:val="24"/>
          <w:szCs w:val="24"/>
          <w:lang w:eastAsia="lv-LV"/>
        </w:rPr>
        <w:t>vai pabalsta personām ar invaliditāti, kurām nepieciešama kopšana, saņēmēja</w:t>
      </w:r>
      <w:r w:rsidRPr="00B10C38">
        <w:rPr>
          <w:rFonts w:ascii="Times New Roman" w:eastAsia="Times New Roman" w:hAnsi="Times New Roman" w:cs="Times New Roman"/>
          <w:sz w:val="24"/>
          <w:szCs w:val="24"/>
          <w:lang w:eastAsia="lv-LV"/>
        </w:rPr>
        <w:t>s.</w:t>
      </w:r>
      <w:r w:rsidRPr="00A104C5">
        <w:rPr>
          <w:rFonts w:ascii="Times New Roman" w:eastAsia="Times New Roman" w:hAnsi="Times New Roman" w:cs="Times New Roman"/>
          <w:sz w:val="24"/>
          <w:szCs w:val="24"/>
          <w:lang w:eastAsia="lv-LV"/>
        </w:rPr>
        <w:t xml:space="preserve"> Kopējie izdevumi </w:t>
      </w:r>
      <w:r w:rsidRPr="00BC2ACE">
        <w:rPr>
          <w:rFonts w:ascii="Times New Roman" w:eastAsia="Times New Roman" w:hAnsi="Times New Roman" w:cs="Times New Roman"/>
          <w:sz w:val="24"/>
          <w:szCs w:val="24"/>
          <w:lang w:eastAsia="lv-LV"/>
        </w:rPr>
        <w:t>–</w:t>
      </w:r>
      <w:r w:rsidRPr="006B694F">
        <w:rPr>
          <w:rFonts w:ascii="Times New Roman" w:eastAsia="Times New Roman" w:hAnsi="Times New Roman" w:cs="Times New Roman"/>
          <w:sz w:val="24"/>
          <w:szCs w:val="24"/>
          <w:lang w:eastAsia="lv-LV"/>
        </w:rPr>
        <w:t xml:space="preserve"> 43</w:t>
      </w:r>
      <w:r w:rsidR="005A0F1D">
        <w:rPr>
          <w:rFonts w:ascii="Times New Roman" w:eastAsia="Times New Roman" w:hAnsi="Times New Roman" w:cs="Times New Roman"/>
          <w:sz w:val="24"/>
          <w:szCs w:val="24"/>
          <w:lang w:eastAsia="lv-LV"/>
        </w:rPr>
        <w:t> </w:t>
      </w:r>
      <w:r w:rsidRPr="006B694F">
        <w:rPr>
          <w:rFonts w:ascii="Times New Roman" w:eastAsia="Times New Roman" w:hAnsi="Times New Roman" w:cs="Times New Roman"/>
          <w:sz w:val="24"/>
          <w:szCs w:val="24"/>
          <w:lang w:eastAsia="lv-LV"/>
        </w:rPr>
        <w:t>682</w:t>
      </w:r>
      <w:r w:rsidR="005A0F1D">
        <w:rPr>
          <w:rFonts w:ascii="Times New Roman" w:eastAsia="Times New Roman" w:hAnsi="Times New Roman" w:cs="Times New Roman"/>
          <w:sz w:val="24"/>
          <w:szCs w:val="24"/>
          <w:lang w:eastAsia="lv-LV"/>
        </w:rPr>
        <w:t xml:space="preserve"> </w:t>
      </w:r>
      <w:r w:rsidRPr="006B694F">
        <w:rPr>
          <w:rFonts w:ascii="Times New Roman" w:eastAsia="Times New Roman" w:hAnsi="Times New Roman" w:cs="Times New Roman"/>
          <w:sz w:val="24"/>
          <w:szCs w:val="24"/>
          <w:lang w:eastAsia="lv-LV"/>
        </w:rPr>
        <w:t xml:space="preserve">860 </w:t>
      </w:r>
      <w:r w:rsidRPr="006B694F">
        <w:rPr>
          <w:rFonts w:ascii="Times New Roman" w:eastAsia="Times New Roman" w:hAnsi="Times New Roman" w:cs="Times New Roman"/>
          <w:i/>
          <w:sz w:val="24"/>
          <w:szCs w:val="24"/>
          <w:lang w:eastAsia="lv-LV"/>
        </w:rPr>
        <w:t>euro</w:t>
      </w:r>
      <w:r w:rsidRPr="006B694F">
        <w:rPr>
          <w:rFonts w:ascii="Times New Roman" w:eastAsia="Times New Roman" w:hAnsi="Times New Roman" w:cs="Times New Roman"/>
          <w:sz w:val="24"/>
          <w:szCs w:val="24"/>
          <w:lang w:eastAsia="lv-LV"/>
        </w:rPr>
        <w:t>.</w:t>
      </w:r>
      <w:r w:rsidRPr="006B694F">
        <w:rPr>
          <w:rFonts w:ascii="Times New Roman" w:hAnsi="Times New Roman" w:cs="Times New Roman"/>
          <w:color w:val="1F497D"/>
          <w:sz w:val="24"/>
          <w:szCs w:val="24"/>
        </w:rPr>
        <w:t xml:space="preserve"> </w:t>
      </w:r>
    </w:p>
    <w:p w14:paraId="4B8C96D5" w14:textId="12CF6E92" w:rsidR="00E5132C" w:rsidRDefault="00E5351A" w:rsidP="003C3506">
      <w:pPr>
        <w:spacing w:after="0"/>
        <w:jc w:val="both"/>
        <w:rPr>
          <w:rFonts w:ascii="Times New Roman" w:hAnsi="Times New Roman" w:cs="Times New Roman"/>
          <w:b/>
          <w:sz w:val="24"/>
          <w:szCs w:val="24"/>
        </w:rPr>
      </w:pPr>
      <w:r>
        <w:rPr>
          <w:rFonts w:ascii="Times New Roman" w:hAnsi="Times New Roman" w:cs="Times New Roman"/>
          <w:b/>
          <w:sz w:val="24"/>
          <w:szCs w:val="24"/>
        </w:rPr>
        <w:t>(3) a</w:t>
      </w:r>
      <w:r w:rsidR="00B177E1" w:rsidRPr="00633851">
        <w:rPr>
          <w:rFonts w:ascii="Times New Roman" w:hAnsi="Times New Roman" w:cs="Times New Roman"/>
          <w:b/>
          <w:sz w:val="24"/>
          <w:szCs w:val="24"/>
        </w:rPr>
        <w:t xml:space="preserve">tbalsts 50 </w:t>
      </w:r>
      <w:r w:rsidR="00B177E1" w:rsidRPr="00633851">
        <w:rPr>
          <w:rFonts w:ascii="Times New Roman" w:hAnsi="Times New Roman" w:cs="Times New Roman"/>
          <w:b/>
          <w:i/>
          <w:sz w:val="24"/>
          <w:szCs w:val="24"/>
        </w:rPr>
        <w:t>euro</w:t>
      </w:r>
      <w:r w:rsidR="00B177E1" w:rsidRPr="00633851">
        <w:rPr>
          <w:rFonts w:ascii="Times New Roman" w:hAnsi="Times New Roman" w:cs="Times New Roman"/>
          <w:b/>
          <w:sz w:val="24"/>
          <w:szCs w:val="24"/>
        </w:rPr>
        <w:t xml:space="preserve"> mēnesī ģimenēm ar bērniem </w:t>
      </w:r>
      <w:r w:rsidR="00B15C48">
        <w:rPr>
          <w:rFonts w:ascii="Times New Roman" w:hAnsi="Times New Roman" w:cs="Times New Roman"/>
          <w:b/>
          <w:sz w:val="24"/>
          <w:szCs w:val="24"/>
        </w:rPr>
        <w:t xml:space="preserve">(200 </w:t>
      </w:r>
      <w:r w:rsidR="00B15C48" w:rsidRPr="00B466C8">
        <w:rPr>
          <w:rFonts w:ascii="Times New Roman" w:hAnsi="Times New Roman" w:cs="Times New Roman"/>
          <w:b/>
          <w:i/>
          <w:sz w:val="24"/>
          <w:szCs w:val="24"/>
        </w:rPr>
        <w:t>euro</w:t>
      </w:r>
      <w:r w:rsidR="00B15C48">
        <w:rPr>
          <w:rFonts w:ascii="Times New Roman" w:hAnsi="Times New Roman" w:cs="Times New Roman"/>
          <w:b/>
          <w:sz w:val="24"/>
          <w:szCs w:val="24"/>
        </w:rPr>
        <w:t xml:space="preserve"> kopējais atbalsts visā periodā)</w:t>
      </w:r>
      <w:r w:rsidRPr="00E5351A">
        <w:rPr>
          <w:rFonts w:ascii="Times New Roman" w:hAnsi="Times New Roman" w:cs="Times New Roman"/>
          <w:b/>
          <w:sz w:val="24"/>
          <w:szCs w:val="24"/>
        </w:rPr>
        <w:t xml:space="preserve"> </w:t>
      </w:r>
      <w:r w:rsidRPr="00633851">
        <w:rPr>
          <w:rFonts w:ascii="Times New Roman" w:hAnsi="Times New Roman" w:cs="Times New Roman"/>
          <w:b/>
          <w:sz w:val="24"/>
          <w:szCs w:val="24"/>
        </w:rPr>
        <w:t xml:space="preserve">no 01.01.2022. līdz 30.04.2022. </w:t>
      </w:r>
      <w:r>
        <w:rPr>
          <w:rFonts w:ascii="Times New Roman" w:hAnsi="Times New Roman" w:cs="Times New Roman"/>
          <w:b/>
          <w:sz w:val="24"/>
          <w:szCs w:val="24"/>
        </w:rPr>
        <w:t xml:space="preserve"> </w:t>
      </w:r>
    </w:p>
    <w:p w14:paraId="546C0E3E" w14:textId="77777777" w:rsidR="00B466C8" w:rsidRPr="00633851" w:rsidRDefault="00B466C8" w:rsidP="003C3506">
      <w:pPr>
        <w:spacing w:after="0"/>
        <w:jc w:val="both"/>
        <w:rPr>
          <w:rFonts w:ascii="Times New Roman" w:hAnsi="Times New Roman" w:cs="Times New Roman"/>
          <w:b/>
          <w:sz w:val="24"/>
          <w:szCs w:val="24"/>
        </w:rPr>
      </w:pPr>
    </w:p>
    <w:p w14:paraId="05DE362F" w14:textId="783E6AF7" w:rsidR="00C728F0" w:rsidRPr="00633851" w:rsidRDefault="00011C21" w:rsidP="00C728F0">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Cs/>
          <w:sz w:val="24"/>
          <w:szCs w:val="24"/>
        </w:rPr>
        <w:t>P</w:t>
      </w:r>
      <w:r w:rsidR="00C728F0" w:rsidRPr="00633851">
        <w:rPr>
          <w:rFonts w:ascii="Times New Roman" w:eastAsia="Times New Roman" w:hAnsi="Times New Roman" w:cs="Times New Roman"/>
          <w:sz w:val="24"/>
          <w:szCs w:val="24"/>
        </w:rPr>
        <w:t xml:space="preserve">ar laika periodu no 2022.gada 1. janvāra līdz 30. aprīlim par katru bērnu tika izmaksāts atbalsts 50 </w:t>
      </w:r>
      <w:r w:rsidR="005A0F1D">
        <w:rPr>
          <w:rFonts w:ascii="Times New Roman" w:eastAsia="Times New Roman" w:hAnsi="Times New Roman" w:cs="Times New Roman"/>
          <w:sz w:val="24"/>
          <w:szCs w:val="24"/>
        </w:rPr>
        <w:t>euro</w:t>
      </w:r>
      <w:r w:rsidR="00C728F0" w:rsidRPr="00633851">
        <w:rPr>
          <w:rFonts w:ascii="Times New Roman" w:eastAsia="Times New Roman" w:hAnsi="Times New Roman" w:cs="Times New Roman"/>
          <w:sz w:val="24"/>
          <w:szCs w:val="24"/>
        </w:rPr>
        <w:t xml:space="preserve"> mēnesī, kopā 200 </w:t>
      </w:r>
      <w:r w:rsidR="005A0F1D">
        <w:rPr>
          <w:rFonts w:ascii="Times New Roman" w:eastAsia="Times New Roman" w:hAnsi="Times New Roman" w:cs="Times New Roman"/>
          <w:sz w:val="24"/>
          <w:szCs w:val="24"/>
        </w:rPr>
        <w:t>euro</w:t>
      </w:r>
      <w:r w:rsidR="005A0F1D" w:rsidRPr="00633851">
        <w:rPr>
          <w:rFonts w:ascii="Times New Roman" w:eastAsia="Times New Roman" w:hAnsi="Times New Roman" w:cs="Times New Roman"/>
          <w:sz w:val="24"/>
          <w:szCs w:val="24"/>
        </w:rPr>
        <w:t xml:space="preserve"> </w:t>
      </w:r>
      <w:r w:rsidR="00C728F0" w:rsidRPr="00633851">
        <w:rPr>
          <w:rFonts w:ascii="Times New Roman" w:eastAsia="Times New Roman" w:hAnsi="Times New Roman" w:cs="Times New Roman"/>
          <w:sz w:val="24"/>
          <w:szCs w:val="24"/>
        </w:rPr>
        <w:t>(4 mēneš</w:t>
      </w:r>
      <w:r w:rsidR="00B15C48">
        <w:rPr>
          <w:rFonts w:ascii="Times New Roman" w:eastAsia="Times New Roman" w:hAnsi="Times New Roman" w:cs="Times New Roman"/>
          <w:sz w:val="24"/>
          <w:szCs w:val="24"/>
        </w:rPr>
        <w:t>i</w:t>
      </w:r>
      <w:r w:rsidR="00C728F0" w:rsidRPr="00633851">
        <w:rPr>
          <w:rFonts w:ascii="Times New Roman" w:eastAsia="Times New Roman" w:hAnsi="Times New Roman" w:cs="Times New Roman"/>
          <w:sz w:val="24"/>
          <w:szCs w:val="24"/>
        </w:rPr>
        <w:t xml:space="preserve"> x 50 </w:t>
      </w:r>
      <w:r w:rsidR="005A0F1D">
        <w:rPr>
          <w:rFonts w:ascii="Times New Roman" w:eastAsia="Times New Roman" w:hAnsi="Times New Roman" w:cs="Times New Roman"/>
          <w:sz w:val="24"/>
          <w:szCs w:val="24"/>
        </w:rPr>
        <w:t>euro</w:t>
      </w:r>
      <w:r w:rsidR="00C728F0" w:rsidRPr="00633851">
        <w:rPr>
          <w:rFonts w:ascii="Times New Roman" w:eastAsia="Times New Roman" w:hAnsi="Times New Roman" w:cs="Times New Roman"/>
          <w:sz w:val="24"/>
          <w:szCs w:val="24"/>
        </w:rPr>
        <w:t>)</w:t>
      </w:r>
      <w:r w:rsidR="00C728F0" w:rsidRPr="00633851">
        <w:rPr>
          <w:rStyle w:val="FootnoteReference"/>
          <w:rFonts w:ascii="Times New Roman" w:eastAsia="Times New Roman" w:hAnsi="Times New Roman"/>
          <w:sz w:val="24"/>
          <w:szCs w:val="24"/>
        </w:rPr>
        <w:footnoteReference w:id="21"/>
      </w:r>
      <w:r w:rsidR="00C728F0" w:rsidRPr="00633851">
        <w:rPr>
          <w:rFonts w:ascii="Times New Roman" w:eastAsia="Times New Roman" w:hAnsi="Times New Roman" w:cs="Times New Roman"/>
          <w:sz w:val="24"/>
          <w:szCs w:val="24"/>
        </w:rPr>
        <w:t xml:space="preserve">. </w:t>
      </w:r>
    </w:p>
    <w:p w14:paraId="2115352B" w14:textId="68942650" w:rsidR="00FB3158" w:rsidRPr="00633851" w:rsidRDefault="00C728F0" w:rsidP="00C728F0">
      <w:pPr>
        <w:shd w:val="clear" w:color="auto" w:fill="FFFFFF"/>
        <w:spacing w:after="0" w:line="240" w:lineRule="auto"/>
        <w:ind w:firstLine="720"/>
        <w:jc w:val="both"/>
        <w:rPr>
          <w:rFonts w:ascii="Times New Roman" w:eastAsia="Times New Roman" w:hAnsi="Times New Roman" w:cs="Times New Roman"/>
          <w:sz w:val="24"/>
          <w:szCs w:val="24"/>
        </w:rPr>
      </w:pPr>
      <w:r w:rsidRPr="00633851">
        <w:rPr>
          <w:rFonts w:ascii="Times New Roman" w:eastAsia="Times New Roman" w:hAnsi="Times New Roman" w:cs="Times New Roman"/>
          <w:sz w:val="24"/>
          <w:szCs w:val="24"/>
        </w:rPr>
        <w:t>Tiesības saņemt atbalstu 50 </w:t>
      </w:r>
      <w:r w:rsidR="005A0F1D">
        <w:rPr>
          <w:rFonts w:ascii="Times New Roman" w:eastAsia="Times New Roman" w:hAnsi="Times New Roman" w:cs="Times New Roman"/>
          <w:sz w:val="24"/>
          <w:szCs w:val="24"/>
        </w:rPr>
        <w:t>euro</w:t>
      </w:r>
      <w:r w:rsidR="005A0F1D" w:rsidRPr="00633851">
        <w:rPr>
          <w:rFonts w:ascii="Times New Roman" w:eastAsia="Times New Roman" w:hAnsi="Times New Roman" w:cs="Times New Roman"/>
          <w:sz w:val="24"/>
          <w:szCs w:val="24"/>
        </w:rPr>
        <w:t xml:space="preserve"> </w:t>
      </w:r>
      <w:r w:rsidRPr="00633851">
        <w:rPr>
          <w:rFonts w:ascii="Times New Roman" w:eastAsia="Times New Roman" w:hAnsi="Times New Roman" w:cs="Times New Roman"/>
          <w:sz w:val="24"/>
          <w:szCs w:val="24"/>
        </w:rPr>
        <w:t>mēnesī par katru bērnu par visu atbals</w:t>
      </w:r>
      <w:r w:rsidR="00FB3158" w:rsidRPr="00633851">
        <w:rPr>
          <w:rFonts w:ascii="Times New Roman" w:eastAsia="Times New Roman" w:hAnsi="Times New Roman" w:cs="Times New Roman"/>
          <w:sz w:val="24"/>
          <w:szCs w:val="24"/>
        </w:rPr>
        <w:t>ta izmaksai paredzēto laikposmu</w:t>
      </w:r>
      <w:r w:rsidRPr="00633851">
        <w:rPr>
          <w:rFonts w:ascii="Times New Roman" w:eastAsia="Times New Roman" w:hAnsi="Times New Roman" w:cs="Times New Roman"/>
          <w:sz w:val="24"/>
          <w:szCs w:val="24"/>
        </w:rPr>
        <w:t xml:space="preserve"> bija</w:t>
      </w:r>
      <w:r w:rsidR="00FB3158" w:rsidRPr="00633851">
        <w:rPr>
          <w:rFonts w:ascii="Times New Roman" w:eastAsia="Times New Roman" w:hAnsi="Times New Roman" w:cs="Times New Roman"/>
          <w:sz w:val="24"/>
          <w:szCs w:val="24"/>
        </w:rPr>
        <w:t>:</w:t>
      </w:r>
    </w:p>
    <w:p w14:paraId="2B9EB322" w14:textId="77777777" w:rsidR="00FB3158" w:rsidRPr="00633851" w:rsidRDefault="00C728F0" w:rsidP="004008A3">
      <w:pPr>
        <w:pStyle w:val="ListParagraph"/>
        <w:numPr>
          <w:ilvl w:val="0"/>
          <w:numId w:val="7"/>
        </w:numPr>
        <w:shd w:val="clear" w:color="auto" w:fill="FFFFFF"/>
        <w:spacing w:after="0" w:line="240" w:lineRule="auto"/>
        <w:ind w:left="851"/>
        <w:jc w:val="both"/>
        <w:rPr>
          <w:rFonts w:ascii="Times New Roman" w:eastAsia="Times New Roman" w:hAnsi="Times New Roman" w:cs="Times New Roman"/>
          <w:sz w:val="24"/>
          <w:szCs w:val="24"/>
        </w:rPr>
      </w:pPr>
      <w:r w:rsidRPr="00633851">
        <w:rPr>
          <w:rFonts w:ascii="Times New Roman" w:eastAsia="Times New Roman" w:hAnsi="Times New Roman" w:cs="Times New Roman"/>
          <w:sz w:val="24"/>
          <w:szCs w:val="24"/>
        </w:rPr>
        <w:t xml:space="preserve">personām, kurām bija tiesības uz bērna kopšanas pabalstu par bērnu līdz viena gada vecumam vai ģimenes valsts pabalstu; </w:t>
      </w:r>
    </w:p>
    <w:p w14:paraId="0D4FEC21" w14:textId="77777777" w:rsidR="00FB3158" w:rsidRPr="00633851" w:rsidRDefault="00C728F0" w:rsidP="004008A3">
      <w:pPr>
        <w:pStyle w:val="ListParagraph"/>
        <w:numPr>
          <w:ilvl w:val="0"/>
          <w:numId w:val="7"/>
        </w:numPr>
        <w:shd w:val="clear" w:color="auto" w:fill="FFFFFF"/>
        <w:spacing w:after="0" w:line="240" w:lineRule="auto"/>
        <w:ind w:left="851"/>
        <w:jc w:val="both"/>
        <w:rPr>
          <w:rFonts w:ascii="Times New Roman" w:eastAsia="Times New Roman" w:hAnsi="Times New Roman" w:cs="Times New Roman"/>
          <w:sz w:val="24"/>
          <w:szCs w:val="24"/>
        </w:rPr>
      </w:pPr>
      <w:r w:rsidRPr="00633851">
        <w:rPr>
          <w:rFonts w:ascii="Times New Roman" w:eastAsia="Times New Roman" w:hAnsi="Times New Roman" w:cs="Times New Roman"/>
          <w:sz w:val="24"/>
          <w:szCs w:val="24"/>
        </w:rPr>
        <w:t xml:space="preserve">personām, kurām sakarā ar bērna piedzimšanu bija tiesības saņemt maternitātes pabalstu un bērns piedzimis līdz 2022. gada 30. aprīlim; </w:t>
      </w:r>
    </w:p>
    <w:p w14:paraId="177AE0FA" w14:textId="77777777" w:rsidR="00FB3158" w:rsidRPr="00633851" w:rsidRDefault="00C728F0" w:rsidP="004008A3">
      <w:pPr>
        <w:pStyle w:val="ListParagraph"/>
        <w:numPr>
          <w:ilvl w:val="0"/>
          <w:numId w:val="7"/>
        </w:numPr>
        <w:shd w:val="clear" w:color="auto" w:fill="FFFFFF"/>
        <w:spacing w:after="0" w:line="240" w:lineRule="auto"/>
        <w:ind w:left="851"/>
        <w:jc w:val="both"/>
        <w:rPr>
          <w:rFonts w:ascii="Times New Roman" w:eastAsia="Times New Roman" w:hAnsi="Times New Roman" w:cs="Times New Roman"/>
          <w:sz w:val="24"/>
          <w:szCs w:val="24"/>
        </w:rPr>
      </w:pPr>
      <w:r w:rsidRPr="00633851">
        <w:rPr>
          <w:rFonts w:ascii="Times New Roman" w:eastAsia="Times New Roman" w:hAnsi="Times New Roman" w:cs="Times New Roman"/>
          <w:sz w:val="24"/>
          <w:szCs w:val="24"/>
        </w:rPr>
        <w:t xml:space="preserve">personām, kuras audzina bērnu, kurš ir vecāks par 16 gadiem, bet nav sasniedzis 18 gadu vecumu, nemācās vispārējās izglītības vai profesionālās izglītības iestādē, kā arī augstākās izglītības iestādē, tostarp koledžā; </w:t>
      </w:r>
    </w:p>
    <w:p w14:paraId="37B77CA4" w14:textId="77777777" w:rsidR="00FB3158" w:rsidRPr="00633851" w:rsidRDefault="00C728F0" w:rsidP="004008A3">
      <w:pPr>
        <w:pStyle w:val="ListParagraph"/>
        <w:numPr>
          <w:ilvl w:val="0"/>
          <w:numId w:val="7"/>
        </w:numPr>
        <w:shd w:val="clear" w:color="auto" w:fill="FFFFFF"/>
        <w:spacing w:after="0" w:line="240" w:lineRule="auto"/>
        <w:ind w:left="851"/>
        <w:jc w:val="both"/>
        <w:rPr>
          <w:rFonts w:ascii="Times New Roman" w:eastAsia="Times New Roman" w:hAnsi="Times New Roman" w:cs="Times New Roman"/>
          <w:sz w:val="24"/>
          <w:szCs w:val="24"/>
        </w:rPr>
      </w:pPr>
      <w:r w:rsidRPr="00633851">
        <w:rPr>
          <w:rFonts w:ascii="Times New Roman" w:eastAsia="Times New Roman" w:hAnsi="Times New Roman" w:cs="Times New Roman"/>
          <w:sz w:val="24"/>
          <w:szCs w:val="24"/>
        </w:rPr>
        <w:t xml:space="preserve">vecākam, aizbildnim, audžuģimenei vai ilgstošas sociālās aprūpes un sociālās rehabilitācijas institūcijas vadītājam, ja atbalsta izmaksas periodā bērns atrodas ilgstošas sociālās aprūpes un sociālās rehabilitācijas institūcijā, sociālās korekcijas izglītības iestādē vai ieslodzījuma vietā, vai bērnam ir piešķirts bēgļa vai alternatīvais statuss; </w:t>
      </w:r>
    </w:p>
    <w:p w14:paraId="38D15894" w14:textId="15357406" w:rsidR="00C728F0" w:rsidRPr="00633851" w:rsidRDefault="00C728F0" w:rsidP="004008A3">
      <w:pPr>
        <w:pStyle w:val="ListParagraph"/>
        <w:numPr>
          <w:ilvl w:val="0"/>
          <w:numId w:val="7"/>
        </w:numPr>
        <w:shd w:val="clear" w:color="auto" w:fill="FFFFFF"/>
        <w:spacing w:after="0" w:line="240" w:lineRule="auto"/>
        <w:ind w:left="851"/>
        <w:jc w:val="both"/>
        <w:rPr>
          <w:rFonts w:ascii="Times New Roman" w:eastAsia="Times New Roman" w:hAnsi="Times New Roman" w:cs="Times New Roman"/>
          <w:sz w:val="24"/>
          <w:szCs w:val="24"/>
        </w:rPr>
      </w:pPr>
      <w:r w:rsidRPr="00633851">
        <w:rPr>
          <w:rFonts w:ascii="Times New Roman" w:eastAsia="Times New Roman" w:hAnsi="Times New Roman" w:cs="Times New Roman"/>
          <w:sz w:val="24"/>
          <w:szCs w:val="24"/>
        </w:rPr>
        <w:t>kā arī personai, kura mācās vispārējās izglītības vai profesionālās izglītības iestādē vai studē augstākajā izglītības iestādē, tostarp koledžā, un nav sasniegusi 24 gadu vecumu (izņemot studējošos, kuri Latvijā saņēmuši termiņuzturēšanās atļauju).</w:t>
      </w:r>
    </w:p>
    <w:p w14:paraId="3CA7F396" w14:textId="77777777" w:rsidR="00B466C8" w:rsidRDefault="00B466C8" w:rsidP="00C728F0">
      <w:pPr>
        <w:spacing w:after="0" w:line="240" w:lineRule="auto"/>
        <w:ind w:firstLine="720"/>
        <w:jc w:val="both"/>
        <w:rPr>
          <w:rFonts w:ascii="Times New Roman" w:eastAsia="Times New Roman" w:hAnsi="Times New Roman" w:cs="Times New Roman"/>
          <w:sz w:val="24"/>
          <w:szCs w:val="24"/>
        </w:rPr>
      </w:pPr>
    </w:p>
    <w:p w14:paraId="524005BF" w14:textId="3EB0D8DB" w:rsidR="00C728F0" w:rsidRPr="005A0F1D" w:rsidRDefault="00C728F0" w:rsidP="00C728F0">
      <w:pPr>
        <w:spacing w:after="0" w:line="240" w:lineRule="auto"/>
        <w:ind w:firstLine="720"/>
        <w:jc w:val="both"/>
        <w:rPr>
          <w:rFonts w:ascii="Times New Roman" w:eastAsia="Times New Roman" w:hAnsi="Times New Roman" w:cs="Times New Roman"/>
          <w:sz w:val="24"/>
          <w:szCs w:val="24"/>
        </w:rPr>
      </w:pPr>
      <w:r w:rsidRPr="00633851">
        <w:rPr>
          <w:rFonts w:ascii="Times New Roman" w:eastAsia="Times New Roman" w:hAnsi="Times New Roman" w:cs="Times New Roman"/>
          <w:sz w:val="24"/>
          <w:szCs w:val="24"/>
        </w:rPr>
        <w:t xml:space="preserve">Vienreizēja atbalsta sniegšana ģimenēm ar bērniem, nevērtējot atsevišķus </w:t>
      </w:r>
      <w:r w:rsidRPr="005A0F1D">
        <w:rPr>
          <w:rFonts w:ascii="Times New Roman" w:eastAsia="Times New Roman" w:hAnsi="Times New Roman" w:cs="Times New Roman"/>
          <w:sz w:val="24"/>
          <w:szCs w:val="24"/>
        </w:rPr>
        <w:t>kritērijus, kā</w:t>
      </w:r>
      <w:r w:rsidR="00FB3158" w:rsidRPr="005A0F1D">
        <w:rPr>
          <w:rFonts w:ascii="Times New Roman" w:eastAsia="Times New Roman" w:hAnsi="Times New Roman" w:cs="Times New Roman"/>
          <w:sz w:val="24"/>
          <w:szCs w:val="24"/>
        </w:rPr>
        <w:t>,</w:t>
      </w:r>
      <w:r w:rsidRPr="005A0F1D">
        <w:rPr>
          <w:rFonts w:ascii="Times New Roman" w:eastAsia="Times New Roman" w:hAnsi="Times New Roman" w:cs="Times New Roman"/>
          <w:sz w:val="24"/>
          <w:szCs w:val="24"/>
        </w:rPr>
        <w:t xml:space="preserve"> piemēram, ienākumu zaudējumu apmērs vai bērnu skaitu ģimenē, ļāva nodrošināt vienlīdzīgu valsts atbalstu visām ģimenēm ar bērniem, tādējādi novēršot risku, ka atbalstu nesaņemtu tā persona, kurai tas ir vitāli nepieciešams, taču noteikto kritēriju dēļ tā nespētu kvalificēties atbalsta saņemšanai.</w:t>
      </w:r>
    </w:p>
    <w:p w14:paraId="7D29645F" w14:textId="392B65F8" w:rsidR="00C728F0" w:rsidRPr="00633851" w:rsidRDefault="00C728F0" w:rsidP="00C728F0">
      <w:pPr>
        <w:spacing w:after="0" w:line="240" w:lineRule="auto"/>
        <w:ind w:firstLine="720"/>
        <w:jc w:val="both"/>
        <w:rPr>
          <w:rFonts w:ascii="Times New Roman" w:eastAsia="Times New Roman" w:hAnsi="Times New Roman" w:cs="Times New Roman"/>
          <w:sz w:val="24"/>
          <w:szCs w:val="24"/>
        </w:rPr>
      </w:pPr>
      <w:r w:rsidRPr="005A0F1D">
        <w:rPr>
          <w:rFonts w:ascii="Times New Roman" w:eastAsia="Times New Roman" w:hAnsi="Times New Roman" w:cs="Times New Roman"/>
          <w:sz w:val="24"/>
          <w:szCs w:val="24"/>
        </w:rPr>
        <w:t xml:space="preserve">Uz 2022.gada 22.maiju 50 </w:t>
      </w:r>
      <w:r w:rsidR="00E5351A" w:rsidRPr="00E5351A">
        <w:rPr>
          <w:rFonts w:ascii="Times New Roman" w:hAnsi="Times New Roman" w:cs="Times New Roman"/>
          <w:i/>
          <w:sz w:val="24"/>
          <w:szCs w:val="24"/>
        </w:rPr>
        <w:t>euro</w:t>
      </w:r>
      <w:r w:rsidR="00E5351A" w:rsidRPr="005A0F1D">
        <w:rPr>
          <w:rFonts w:ascii="Times New Roman" w:eastAsia="Times New Roman" w:hAnsi="Times New Roman" w:cs="Times New Roman"/>
          <w:sz w:val="24"/>
          <w:szCs w:val="24"/>
        </w:rPr>
        <w:t xml:space="preserve"> </w:t>
      </w:r>
      <w:r w:rsidRPr="005A0F1D">
        <w:rPr>
          <w:rFonts w:ascii="Times New Roman" w:eastAsia="Times New Roman" w:hAnsi="Times New Roman" w:cs="Times New Roman"/>
          <w:sz w:val="24"/>
          <w:szCs w:val="24"/>
        </w:rPr>
        <w:t>atbalsta izmaks</w:t>
      </w:r>
      <w:r w:rsidR="00633851" w:rsidRPr="005A0F1D">
        <w:rPr>
          <w:rFonts w:ascii="Times New Roman" w:eastAsia="Times New Roman" w:hAnsi="Times New Roman" w:cs="Times New Roman"/>
          <w:sz w:val="24"/>
          <w:szCs w:val="24"/>
        </w:rPr>
        <w:t>ai ir izlietoti 80 616 690 euro.</w:t>
      </w:r>
      <w:r w:rsidRPr="005A0F1D">
        <w:rPr>
          <w:rFonts w:ascii="Times New Roman" w:eastAsia="Times New Roman" w:hAnsi="Times New Roman" w:cs="Times New Roman"/>
          <w:sz w:val="24"/>
          <w:szCs w:val="24"/>
        </w:rPr>
        <w:t xml:space="preserve"> </w:t>
      </w:r>
      <w:r w:rsidR="005A0F1D">
        <w:rPr>
          <w:rFonts w:ascii="Times New Roman" w:eastAsia="Times New Roman" w:hAnsi="Times New Roman" w:cs="Times New Roman"/>
          <w:sz w:val="24"/>
          <w:szCs w:val="24"/>
        </w:rPr>
        <w:t xml:space="preserve">Atbalstu saņēma </w:t>
      </w:r>
      <w:r w:rsidR="005A0F1D" w:rsidRPr="005A0F1D">
        <w:rPr>
          <w:rFonts w:ascii="Times New Roman" w:eastAsia="Times New Roman" w:hAnsi="Times New Roman" w:cs="Times New Roman"/>
          <w:sz w:val="24"/>
          <w:szCs w:val="24"/>
        </w:rPr>
        <w:t>39</w:t>
      </w:r>
      <w:r w:rsidR="005A0F1D">
        <w:rPr>
          <w:rFonts w:ascii="Times New Roman" w:eastAsia="Times New Roman" w:hAnsi="Times New Roman" w:cs="Times New Roman"/>
          <w:sz w:val="24"/>
          <w:szCs w:val="24"/>
        </w:rPr>
        <w:t>7 374</w:t>
      </w:r>
      <w:r w:rsidR="005A0F1D" w:rsidRPr="005A0F1D">
        <w:rPr>
          <w:rFonts w:ascii="Times New Roman" w:eastAsia="Times New Roman" w:hAnsi="Times New Roman" w:cs="Times New Roman"/>
          <w:sz w:val="24"/>
          <w:szCs w:val="24"/>
        </w:rPr>
        <w:t xml:space="preserve"> </w:t>
      </w:r>
      <w:r w:rsidR="005A0F1D">
        <w:rPr>
          <w:rFonts w:ascii="Times New Roman" w:eastAsia="Times New Roman" w:hAnsi="Times New Roman" w:cs="Times New Roman"/>
          <w:sz w:val="24"/>
          <w:szCs w:val="24"/>
        </w:rPr>
        <w:t>personas.</w:t>
      </w:r>
      <w:r w:rsidR="005A0F1D" w:rsidRPr="005A0F1D">
        <w:rPr>
          <w:rFonts w:ascii="Times New Roman" w:eastAsia="Times New Roman" w:hAnsi="Times New Roman" w:cs="Times New Roman"/>
          <w:sz w:val="24"/>
          <w:szCs w:val="24"/>
        </w:rPr>
        <w:t xml:space="preserve"> </w:t>
      </w:r>
      <w:r w:rsidRPr="005A0F1D">
        <w:rPr>
          <w:rFonts w:ascii="Times New Roman" w:eastAsia="Times New Roman" w:hAnsi="Times New Roman" w:cs="Times New Roman"/>
          <w:sz w:val="24"/>
          <w:szCs w:val="24"/>
        </w:rPr>
        <w:t>Jāņem vērā, ka atbilstoši likumam i</w:t>
      </w:r>
      <w:r w:rsidRPr="005A0F1D">
        <w:rPr>
          <w:rStyle w:val="Strong"/>
          <w:rFonts w:ascii="Times New Roman" w:hAnsi="Times New Roman" w:cs="Times New Roman"/>
          <w:b w:val="0"/>
          <w:bCs w:val="0"/>
          <w:sz w:val="24"/>
          <w:szCs w:val="24"/>
          <w:shd w:val="clear" w:color="auto" w:fill="FFFFFF"/>
        </w:rPr>
        <w:t xml:space="preserve">esniegums (tiem, kam atbalsta izmaksa nenotika automātiski) par 50 </w:t>
      </w:r>
      <w:r w:rsidR="00E5351A" w:rsidRPr="00E5351A">
        <w:rPr>
          <w:rFonts w:ascii="Times New Roman" w:hAnsi="Times New Roman" w:cs="Times New Roman"/>
          <w:i/>
          <w:sz w:val="24"/>
          <w:szCs w:val="24"/>
        </w:rPr>
        <w:t>euro</w:t>
      </w:r>
      <w:r w:rsidR="00E5351A" w:rsidRPr="005A0F1D">
        <w:rPr>
          <w:rStyle w:val="Strong"/>
          <w:rFonts w:ascii="Times New Roman" w:hAnsi="Times New Roman" w:cs="Times New Roman"/>
          <w:b w:val="0"/>
          <w:bCs w:val="0"/>
          <w:sz w:val="24"/>
          <w:szCs w:val="24"/>
          <w:shd w:val="clear" w:color="auto" w:fill="FFFFFF"/>
        </w:rPr>
        <w:t xml:space="preserve"> </w:t>
      </w:r>
      <w:r w:rsidRPr="005A0F1D">
        <w:rPr>
          <w:rStyle w:val="Strong"/>
          <w:rFonts w:ascii="Times New Roman" w:hAnsi="Times New Roman" w:cs="Times New Roman"/>
          <w:b w:val="0"/>
          <w:bCs w:val="0"/>
          <w:sz w:val="24"/>
          <w:szCs w:val="24"/>
          <w:shd w:val="clear" w:color="auto" w:fill="FFFFFF"/>
        </w:rPr>
        <w:t>atbalstu piešķiršanu</w:t>
      </w:r>
      <w:r w:rsidRPr="005A0F1D">
        <w:rPr>
          <w:rFonts w:ascii="Times New Roman" w:hAnsi="Times New Roman" w:cs="Times New Roman"/>
          <w:sz w:val="24"/>
          <w:szCs w:val="24"/>
          <w:shd w:val="clear" w:color="auto" w:fill="FFFFFF"/>
        </w:rPr>
        <w:t> </w:t>
      </w:r>
      <w:r w:rsidRPr="005A0F1D">
        <w:rPr>
          <w:rStyle w:val="Strong"/>
          <w:rFonts w:ascii="Times New Roman" w:hAnsi="Times New Roman" w:cs="Times New Roman"/>
          <w:b w:val="0"/>
          <w:bCs w:val="0"/>
          <w:sz w:val="24"/>
          <w:szCs w:val="24"/>
          <w:shd w:val="clear" w:color="auto" w:fill="FFFFFF"/>
        </w:rPr>
        <w:t>ir jāiesniedz sešu mēnešu laikā</w:t>
      </w:r>
      <w:r w:rsidRPr="005A0F1D">
        <w:rPr>
          <w:rFonts w:ascii="Times New Roman" w:hAnsi="Times New Roman" w:cs="Times New Roman"/>
          <w:sz w:val="24"/>
          <w:szCs w:val="24"/>
          <w:shd w:val="clear" w:color="auto" w:fill="FFFFFF"/>
        </w:rPr>
        <w:t> no likuma spēkā stāšanās dienas – līdz 2022.gada 29.jūlijam vai no dienas, kad personai laikposmā no 2022.gada 1.janvāra līdz 2022.gada 30.aprīlim rodas tiesības uz atbalstu. Līdz ar to nelielos apmēros atbalsta izmaksa vēl turpinās.</w:t>
      </w:r>
    </w:p>
    <w:p w14:paraId="2CA1FFCF" w14:textId="0FEB953C" w:rsidR="007335F7" w:rsidRPr="00E5351A" w:rsidRDefault="00E5351A" w:rsidP="00E5351A">
      <w:pPr>
        <w:ind w:firstLine="720"/>
        <w:jc w:val="both"/>
        <w:rPr>
          <w:rFonts w:ascii="Times New Roman" w:hAnsi="Times New Roman" w:cs="Times New Roman"/>
          <w:sz w:val="24"/>
          <w:szCs w:val="24"/>
        </w:rPr>
      </w:pPr>
      <w:r w:rsidRPr="00E5351A">
        <w:rPr>
          <w:rFonts w:ascii="Times New Roman" w:hAnsi="Times New Roman" w:cs="Times New Roman"/>
          <w:sz w:val="24"/>
          <w:szCs w:val="24"/>
        </w:rPr>
        <w:t xml:space="preserve">Kopumā valsts sociālajiem pabalstiem izlietoti 163 milj. </w:t>
      </w:r>
      <w:r w:rsidRPr="00E5351A">
        <w:rPr>
          <w:rFonts w:ascii="Times New Roman" w:hAnsi="Times New Roman" w:cs="Times New Roman"/>
          <w:i/>
          <w:sz w:val="24"/>
          <w:szCs w:val="24"/>
        </w:rPr>
        <w:t>euro</w:t>
      </w:r>
      <w:r w:rsidRPr="00E5351A">
        <w:rPr>
          <w:rFonts w:ascii="Times New Roman" w:hAnsi="Times New Roman" w:cs="Times New Roman"/>
          <w:sz w:val="24"/>
          <w:szCs w:val="24"/>
        </w:rPr>
        <w:t>.</w:t>
      </w:r>
    </w:p>
    <w:p w14:paraId="43FB11CF" w14:textId="77777777" w:rsidR="005F0F2B" w:rsidRDefault="005F0F2B" w:rsidP="0087275E">
      <w:pPr>
        <w:jc w:val="both"/>
        <w:rPr>
          <w:rFonts w:ascii="Times New Roman" w:hAnsi="Times New Roman" w:cs="Times New Roman"/>
          <w:sz w:val="24"/>
          <w:szCs w:val="24"/>
          <w:u w:val="single"/>
        </w:rPr>
      </w:pPr>
    </w:p>
    <w:p w14:paraId="3EE9A7FB" w14:textId="3095568C" w:rsidR="00F6609D" w:rsidRDefault="00F6609D" w:rsidP="0087275E">
      <w:pPr>
        <w:jc w:val="both"/>
        <w:rPr>
          <w:rFonts w:ascii="Times New Roman" w:hAnsi="Times New Roman" w:cs="Times New Roman"/>
          <w:sz w:val="24"/>
          <w:szCs w:val="24"/>
        </w:rPr>
      </w:pPr>
      <w:r w:rsidRPr="00365151">
        <w:rPr>
          <w:rFonts w:ascii="Times New Roman" w:hAnsi="Times New Roman" w:cs="Times New Roman"/>
          <w:sz w:val="24"/>
          <w:szCs w:val="24"/>
          <w:u w:val="single"/>
        </w:rPr>
        <w:lastRenderedPageBreak/>
        <w:t>Priekšrocības</w:t>
      </w:r>
      <w:r>
        <w:rPr>
          <w:rFonts w:ascii="Times New Roman" w:hAnsi="Times New Roman" w:cs="Times New Roman"/>
          <w:sz w:val="24"/>
          <w:szCs w:val="24"/>
        </w:rPr>
        <w:t>:</w:t>
      </w:r>
    </w:p>
    <w:p w14:paraId="7DB0BC3D" w14:textId="152B70AD" w:rsidR="00F6609D" w:rsidRDefault="00EE3FA3" w:rsidP="00365151">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automātisks maksājums</w:t>
      </w:r>
      <w:r w:rsidR="007335F7">
        <w:rPr>
          <w:rFonts w:ascii="Times New Roman" w:hAnsi="Times New Roman" w:cs="Times New Roman"/>
          <w:sz w:val="24"/>
          <w:szCs w:val="24"/>
        </w:rPr>
        <w:t>;</w:t>
      </w:r>
    </w:p>
    <w:p w14:paraId="3B449B84" w14:textId="6F50EC85" w:rsidR="001B2D0C" w:rsidRPr="00365151" w:rsidRDefault="001B2D0C" w:rsidP="00365151">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atbalsts sniegts mērķa grupām, kuras ir pakļautas augstākiem nabadzības riskiem, tādējādi galvenokārt mērķējot līdz 3.ienākumu kvintilei.</w:t>
      </w:r>
    </w:p>
    <w:p w14:paraId="0B6BD16B" w14:textId="2DE98BE3" w:rsidR="00F6609D" w:rsidRDefault="00F6609D" w:rsidP="0087275E">
      <w:pPr>
        <w:jc w:val="both"/>
        <w:rPr>
          <w:rFonts w:ascii="Times New Roman" w:hAnsi="Times New Roman" w:cs="Times New Roman"/>
          <w:sz w:val="24"/>
          <w:szCs w:val="24"/>
        </w:rPr>
      </w:pPr>
      <w:r w:rsidRPr="00365151">
        <w:rPr>
          <w:rFonts w:ascii="Times New Roman" w:hAnsi="Times New Roman" w:cs="Times New Roman"/>
          <w:sz w:val="24"/>
          <w:szCs w:val="24"/>
          <w:u w:val="single"/>
        </w:rPr>
        <w:t>Trūkumi</w:t>
      </w:r>
      <w:r>
        <w:rPr>
          <w:rFonts w:ascii="Times New Roman" w:hAnsi="Times New Roman" w:cs="Times New Roman"/>
          <w:sz w:val="24"/>
          <w:szCs w:val="24"/>
        </w:rPr>
        <w:t>:</w:t>
      </w:r>
    </w:p>
    <w:p w14:paraId="6502F0E2" w14:textId="77777777" w:rsidR="00A32290" w:rsidRDefault="007335F7" w:rsidP="00365151">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atbalsts tika sniegts ikvienam pie mērķa grupas piederošam</w:t>
      </w:r>
      <w:r w:rsidR="00EE3FA3" w:rsidRPr="00EE3FA3">
        <w:rPr>
          <w:rFonts w:ascii="Times New Roman" w:hAnsi="Times New Roman" w:cs="Times New Roman"/>
          <w:sz w:val="24"/>
          <w:szCs w:val="24"/>
        </w:rPr>
        <w:t xml:space="preserve"> neatkarīgi no viņa paša vai mājsaimniecības kopējiem ienākumiem</w:t>
      </w:r>
      <w:r>
        <w:rPr>
          <w:rFonts w:ascii="Times New Roman" w:hAnsi="Times New Roman" w:cs="Times New Roman"/>
          <w:sz w:val="24"/>
          <w:szCs w:val="24"/>
        </w:rPr>
        <w:t>, kas ietvēra arī mājsaimniecības ar ienākumiem 4.-5.kvintilē</w:t>
      </w:r>
      <w:r w:rsidR="00A32290">
        <w:rPr>
          <w:rFonts w:ascii="Times New Roman" w:hAnsi="Times New Roman" w:cs="Times New Roman"/>
          <w:sz w:val="24"/>
          <w:szCs w:val="24"/>
        </w:rPr>
        <w:t>;</w:t>
      </w:r>
    </w:p>
    <w:p w14:paraId="675F6DFB" w14:textId="489545EF" w:rsidR="004878E3" w:rsidRDefault="00A32290" w:rsidP="00365151">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ja persona nesaņēma jau kādu no VSAA pakalpojumiem, bija nepieciešams iesniegt iesniegumu, </w:t>
      </w:r>
      <w:r w:rsidR="00F16056">
        <w:rPr>
          <w:rFonts w:ascii="Times New Roman" w:hAnsi="Times New Roman" w:cs="Times New Roman"/>
          <w:sz w:val="24"/>
          <w:szCs w:val="24"/>
        </w:rPr>
        <w:t>jo</w:t>
      </w:r>
      <w:r>
        <w:rPr>
          <w:rFonts w:ascii="Times New Roman" w:hAnsi="Times New Roman" w:cs="Times New Roman"/>
          <w:sz w:val="24"/>
          <w:szCs w:val="24"/>
        </w:rPr>
        <w:t xml:space="preserve"> VSAA </w:t>
      </w:r>
      <w:r w:rsidR="00F16056">
        <w:rPr>
          <w:rFonts w:ascii="Times New Roman" w:hAnsi="Times New Roman" w:cs="Times New Roman"/>
          <w:sz w:val="24"/>
          <w:szCs w:val="24"/>
        </w:rPr>
        <w:t xml:space="preserve">rīcībā </w:t>
      </w:r>
      <w:r>
        <w:rPr>
          <w:rFonts w:ascii="Times New Roman" w:hAnsi="Times New Roman" w:cs="Times New Roman"/>
          <w:sz w:val="24"/>
          <w:szCs w:val="24"/>
        </w:rPr>
        <w:t>nav informācijas par personu</w:t>
      </w:r>
      <w:r w:rsidR="00EE3FA3" w:rsidRPr="00EE3FA3">
        <w:rPr>
          <w:rFonts w:ascii="Times New Roman" w:hAnsi="Times New Roman" w:cs="Times New Roman"/>
          <w:sz w:val="24"/>
          <w:szCs w:val="24"/>
        </w:rPr>
        <w:t>.</w:t>
      </w:r>
    </w:p>
    <w:p w14:paraId="151DA520" w14:textId="77777777" w:rsidR="005A11EF" w:rsidRPr="00365151" w:rsidRDefault="005A11EF" w:rsidP="00365151">
      <w:pPr>
        <w:pStyle w:val="ListParagraph"/>
        <w:ind w:left="1440"/>
        <w:jc w:val="both"/>
        <w:rPr>
          <w:rFonts w:ascii="Times New Roman" w:hAnsi="Times New Roman" w:cs="Times New Roman"/>
          <w:sz w:val="24"/>
          <w:szCs w:val="24"/>
        </w:rPr>
      </w:pPr>
    </w:p>
    <w:p w14:paraId="563B8ECF" w14:textId="7BE015D7" w:rsidR="00525F5F" w:rsidRDefault="0030640C" w:rsidP="0030640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sz w:val="24"/>
          <w:szCs w:val="24"/>
        </w:rPr>
      </w:pPr>
      <w:r>
        <w:rPr>
          <w:rFonts w:ascii="Times New Roman" w:hAnsi="Times New Roman" w:cs="Times New Roman"/>
          <w:b/>
          <w:sz w:val="24"/>
          <w:szCs w:val="24"/>
        </w:rPr>
        <w:t xml:space="preserve">Atbalsts </w:t>
      </w:r>
      <w:r w:rsidRPr="0030640C">
        <w:rPr>
          <w:rFonts w:ascii="Times New Roman" w:hAnsi="Times New Roman" w:cs="Times New Roman"/>
          <w:b/>
          <w:sz w:val="24"/>
          <w:szCs w:val="24"/>
        </w:rPr>
        <w:t>OIK</w:t>
      </w:r>
      <w:r>
        <w:rPr>
          <w:rFonts w:ascii="Times New Roman" w:hAnsi="Times New Roman" w:cs="Times New Roman"/>
          <w:b/>
          <w:sz w:val="24"/>
          <w:szCs w:val="24"/>
        </w:rPr>
        <w:t xml:space="preserve">, </w:t>
      </w:r>
      <w:r w:rsidRPr="0030640C">
        <w:rPr>
          <w:rFonts w:ascii="Times New Roman" w:hAnsi="Times New Roman" w:cs="Times New Roman"/>
          <w:b/>
          <w:sz w:val="24"/>
          <w:szCs w:val="24"/>
        </w:rPr>
        <w:t>elektroenerģijas</w:t>
      </w:r>
      <w:r>
        <w:rPr>
          <w:rFonts w:ascii="Times New Roman" w:hAnsi="Times New Roman" w:cs="Times New Roman"/>
          <w:b/>
          <w:sz w:val="24"/>
          <w:szCs w:val="24"/>
        </w:rPr>
        <w:t xml:space="preserve">, </w:t>
      </w:r>
      <w:r w:rsidRPr="0030640C">
        <w:rPr>
          <w:rFonts w:ascii="Times New Roman" w:hAnsi="Times New Roman" w:cs="Times New Roman"/>
          <w:b/>
          <w:sz w:val="24"/>
          <w:szCs w:val="24"/>
        </w:rPr>
        <w:t xml:space="preserve">siltumenerģijas </w:t>
      </w:r>
      <w:r>
        <w:rPr>
          <w:rFonts w:ascii="Times New Roman" w:hAnsi="Times New Roman" w:cs="Times New Roman"/>
          <w:b/>
          <w:sz w:val="24"/>
          <w:szCs w:val="24"/>
        </w:rPr>
        <w:t xml:space="preserve">un </w:t>
      </w:r>
      <w:r w:rsidRPr="0030640C">
        <w:rPr>
          <w:rFonts w:ascii="Times New Roman" w:hAnsi="Times New Roman" w:cs="Times New Roman"/>
          <w:b/>
          <w:sz w:val="24"/>
          <w:szCs w:val="24"/>
        </w:rPr>
        <w:t xml:space="preserve">dabasgāzes pakalpojuma </w:t>
      </w:r>
      <w:r w:rsidR="00761CA7" w:rsidRPr="0030640C">
        <w:rPr>
          <w:rFonts w:ascii="Times New Roman" w:hAnsi="Times New Roman" w:cs="Times New Roman"/>
          <w:b/>
          <w:sz w:val="24"/>
          <w:szCs w:val="24"/>
        </w:rPr>
        <w:t xml:space="preserve">maksas </w:t>
      </w:r>
      <w:r w:rsidRPr="0030640C">
        <w:rPr>
          <w:rFonts w:ascii="Times New Roman" w:hAnsi="Times New Roman" w:cs="Times New Roman"/>
          <w:b/>
          <w:sz w:val="24"/>
          <w:szCs w:val="24"/>
        </w:rPr>
        <w:t>samazinājuma</w:t>
      </w:r>
      <w:r w:rsidR="00C91F67">
        <w:rPr>
          <w:rFonts w:ascii="Times New Roman" w:hAnsi="Times New Roman" w:cs="Times New Roman"/>
          <w:b/>
          <w:sz w:val="24"/>
          <w:szCs w:val="24"/>
        </w:rPr>
        <w:t>m</w:t>
      </w:r>
      <w:r w:rsidRPr="0030640C">
        <w:rPr>
          <w:rFonts w:ascii="Times New Roman" w:hAnsi="Times New Roman" w:cs="Times New Roman"/>
          <w:b/>
          <w:sz w:val="24"/>
          <w:szCs w:val="24"/>
        </w:rPr>
        <w:t xml:space="preserve"> </w:t>
      </w:r>
    </w:p>
    <w:p w14:paraId="35BE422B" w14:textId="77777777" w:rsidR="0030640C" w:rsidRDefault="0030640C" w:rsidP="00B47082">
      <w:pPr>
        <w:spacing w:after="0" w:line="240" w:lineRule="auto"/>
        <w:ind w:firstLine="720"/>
        <w:jc w:val="both"/>
        <w:rPr>
          <w:rFonts w:ascii="Times New Roman" w:hAnsi="Times New Roman" w:cs="Times New Roman"/>
          <w:sz w:val="24"/>
          <w:szCs w:val="24"/>
        </w:rPr>
      </w:pPr>
    </w:p>
    <w:p w14:paraId="215E262B" w14:textId="4DFE88B1" w:rsidR="000906D5" w:rsidRDefault="000906D5" w:rsidP="00B47082">
      <w:pPr>
        <w:spacing w:after="0" w:line="240" w:lineRule="auto"/>
        <w:ind w:firstLine="720"/>
        <w:jc w:val="both"/>
        <w:rPr>
          <w:rFonts w:ascii="Times New Roman" w:hAnsi="Times New Roman" w:cs="Times New Roman"/>
          <w:sz w:val="24"/>
          <w:szCs w:val="24"/>
        </w:rPr>
      </w:pPr>
      <w:r w:rsidRPr="000906D5">
        <w:rPr>
          <w:rFonts w:ascii="Times New Roman" w:hAnsi="Times New Roman" w:cs="Times New Roman"/>
          <w:sz w:val="24"/>
          <w:szCs w:val="24"/>
        </w:rPr>
        <w:t xml:space="preserve">Atbilstoši 2021.gada 30.novembra MK sēdes protokollēmumam, </w:t>
      </w:r>
      <w:r>
        <w:rPr>
          <w:rFonts w:ascii="Times New Roman" w:hAnsi="Times New Roman" w:cs="Times New Roman"/>
          <w:sz w:val="24"/>
          <w:szCs w:val="24"/>
        </w:rPr>
        <w:t>no 2022.gada 1. </w:t>
      </w:r>
      <w:r w:rsidRPr="000906D5">
        <w:rPr>
          <w:rFonts w:ascii="Times New Roman" w:hAnsi="Times New Roman" w:cs="Times New Roman"/>
          <w:sz w:val="24"/>
          <w:szCs w:val="24"/>
        </w:rPr>
        <w:t>janvāra vidējā obligātā iepirkuma komponentes (turpmāk - OIK) maksa ir 7,55 euro/MWh iepriekšējās 17,55 euro/MWh vietā, pieņemot Ekonomikas ministrijas izstrādāto informatīvo ziņojumu "Obligātā iepirkuma komponentes strauja mazināšana kā instruments elektroenerģijas cenas pieauguma ierobežošanai 2022. gadā"</w:t>
      </w:r>
      <w:r w:rsidRPr="000906D5">
        <w:rPr>
          <w:rStyle w:val="FootnoteReference"/>
          <w:rFonts w:ascii="Times New Roman" w:hAnsi="Times New Roman"/>
          <w:sz w:val="24"/>
          <w:szCs w:val="24"/>
        </w:rPr>
        <w:footnoteReference w:id="22"/>
      </w:r>
      <w:r w:rsidRPr="000906D5">
        <w:rPr>
          <w:rFonts w:ascii="Times New Roman" w:hAnsi="Times New Roman" w:cs="Times New Roman"/>
          <w:sz w:val="24"/>
          <w:szCs w:val="24"/>
        </w:rPr>
        <w:t>. Tādējādi OIK īpatsvars ikmēneša gala elektroenerģijas izmaksās lietotājiem sastāda līdz 5%.</w:t>
      </w:r>
    </w:p>
    <w:p w14:paraId="6274CDAA" w14:textId="0DA1D355" w:rsidR="000906D5" w:rsidRDefault="000906D5" w:rsidP="00B47082">
      <w:pPr>
        <w:spacing w:after="0" w:line="240" w:lineRule="auto"/>
        <w:ind w:firstLine="720"/>
        <w:jc w:val="both"/>
        <w:rPr>
          <w:rFonts w:ascii="Times New Roman" w:hAnsi="Times New Roman" w:cs="Times New Roman"/>
          <w:sz w:val="24"/>
          <w:szCs w:val="24"/>
        </w:rPr>
      </w:pPr>
      <w:r w:rsidRPr="000906D5">
        <w:rPr>
          <w:rFonts w:ascii="Times New Roman" w:hAnsi="Times New Roman" w:cs="Times New Roman"/>
          <w:sz w:val="24"/>
          <w:szCs w:val="24"/>
        </w:rPr>
        <w:t xml:space="preserve">Energoresursu cenu ārkārtēja pieauguma </w:t>
      </w:r>
      <w:r>
        <w:rPr>
          <w:rFonts w:ascii="Times New Roman" w:hAnsi="Times New Roman" w:cs="Times New Roman"/>
          <w:sz w:val="24"/>
          <w:szCs w:val="24"/>
        </w:rPr>
        <w:t>samazinājuma pasākumu likumā tika noteikts</w:t>
      </w:r>
      <w:r w:rsidRPr="000906D5">
        <w:rPr>
          <w:rFonts w:ascii="Times New Roman" w:hAnsi="Times New Roman" w:cs="Times New Roman"/>
          <w:sz w:val="24"/>
          <w:szCs w:val="24"/>
        </w:rPr>
        <w:t>, ka no 2022.gada 1.janvāra līdz 30.aprīlim visiem elektroenerģijas galalietotājiem, tostarp mājsaimniecību lietotājiem un juridiskām personām, tiek no valsts budžeta līdzekļiem segta elektroenerģijas sistēmas pakalpojuma maksa un OIK maksa. Savukārt mājsaimniecībām segta tā izmaksu daļa par siltumenerģiju, kuras tarifs pārsniedz 68 euro/MWh, bet mājsaimniecībām, kas izmanto apkurei dabasgāzi</w:t>
      </w:r>
      <w:r w:rsidR="00F6609D">
        <w:rPr>
          <w:rFonts w:ascii="Times New Roman" w:hAnsi="Times New Roman" w:cs="Times New Roman"/>
          <w:sz w:val="24"/>
          <w:szCs w:val="24"/>
        </w:rPr>
        <w:t>,</w:t>
      </w:r>
      <w:r w:rsidRPr="000906D5">
        <w:rPr>
          <w:rFonts w:ascii="Times New Roman" w:hAnsi="Times New Roman" w:cs="Times New Roman"/>
          <w:sz w:val="24"/>
          <w:szCs w:val="24"/>
        </w:rPr>
        <w:t xml:space="preserve"> tika segta daļa izmaksu par dabasgāzes tirdzniecības pakalpojumu. Proti, piemērotais maksas samazinājums bija atkarīgs no dabasgāzes patēriņa – tām mājsaimniecībām, kuru vidējais mēneša patēriņš 12 mēnešu periodā bija no 221 kWh līdz 5269 kWh (21 m3 - 500 m³), no valsts puses tika kompensēts maksas samazinājums 0,03045 euro par vienu kWh (bez PVN) apmērā, taču tām mājsaimniecībām, kuru vidējais mēneša patēriņš 12 mēnešu periodā bija virs 5269 kWh (500 m³), no valsts puses tik</w:t>
      </w:r>
      <w:r w:rsidR="00F6609D">
        <w:rPr>
          <w:rFonts w:ascii="Times New Roman" w:hAnsi="Times New Roman" w:cs="Times New Roman"/>
          <w:sz w:val="24"/>
          <w:szCs w:val="24"/>
        </w:rPr>
        <w:t>a</w:t>
      </w:r>
      <w:r w:rsidRPr="000906D5">
        <w:rPr>
          <w:rFonts w:ascii="Times New Roman" w:hAnsi="Times New Roman" w:cs="Times New Roman"/>
          <w:sz w:val="24"/>
          <w:szCs w:val="24"/>
        </w:rPr>
        <w:t xml:space="preserve"> kompensēts maksas samazinājums dabasgāzei 0,02279 euro par vienu kWh (bez PVN) apmērā. Atbalsta pasākumi tika īstenoti c</w:t>
      </w:r>
      <w:r w:rsidR="00E5351A">
        <w:rPr>
          <w:rFonts w:ascii="Times New Roman" w:hAnsi="Times New Roman" w:cs="Times New Roman"/>
          <w:sz w:val="24"/>
          <w:szCs w:val="24"/>
        </w:rPr>
        <w:t>aur pakalpojuma sniedzējiem, kuri</w:t>
      </w:r>
      <w:r w:rsidRPr="000906D5">
        <w:rPr>
          <w:rFonts w:ascii="Times New Roman" w:hAnsi="Times New Roman" w:cs="Times New Roman"/>
          <w:sz w:val="24"/>
          <w:szCs w:val="24"/>
        </w:rPr>
        <w:t xml:space="preserve"> izrakstītajos rēķinos piemēroja lietotājiem samazinājumu, vienlaikus aprēķinot kompensācijas apmēru, kas tiem jāsedz no valsts puses (galalietotājiem atbalstam nebija jāpiesakās). No valsts budžeta līdzekļiem tika segts arī PVN par kompensēto pakalpojumu maksas daļu.</w:t>
      </w:r>
    </w:p>
    <w:p w14:paraId="3602D357" w14:textId="1AAEE2B2" w:rsidR="000906D5" w:rsidRDefault="00B47082" w:rsidP="00B4708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Minētie</w:t>
      </w:r>
      <w:r w:rsidR="000906D5" w:rsidRPr="000906D5">
        <w:rPr>
          <w:rFonts w:ascii="Times New Roman" w:hAnsi="Times New Roman" w:cs="Times New Roman"/>
          <w:sz w:val="24"/>
          <w:szCs w:val="24"/>
        </w:rPr>
        <w:t xml:space="preserve"> energoresursu pa</w:t>
      </w:r>
      <w:r>
        <w:rPr>
          <w:rFonts w:ascii="Times New Roman" w:hAnsi="Times New Roman" w:cs="Times New Roman"/>
          <w:sz w:val="24"/>
          <w:szCs w:val="24"/>
        </w:rPr>
        <w:t xml:space="preserve">kalpojumu kompensēšanas apjomi tika noteikti </w:t>
      </w:r>
      <w:r w:rsidRPr="000906D5">
        <w:rPr>
          <w:rFonts w:ascii="Times New Roman" w:hAnsi="Times New Roman" w:cs="Times New Roman"/>
          <w:sz w:val="24"/>
          <w:szCs w:val="24"/>
        </w:rPr>
        <w:t xml:space="preserve">Energoresursu cenu ārkārtēja pieauguma </w:t>
      </w:r>
      <w:r>
        <w:rPr>
          <w:rFonts w:ascii="Times New Roman" w:hAnsi="Times New Roman" w:cs="Times New Roman"/>
          <w:sz w:val="24"/>
          <w:szCs w:val="24"/>
        </w:rPr>
        <w:t>samazinājuma pasākumu likumā</w:t>
      </w:r>
      <w:r w:rsidR="000906D5" w:rsidRPr="000906D5">
        <w:rPr>
          <w:rFonts w:ascii="Times New Roman" w:hAnsi="Times New Roman" w:cs="Times New Roman"/>
          <w:sz w:val="24"/>
          <w:szCs w:val="24"/>
        </w:rPr>
        <w:t xml:space="preserve">, </w:t>
      </w:r>
      <w:r>
        <w:rPr>
          <w:rFonts w:ascii="Times New Roman" w:hAnsi="Times New Roman" w:cs="Times New Roman"/>
          <w:sz w:val="24"/>
          <w:szCs w:val="24"/>
        </w:rPr>
        <w:t>savukārt</w:t>
      </w:r>
      <w:r w:rsidR="000906D5" w:rsidRPr="000906D5">
        <w:rPr>
          <w:rFonts w:ascii="Times New Roman" w:hAnsi="Times New Roman" w:cs="Times New Roman"/>
          <w:sz w:val="24"/>
          <w:szCs w:val="24"/>
        </w:rPr>
        <w:t xml:space="preserve"> </w:t>
      </w:r>
      <w:r w:rsidR="000906D5" w:rsidRPr="000906D5">
        <w:rPr>
          <w:rFonts w:ascii="Times New Roman" w:hAnsi="Times New Roman" w:cs="Times New Roman"/>
          <w:sz w:val="24"/>
          <w:szCs w:val="24"/>
        </w:rPr>
        <w:lastRenderedPageBreak/>
        <w:t>kārtīb</w:t>
      </w:r>
      <w:r w:rsidR="002E5EA0">
        <w:rPr>
          <w:rFonts w:ascii="Times New Roman" w:hAnsi="Times New Roman" w:cs="Times New Roman"/>
          <w:sz w:val="24"/>
          <w:szCs w:val="24"/>
        </w:rPr>
        <w:t>a</w:t>
      </w:r>
      <w:r w:rsidR="000906D5" w:rsidRPr="000906D5">
        <w:rPr>
          <w:rFonts w:ascii="Times New Roman" w:hAnsi="Times New Roman" w:cs="Times New Roman"/>
          <w:sz w:val="24"/>
          <w:szCs w:val="24"/>
        </w:rPr>
        <w:t>, kādā pakalpojuma sniedzējiem tiek kompensēti no lietotājiem neiegūtie līdzekļi par pakalpojuma sniegšanu</w:t>
      </w:r>
      <w:r>
        <w:rPr>
          <w:rFonts w:ascii="Times New Roman" w:hAnsi="Times New Roman" w:cs="Times New Roman"/>
          <w:sz w:val="24"/>
          <w:szCs w:val="24"/>
        </w:rPr>
        <w:t>,</w:t>
      </w:r>
      <w:r w:rsidR="000906D5" w:rsidRPr="000906D5">
        <w:rPr>
          <w:rFonts w:ascii="Times New Roman" w:hAnsi="Times New Roman" w:cs="Times New Roman"/>
          <w:sz w:val="24"/>
          <w:szCs w:val="24"/>
        </w:rPr>
        <w:t xml:space="preserve"> </w:t>
      </w:r>
      <w:r>
        <w:rPr>
          <w:rFonts w:ascii="Times New Roman" w:hAnsi="Times New Roman" w:cs="Times New Roman"/>
          <w:sz w:val="24"/>
          <w:szCs w:val="24"/>
        </w:rPr>
        <w:t>tika noteikti 3 Ministru kabineta noteikumos</w:t>
      </w:r>
      <w:r>
        <w:rPr>
          <w:rStyle w:val="FootnoteReference"/>
          <w:rFonts w:ascii="Times New Roman" w:hAnsi="Times New Roman"/>
          <w:sz w:val="24"/>
          <w:szCs w:val="24"/>
        </w:rPr>
        <w:footnoteReference w:id="23"/>
      </w:r>
      <w:r>
        <w:rPr>
          <w:rFonts w:ascii="Times New Roman" w:hAnsi="Times New Roman" w:cs="Times New Roman"/>
          <w:sz w:val="24"/>
          <w:szCs w:val="24"/>
        </w:rPr>
        <w:t xml:space="preserve">. </w:t>
      </w:r>
    </w:p>
    <w:p w14:paraId="25728F9E" w14:textId="77777777" w:rsidR="000906D5" w:rsidRPr="000906D5" w:rsidRDefault="000906D5" w:rsidP="00365151">
      <w:pPr>
        <w:spacing w:after="0" w:line="240" w:lineRule="auto"/>
        <w:ind w:firstLine="360"/>
        <w:jc w:val="both"/>
        <w:rPr>
          <w:rFonts w:ascii="Times New Roman" w:hAnsi="Times New Roman" w:cs="Times New Roman"/>
          <w:sz w:val="24"/>
          <w:szCs w:val="24"/>
        </w:rPr>
      </w:pPr>
      <w:r w:rsidRPr="000906D5">
        <w:rPr>
          <w:rFonts w:ascii="Times New Roman" w:hAnsi="Times New Roman" w:cs="Times New Roman"/>
          <w:sz w:val="24"/>
          <w:szCs w:val="24"/>
        </w:rPr>
        <w:t>Atbalsta periodā līdz šim budžeta līdzekļu izlietojums un saņēmēju aptuvenais skaits ir šāds:</w:t>
      </w:r>
    </w:p>
    <w:p w14:paraId="36FC602A" w14:textId="6ED19BF4" w:rsidR="000906D5" w:rsidRPr="000906D5" w:rsidRDefault="00B47082" w:rsidP="005817AF">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F73288">
        <w:rPr>
          <w:rFonts w:ascii="Times New Roman" w:hAnsi="Times New Roman" w:cs="Times New Roman"/>
          <w:sz w:val="24"/>
          <w:szCs w:val="24"/>
        </w:rPr>
        <w:t xml:space="preserve">abasgāzes atbalsts - </w:t>
      </w:r>
      <w:r w:rsidR="000906D5" w:rsidRPr="000906D5">
        <w:rPr>
          <w:rFonts w:ascii="Times New Roman" w:hAnsi="Times New Roman" w:cs="Times New Roman"/>
          <w:sz w:val="24"/>
          <w:szCs w:val="24"/>
        </w:rPr>
        <w:t xml:space="preserve">26 milj. euro 68 000 mājsaimniecībām (plānots 27, 4 milj. euro); </w:t>
      </w:r>
    </w:p>
    <w:p w14:paraId="0B01F4D7" w14:textId="1915F4FC" w:rsidR="000906D5" w:rsidRPr="000906D5" w:rsidRDefault="00B47082" w:rsidP="005817AF">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0906D5" w:rsidRPr="000906D5">
        <w:rPr>
          <w:rFonts w:ascii="Times New Roman" w:hAnsi="Times New Roman" w:cs="Times New Roman"/>
          <w:sz w:val="24"/>
          <w:szCs w:val="24"/>
        </w:rPr>
        <w:t>iltumenerģijas atbalsts – 8,7 milj. euro 65 000 mājsaimniecībām (plānots 7 milj. euro</w:t>
      </w:r>
      <w:r>
        <w:rPr>
          <w:rFonts w:ascii="Times New Roman" w:hAnsi="Times New Roman" w:cs="Times New Roman"/>
          <w:sz w:val="24"/>
          <w:szCs w:val="24"/>
        </w:rPr>
        <w:t>)</w:t>
      </w:r>
      <w:r w:rsidR="000906D5" w:rsidRPr="000906D5">
        <w:rPr>
          <w:rFonts w:ascii="Times New Roman" w:hAnsi="Times New Roman" w:cs="Times New Roman"/>
          <w:sz w:val="24"/>
          <w:szCs w:val="24"/>
        </w:rPr>
        <w:t>;</w:t>
      </w:r>
    </w:p>
    <w:p w14:paraId="651A9DD1" w14:textId="1D9FDE0A" w:rsidR="000906D5" w:rsidRPr="000906D5" w:rsidRDefault="00B47082" w:rsidP="005817AF">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0906D5" w:rsidRPr="000906D5">
        <w:rPr>
          <w:rFonts w:ascii="Times New Roman" w:hAnsi="Times New Roman" w:cs="Times New Roman"/>
          <w:sz w:val="24"/>
          <w:szCs w:val="24"/>
        </w:rPr>
        <w:t>lektroenerģijas sistēmas pakalpojumu maksas segšana -134, 7 milj. euro vairāk kā 1,1 miljonam pieslēgumu (plānots 141,4 milj. euro);</w:t>
      </w:r>
    </w:p>
    <w:p w14:paraId="4925403B" w14:textId="77777777" w:rsidR="000906D5" w:rsidRPr="000906D5" w:rsidRDefault="000906D5" w:rsidP="005817AF">
      <w:pPr>
        <w:pStyle w:val="ListParagraph"/>
        <w:numPr>
          <w:ilvl w:val="0"/>
          <w:numId w:val="25"/>
        </w:numPr>
        <w:spacing w:after="0" w:line="240" w:lineRule="auto"/>
        <w:jc w:val="both"/>
        <w:rPr>
          <w:rFonts w:ascii="Times New Roman" w:hAnsi="Times New Roman" w:cs="Times New Roman"/>
          <w:sz w:val="24"/>
          <w:szCs w:val="24"/>
        </w:rPr>
      </w:pPr>
      <w:r w:rsidRPr="000906D5">
        <w:rPr>
          <w:rFonts w:ascii="Times New Roman" w:hAnsi="Times New Roman" w:cs="Times New Roman"/>
          <w:sz w:val="24"/>
          <w:szCs w:val="24"/>
        </w:rPr>
        <w:t>OIK maksas segšana – 22 milj. euro vairāk kā 1,1 miljonam pieslēgumu (plānots 21,2 milj. euro).</w:t>
      </w:r>
    </w:p>
    <w:p w14:paraId="7A6428BB" w14:textId="77777777" w:rsidR="00B47082" w:rsidRDefault="00B47082" w:rsidP="000906D5">
      <w:pPr>
        <w:spacing w:after="0" w:line="240" w:lineRule="auto"/>
        <w:jc w:val="both"/>
        <w:rPr>
          <w:rFonts w:ascii="Times New Roman" w:hAnsi="Times New Roman" w:cs="Times New Roman"/>
          <w:sz w:val="24"/>
          <w:szCs w:val="24"/>
        </w:rPr>
      </w:pPr>
    </w:p>
    <w:p w14:paraId="5650F809" w14:textId="423B8860" w:rsidR="000906D5" w:rsidRPr="000906D5" w:rsidRDefault="000906D5" w:rsidP="00B47082">
      <w:pPr>
        <w:spacing w:after="0" w:line="240" w:lineRule="auto"/>
        <w:ind w:firstLine="720"/>
        <w:jc w:val="both"/>
        <w:rPr>
          <w:rFonts w:ascii="Times New Roman" w:hAnsi="Times New Roman" w:cs="Times New Roman"/>
          <w:sz w:val="24"/>
          <w:szCs w:val="24"/>
        </w:rPr>
      </w:pPr>
      <w:r w:rsidRPr="000906D5">
        <w:rPr>
          <w:rFonts w:ascii="Times New Roman" w:hAnsi="Times New Roman" w:cs="Times New Roman"/>
          <w:sz w:val="24"/>
          <w:szCs w:val="24"/>
        </w:rPr>
        <w:t>Vienlaikus 2021.gada 19.oktobrī Ministru kabinets pieņēma grozījumus Ministru kabineta 2021. gada 1. jūnija noteikumos Nr. 345 "Aizsargātā lietotāja tirdzniecības pakalpojuma noteikumi", paredzot, ka periodā no 2021.gada 1.novembra līdz 2022.gada 31.decembrim katrā aizsargāto lietotāju grupā fiksētais atbalsts norēķiniem par elektroenerģiju tiek palielināts par 10 euro, proti, ģimenēm ar bērniem ar invaliditāti, personām ar I grupas invaliditāti, kā arī trūcīgām/maznodroš</w:t>
      </w:r>
      <w:r w:rsidR="00B47082">
        <w:rPr>
          <w:rFonts w:ascii="Times New Roman" w:hAnsi="Times New Roman" w:cs="Times New Roman"/>
          <w:sz w:val="24"/>
          <w:szCs w:val="24"/>
        </w:rPr>
        <w:t xml:space="preserve">inātām mājsaimniecībām - 15 euro </w:t>
      </w:r>
      <w:r w:rsidRPr="000906D5">
        <w:rPr>
          <w:rFonts w:ascii="Times New Roman" w:hAnsi="Times New Roman" w:cs="Times New Roman"/>
          <w:sz w:val="24"/>
          <w:szCs w:val="24"/>
        </w:rPr>
        <w:t>mēnesī, daudzbērnu ģimenēm – 20 euro mēnesī. Palielinātais aizsargāto lietotāju atbalsts sasniedzis 95 000 aizsargāto lietotāju, pirmajā pusgadā atvēlot tam 5,7 milj. euro valsts budžeta līdzekļu.</w:t>
      </w:r>
      <w:r w:rsidR="002E5EA0">
        <w:rPr>
          <w:rFonts w:ascii="Times New Roman" w:hAnsi="Times New Roman" w:cs="Times New Roman"/>
          <w:sz w:val="24"/>
          <w:szCs w:val="24"/>
        </w:rPr>
        <w:t xml:space="preserve"> </w:t>
      </w:r>
    </w:p>
    <w:p w14:paraId="4DE3BB25" w14:textId="00EBB02F" w:rsidR="000906D5" w:rsidRDefault="00B47082" w:rsidP="00B47082">
      <w:pPr>
        <w:spacing w:after="0" w:line="240" w:lineRule="auto"/>
        <w:ind w:firstLine="720"/>
        <w:jc w:val="both"/>
        <w:rPr>
          <w:rFonts w:ascii="Times New Roman" w:hAnsi="Times New Roman" w:cs="Times New Roman"/>
          <w:sz w:val="24"/>
          <w:szCs w:val="24"/>
        </w:rPr>
      </w:pPr>
      <w:r w:rsidRPr="000906D5">
        <w:rPr>
          <w:rFonts w:ascii="Times New Roman" w:hAnsi="Times New Roman" w:cs="Times New Roman"/>
          <w:sz w:val="24"/>
          <w:szCs w:val="24"/>
        </w:rPr>
        <w:t xml:space="preserve">Energoresursu cenu ārkārtēja pieauguma </w:t>
      </w:r>
      <w:r>
        <w:rPr>
          <w:rFonts w:ascii="Times New Roman" w:hAnsi="Times New Roman" w:cs="Times New Roman"/>
          <w:sz w:val="24"/>
          <w:szCs w:val="24"/>
        </w:rPr>
        <w:t xml:space="preserve">samazinājuma pasākumu likumā </w:t>
      </w:r>
      <w:r w:rsidR="000906D5" w:rsidRPr="000906D5">
        <w:rPr>
          <w:rFonts w:ascii="Times New Roman" w:hAnsi="Times New Roman" w:cs="Times New Roman"/>
          <w:sz w:val="24"/>
          <w:szCs w:val="24"/>
        </w:rPr>
        <w:t>noteiktais atbalsts tika sniegts visiem iedzīvotājiem attiecīgajā energopakalpojumu kategorijā, neizdalot lietotājus pēc ienākumu vai izdevumu sliekšņa, jo pakalpojumu sniedzējiem šāda informācija nav zināma.</w:t>
      </w:r>
      <w:r>
        <w:rPr>
          <w:rFonts w:ascii="Times New Roman" w:hAnsi="Times New Roman" w:cs="Times New Roman"/>
          <w:sz w:val="24"/>
          <w:szCs w:val="24"/>
        </w:rPr>
        <w:t xml:space="preserve"> </w:t>
      </w:r>
      <w:r w:rsidR="000906D5" w:rsidRPr="000906D5">
        <w:rPr>
          <w:rFonts w:ascii="Times New Roman" w:hAnsi="Times New Roman" w:cs="Times New Roman"/>
          <w:sz w:val="24"/>
          <w:szCs w:val="24"/>
        </w:rPr>
        <w:t>Atbalsta kompensāciju aprēķinu kontroli un rēķinu izmaksu administrēja Ekonomikas ministrija esošo resursu ietvaros.</w:t>
      </w:r>
    </w:p>
    <w:p w14:paraId="5576F197" w14:textId="77777777" w:rsidR="00B47082" w:rsidRDefault="00B47082" w:rsidP="000906D5">
      <w:pPr>
        <w:spacing w:after="0" w:line="240" w:lineRule="auto"/>
        <w:jc w:val="both"/>
        <w:rPr>
          <w:rFonts w:ascii="Times New Roman" w:hAnsi="Times New Roman" w:cs="Times New Roman"/>
          <w:sz w:val="24"/>
          <w:szCs w:val="24"/>
        </w:rPr>
      </w:pPr>
    </w:p>
    <w:p w14:paraId="348F4705" w14:textId="77777777" w:rsidR="000906D5" w:rsidRDefault="000906D5" w:rsidP="000906D5">
      <w:pPr>
        <w:spacing w:after="0" w:line="240" w:lineRule="auto"/>
        <w:jc w:val="both"/>
        <w:rPr>
          <w:rFonts w:ascii="Times New Roman" w:hAnsi="Times New Roman" w:cs="Times New Roman"/>
          <w:i/>
          <w:iCs/>
          <w:sz w:val="24"/>
          <w:szCs w:val="24"/>
        </w:rPr>
      </w:pPr>
      <w:r w:rsidRPr="000906D5">
        <w:rPr>
          <w:rFonts w:ascii="Times New Roman" w:hAnsi="Times New Roman" w:cs="Times New Roman"/>
          <w:i/>
          <w:iCs/>
          <w:sz w:val="24"/>
          <w:szCs w:val="24"/>
        </w:rPr>
        <w:t>Atbalsta un administrēšanas process elektroenerģijas sistēmas pakalpojuma maksas samazinājuma gadījumā.</w:t>
      </w:r>
    </w:p>
    <w:p w14:paraId="65F76BA9" w14:textId="77777777" w:rsidR="00B47082" w:rsidRPr="000906D5" w:rsidRDefault="00B47082" w:rsidP="000906D5">
      <w:pPr>
        <w:spacing w:after="0" w:line="240" w:lineRule="auto"/>
        <w:jc w:val="both"/>
        <w:rPr>
          <w:rFonts w:ascii="Times New Roman" w:hAnsi="Times New Roman" w:cs="Times New Roman"/>
          <w:i/>
          <w:iCs/>
          <w:sz w:val="24"/>
          <w:szCs w:val="24"/>
        </w:rPr>
      </w:pPr>
    </w:p>
    <w:p w14:paraId="77A456B7" w14:textId="77777777" w:rsidR="000906D5" w:rsidRPr="000906D5" w:rsidRDefault="000906D5" w:rsidP="00B47082">
      <w:pPr>
        <w:spacing w:after="0" w:line="240" w:lineRule="auto"/>
        <w:ind w:firstLine="720"/>
        <w:jc w:val="both"/>
        <w:rPr>
          <w:rFonts w:ascii="Times New Roman" w:hAnsi="Times New Roman" w:cs="Times New Roman"/>
          <w:sz w:val="24"/>
          <w:szCs w:val="24"/>
        </w:rPr>
      </w:pPr>
      <w:r w:rsidRPr="000906D5">
        <w:rPr>
          <w:rFonts w:ascii="Times New Roman" w:hAnsi="Times New Roman" w:cs="Times New Roman"/>
          <w:sz w:val="24"/>
          <w:szCs w:val="24"/>
        </w:rPr>
        <w:t>Sistēmas pakalpojuma maksas samazinājumu pilnā apmērā rēķinos galalietotājiem piemēroja visi 10 Latvijā licencētie sistēmas operatori, kas līdz nākošā mēneša beigām Ekonomikas ministrijai sūtīja aprēķinu, norādot lietotāju un/vai pieslēgumu skaitu, pieslēgumu jaudu, patēriņu un apstiprinātos tarifus un no sistēmas operatora kompensēto sistēmas maksas apjomu, par kuru Ekonomikas ministrijai izrakstīts rēķins. Ekonomikas ministrija aprēķinā iekļauto finanšu apjomu salīdzināja ar Sabiedrisko pakalpojumu regulēšanas komisijas (turpmāk – Regulators) izsniegtajiem pēdējiem pieejamajiem datiem par apstiprināto tarifu ieņēmumiem katram sistēmas operatoram, kas saskaņā ar 2021.gada patēriņa statistiku nevarēja pārsniegt +25% atzīmi. Pēc aprēķina atzīšanas par korektu, sistēmas operatora rēķins tika apmaksāts. Atbalsta nosacījumi neattiecās uz pašiem sistēmas operatoriem.</w:t>
      </w:r>
    </w:p>
    <w:p w14:paraId="4DB2BDB0" w14:textId="77777777" w:rsidR="004830BA" w:rsidRDefault="004830BA" w:rsidP="00B47082">
      <w:pPr>
        <w:spacing w:after="0" w:line="240" w:lineRule="auto"/>
        <w:ind w:firstLine="720"/>
        <w:jc w:val="both"/>
        <w:rPr>
          <w:rFonts w:ascii="Times New Roman" w:hAnsi="Times New Roman" w:cs="Times New Roman"/>
          <w:sz w:val="24"/>
          <w:szCs w:val="24"/>
        </w:rPr>
      </w:pPr>
    </w:p>
    <w:p w14:paraId="7A58DD11" w14:textId="77777777" w:rsidR="00F73288" w:rsidRDefault="00F73288" w:rsidP="00B47082">
      <w:pPr>
        <w:spacing w:after="0" w:line="240" w:lineRule="auto"/>
        <w:jc w:val="both"/>
        <w:rPr>
          <w:rFonts w:ascii="Times New Roman" w:hAnsi="Times New Roman" w:cs="Times New Roman"/>
          <w:sz w:val="24"/>
          <w:szCs w:val="24"/>
          <w:u w:val="single"/>
        </w:rPr>
      </w:pPr>
    </w:p>
    <w:p w14:paraId="3E25D813" w14:textId="77777777" w:rsidR="00F73288" w:rsidRDefault="00F73288" w:rsidP="00B47082">
      <w:pPr>
        <w:spacing w:after="0" w:line="240" w:lineRule="auto"/>
        <w:jc w:val="both"/>
        <w:rPr>
          <w:rFonts w:ascii="Times New Roman" w:hAnsi="Times New Roman" w:cs="Times New Roman"/>
          <w:sz w:val="24"/>
          <w:szCs w:val="24"/>
          <w:u w:val="single"/>
        </w:rPr>
      </w:pPr>
    </w:p>
    <w:p w14:paraId="4CDF3754" w14:textId="77777777" w:rsidR="00F73288" w:rsidRDefault="00F73288" w:rsidP="00B47082">
      <w:pPr>
        <w:spacing w:after="0" w:line="240" w:lineRule="auto"/>
        <w:jc w:val="both"/>
        <w:rPr>
          <w:rFonts w:ascii="Times New Roman" w:hAnsi="Times New Roman" w:cs="Times New Roman"/>
          <w:sz w:val="24"/>
          <w:szCs w:val="24"/>
          <w:u w:val="single"/>
        </w:rPr>
      </w:pPr>
    </w:p>
    <w:p w14:paraId="78FFF591" w14:textId="77777777" w:rsidR="00B47082" w:rsidRPr="00B47082" w:rsidRDefault="00B47082" w:rsidP="00B47082">
      <w:pPr>
        <w:spacing w:after="0" w:line="240" w:lineRule="auto"/>
        <w:jc w:val="both"/>
        <w:rPr>
          <w:rFonts w:ascii="Times New Roman" w:hAnsi="Times New Roman" w:cs="Times New Roman"/>
          <w:sz w:val="24"/>
          <w:szCs w:val="24"/>
          <w:u w:val="single"/>
        </w:rPr>
      </w:pPr>
      <w:r w:rsidRPr="00B47082">
        <w:rPr>
          <w:rFonts w:ascii="Times New Roman" w:hAnsi="Times New Roman" w:cs="Times New Roman"/>
          <w:sz w:val="24"/>
          <w:szCs w:val="24"/>
          <w:u w:val="single"/>
        </w:rPr>
        <w:lastRenderedPageBreak/>
        <w:t>P</w:t>
      </w:r>
      <w:r w:rsidR="000906D5" w:rsidRPr="00B47082">
        <w:rPr>
          <w:rFonts w:ascii="Times New Roman" w:hAnsi="Times New Roman" w:cs="Times New Roman"/>
          <w:sz w:val="24"/>
          <w:szCs w:val="24"/>
          <w:u w:val="single"/>
        </w:rPr>
        <w:t>riekšrocības</w:t>
      </w:r>
      <w:r w:rsidRPr="00B47082">
        <w:rPr>
          <w:rFonts w:ascii="Times New Roman" w:hAnsi="Times New Roman" w:cs="Times New Roman"/>
          <w:sz w:val="24"/>
          <w:szCs w:val="24"/>
          <w:u w:val="single"/>
        </w:rPr>
        <w:t>:</w:t>
      </w:r>
    </w:p>
    <w:p w14:paraId="63266E23" w14:textId="3BF65B1F" w:rsidR="00B47082" w:rsidRPr="00B47082" w:rsidRDefault="000906D5" w:rsidP="005817AF">
      <w:pPr>
        <w:pStyle w:val="ListParagraph"/>
        <w:numPr>
          <w:ilvl w:val="0"/>
          <w:numId w:val="27"/>
        </w:numPr>
        <w:spacing w:after="0" w:line="240" w:lineRule="auto"/>
        <w:ind w:left="709"/>
        <w:jc w:val="both"/>
        <w:rPr>
          <w:rFonts w:ascii="Times New Roman" w:hAnsi="Times New Roman" w:cs="Times New Roman"/>
          <w:sz w:val="24"/>
          <w:szCs w:val="24"/>
        </w:rPr>
      </w:pPr>
      <w:r w:rsidRPr="00B47082">
        <w:rPr>
          <w:rFonts w:ascii="Times New Roman" w:hAnsi="Times New Roman" w:cs="Times New Roman"/>
          <w:sz w:val="24"/>
          <w:szCs w:val="24"/>
        </w:rPr>
        <w:t xml:space="preserve">centralizēta un samērā vienkārša atbalsta sniegšanas shēma, kas īsā laikā automatizēti sasniedz visus galalietotājus, </w:t>
      </w:r>
    </w:p>
    <w:p w14:paraId="6DF7291B" w14:textId="77777777" w:rsidR="00B47082" w:rsidRPr="00B47082" w:rsidRDefault="000906D5" w:rsidP="005817AF">
      <w:pPr>
        <w:pStyle w:val="ListParagraph"/>
        <w:numPr>
          <w:ilvl w:val="0"/>
          <w:numId w:val="26"/>
        </w:num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rPr>
        <w:t xml:space="preserve">tika atbalstīti arī uzņēmēji, pašvaldības, valsts un pašvaldību iestādes. </w:t>
      </w:r>
    </w:p>
    <w:p w14:paraId="0E1D0DA6" w14:textId="77777777" w:rsidR="00B47082" w:rsidRDefault="00B47082" w:rsidP="00B47082">
      <w:pPr>
        <w:spacing w:after="0" w:line="240" w:lineRule="auto"/>
        <w:jc w:val="both"/>
        <w:rPr>
          <w:rFonts w:ascii="Times New Roman" w:hAnsi="Times New Roman" w:cs="Times New Roman"/>
          <w:sz w:val="24"/>
          <w:szCs w:val="24"/>
        </w:rPr>
      </w:pPr>
    </w:p>
    <w:p w14:paraId="53062A60" w14:textId="77777777" w:rsidR="00B47082" w:rsidRDefault="000906D5" w:rsidP="00B47082">
      <w:p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u w:val="single"/>
        </w:rPr>
        <w:t>Trūkumi</w:t>
      </w:r>
      <w:r w:rsidR="00B47082">
        <w:rPr>
          <w:rFonts w:ascii="Times New Roman" w:hAnsi="Times New Roman" w:cs="Times New Roman"/>
          <w:sz w:val="24"/>
          <w:szCs w:val="24"/>
        </w:rPr>
        <w:t>:</w:t>
      </w:r>
    </w:p>
    <w:p w14:paraId="6570F6F2" w14:textId="21A8B5F9" w:rsidR="00B47082" w:rsidRDefault="000906D5" w:rsidP="005817AF">
      <w:pPr>
        <w:pStyle w:val="ListParagraph"/>
        <w:numPr>
          <w:ilvl w:val="0"/>
          <w:numId w:val="26"/>
        </w:num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rPr>
        <w:t xml:space="preserve">palielināts administratīvais slogs sistēmas operatoriem; </w:t>
      </w:r>
    </w:p>
    <w:p w14:paraId="6121CD49" w14:textId="77777777" w:rsidR="00B47082" w:rsidRDefault="000906D5" w:rsidP="005817AF">
      <w:pPr>
        <w:pStyle w:val="ListParagraph"/>
        <w:numPr>
          <w:ilvl w:val="0"/>
          <w:numId w:val="26"/>
        </w:num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rPr>
        <w:t xml:space="preserve">būtiska ieņēmumu plūsmas pārstrukturizācija, sevišķi nelieliem sistēmas operatoriem; </w:t>
      </w:r>
    </w:p>
    <w:p w14:paraId="270541EE" w14:textId="3293CD01" w:rsidR="00B47082" w:rsidRDefault="000906D5" w:rsidP="005817AF">
      <w:pPr>
        <w:pStyle w:val="ListParagraph"/>
        <w:numPr>
          <w:ilvl w:val="0"/>
          <w:numId w:val="26"/>
        </w:num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rPr>
        <w:t>papildu administrēšanas</w:t>
      </w:r>
      <w:r w:rsidR="002E5EA0">
        <w:rPr>
          <w:rFonts w:ascii="Times New Roman" w:hAnsi="Times New Roman" w:cs="Times New Roman"/>
          <w:sz w:val="24"/>
          <w:szCs w:val="24"/>
        </w:rPr>
        <w:t xml:space="preserve"> slogs</w:t>
      </w:r>
      <w:r w:rsidRPr="00B47082">
        <w:rPr>
          <w:rFonts w:ascii="Times New Roman" w:hAnsi="Times New Roman" w:cs="Times New Roman"/>
          <w:sz w:val="24"/>
          <w:szCs w:val="24"/>
        </w:rPr>
        <w:t xml:space="preserve"> un koordinācija no Ekonomikas ministrijas resora puses – precizējumi, konsultācijas par atbalsta attiecināšanu, grāmatvedības jautājumiem, naudas izmaksas datumiem; </w:t>
      </w:r>
    </w:p>
    <w:p w14:paraId="769FAAC1" w14:textId="0FBF1072" w:rsidR="000906D5" w:rsidRPr="00B47082" w:rsidRDefault="000906D5" w:rsidP="005817AF">
      <w:pPr>
        <w:pStyle w:val="ListParagraph"/>
        <w:numPr>
          <w:ilvl w:val="0"/>
          <w:numId w:val="26"/>
        </w:num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rPr>
        <w:t>nepieciešamība precizēt rēķinu pēc atbalsta perioda beigām, jo tiek precizēti iepriekšējo mēnešu patēriņa dati (sevišķi lielajiem sistēmas operatoriem).</w:t>
      </w:r>
      <w:r w:rsidR="00B47082" w:rsidRPr="00B47082">
        <w:rPr>
          <w:rFonts w:ascii="Times New Roman" w:hAnsi="Times New Roman" w:cs="Times New Roman"/>
          <w:sz w:val="24"/>
          <w:szCs w:val="24"/>
        </w:rPr>
        <w:t xml:space="preserve"> </w:t>
      </w:r>
    </w:p>
    <w:p w14:paraId="3536D9AE" w14:textId="77777777" w:rsidR="00B47082" w:rsidRPr="000906D5" w:rsidRDefault="00B47082" w:rsidP="00B47082">
      <w:pPr>
        <w:spacing w:after="0" w:line="240" w:lineRule="auto"/>
        <w:ind w:firstLine="720"/>
        <w:jc w:val="both"/>
        <w:rPr>
          <w:rFonts w:ascii="Times New Roman" w:hAnsi="Times New Roman" w:cs="Times New Roman"/>
          <w:sz w:val="24"/>
          <w:szCs w:val="24"/>
        </w:rPr>
      </w:pPr>
    </w:p>
    <w:p w14:paraId="6666AD1D" w14:textId="77777777" w:rsidR="000906D5" w:rsidRDefault="000906D5" w:rsidP="000906D5">
      <w:pPr>
        <w:spacing w:after="0" w:line="240" w:lineRule="auto"/>
        <w:jc w:val="both"/>
        <w:rPr>
          <w:rFonts w:ascii="Times New Roman" w:hAnsi="Times New Roman" w:cs="Times New Roman"/>
          <w:i/>
          <w:iCs/>
          <w:sz w:val="24"/>
          <w:szCs w:val="24"/>
        </w:rPr>
      </w:pPr>
      <w:r w:rsidRPr="000906D5">
        <w:rPr>
          <w:rFonts w:ascii="Times New Roman" w:hAnsi="Times New Roman" w:cs="Times New Roman"/>
          <w:i/>
          <w:iCs/>
          <w:sz w:val="24"/>
          <w:szCs w:val="24"/>
        </w:rPr>
        <w:t>Atbalsta un administrēšanas process OIK maksas samazinājuma gadījumā</w:t>
      </w:r>
    </w:p>
    <w:p w14:paraId="2FE695BE" w14:textId="77777777" w:rsidR="00B47082" w:rsidRPr="000906D5" w:rsidRDefault="00B47082" w:rsidP="000906D5">
      <w:pPr>
        <w:spacing w:after="0" w:line="240" w:lineRule="auto"/>
        <w:jc w:val="both"/>
        <w:rPr>
          <w:rFonts w:ascii="Times New Roman" w:hAnsi="Times New Roman" w:cs="Times New Roman"/>
          <w:i/>
          <w:iCs/>
          <w:sz w:val="24"/>
          <w:szCs w:val="24"/>
        </w:rPr>
      </w:pPr>
    </w:p>
    <w:p w14:paraId="0C0C2D3F" w14:textId="77777777" w:rsidR="000906D5" w:rsidRPr="000906D5" w:rsidRDefault="000906D5" w:rsidP="00B47082">
      <w:pPr>
        <w:spacing w:after="0" w:line="240" w:lineRule="auto"/>
        <w:ind w:firstLine="720"/>
        <w:jc w:val="both"/>
        <w:rPr>
          <w:rFonts w:ascii="Times New Roman" w:hAnsi="Times New Roman" w:cs="Times New Roman"/>
          <w:sz w:val="24"/>
          <w:szCs w:val="24"/>
        </w:rPr>
      </w:pPr>
      <w:r w:rsidRPr="000906D5">
        <w:rPr>
          <w:rFonts w:ascii="Times New Roman" w:hAnsi="Times New Roman" w:cs="Times New Roman"/>
          <w:sz w:val="24"/>
          <w:szCs w:val="24"/>
        </w:rPr>
        <w:t>Arī šajā atbalsta sadaļā visi galalietotāji (arī sistēmas operatori) automātiski rēķinos saņēma atbalstu, t.i., rēķinā netika iekļauta OIK maksa. Tā kā par OIK maksu norēķinās sistēmas operatori ar SIA “Enerģijas publiskais tirgotājs”, par nesaņemto OIK maksājumu, rēķinu Ekonomikas ministrijai piestādīja SIA “Enerģijas publiskais tirgotājs”. Tā kā OIK maksa ir piesaistīta galalietotāju patēriņam un pieslēguma jaudai, OIK maksas samazinājuma aprēķins Ekonomikas ministrijas pusē tika salīdzināts ar sistēmas operatoru iesniegtajām atskaitēm sistēmas maksas samazinājumam un pēc atbilstības konstatēšanas, apmaksāts valsts kompensācijas rēķins.</w:t>
      </w:r>
    </w:p>
    <w:p w14:paraId="16872F8A" w14:textId="77777777" w:rsidR="00B47082" w:rsidRDefault="00B47082" w:rsidP="000906D5">
      <w:pPr>
        <w:spacing w:after="0" w:line="240" w:lineRule="auto"/>
        <w:jc w:val="both"/>
        <w:rPr>
          <w:rFonts w:ascii="Times New Roman" w:hAnsi="Times New Roman" w:cs="Times New Roman"/>
          <w:sz w:val="24"/>
          <w:szCs w:val="24"/>
        </w:rPr>
      </w:pPr>
    </w:p>
    <w:p w14:paraId="7C4FF602" w14:textId="77777777" w:rsidR="00B47082" w:rsidRDefault="00B47082" w:rsidP="00B47082">
      <w:pPr>
        <w:spacing w:after="0" w:line="240" w:lineRule="auto"/>
        <w:jc w:val="both"/>
        <w:rPr>
          <w:rFonts w:ascii="Times New Roman" w:hAnsi="Times New Roman" w:cs="Times New Roman"/>
          <w:sz w:val="24"/>
          <w:szCs w:val="24"/>
          <w:u w:val="single"/>
        </w:rPr>
      </w:pPr>
      <w:r w:rsidRPr="00B47082">
        <w:rPr>
          <w:rFonts w:ascii="Times New Roman" w:hAnsi="Times New Roman" w:cs="Times New Roman"/>
          <w:sz w:val="24"/>
          <w:szCs w:val="24"/>
          <w:u w:val="single"/>
        </w:rPr>
        <w:t>Priekšrocības:</w:t>
      </w:r>
    </w:p>
    <w:p w14:paraId="37F0D153" w14:textId="38AA8EF8" w:rsidR="00B47082" w:rsidRPr="00B47082" w:rsidRDefault="00B47082" w:rsidP="005817AF">
      <w:pPr>
        <w:pStyle w:val="ListParagraph"/>
        <w:numPr>
          <w:ilvl w:val="0"/>
          <w:numId w:val="29"/>
        </w:num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rPr>
        <w:t>centralizēta un samērā vienkārša atbalsta sniegšanas shēma, kas īsā laikā automatizēti sasniedz visus galalietotājus, tika atbalstīti arī uzņēmēji, pašvaldības, valsts un pašvaldību iestādes.</w:t>
      </w:r>
    </w:p>
    <w:p w14:paraId="023B7F1D" w14:textId="77777777" w:rsidR="00B47082" w:rsidRPr="00B47082" w:rsidRDefault="00B47082" w:rsidP="00B47082">
      <w:pPr>
        <w:spacing w:after="0" w:line="240" w:lineRule="auto"/>
        <w:jc w:val="both"/>
        <w:rPr>
          <w:rFonts w:ascii="Times New Roman" w:hAnsi="Times New Roman" w:cs="Times New Roman"/>
          <w:sz w:val="24"/>
          <w:szCs w:val="24"/>
          <w:u w:val="single"/>
        </w:rPr>
      </w:pPr>
    </w:p>
    <w:p w14:paraId="1676B56B" w14:textId="77777777" w:rsidR="00B47082" w:rsidRDefault="00B47082" w:rsidP="00B47082">
      <w:p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u w:val="single"/>
        </w:rPr>
        <w:t>Trūkumi</w:t>
      </w:r>
      <w:r>
        <w:rPr>
          <w:rFonts w:ascii="Times New Roman" w:hAnsi="Times New Roman" w:cs="Times New Roman"/>
          <w:sz w:val="24"/>
          <w:szCs w:val="24"/>
        </w:rPr>
        <w:t>:</w:t>
      </w:r>
    </w:p>
    <w:p w14:paraId="5B378757" w14:textId="6059C442" w:rsidR="00B47082" w:rsidRPr="00B47082" w:rsidRDefault="00B47082" w:rsidP="005817AF">
      <w:pPr>
        <w:pStyle w:val="ListParagraph"/>
        <w:numPr>
          <w:ilvl w:val="0"/>
          <w:numId w:val="28"/>
        </w:num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rPr>
        <w:t>palielināts administratīvais slogs SIA “Enerģijas publiskais tirgotājs”, kā arī izmainīta ierastā OIK maksas finanšu plūsma.</w:t>
      </w:r>
    </w:p>
    <w:p w14:paraId="20E30E90" w14:textId="77777777" w:rsidR="00B47082" w:rsidRDefault="00B47082" w:rsidP="000906D5">
      <w:pPr>
        <w:spacing w:after="0" w:line="240" w:lineRule="auto"/>
        <w:jc w:val="both"/>
        <w:rPr>
          <w:rFonts w:ascii="Times New Roman" w:hAnsi="Times New Roman" w:cs="Times New Roman"/>
          <w:sz w:val="24"/>
          <w:szCs w:val="24"/>
        </w:rPr>
      </w:pPr>
    </w:p>
    <w:p w14:paraId="4A307917" w14:textId="0FC5588F" w:rsidR="000906D5" w:rsidRPr="000906D5" w:rsidRDefault="000906D5" w:rsidP="000906D5">
      <w:pPr>
        <w:spacing w:after="0" w:line="240" w:lineRule="auto"/>
        <w:jc w:val="both"/>
        <w:rPr>
          <w:rFonts w:ascii="Times New Roman" w:hAnsi="Times New Roman" w:cs="Times New Roman"/>
          <w:sz w:val="24"/>
          <w:szCs w:val="24"/>
        </w:rPr>
      </w:pPr>
      <w:r w:rsidRPr="000906D5">
        <w:rPr>
          <w:rFonts w:ascii="Times New Roman" w:hAnsi="Times New Roman" w:cs="Times New Roman"/>
          <w:sz w:val="24"/>
          <w:szCs w:val="24"/>
        </w:rPr>
        <w:t xml:space="preserve"> </w:t>
      </w:r>
    </w:p>
    <w:p w14:paraId="40A251D4" w14:textId="77777777" w:rsidR="000906D5" w:rsidRDefault="000906D5" w:rsidP="000906D5">
      <w:pPr>
        <w:spacing w:after="0" w:line="240" w:lineRule="auto"/>
        <w:jc w:val="both"/>
        <w:rPr>
          <w:rFonts w:ascii="Times New Roman" w:hAnsi="Times New Roman" w:cs="Times New Roman"/>
          <w:i/>
          <w:iCs/>
          <w:sz w:val="24"/>
          <w:szCs w:val="24"/>
        </w:rPr>
      </w:pPr>
      <w:r w:rsidRPr="000906D5">
        <w:rPr>
          <w:rFonts w:ascii="Times New Roman" w:hAnsi="Times New Roman" w:cs="Times New Roman"/>
          <w:i/>
          <w:iCs/>
          <w:sz w:val="24"/>
          <w:szCs w:val="24"/>
        </w:rPr>
        <w:t>Atbalsta un administrēšanas process siltumenerģijas pakalpojuma maksas samazinājuma gadījumā</w:t>
      </w:r>
    </w:p>
    <w:p w14:paraId="41B26F06" w14:textId="77777777" w:rsidR="00B47082" w:rsidRPr="000906D5" w:rsidRDefault="00B47082" w:rsidP="000906D5">
      <w:pPr>
        <w:spacing w:after="0" w:line="240" w:lineRule="auto"/>
        <w:jc w:val="both"/>
        <w:rPr>
          <w:rFonts w:ascii="Times New Roman" w:hAnsi="Times New Roman" w:cs="Times New Roman"/>
          <w:i/>
          <w:iCs/>
          <w:sz w:val="24"/>
          <w:szCs w:val="24"/>
        </w:rPr>
      </w:pPr>
    </w:p>
    <w:p w14:paraId="2E2A1021" w14:textId="77777777" w:rsidR="000906D5" w:rsidRPr="000906D5" w:rsidRDefault="000906D5" w:rsidP="00B47082">
      <w:pPr>
        <w:spacing w:after="0" w:line="240" w:lineRule="auto"/>
        <w:ind w:firstLine="720"/>
        <w:jc w:val="both"/>
        <w:rPr>
          <w:rFonts w:ascii="Times New Roman" w:hAnsi="Times New Roman" w:cs="Times New Roman"/>
          <w:sz w:val="24"/>
          <w:szCs w:val="24"/>
        </w:rPr>
      </w:pPr>
      <w:r w:rsidRPr="000906D5">
        <w:rPr>
          <w:rFonts w:ascii="Times New Roman" w:hAnsi="Times New Roman" w:cs="Times New Roman"/>
          <w:sz w:val="24"/>
          <w:szCs w:val="24"/>
        </w:rPr>
        <w:t>Siltumenerģijas atbalstu mājsaimniecību lietotājiem rēķinā attiecināja centralizētās siltumapgādes (turpmāk – CSA) komersants gadījumos, ja tarifs pārsniedza 68 euro/MWh. Lai saņemtu valsts kompensāciju par piemēroto siltumenerģijas pakalpojuma maksas samazinājumu CSA komersantam bija jāiesniedz aprēķins (aprēķina formu izstrādāja Ekonomikas ministrija) Ekonomikas ministrijā, kurā jānorāda starpība starp faktisko tarifu un noteikto siltumenerģijas tarifa atzīmi 68 EUR/MWh. Tiem siltumenerģijas komersantiem, kuriem siltumenerģijas tarifu neapstiprina ne Regulators, ne vietējās pašvaldības dome, papildus aprēķinam jāiesniedz pozitīvs  zvērināta revidenta atzinums.</w:t>
      </w:r>
    </w:p>
    <w:p w14:paraId="1EB97ADC" w14:textId="71DDEC81" w:rsidR="000906D5" w:rsidRPr="000906D5" w:rsidRDefault="000906D5" w:rsidP="00B47082">
      <w:pPr>
        <w:spacing w:after="0" w:line="240" w:lineRule="auto"/>
        <w:ind w:firstLine="720"/>
        <w:jc w:val="both"/>
        <w:rPr>
          <w:rFonts w:ascii="Times New Roman" w:hAnsi="Times New Roman" w:cs="Times New Roman"/>
          <w:sz w:val="24"/>
          <w:szCs w:val="24"/>
        </w:rPr>
      </w:pPr>
      <w:r w:rsidRPr="000906D5">
        <w:rPr>
          <w:rFonts w:ascii="Times New Roman" w:hAnsi="Times New Roman" w:cs="Times New Roman"/>
          <w:sz w:val="24"/>
          <w:szCs w:val="24"/>
        </w:rPr>
        <w:t xml:space="preserve">Kā zināms, Regulators apstiprina siltumenerģijas tarifu siltumenerģijas ražotājiem, ja to saražotā siltumenerģijas jauda ir lielāka par 5 000 MWh/gadā. Ja </w:t>
      </w:r>
      <w:r w:rsidRPr="000906D5">
        <w:rPr>
          <w:rFonts w:ascii="Times New Roman" w:hAnsi="Times New Roman" w:cs="Times New Roman"/>
          <w:sz w:val="24"/>
          <w:szCs w:val="24"/>
        </w:rPr>
        <w:lastRenderedPageBreak/>
        <w:t>saražotā siltumenerģijas jauda ir zem 5 000 MWh/gadā, tad tarifu var apstiprināt arī vietējās pašvaldības dome. Vienlaikus pastāv arī tādi CSA komersanti, kuru saražotais siltumenerģijas apjoms ir mazs un tam tarifus neapstiprina ne Regulators, ne vietējās pašvaldības dome. Piemēram, kad</w:t>
      </w:r>
      <w:r w:rsidR="00B47082">
        <w:rPr>
          <w:rFonts w:ascii="Times New Roman" w:hAnsi="Times New Roman" w:cs="Times New Roman"/>
          <w:sz w:val="24"/>
          <w:szCs w:val="24"/>
        </w:rPr>
        <w:t xml:space="preserve"> 3 mazdzīvokļu mājas realizējuš</w:t>
      </w:r>
      <w:r w:rsidRPr="000906D5">
        <w:rPr>
          <w:rFonts w:ascii="Times New Roman" w:hAnsi="Times New Roman" w:cs="Times New Roman"/>
          <w:sz w:val="24"/>
          <w:szCs w:val="24"/>
        </w:rPr>
        <w:t>as savu kopīgo, bet no pašvaldības neatkarīgu CSA, izmantojot gāzes katlu.</w:t>
      </w:r>
    </w:p>
    <w:p w14:paraId="3D98224C" w14:textId="77777777" w:rsidR="00B47082" w:rsidRDefault="00B47082" w:rsidP="000906D5">
      <w:pPr>
        <w:spacing w:after="0" w:line="240" w:lineRule="auto"/>
        <w:jc w:val="both"/>
        <w:rPr>
          <w:rFonts w:ascii="Times New Roman" w:hAnsi="Times New Roman" w:cs="Times New Roman"/>
          <w:sz w:val="24"/>
          <w:szCs w:val="24"/>
        </w:rPr>
      </w:pPr>
    </w:p>
    <w:p w14:paraId="17A966E6" w14:textId="77777777" w:rsidR="00B47082" w:rsidRDefault="00B47082" w:rsidP="00B47082">
      <w:pPr>
        <w:spacing w:after="0" w:line="240" w:lineRule="auto"/>
        <w:jc w:val="both"/>
        <w:rPr>
          <w:rFonts w:ascii="Times New Roman" w:hAnsi="Times New Roman" w:cs="Times New Roman"/>
          <w:sz w:val="24"/>
          <w:szCs w:val="24"/>
          <w:u w:val="single"/>
        </w:rPr>
      </w:pPr>
      <w:r w:rsidRPr="00B47082">
        <w:rPr>
          <w:rFonts w:ascii="Times New Roman" w:hAnsi="Times New Roman" w:cs="Times New Roman"/>
          <w:sz w:val="24"/>
          <w:szCs w:val="24"/>
          <w:u w:val="single"/>
        </w:rPr>
        <w:t>Priekšrocības:</w:t>
      </w:r>
    </w:p>
    <w:p w14:paraId="11DE6DD8" w14:textId="09593E52" w:rsidR="00B47082" w:rsidRPr="00B47082" w:rsidRDefault="00B47082" w:rsidP="005817AF">
      <w:pPr>
        <w:pStyle w:val="ListParagraph"/>
        <w:numPr>
          <w:ilvl w:val="0"/>
          <w:numId w:val="30"/>
        </w:numPr>
        <w:spacing w:after="0" w:line="240" w:lineRule="auto"/>
        <w:jc w:val="both"/>
        <w:rPr>
          <w:rFonts w:ascii="Times New Roman" w:hAnsi="Times New Roman" w:cs="Times New Roman"/>
          <w:sz w:val="24"/>
          <w:szCs w:val="24"/>
          <w:u w:val="single"/>
        </w:rPr>
      </w:pPr>
      <w:r w:rsidRPr="00B47082">
        <w:rPr>
          <w:rFonts w:ascii="Times New Roman" w:hAnsi="Times New Roman" w:cs="Times New Roman"/>
          <w:sz w:val="24"/>
          <w:szCs w:val="24"/>
        </w:rPr>
        <w:t>nosakot mediānu 68 eur/MWh siltumenerģijas tarifam, atbalsts tika efektīvi īstenots tajās CSA, kurās tarifu apstiprina Regulators vai pašvaldība. Atbalstu īpaši novērtēja mājsaimniecības tajās pašvaldībās, kurās CSA tika īstenots, izmantojot dabasgāzi.</w:t>
      </w:r>
    </w:p>
    <w:p w14:paraId="1D28B19E" w14:textId="77777777" w:rsidR="00B47082" w:rsidRPr="00B47082" w:rsidRDefault="00B47082" w:rsidP="00B47082">
      <w:pPr>
        <w:spacing w:after="0" w:line="240" w:lineRule="auto"/>
        <w:jc w:val="both"/>
        <w:rPr>
          <w:rFonts w:ascii="Times New Roman" w:hAnsi="Times New Roman" w:cs="Times New Roman"/>
          <w:sz w:val="24"/>
          <w:szCs w:val="24"/>
          <w:u w:val="single"/>
        </w:rPr>
      </w:pPr>
    </w:p>
    <w:p w14:paraId="58DD53DB" w14:textId="77777777" w:rsidR="00B47082" w:rsidRDefault="00B47082" w:rsidP="00B47082">
      <w:p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u w:val="single"/>
        </w:rPr>
        <w:t>Trūkumi</w:t>
      </w:r>
      <w:r>
        <w:rPr>
          <w:rFonts w:ascii="Times New Roman" w:hAnsi="Times New Roman" w:cs="Times New Roman"/>
          <w:sz w:val="24"/>
          <w:szCs w:val="24"/>
        </w:rPr>
        <w:t>:</w:t>
      </w:r>
    </w:p>
    <w:p w14:paraId="787C84EB" w14:textId="77777777" w:rsidR="00B47082" w:rsidRDefault="000906D5" w:rsidP="005817AF">
      <w:pPr>
        <w:pStyle w:val="ListParagraph"/>
        <w:numPr>
          <w:ilvl w:val="0"/>
          <w:numId w:val="30"/>
        </w:num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rPr>
        <w:t xml:space="preserve">šī atbalsta administrēšana bija vislaikietilpīgākā, paņemot nopietnus CSA komersantu un Ekonomikas ministrijas resursus, īpaši gadījumos, kad kompensācijas aprēķinu apstiprināja zvērināts revidents. Nav pārliecības, ka neregulēto CSA sektorā, visi galalietotāji saņēma atbalstu, jo mazas katlumājas gadījumā, sagatavot zvērināta revidenta atzinumu varēja izmaksāt tikpat, cik pati kompensācijas attiecināšana galalietotājiem. </w:t>
      </w:r>
    </w:p>
    <w:p w14:paraId="7370E62D" w14:textId="671244D4" w:rsidR="00D0513E" w:rsidRDefault="000906D5" w:rsidP="005817AF">
      <w:pPr>
        <w:pStyle w:val="ListParagraph"/>
        <w:numPr>
          <w:ilvl w:val="0"/>
          <w:numId w:val="30"/>
        </w:num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rPr>
        <w:t>Neregulēto CSA aprēķini bieži vien bija kļūdaini, zvērināto revidentu atzinumos jaušama nesapratne par siltumenerģijas tarifa korektu sastādīšanu. Par pamata tarifu, pret kuru salīdzināti neregulēto CSA komersantu (un arī Regulēto)</w:t>
      </w:r>
      <w:r w:rsidR="00865735">
        <w:rPr>
          <w:rFonts w:ascii="Times New Roman" w:hAnsi="Times New Roman" w:cs="Times New Roman"/>
          <w:sz w:val="24"/>
          <w:szCs w:val="24"/>
        </w:rPr>
        <w:t xml:space="preserve"> tarifi</w:t>
      </w:r>
      <w:r w:rsidRPr="00B47082">
        <w:rPr>
          <w:rFonts w:ascii="Times New Roman" w:hAnsi="Times New Roman" w:cs="Times New Roman"/>
          <w:sz w:val="24"/>
          <w:szCs w:val="24"/>
        </w:rPr>
        <w:t>, tika pieņemti decembra dati, bet realitātē vislielākie tarifi bija martā/aprīlī, neregulēto CSA komersantu aprēķinos pārsniedzot arī 200 euro/MWh atzīmi, tādējādi šādos gadījumos, lai maksimāli izpildītu Likuma mērķi un jēgu, Ekonomikas ministrija skatīja katru paaugstināta tarifa gadījumu atsevišķi (izņemot Regulatora un pašvaldību apstiprinātos)</w:t>
      </w:r>
      <w:r w:rsidR="00865735">
        <w:rPr>
          <w:rFonts w:ascii="Times New Roman" w:hAnsi="Times New Roman" w:cs="Times New Roman"/>
          <w:sz w:val="24"/>
          <w:szCs w:val="24"/>
        </w:rPr>
        <w:t>,</w:t>
      </w:r>
      <w:r w:rsidRPr="00B47082">
        <w:rPr>
          <w:rFonts w:ascii="Times New Roman" w:hAnsi="Times New Roman" w:cs="Times New Roman"/>
          <w:sz w:val="24"/>
          <w:szCs w:val="24"/>
        </w:rPr>
        <w:t xml:space="preserve"> analizējot tarifa pieauguma iemeslus. </w:t>
      </w:r>
    </w:p>
    <w:p w14:paraId="17B7A7E8" w14:textId="77777777" w:rsidR="00D0513E" w:rsidRDefault="000906D5" w:rsidP="005817AF">
      <w:pPr>
        <w:pStyle w:val="ListParagraph"/>
        <w:numPr>
          <w:ilvl w:val="0"/>
          <w:numId w:val="30"/>
        </w:num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rPr>
        <w:t xml:space="preserve">Neregulēto CSA komersantu sektorā Ekonomikas ministrijā tika saņemti arī tādi aprēķini, par kuriem bija aizdomas par krāpniecības mēģinājumiem. Siltumenerģijas atbalsts nekādā veidā kopumā nesasniedza individuālo apkuri, kas netika nodrošināta ar dabasgāzi, piemēram, malkas, elektrības vai granulu apkures gadījumā, ja tiek apkurināta viena vairākdzīvokļu ēka. </w:t>
      </w:r>
    </w:p>
    <w:p w14:paraId="4CAB1E97" w14:textId="564BF305" w:rsidR="000906D5" w:rsidRPr="00B47082" w:rsidRDefault="000906D5" w:rsidP="005817AF">
      <w:pPr>
        <w:pStyle w:val="ListParagraph"/>
        <w:numPr>
          <w:ilvl w:val="0"/>
          <w:numId w:val="30"/>
        </w:num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rPr>
        <w:t xml:space="preserve">Ļoti liels konsultatīvais darbs, kā arī daudz gadījumu, kad aprēķins tiek iesniegts par vairākiem mēnešiem, jo komersanti nezināja par atbalsta piemērošanas nosacījumiem un eksistenci, sakarā ar to, ka visi komersanti nav Regulatora reģistrā, kā tas bija </w:t>
      </w:r>
      <w:r w:rsidR="00865735">
        <w:rPr>
          <w:rFonts w:ascii="Times New Roman" w:hAnsi="Times New Roman" w:cs="Times New Roman"/>
          <w:sz w:val="24"/>
          <w:szCs w:val="24"/>
        </w:rPr>
        <w:t xml:space="preserve">elektroenerģijas </w:t>
      </w:r>
      <w:r w:rsidRPr="00B47082">
        <w:rPr>
          <w:rFonts w:ascii="Times New Roman" w:hAnsi="Times New Roman" w:cs="Times New Roman"/>
          <w:sz w:val="24"/>
          <w:szCs w:val="24"/>
        </w:rPr>
        <w:t>s</w:t>
      </w:r>
      <w:r w:rsidR="00E5351A">
        <w:rPr>
          <w:rFonts w:ascii="Times New Roman" w:hAnsi="Times New Roman" w:cs="Times New Roman"/>
          <w:sz w:val="24"/>
          <w:szCs w:val="24"/>
        </w:rPr>
        <w:t>istēmas pakalpojuma maksas, OIK</w:t>
      </w:r>
      <w:r w:rsidRPr="00B47082">
        <w:rPr>
          <w:rFonts w:ascii="Times New Roman" w:hAnsi="Times New Roman" w:cs="Times New Roman"/>
          <w:sz w:val="24"/>
          <w:szCs w:val="24"/>
        </w:rPr>
        <w:t xml:space="preserve"> un dabasgāzes tirdzniecības pakalpojuma maksas samazinājuma gadījumā. Izmainīta un palēnināta ienākumu plūsma komersantiem. Procesu paildzināja un CSA komersantiem sadārdzināja tie gadījumi, kad pakalpojumu sniedz pašvaldības komunālais uzņēmums, bet tarifs nav apstiprināts pašvaldībā vai pašvaldība ir atteikusies to veikt, šādos gadījumos jāpiesaista zvērināts revidents, kura atzinums komersantam izmaksā no 300 līdz 1200 euro. Atbalsta nosacījumos nebija patēriņa ierobežojuma un tas neveicināja mājsaimniecībām vai CSA ieviest taupības pasākumus.</w:t>
      </w:r>
    </w:p>
    <w:p w14:paraId="3DE6CB48" w14:textId="77777777" w:rsidR="00B47082" w:rsidRDefault="00B47082" w:rsidP="000906D5">
      <w:pPr>
        <w:spacing w:after="0" w:line="240" w:lineRule="auto"/>
        <w:jc w:val="both"/>
        <w:rPr>
          <w:rFonts w:ascii="Times New Roman" w:hAnsi="Times New Roman" w:cs="Times New Roman"/>
          <w:i/>
          <w:iCs/>
          <w:sz w:val="24"/>
          <w:szCs w:val="24"/>
        </w:rPr>
      </w:pPr>
    </w:p>
    <w:p w14:paraId="2A5A76F8" w14:textId="77777777" w:rsidR="00F73288" w:rsidRDefault="00F73288" w:rsidP="000906D5">
      <w:pPr>
        <w:spacing w:after="0" w:line="240" w:lineRule="auto"/>
        <w:jc w:val="both"/>
        <w:rPr>
          <w:rFonts w:ascii="Times New Roman" w:hAnsi="Times New Roman" w:cs="Times New Roman"/>
          <w:i/>
          <w:iCs/>
          <w:sz w:val="24"/>
          <w:szCs w:val="24"/>
        </w:rPr>
      </w:pPr>
    </w:p>
    <w:p w14:paraId="6B92DFAF" w14:textId="77777777" w:rsidR="00F73288" w:rsidRDefault="00F73288" w:rsidP="000906D5">
      <w:pPr>
        <w:spacing w:after="0" w:line="240" w:lineRule="auto"/>
        <w:jc w:val="both"/>
        <w:rPr>
          <w:rFonts w:ascii="Times New Roman" w:hAnsi="Times New Roman" w:cs="Times New Roman"/>
          <w:i/>
          <w:iCs/>
          <w:sz w:val="24"/>
          <w:szCs w:val="24"/>
        </w:rPr>
      </w:pPr>
    </w:p>
    <w:p w14:paraId="5D23F31C" w14:textId="77777777" w:rsidR="004830BA" w:rsidRDefault="004830BA" w:rsidP="000906D5">
      <w:pPr>
        <w:spacing w:after="0" w:line="240" w:lineRule="auto"/>
        <w:jc w:val="both"/>
        <w:rPr>
          <w:rFonts w:ascii="Times New Roman" w:hAnsi="Times New Roman" w:cs="Times New Roman"/>
          <w:i/>
          <w:iCs/>
          <w:sz w:val="24"/>
          <w:szCs w:val="24"/>
        </w:rPr>
      </w:pPr>
    </w:p>
    <w:p w14:paraId="5BC16A6F" w14:textId="321E6519" w:rsidR="000906D5" w:rsidRDefault="000906D5" w:rsidP="000906D5">
      <w:pPr>
        <w:spacing w:after="0" w:line="240" w:lineRule="auto"/>
        <w:jc w:val="both"/>
        <w:rPr>
          <w:rFonts w:ascii="Times New Roman" w:hAnsi="Times New Roman" w:cs="Times New Roman"/>
          <w:i/>
          <w:iCs/>
          <w:sz w:val="24"/>
          <w:szCs w:val="24"/>
        </w:rPr>
      </w:pPr>
      <w:r w:rsidRPr="000906D5">
        <w:rPr>
          <w:rFonts w:ascii="Times New Roman" w:hAnsi="Times New Roman" w:cs="Times New Roman"/>
          <w:i/>
          <w:iCs/>
          <w:sz w:val="24"/>
          <w:szCs w:val="24"/>
        </w:rPr>
        <w:lastRenderedPageBreak/>
        <w:t>Atbalsta un administrēšanas process dabasgāzes tirdzniecības pakalpojuma maksas samazinājuma gadījumā</w:t>
      </w:r>
      <w:r w:rsidR="00D0513E">
        <w:rPr>
          <w:rFonts w:ascii="Times New Roman" w:hAnsi="Times New Roman" w:cs="Times New Roman"/>
          <w:i/>
          <w:iCs/>
          <w:sz w:val="24"/>
          <w:szCs w:val="24"/>
        </w:rPr>
        <w:t xml:space="preserve"> </w:t>
      </w:r>
    </w:p>
    <w:p w14:paraId="56D12FAA" w14:textId="77777777" w:rsidR="00D0513E" w:rsidRPr="000906D5" w:rsidRDefault="00D0513E" w:rsidP="000906D5">
      <w:pPr>
        <w:spacing w:after="0" w:line="240" w:lineRule="auto"/>
        <w:jc w:val="both"/>
        <w:rPr>
          <w:rFonts w:ascii="Times New Roman" w:hAnsi="Times New Roman" w:cs="Times New Roman"/>
          <w:i/>
          <w:iCs/>
          <w:sz w:val="24"/>
          <w:szCs w:val="24"/>
        </w:rPr>
      </w:pPr>
    </w:p>
    <w:p w14:paraId="261D0D87" w14:textId="3AB6E60D" w:rsidR="000906D5" w:rsidRPr="000906D5" w:rsidRDefault="000906D5" w:rsidP="00D0513E">
      <w:pPr>
        <w:spacing w:after="0" w:line="240" w:lineRule="auto"/>
        <w:ind w:firstLine="720"/>
        <w:jc w:val="both"/>
        <w:rPr>
          <w:rFonts w:ascii="Times New Roman" w:hAnsi="Times New Roman" w:cs="Times New Roman"/>
          <w:sz w:val="24"/>
          <w:szCs w:val="24"/>
        </w:rPr>
      </w:pPr>
      <w:r w:rsidRPr="000906D5">
        <w:rPr>
          <w:rFonts w:ascii="Times New Roman" w:hAnsi="Times New Roman" w:cs="Times New Roman"/>
          <w:sz w:val="24"/>
          <w:szCs w:val="24"/>
        </w:rPr>
        <w:t>Arī šis atbalsts tika piemērots automātiski mājsaimniecību rēķinos un to veica dabasgāzes tirgotājs, sadalot lietotājus pa patēriņa grupām</w:t>
      </w:r>
      <w:r w:rsidR="00865735">
        <w:rPr>
          <w:rFonts w:ascii="Times New Roman" w:hAnsi="Times New Roman" w:cs="Times New Roman"/>
          <w:sz w:val="24"/>
          <w:szCs w:val="24"/>
        </w:rPr>
        <w:t>,</w:t>
      </w:r>
      <w:r w:rsidRPr="000906D5">
        <w:rPr>
          <w:rFonts w:ascii="Times New Roman" w:hAnsi="Times New Roman" w:cs="Times New Roman"/>
          <w:sz w:val="24"/>
          <w:szCs w:val="24"/>
        </w:rPr>
        <w:t xml:space="preserve"> izņemot atsevišķus gadījumus, kur bija nepieciešama arī lietotāju iesaiste, kas aprakstīts zemāk. Dabasgāzes tirgotājiem līdz mēneša 20. datumam bija jāaprēķina, jāsagatavo un jāiesniedz Ekonomikas ministrijā kompensācijas aprēķins par iepriekšējo kalendāra mēnesi un tam atbilstošs rēķins, piemērojot pievienotās vērtības nodokli, proti, aprēķins par negūtajiem ieņēmumiem, ko pēc tam dabasgāzes tirgotājiem kompensēja no valsts budžeta līdz mēneša 30. datumam. Iesniegto rēķinu administrēšanu un pārbaudi veica Ekonomikas ministrija, nepieciešamības gadījumā sazinoties ar dabasgāzes tirgotāju, ja radušies papildu jautājumi vai konstatētas nepilnības izrakstītajos rēķinos. Šī regulējuma izstrādes procesā tika konstatēts, ka nereti mājsaimniecības dabasgāzes piegādes pakalpojumu saņem ar starpnieku iesaisti, piemēram, namu apsaimniekotāju vai dzīvokļu īpašnieku biedrību starpniecību, kas ir uzskatāmi par juridiskām personām, izņēmuma gadījumā ieviestais regulējums tika attiecināts arī uz saimnieciskās darbības veicējiem, kas nodrošina dabasgāzes piegādes pakalpojuma sniegšanu mājsaimniecībām. Ņemot vērā, ka dabasgāzes pārvades sistēmas operatoram “Gaso” ir pieejami dati tikai par tiem mājsaimniecībās lietotājiem, kuriem ir noslēgts individuāls dabasgāzes tirdzniecības līgums ar noteiktu dabasgāzes tirgotāju, lietotājiem, kuru gazificētas objekts ir daudzdzīvokļu dzīvojamā māja, līdz katra mēneša noteiktam datumam dabasgāzes tirgotājam bija jāiesniedz mājsaimniecību dati par to dabasgāzes patēriņu. Ērtākam pieteikšanās formātam dabasgāzes tirgotāji savās tīmekļvietnēs publicēja pieteikšanās formu. Iesniegto rēķinu administrēšanas procesā tika konstatēts, ka mājsaimniecību tvērums, kam potenciāli piešķirams atbalsts</w:t>
      </w:r>
      <w:r w:rsidR="00E5351A">
        <w:rPr>
          <w:rFonts w:ascii="Times New Roman" w:hAnsi="Times New Roman" w:cs="Times New Roman"/>
          <w:sz w:val="24"/>
          <w:szCs w:val="24"/>
        </w:rPr>
        <w:t>,</w:t>
      </w:r>
      <w:r w:rsidRPr="000906D5">
        <w:rPr>
          <w:rFonts w:ascii="Times New Roman" w:hAnsi="Times New Roman" w:cs="Times New Roman"/>
          <w:sz w:val="24"/>
          <w:szCs w:val="24"/>
        </w:rPr>
        <w:t xml:space="preserve"> ir plašāks, nekā sākotnēji tika apzināts regulējuma izstrādes brīdī. Piemēram, mājsaimniecības izmanto dabasgāzi rindu mājās, kur uz visām mājām ir viens gāzes ievads (visas rindu mājas kopā tiek uzskatītas kā viens objekts ar vienu skaitītāju), vai arī ir noslēgts dabasgāzes tirdzniecības līgums par dabasgāzes piegādi objektiem, kas ir rindu mājas, kur katrai rindu mājai ir savs ievads (savs skaitītājs un katra māja uzskatāma par atsevišķu objektu) u.c. Līdz ar to Ekonomikas ministrija aicināja dabasgāzes tirgotājus nevadīties tikai pēc tiesību normu gramatiskās interpretācijas metodes, bet arī pēc teleoloģiskās (jēgas un mērķa) interpretācijas metodes, kam pamatā ir tiesību normu jēga, pamatojoties uz lietderīgu un taisnīgu mērķi, kas ar attiecīgo tiesību normu ir jāsasniedz. Tādējādi arī papildu uzskaitītajām situācijām, kurās mājsaimniecības patērē dabasgāzi, tika paredzēts valsts atbalsts maksas samazinājumam, ja lietotājs ir iesniedzis tirgotājam apliecinājumu, ka galalietotājs ir mājsaimniecība un tirgotāja rīcībā nav informācija par pretējo.</w:t>
      </w:r>
    </w:p>
    <w:p w14:paraId="439CA86B" w14:textId="42E765BD" w:rsidR="000906D5" w:rsidRPr="000906D5" w:rsidRDefault="000906D5" w:rsidP="000F5AAB">
      <w:pPr>
        <w:spacing w:after="0" w:line="240" w:lineRule="auto"/>
        <w:ind w:firstLine="720"/>
        <w:jc w:val="both"/>
        <w:rPr>
          <w:rFonts w:ascii="Times New Roman" w:hAnsi="Times New Roman" w:cs="Times New Roman"/>
          <w:sz w:val="24"/>
          <w:szCs w:val="24"/>
        </w:rPr>
      </w:pPr>
      <w:r w:rsidRPr="000906D5">
        <w:rPr>
          <w:rFonts w:ascii="Times New Roman" w:hAnsi="Times New Roman" w:cs="Times New Roman"/>
          <w:sz w:val="24"/>
          <w:szCs w:val="24"/>
        </w:rPr>
        <w:t>Tāpat Ekonomikas ministrija saņēma jautājumus no dabasgāzes tirgotājiem, kā rīkoties situācijās, ja apsaimniekotāji vai dzīvokļu īpašnieku biedrības ir nokavējušas pieteikšanos pie dabasgāzes tirgotāja maksas samazinājuma piemērošanai. Lai nodrošinātu vienotu pieeju šī jautājuma risināšanā, Ekonomikas ministrija informēja dabasgāzes tirgotājus par to, ka maksas samazinājums nevar tikt attiecināts iepriekšējā mēneša rēķinā, tomēr tas ir pieskaitāms pie nākamā rēķina, veicot nepieciešamās korekcijas. Ja lietotājs pieteicās valsts atbalstam līdz 2022. gada 30. aprīlim, tad šim lietotājam tika dota iespēja saņemt valsts atbalsta periodam noteikto maksas samazinājuma apjomu. Tādējādi Ekonomikas ministrija aicināja iesniegt informāciju un datus, kā arī saņemt atmaksu vēlāk, pamatojoties uz korekcijas aprēķinu, kas tika paredzēts Noteikumu Nr. 78 168.</w:t>
      </w:r>
      <w:r w:rsidRPr="000906D5">
        <w:rPr>
          <w:rFonts w:ascii="Times New Roman" w:hAnsi="Times New Roman" w:cs="Times New Roman"/>
          <w:sz w:val="24"/>
          <w:szCs w:val="24"/>
          <w:vertAlign w:val="superscript"/>
        </w:rPr>
        <w:t>7</w:t>
      </w:r>
      <w:r w:rsidRPr="000906D5">
        <w:rPr>
          <w:rFonts w:ascii="Times New Roman" w:hAnsi="Times New Roman" w:cs="Times New Roman"/>
          <w:sz w:val="24"/>
          <w:szCs w:val="24"/>
        </w:rPr>
        <w:t xml:space="preserve"> punkta otrajā apakšpunktā.</w:t>
      </w:r>
    </w:p>
    <w:p w14:paraId="5A115103" w14:textId="77777777" w:rsidR="00B47082" w:rsidRDefault="00B47082" w:rsidP="000906D5">
      <w:pPr>
        <w:spacing w:after="0" w:line="240" w:lineRule="auto"/>
        <w:jc w:val="both"/>
        <w:rPr>
          <w:rFonts w:ascii="Times New Roman" w:hAnsi="Times New Roman" w:cs="Times New Roman"/>
          <w:sz w:val="24"/>
          <w:szCs w:val="24"/>
        </w:rPr>
      </w:pPr>
    </w:p>
    <w:p w14:paraId="58CF4454" w14:textId="77777777" w:rsidR="00B47082" w:rsidRDefault="00B47082" w:rsidP="00B47082">
      <w:pPr>
        <w:spacing w:after="0" w:line="240" w:lineRule="auto"/>
        <w:jc w:val="both"/>
        <w:rPr>
          <w:rFonts w:ascii="Times New Roman" w:hAnsi="Times New Roman" w:cs="Times New Roman"/>
          <w:sz w:val="24"/>
          <w:szCs w:val="24"/>
          <w:u w:val="single"/>
        </w:rPr>
      </w:pPr>
      <w:r w:rsidRPr="00B47082">
        <w:rPr>
          <w:rFonts w:ascii="Times New Roman" w:hAnsi="Times New Roman" w:cs="Times New Roman"/>
          <w:sz w:val="24"/>
          <w:szCs w:val="24"/>
          <w:u w:val="single"/>
        </w:rPr>
        <w:t>Priekšrocības:</w:t>
      </w:r>
    </w:p>
    <w:p w14:paraId="078B4856" w14:textId="43BD5F6D" w:rsidR="000F5AAB" w:rsidRPr="000F5AAB" w:rsidRDefault="000F5AAB" w:rsidP="005817AF">
      <w:pPr>
        <w:pStyle w:val="ListParagraph"/>
        <w:numPr>
          <w:ilvl w:val="0"/>
          <w:numId w:val="32"/>
        </w:numPr>
        <w:spacing w:after="0" w:line="240" w:lineRule="auto"/>
        <w:jc w:val="both"/>
        <w:rPr>
          <w:rFonts w:ascii="Times New Roman" w:hAnsi="Times New Roman" w:cs="Times New Roman"/>
          <w:sz w:val="24"/>
          <w:szCs w:val="24"/>
          <w:u w:val="single"/>
        </w:rPr>
      </w:pPr>
      <w:r w:rsidRPr="000F5AAB">
        <w:rPr>
          <w:rFonts w:ascii="Times New Roman" w:hAnsi="Times New Roman" w:cs="Times New Roman"/>
          <w:sz w:val="24"/>
          <w:szCs w:val="24"/>
        </w:rPr>
        <w:t>sasniedza mājsaimniecības, kas patēriņa rakstura dēļ piedzīvoja vislielāko dabasgāzes cenu pieauguma negatīvo efektu, patē</w:t>
      </w:r>
      <w:r>
        <w:rPr>
          <w:rFonts w:ascii="Times New Roman" w:hAnsi="Times New Roman" w:cs="Times New Roman"/>
          <w:sz w:val="24"/>
          <w:szCs w:val="24"/>
        </w:rPr>
        <w:t>rējot dabasgāzi mājokļu apkurei;</w:t>
      </w:r>
      <w:r w:rsidRPr="000F5AAB">
        <w:rPr>
          <w:rFonts w:ascii="Times New Roman" w:hAnsi="Times New Roman" w:cs="Times New Roman"/>
          <w:sz w:val="24"/>
          <w:szCs w:val="24"/>
        </w:rPr>
        <w:t xml:space="preserve"> </w:t>
      </w:r>
    </w:p>
    <w:p w14:paraId="11E91ECA" w14:textId="4236CCA4" w:rsidR="000F5AAB" w:rsidRPr="000F5AAB" w:rsidRDefault="000F5AAB" w:rsidP="005817AF">
      <w:pPr>
        <w:pStyle w:val="ListParagraph"/>
        <w:numPr>
          <w:ilvl w:val="0"/>
          <w:numId w:val="32"/>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d</w:t>
      </w:r>
      <w:r w:rsidRPr="000F5AAB">
        <w:rPr>
          <w:rFonts w:ascii="Times New Roman" w:hAnsi="Times New Roman" w:cs="Times New Roman"/>
          <w:sz w:val="24"/>
          <w:szCs w:val="24"/>
        </w:rPr>
        <w:t>abasgāzes tirgotāju proaktīva rīcība nodrošināja lietotājiem saprotamu atbalsta sniegšanas procesu (papildus skaidrojošā informācija tīmekļvietnēs, rēķino</w:t>
      </w:r>
      <w:r w:rsidR="00865735">
        <w:rPr>
          <w:rFonts w:ascii="Times New Roman" w:hAnsi="Times New Roman" w:cs="Times New Roman"/>
          <w:sz w:val="24"/>
          <w:szCs w:val="24"/>
        </w:rPr>
        <w:t>s</w:t>
      </w:r>
      <w:r w:rsidRPr="000F5AAB">
        <w:rPr>
          <w:rFonts w:ascii="Times New Roman" w:hAnsi="Times New Roman" w:cs="Times New Roman"/>
          <w:sz w:val="24"/>
          <w:szCs w:val="24"/>
        </w:rPr>
        <w:t xml:space="preserve"> utt.). Dabasgāzes tirgotāju izstrādātie elektroniski aizpildāmie apliecinājumi par mēneša patēriņu paredzētajā sadalījumā, kas tika publicēti to tīmekļvietnēs, nodrošināja ērtu un pārskatāmu veidu, kā sniegt vajadzīgo informāciju un datus, kas nepieciešami maksas samazinājuma aprēķiniem.</w:t>
      </w:r>
    </w:p>
    <w:p w14:paraId="374EE23B" w14:textId="77777777" w:rsidR="000F5AAB" w:rsidRPr="00B47082" w:rsidRDefault="000F5AAB" w:rsidP="00B47082">
      <w:pPr>
        <w:spacing w:after="0" w:line="240" w:lineRule="auto"/>
        <w:jc w:val="both"/>
        <w:rPr>
          <w:rFonts w:ascii="Times New Roman" w:hAnsi="Times New Roman" w:cs="Times New Roman"/>
          <w:sz w:val="24"/>
          <w:szCs w:val="24"/>
          <w:u w:val="single"/>
        </w:rPr>
      </w:pPr>
    </w:p>
    <w:p w14:paraId="227D31EB" w14:textId="77777777" w:rsidR="00B47082" w:rsidRDefault="00B47082" w:rsidP="00B47082">
      <w:pPr>
        <w:spacing w:after="0" w:line="240" w:lineRule="auto"/>
        <w:jc w:val="both"/>
        <w:rPr>
          <w:rFonts w:ascii="Times New Roman" w:hAnsi="Times New Roman" w:cs="Times New Roman"/>
          <w:sz w:val="24"/>
          <w:szCs w:val="24"/>
        </w:rPr>
      </w:pPr>
      <w:r w:rsidRPr="00B47082">
        <w:rPr>
          <w:rFonts w:ascii="Times New Roman" w:hAnsi="Times New Roman" w:cs="Times New Roman"/>
          <w:sz w:val="24"/>
          <w:szCs w:val="24"/>
          <w:u w:val="single"/>
        </w:rPr>
        <w:t>Trūkumi</w:t>
      </w:r>
      <w:r>
        <w:rPr>
          <w:rFonts w:ascii="Times New Roman" w:hAnsi="Times New Roman" w:cs="Times New Roman"/>
          <w:sz w:val="24"/>
          <w:szCs w:val="24"/>
        </w:rPr>
        <w:t>:</w:t>
      </w:r>
    </w:p>
    <w:p w14:paraId="72C1A899" w14:textId="6ECAF7A8" w:rsidR="000F5AAB" w:rsidRDefault="000906D5" w:rsidP="005817AF">
      <w:pPr>
        <w:pStyle w:val="ListParagraph"/>
        <w:numPr>
          <w:ilvl w:val="0"/>
          <w:numId w:val="31"/>
        </w:numPr>
        <w:spacing w:after="0" w:line="240" w:lineRule="auto"/>
        <w:jc w:val="both"/>
        <w:rPr>
          <w:rFonts w:ascii="Times New Roman" w:hAnsi="Times New Roman" w:cs="Times New Roman"/>
          <w:sz w:val="24"/>
          <w:szCs w:val="24"/>
        </w:rPr>
      </w:pPr>
      <w:r w:rsidRPr="000F5AAB">
        <w:rPr>
          <w:rFonts w:ascii="Times New Roman" w:hAnsi="Times New Roman" w:cs="Times New Roman"/>
          <w:sz w:val="24"/>
          <w:szCs w:val="24"/>
        </w:rPr>
        <w:t>palielināts administratīvais slogs dabasgāzes tirgotā</w:t>
      </w:r>
      <w:r w:rsidR="000F5AAB">
        <w:rPr>
          <w:rFonts w:ascii="Times New Roman" w:hAnsi="Times New Roman" w:cs="Times New Roman"/>
          <w:sz w:val="24"/>
          <w:szCs w:val="24"/>
        </w:rPr>
        <w:t>jiem;</w:t>
      </w:r>
    </w:p>
    <w:p w14:paraId="0508C0A7" w14:textId="0A6DDE2F" w:rsidR="000F5AAB" w:rsidRDefault="000906D5" w:rsidP="005817AF">
      <w:pPr>
        <w:pStyle w:val="ListParagraph"/>
        <w:numPr>
          <w:ilvl w:val="0"/>
          <w:numId w:val="31"/>
        </w:numPr>
        <w:spacing w:after="0" w:line="240" w:lineRule="auto"/>
        <w:jc w:val="both"/>
        <w:rPr>
          <w:rFonts w:ascii="Times New Roman" w:hAnsi="Times New Roman" w:cs="Times New Roman"/>
          <w:sz w:val="24"/>
          <w:szCs w:val="24"/>
        </w:rPr>
      </w:pPr>
      <w:r w:rsidRPr="000F5AAB">
        <w:rPr>
          <w:rFonts w:ascii="Times New Roman" w:hAnsi="Times New Roman" w:cs="Times New Roman"/>
          <w:sz w:val="24"/>
          <w:szCs w:val="24"/>
        </w:rPr>
        <w:t>kļūdu gadījumi, kad CSA tiek nodrošināta ar gāzi un dabasgāzes tirgotājs piemēro rēķinā maksas samazinājumu, vienlaikus neregulētais CSA komersants piesakā</w:t>
      </w:r>
      <w:r w:rsidR="000F5AAB">
        <w:rPr>
          <w:rFonts w:ascii="Times New Roman" w:hAnsi="Times New Roman" w:cs="Times New Roman"/>
          <w:sz w:val="24"/>
          <w:szCs w:val="24"/>
        </w:rPr>
        <w:t>s siltumenerģijas kompensācijai;</w:t>
      </w:r>
    </w:p>
    <w:p w14:paraId="6BF5E96F" w14:textId="2D2B5752" w:rsidR="000906D5" w:rsidRPr="000F5AAB" w:rsidRDefault="000F5AAB" w:rsidP="005817AF">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906D5" w:rsidRPr="000F5AAB">
        <w:rPr>
          <w:rFonts w:ascii="Times New Roman" w:hAnsi="Times New Roman" w:cs="Times New Roman"/>
          <w:sz w:val="24"/>
          <w:szCs w:val="24"/>
        </w:rPr>
        <w:t>tbalsts neveicināja mājsaimniecības ieviest taupības pasākumus, jo no valsts budžeta līdzekļiem liela dabasgāzes patēriņa īpatsvara gadījumā tika pilnībā segtas rēķina izmaksas virs 0,02279 euro par vienu kWh (bez PVN)</w:t>
      </w:r>
      <w:r>
        <w:rPr>
          <w:rFonts w:ascii="Times New Roman" w:hAnsi="Times New Roman" w:cs="Times New Roman"/>
          <w:sz w:val="24"/>
          <w:szCs w:val="24"/>
        </w:rPr>
        <w:t>.</w:t>
      </w:r>
    </w:p>
    <w:p w14:paraId="5E84A295" w14:textId="77777777" w:rsidR="000906D5" w:rsidRDefault="000906D5" w:rsidP="0087275E">
      <w:pPr>
        <w:jc w:val="both"/>
        <w:rPr>
          <w:rFonts w:ascii="Times New Roman" w:hAnsi="Times New Roman" w:cs="Times New Roman"/>
          <w:sz w:val="24"/>
          <w:szCs w:val="24"/>
        </w:rPr>
      </w:pPr>
    </w:p>
    <w:p w14:paraId="45E26EAB" w14:textId="245AE319" w:rsidR="00936B6A" w:rsidRPr="00365151" w:rsidRDefault="00936B6A">
      <w:pPr>
        <w:rPr>
          <w:rFonts w:ascii="Times New Roman" w:hAnsi="Times New Roman" w:cs="Times New Roman"/>
          <w:sz w:val="24"/>
          <w:szCs w:val="24"/>
          <w:u w:val="single"/>
        </w:rPr>
      </w:pPr>
      <w:r w:rsidRPr="00365151">
        <w:rPr>
          <w:rFonts w:ascii="Times New Roman" w:hAnsi="Times New Roman" w:cs="Times New Roman"/>
          <w:sz w:val="24"/>
          <w:szCs w:val="24"/>
          <w:u w:val="single"/>
        </w:rPr>
        <w:t>Secinājumi</w:t>
      </w:r>
      <w:r w:rsidR="00EF1E18" w:rsidRPr="00365151">
        <w:rPr>
          <w:rFonts w:ascii="Times New Roman" w:hAnsi="Times New Roman" w:cs="Times New Roman"/>
          <w:sz w:val="24"/>
          <w:szCs w:val="24"/>
          <w:u w:val="single"/>
        </w:rPr>
        <w:t>:</w:t>
      </w:r>
      <w:r w:rsidRPr="00365151">
        <w:rPr>
          <w:rFonts w:ascii="Times New Roman" w:hAnsi="Times New Roman" w:cs="Times New Roman"/>
          <w:sz w:val="24"/>
          <w:szCs w:val="24"/>
          <w:u w:val="single"/>
        </w:rPr>
        <w:t xml:space="preserve"> </w:t>
      </w:r>
    </w:p>
    <w:p w14:paraId="2D54726D" w14:textId="5C6CC0E8" w:rsidR="005A11EF" w:rsidRDefault="005A11EF" w:rsidP="004008A3">
      <w:pPr>
        <w:pStyle w:val="ListParagraph"/>
        <w:numPr>
          <w:ilvl w:val="0"/>
          <w:numId w:val="10"/>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Valsts sociālie pabalsti </w:t>
      </w:r>
      <w:r w:rsidR="00D77527">
        <w:rPr>
          <w:rFonts w:ascii="Times New Roman" w:hAnsi="Times New Roman" w:cs="Times New Roman"/>
          <w:sz w:val="24"/>
          <w:szCs w:val="24"/>
        </w:rPr>
        <w:t xml:space="preserve">noteiktām </w:t>
      </w:r>
      <w:r>
        <w:rPr>
          <w:rFonts w:ascii="Times New Roman" w:hAnsi="Times New Roman" w:cs="Times New Roman"/>
          <w:sz w:val="24"/>
          <w:szCs w:val="24"/>
        </w:rPr>
        <w:t>iedzīvotāju grup</w:t>
      </w:r>
      <w:r w:rsidR="00D77527">
        <w:rPr>
          <w:rFonts w:ascii="Times New Roman" w:hAnsi="Times New Roman" w:cs="Times New Roman"/>
          <w:sz w:val="24"/>
          <w:szCs w:val="24"/>
        </w:rPr>
        <w:t>ām tika nodrošināti arī iedzīvotājiem ar relatīvi augstiem ienākumiem (4.-5.kvintile), tomēr jāatzīmē, ka personas ar invaliditāti, kā arī seniori ir vienas no nabadzības riskam visvairāk pakļautajām iedzīvotāju grupām, tādējādi nodrošinot zināmu mērķētību. Tomēr, lai atbalsts būtu mērķēts atbilstoši MP rezolūcijā noteiktajam ienākumu slieksnim, Labklājības ministrija piedāvā sniegt atbalstu noteiktām grupām, nosakot ienākumu robežu, līdz kurai atb</w:t>
      </w:r>
      <w:r w:rsidR="00E5351A">
        <w:rPr>
          <w:rFonts w:ascii="Times New Roman" w:hAnsi="Times New Roman" w:cs="Times New Roman"/>
          <w:sz w:val="24"/>
          <w:szCs w:val="24"/>
        </w:rPr>
        <w:t>alsts ir nodrošināms, efektīvāka</w:t>
      </w:r>
      <w:r w:rsidR="00D77527">
        <w:rPr>
          <w:rFonts w:ascii="Times New Roman" w:hAnsi="Times New Roman" w:cs="Times New Roman"/>
          <w:sz w:val="24"/>
          <w:szCs w:val="24"/>
        </w:rPr>
        <w:t>s mērķētības sasniegšanai.</w:t>
      </w:r>
    </w:p>
    <w:p w14:paraId="3AA143AA" w14:textId="77777777" w:rsidR="00EF1E18" w:rsidRPr="00380C15" w:rsidRDefault="00EF1E18" w:rsidP="004008A3">
      <w:pPr>
        <w:pStyle w:val="ListParagraph"/>
        <w:numPr>
          <w:ilvl w:val="0"/>
          <w:numId w:val="10"/>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Ņemot vērā mājokļa pabalsta mērķētību tieši uz mājsaimniecībām ar zemiem ienākumiem (1.-2.kvintile), šī pabalsta piešķiršanu, pamatojoties uz mājsaimniecības ienākumu izvērtēšanu atbilstoši vienotiem kritērijiem visās pašvaldībās, kā arī šī pabalsta mērķa (m</w:t>
      </w:r>
      <w:r w:rsidRPr="00380C15">
        <w:rPr>
          <w:rFonts w:ascii="Times New Roman" w:hAnsi="Times New Roman" w:cs="Times New Roman"/>
          <w:sz w:val="24"/>
          <w:szCs w:val="24"/>
        </w:rPr>
        <w:t>ateriāls atbalsts ar mājokļa lietošanu saistīto izdevumu segšanai) atbilstību MP rezolūcijas mērķim, 2022.gadā pilnveidotā mājokļa pabalsta nodrošināšana ir turpināma. Priekšlikumā par pilnveidoto mājokļa pabalstu papildus vērtējama atbalsta intensitātes palielināšana, ņemot vērā prognozējamo straujo energoresursu cenu kāpumu</w:t>
      </w:r>
      <w:r>
        <w:rPr>
          <w:rFonts w:ascii="Times New Roman" w:hAnsi="Times New Roman" w:cs="Times New Roman"/>
          <w:sz w:val="24"/>
          <w:szCs w:val="24"/>
        </w:rPr>
        <w:t>.</w:t>
      </w:r>
    </w:p>
    <w:p w14:paraId="57ADA2A7" w14:textId="53316D7B" w:rsidR="00EF1E18" w:rsidRDefault="00EF1E18" w:rsidP="004008A3">
      <w:pPr>
        <w:pStyle w:val="ListParagraph"/>
        <w:numPr>
          <w:ilvl w:val="0"/>
          <w:numId w:val="10"/>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Tā kā mājokļa pabalsts aptver mājsaimniecības, kuru ienākumi atbilst </w:t>
      </w:r>
      <w:r w:rsidR="00D77527">
        <w:rPr>
          <w:rFonts w:ascii="Times New Roman" w:hAnsi="Times New Roman" w:cs="Times New Roman"/>
          <w:sz w:val="24"/>
          <w:szCs w:val="24"/>
        </w:rPr>
        <w:t xml:space="preserve">galvenokārt </w:t>
      </w:r>
      <w:r>
        <w:rPr>
          <w:rFonts w:ascii="Times New Roman" w:hAnsi="Times New Roman" w:cs="Times New Roman"/>
          <w:sz w:val="24"/>
          <w:szCs w:val="24"/>
        </w:rPr>
        <w:t xml:space="preserve">1.-2.kvintilei, šis atbalsta veids ir nodrošināms līdztekus tādiem atbalsta instrumentiem, kas aptver ar mājokļa pabalsta nesasniegto MP rezolūcijā noteikto mērķa grupu – iedzīvotājus/ mājsaimniecības, kuru ienākumi atbilst 3.kvintilei. </w:t>
      </w:r>
    </w:p>
    <w:p w14:paraId="3B45CEF7" w14:textId="5EE05A2C" w:rsidR="00EF1E18" w:rsidRPr="00365151" w:rsidRDefault="00EF1E18">
      <w:pPr>
        <w:pStyle w:val="ListParagraph"/>
        <w:numPr>
          <w:ilvl w:val="0"/>
          <w:numId w:val="10"/>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Ņemot vērā, ka atbalsts aizsargātam lietotājam ir vērsts gan uz mājsaimniecībām/ iedzīvotājiem ar zemiem ienākumiem, gan uz sociālām grupām, kuru ienākumi netiek vērtēti un var atbilst arī augstākajiem ienākumu sliekšņiem (4.-5.kvintile), turklāt līdz </w:t>
      </w:r>
      <w:r w:rsidR="00C66DF3">
        <w:rPr>
          <w:rFonts w:ascii="Times New Roman" w:hAnsi="Times New Roman" w:cs="Times New Roman"/>
          <w:sz w:val="24"/>
          <w:szCs w:val="24"/>
        </w:rPr>
        <w:t>2022.gada</w:t>
      </w:r>
      <w:r>
        <w:rPr>
          <w:rFonts w:ascii="Times New Roman" w:hAnsi="Times New Roman" w:cs="Times New Roman"/>
          <w:sz w:val="24"/>
          <w:szCs w:val="24"/>
        </w:rPr>
        <w:t xml:space="preserve"> beigām ir paredzēts palielināts atbalsts aizsargātajam lietotājam un paplašināts mājsaimniecību loks, kuras var </w:t>
      </w:r>
      <w:r>
        <w:rPr>
          <w:rFonts w:ascii="Times New Roman" w:hAnsi="Times New Roman" w:cs="Times New Roman"/>
          <w:sz w:val="24"/>
          <w:szCs w:val="24"/>
        </w:rPr>
        <w:lastRenderedPageBreak/>
        <w:t xml:space="preserve">kvalificēties atbalsta saņemšanai, ir pārvērtējama atbalsta aizsargātajam lietotājam sniegšana paralēli šī </w:t>
      </w:r>
      <w:r w:rsidRPr="005D4476">
        <w:rPr>
          <w:rFonts w:ascii="Times New Roman" w:hAnsi="Times New Roman" w:cs="Times New Roman"/>
          <w:sz w:val="24"/>
          <w:szCs w:val="24"/>
        </w:rPr>
        <w:t>ziņojuma 3.1.3. un 3.3.sadaļā piedāvātajiem</w:t>
      </w:r>
      <w:r>
        <w:rPr>
          <w:rFonts w:ascii="Times New Roman" w:hAnsi="Times New Roman" w:cs="Times New Roman"/>
          <w:sz w:val="24"/>
          <w:szCs w:val="24"/>
        </w:rPr>
        <w:t xml:space="preserve"> risinājumiem to apstiprināšanas gadījumā. </w:t>
      </w:r>
      <w:r w:rsidR="00C8209E">
        <w:rPr>
          <w:rFonts w:ascii="Times New Roman" w:hAnsi="Times New Roman" w:cs="Times New Roman"/>
          <w:sz w:val="24"/>
          <w:szCs w:val="24"/>
        </w:rPr>
        <w:t>Iespējamais risinājums atbalsta dublēšanās novēršanai ir atbalsta aizsargātajam lietotājam atgriešana 2021.gada novembra apmērā, pieņemot lēmumu par atbalstu 1.-3.kvintiles mājsaimniecībām atbilstoši kādam no šajā ziņojumā piedāvātajiem atbalsta veidiem.</w:t>
      </w:r>
    </w:p>
    <w:p w14:paraId="0A6B778C" w14:textId="77777777" w:rsidR="00C8209E" w:rsidRDefault="00C8209E" w:rsidP="00C8209E">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Atkarībā no mērķētā mājokļa pabalsta apmēra un gadījumā, ja mājokļa pabalsta plānotais pieaugums ir nepietiekams adekvātai energoresursu cenu pieauguma kompensācijai, būtu nepieciešams turpināt energoresursu izmaksu kompensāciju.</w:t>
      </w:r>
    </w:p>
    <w:p w14:paraId="06291B19" w14:textId="77777777" w:rsidR="00EF1E18" w:rsidRDefault="00EF1E18">
      <w:pPr>
        <w:rPr>
          <w:rFonts w:ascii="Times New Roman" w:hAnsi="Times New Roman" w:cs="Times New Roman"/>
          <w:sz w:val="24"/>
          <w:szCs w:val="24"/>
        </w:rPr>
      </w:pPr>
    </w:p>
    <w:p w14:paraId="6ACD705D" w14:textId="1AAD9E2D" w:rsidR="00936B6A" w:rsidRDefault="00936B6A">
      <w:pPr>
        <w:rPr>
          <w:rFonts w:ascii="Times New Roman" w:hAnsi="Times New Roman" w:cs="Times New Roman"/>
          <w:b/>
          <w:i/>
          <w:sz w:val="26"/>
          <w:szCs w:val="24"/>
        </w:rPr>
      </w:pPr>
      <w:r w:rsidRPr="00350075">
        <w:rPr>
          <w:rFonts w:ascii="Times New Roman" w:hAnsi="Times New Roman" w:cs="Times New Roman"/>
          <w:b/>
          <w:i/>
          <w:sz w:val="26"/>
          <w:szCs w:val="24"/>
        </w:rPr>
        <w:t>2.</w:t>
      </w:r>
      <w:r w:rsidR="004329CD">
        <w:rPr>
          <w:rFonts w:ascii="Times New Roman" w:hAnsi="Times New Roman" w:cs="Times New Roman"/>
          <w:b/>
          <w:i/>
          <w:sz w:val="26"/>
          <w:szCs w:val="24"/>
        </w:rPr>
        <w:t>2</w:t>
      </w:r>
      <w:r w:rsidRPr="00350075">
        <w:rPr>
          <w:rFonts w:ascii="Times New Roman" w:hAnsi="Times New Roman" w:cs="Times New Roman"/>
          <w:b/>
          <w:i/>
          <w:sz w:val="26"/>
          <w:szCs w:val="24"/>
        </w:rPr>
        <w:t>.Datu pieejamība</w:t>
      </w:r>
    </w:p>
    <w:p w14:paraId="1606CA11" w14:textId="2421CD85" w:rsidR="004329CD" w:rsidRDefault="00E973AD" w:rsidP="004329CD">
      <w:pPr>
        <w:spacing w:after="0" w:line="240" w:lineRule="auto"/>
        <w:ind w:firstLine="720"/>
        <w:jc w:val="both"/>
        <w:rPr>
          <w:rFonts w:ascii="Times New Roman" w:hAnsi="Times New Roman" w:cs="Times New Roman"/>
          <w:sz w:val="24"/>
          <w:szCs w:val="24"/>
        </w:rPr>
      </w:pPr>
      <w:r w:rsidRPr="00E5351A">
        <w:rPr>
          <w:rFonts w:ascii="Times New Roman" w:hAnsi="Times New Roman" w:cs="Times New Roman"/>
          <w:sz w:val="24"/>
          <w:szCs w:val="24"/>
        </w:rPr>
        <w:t xml:space="preserve">Ņemot vērā, ka viens no risinājuma variantiem paredz automātisku </w:t>
      </w:r>
      <w:r w:rsidR="004329CD" w:rsidRPr="00E5351A">
        <w:rPr>
          <w:rFonts w:ascii="Times New Roman" w:hAnsi="Times New Roman" w:cs="Times New Roman"/>
          <w:sz w:val="24"/>
          <w:szCs w:val="24"/>
        </w:rPr>
        <w:t>atbalsta piešķiršanu mājsaimniecībai, balstoties uz valsts reģistros un valsts informācijas sistēmās esošo informāciju par vienā mājoklī (Fizisko personu reģistrā deklarētajā vai reģistrētajā adresē) dzīvojošo personu ienākumiem, šajā apakšsadaļā sniegta informācija par  pieejamajiem</w:t>
      </w:r>
      <w:r w:rsidR="004329CD">
        <w:rPr>
          <w:rFonts w:ascii="Times New Roman" w:hAnsi="Times New Roman" w:cs="Times New Roman"/>
          <w:sz w:val="24"/>
          <w:szCs w:val="24"/>
        </w:rPr>
        <w:t xml:space="preserve"> valsts reģistriem un tajos iekļautajiem datiem. </w:t>
      </w:r>
    </w:p>
    <w:p w14:paraId="77A1D3C6" w14:textId="7F11F6AA" w:rsidR="00E973AD" w:rsidRPr="00365151" w:rsidRDefault="00E973AD">
      <w:pPr>
        <w:rPr>
          <w:rFonts w:ascii="Times New Roman" w:hAnsi="Times New Roman" w:cs="Times New Roman"/>
          <w:sz w:val="26"/>
          <w:szCs w:val="24"/>
        </w:rPr>
      </w:pPr>
    </w:p>
    <w:p w14:paraId="33ACE778" w14:textId="1199EE4E" w:rsidR="00660D2D" w:rsidRPr="00660D2D" w:rsidRDefault="00660D2D" w:rsidP="00660D2D">
      <w:pPr>
        <w:rPr>
          <w:rFonts w:ascii="Times New Roman" w:hAnsi="Times New Roman" w:cs="Times New Roman"/>
          <w:b/>
          <w:sz w:val="24"/>
          <w:szCs w:val="24"/>
        </w:rPr>
      </w:pPr>
      <w:r w:rsidRPr="00660D2D">
        <w:rPr>
          <w:rFonts w:ascii="Times New Roman" w:hAnsi="Times New Roman" w:cs="Times New Roman"/>
          <w:b/>
          <w:sz w:val="24"/>
          <w:szCs w:val="24"/>
        </w:rPr>
        <w:t>2.</w:t>
      </w:r>
      <w:r w:rsidR="006E4178">
        <w:rPr>
          <w:rFonts w:ascii="Times New Roman" w:hAnsi="Times New Roman" w:cs="Times New Roman"/>
          <w:b/>
          <w:sz w:val="24"/>
          <w:szCs w:val="24"/>
        </w:rPr>
        <w:t>2</w:t>
      </w:r>
      <w:r w:rsidRPr="00660D2D">
        <w:rPr>
          <w:rFonts w:ascii="Times New Roman" w:hAnsi="Times New Roman" w:cs="Times New Roman"/>
          <w:b/>
          <w:sz w:val="24"/>
          <w:szCs w:val="24"/>
        </w:rPr>
        <w:t xml:space="preserve">.1. Pilsonības un migrācijas lietu pārvaldes uzkrātie dati </w:t>
      </w:r>
    </w:p>
    <w:p w14:paraId="4D0130B4" w14:textId="77777777" w:rsidR="00784DAB" w:rsidRDefault="00784DAB" w:rsidP="00784DAB">
      <w:pPr>
        <w:spacing w:after="0" w:line="240" w:lineRule="auto"/>
        <w:ind w:firstLine="720"/>
        <w:jc w:val="both"/>
        <w:rPr>
          <w:rFonts w:ascii="Times New Roman" w:hAnsi="Times New Roman" w:cs="Times New Roman"/>
          <w:sz w:val="24"/>
          <w:szCs w:val="24"/>
        </w:rPr>
      </w:pPr>
      <w:r w:rsidRPr="00C8150F">
        <w:rPr>
          <w:rFonts w:ascii="Times New Roman" w:hAnsi="Times New Roman" w:cs="Times New Roman"/>
          <w:sz w:val="24"/>
          <w:szCs w:val="24"/>
        </w:rPr>
        <w:t>Pilsonības un migrācijas pārvalde (turpmāk – PMLP)</w:t>
      </w:r>
      <w:r>
        <w:rPr>
          <w:rFonts w:ascii="Times New Roman" w:hAnsi="Times New Roman" w:cs="Times New Roman"/>
          <w:sz w:val="24"/>
          <w:szCs w:val="24"/>
        </w:rPr>
        <w:t xml:space="preserve"> ir vienotas</w:t>
      </w:r>
      <w:r w:rsidRPr="00640B8D">
        <w:rPr>
          <w:rFonts w:ascii="Times New Roman" w:hAnsi="Times New Roman" w:cs="Times New Roman"/>
          <w:sz w:val="24"/>
          <w:szCs w:val="24"/>
        </w:rPr>
        <w:t xml:space="preserve"> fizisko personu reģistrācijas un uzskaites sistēm</w:t>
      </w:r>
      <w:r>
        <w:rPr>
          <w:rFonts w:ascii="Times New Roman" w:hAnsi="Times New Roman" w:cs="Times New Roman"/>
          <w:sz w:val="24"/>
          <w:szCs w:val="24"/>
        </w:rPr>
        <w:t>as</w:t>
      </w:r>
      <w:r w:rsidRPr="00640B8D">
        <w:rPr>
          <w:rFonts w:ascii="Times New Roman" w:hAnsi="Times New Roman" w:cs="Times New Roman"/>
          <w:sz w:val="24"/>
          <w:szCs w:val="24"/>
        </w:rPr>
        <w:t xml:space="preserve"> — Fizisko personu reģistr</w:t>
      </w:r>
      <w:r>
        <w:rPr>
          <w:rFonts w:ascii="Times New Roman" w:hAnsi="Times New Roman" w:cs="Times New Roman"/>
          <w:sz w:val="24"/>
          <w:szCs w:val="24"/>
        </w:rPr>
        <w:t>a</w:t>
      </w:r>
      <w:r w:rsidRPr="00640B8D">
        <w:rPr>
          <w:rFonts w:ascii="Times New Roman" w:hAnsi="Times New Roman" w:cs="Times New Roman"/>
          <w:sz w:val="24"/>
          <w:szCs w:val="24"/>
        </w:rPr>
        <w:t xml:space="preserve"> (turpmāk — </w:t>
      </w:r>
      <w:r>
        <w:rPr>
          <w:rFonts w:ascii="Times New Roman" w:hAnsi="Times New Roman" w:cs="Times New Roman"/>
          <w:sz w:val="24"/>
          <w:szCs w:val="24"/>
        </w:rPr>
        <w:t>Fizisko personu r</w:t>
      </w:r>
      <w:r w:rsidRPr="00640B8D">
        <w:rPr>
          <w:rFonts w:ascii="Times New Roman" w:hAnsi="Times New Roman" w:cs="Times New Roman"/>
          <w:sz w:val="24"/>
          <w:szCs w:val="24"/>
        </w:rPr>
        <w:t xml:space="preserve">eģistrs) </w:t>
      </w:r>
      <w:r>
        <w:rPr>
          <w:rFonts w:ascii="Times New Roman" w:hAnsi="Times New Roman" w:cs="Times New Roman"/>
          <w:sz w:val="24"/>
          <w:szCs w:val="24"/>
        </w:rPr>
        <w:t xml:space="preserve">pārzinis. Fizisko personu reģistrs ir valsts informācijas sistēma, </w:t>
      </w:r>
      <w:r w:rsidRPr="00242DCF">
        <w:rPr>
          <w:rFonts w:ascii="Times New Roman" w:hAnsi="Times New Roman" w:cs="Times New Roman"/>
          <w:sz w:val="24"/>
          <w:szCs w:val="24"/>
        </w:rPr>
        <w:t>kurā tiek uzkrāta ierobežotas pieejamības informācija</w:t>
      </w:r>
      <w:r w:rsidRPr="00C8150F">
        <w:rPr>
          <w:rFonts w:ascii="Times New Roman" w:hAnsi="Times New Roman" w:cs="Times New Roman"/>
          <w:sz w:val="24"/>
          <w:szCs w:val="24"/>
        </w:rPr>
        <w:t xml:space="preserve">. </w:t>
      </w:r>
    </w:p>
    <w:p w14:paraId="41B6586F" w14:textId="77777777" w:rsidR="00784DAB" w:rsidRDefault="00784DAB" w:rsidP="00784D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8C40CB">
        <w:rPr>
          <w:rFonts w:ascii="Times New Roman" w:hAnsi="Times New Roman" w:cs="Times New Roman"/>
          <w:sz w:val="24"/>
          <w:szCs w:val="24"/>
        </w:rPr>
        <w:t>Fizisko personu reģistra likuma 4.panta pirm</w:t>
      </w:r>
      <w:r>
        <w:rPr>
          <w:rFonts w:ascii="Times New Roman" w:hAnsi="Times New Roman" w:cs="Times New Roman"/>
          <w:sz w:val="24"/>
          <w:szCs w:val="24"/>
        </w:rPr>
        <w:t>ajai</w:t>
      </w:r>
      <w:r w:rsidRPr="008C40CB">
        <w:rPr>
          <w:rFonts w:ascii="Times New Roman" w:hAnsi="Times New Roman" w:cs="Times New Roman"/>
          <w:sz w:val="24"/>
          <w:szCs w:val="24"/>
        </w:rPr>
        <w:t xml:space="preserve"> daļa</w:t>
      </w:r>
      <w:r>
        <w:rPr>
          <w:rFonts w:ascii="Times New Roman" w:hAnsi="Times New Roman" w:cs="Times New Roman"/>
          <w:sz w:val="24"/>
          <w:szCs w:val="24"/>
        </w:rPr>
        <w:t xml:space="preserve">i Fizisko personu reģistrā iekļauj un aktualizē ziņas par Latvijas pilsoņiem, Latvijas nepilsoņiem, ārzemniekiem, kuri </w:t>
      </w:r>
      <w:r w:rsidRPr="004837B7">
        <w:rPr>
          <w:rFonts w:ascii="Times New Roman" w:hAnsi="Times New Roman" w:cs="Times New Roman"/>
          <w:sz w:val="24"/>
          <w:szCs w:val="24"/>
        </w:rPr>
        <w:t>Latvijā saņēm</w:t>
      </w:r>
      <w:r>
        <w:rPr>
          <w:rFonts w:ascii="Times New Roman" w:hAnsi="Times New Roman" w:cs="Times New Roman"/>
          <w:sz w:val="24"/>
          <w:szCs w:val="24"/>
        </w:rPr>
        <w:t>uši</w:t>
      </w:r>
      <w:r w:rsidRPr="004837B7">
        <w:rPr>
          <w:rFonts w:ascii="Times New Roman" w:hAnsi="Times New Roman" w:cs="Times New Roman"/>
          <w:sz w:val="24"/>
          <w:szCs w:val="24"/>
        </w:rPr>
        <w:t xml:space="preserve"> uzturēšanās atļauju, Eiropas Savienības pilsoņa reģistrācijas apliecību vai Eiropas Savienības pilsoņa pastāvīgās uzturēšanās apliecību</w:t>
      </w:r>
      <w:r>
        <w:rPr>
          <w:rFonts w:ascii="Times New Roman" w:hAnsi="Times New Roman" w:cs="Times New Roman"/>
          <w:sz w:val="24"/>
          <w:szCs w:val="24"/>
        </w:rPr>
        <w:t>, kā arī ārzemniekiem, kuriem ir tiesiska saikne ar Latviju vai vēlas saņemt valsts pārvaldes pakalpojumus elektroniski, kā arī patvēruma meklētāji.</w:t>
      </w:r>
    </w:p>
    <w:p w14:paraId="0B6B7B82" w14:textId="77777777" w:rsidR="00784DAB" w:rsidRDefault="00784DAB" w:rsidP="00784D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8C40CB">
        <w:rPr>
          <w:rFonts w:ascii="Times New Roman" w:hAnsi="Times New Roman" w:cs="Times New Roman"/>
          <w:sz w:val="24"/>
          <w:szCs w:val="24"/>
        </w:rPr>
        <w:t>Fizisko personu reģistra likuma</w:t>
      </w:r>
      <w:r>
        <w:rPr>
          <w:rFonts w:ascii="Times New Roman" w:hAnsi="Times New Roman" w:cs="Times New Roman"/>
          <w:sz w:val="24"/>
          <w:szCs w:val="24"/>
        </w:rPr>
        <w:t xml:space="preserve"> 11.panta pirmās daļas 12. punktā noteiktajam Fizisko personu reģistrā iekļauj ziņas par personas deklarēto, reģistrēto vai personas norādīto dzīvesvietas adresi.</w:t>
      </w:r>
    </w:p>
    <w:p w14:paraId="356DF442" w14:textId="77777777" w:rsidR="00784DAB" w:rsidRDefault="00784DAB" w:rsidP="00784D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Personu loks, kuru pienākums ir deklarēt dzīvesvietas adresi, vai kurām pašvaldība un tās iestāde ir tiesīga reģistrēt dzīvesvietu, noteikts Dzīvesvietas deklarēšanas likuma 6.panta pirmajā daļā.</w:t>
      </w:r>
    </w:p>
    <w:p w14:paraId="56404D22" w14:textId="77777777" w:rsidR="00784DAB" w:rsidRPr="00C8150F" w:rsidRDefault="00784DAB" w:rsidP="00784D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Tādējādi </w:t>
      </w:r>
      <w:r w:rsidRPr="00C8150F">
        <w:rPr>
          <w:rFonts w:ascii="Times New Roman" w:hAnsi="Times New Roman" w:cs="Times New Roman"/>
          <w:sz w:val="24"/>
          <w:szCs w:val="24"/>
        </w:rPr>
        <w:t xml:space="preserve">Dzīvesvietas deklarēšanas likumā noteiktajam </w:t>
      </w:r>
      <w:r>
        <w:rPr>
          <w:rFonts w:ascii="Times New Roman" w:hAnsi="Times New Roman" w:cs="Times New Roman"/>
          <w:sz w:val="24"/>
          <w:szCs w:val="24"/>
        </w:rPr>
        <w:t xml:space="preserve">personu lokam Fizisko personu reģistrā </w:t>
      </w:r>
      <w:r w:rsidRPr="00C8150F">
        <w:rPr>
          <w:rFonts w:ascii="Times New Roman" w:hAnsi="Times New Roman" w:cs="Times New Roman"/>
          <w:sz w:val="24"/>
          <w:szCs w:val="24"/>
        </w:rPr>
        <w:t xml:space="preserve">tiek </w:t>
      </w:r>
      <w:r>
        <w:rPr>
          <w:rFonts w:ascii="Times New Roman" w:hAnsi="Times New Roman" w:cs="Times New Roman"/>
          <w:sz w:val="24"/>
          <w:szCs w:val="24"/>
        </w:rPr>
        <w:t>reģistrētas ziņas par vienu no šādām adresēm</w:t>
      </w:r>
      <w:r w:rsidRPr="00C8150F">
        <w:rPr>
          <w:rFonts w:ascii="Times New Roman" w:hAnsi="Times New Roman" w:cs="Times New Roman"/>
          <w:sz w:val="24"/>
          <w:szCs w:val="24"/>
        </w:rPr>
        <w:t xml:space="preserve"> Latvijā:</w:t>
      </w:r>
    </w:p>
    <w:p w14:paraId="7BDC044A" w14:textId="11D74904" w:rsidR="00784DAB" w:rsidRDefault="00E5351A" w:rsidP="005817AF">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w:t>
      </w:r>
      <w:r w:rsidR="00784DAB" w:rsidRPr="00C8150F">
        <w:rPr>
          <w:rFonts w:ascii="Times New Roman" w:hAnsi="Times New Roman" w:cs="Times New Roman"/>
          <w:b/>
          <w:sz w:val="24"/>
          <w:szCs w:val="24"/>
        </w:rPr>
        <w:t>eklarētā adrese</w:t>
      </w:r>
      <w:r w:rsidR="00784DAB" w:rsidRPr="00C8150F">
        <w:rPr>
          <w:rFonts w:ascii="Times New Roman" w:hAnsi="Times New Roman" w:cs="Times New Roman"/>
          <w:sz w:val="24"/>
          <w:szCs w:val="24"/>
        </w:rPr>
        <w:t xml:space="preserve"> – uz tiesiska pamata Latvijā deklarēta </w:t>
      </w:r>
      <w:r w:rsidR="00784DAB">
        <w:rPr>
          <w:rFonts w:ascii="Times New Roman" w:hAnsi="Times New Roman" w:cs="Times New Roman"/>
          <w:sz w:val="24"/>
          <w:szCs w:val="24"/>
        </w:rPr>
        <w:t xml:space="preserve">dzīvesvietas </w:t>
      </w:r>
      <w:r w:rsidR="00784DAB" w:rsidRPr="00C8150F">
        <w:rPr>
          <w:rFonts w:ascii="Times New Roman" w:hAnsi="Times New Roman" w:cs="Times New Roman"/>
          <w:sz w:val="24"/>
          <w:szCs w:val="24"/>
        </w:rPr>
        <w:t>adrese</w:t>
      </w:r>
      <w:r w:rsidR="00784DAB">
        <w:rPr>
          <w:rFonts w:ascii="Times New Roman" w:hAnsi="Times New Roman" w:cs="Times New Roman"/>
          <w:sz w:val="24"/>
          <w:szCs w:val="24"/>
        </w:rPr>
        <w:t>, kurai</w:t>
      </w:r>
      <w:r w:rsidR="00784DAB" w:rsidRPr="00C8150F">
        <w:rPr>
          <w:rFonts w:ascii="Times New Roman" w:hAnsi="Times New Roman" w:cs="Times New Roman"/>
          <w:sz w:val="24"/>
          <w:szCs w:val="24"/>
        </w:rPr>
        <w:t xml:space="preserve"> </w:t>
      </w:r>
      <w:r w:rsidR="00784DAB">
        <w:rPr>
          <w:rFonts w:ascii="Times New Roman" w:hAnsi="Times New Roman" w:cs="Times New Roman"/>
          <w:sz w:val="24"/>
          <w:szCs w:val="24"/>
        </w:rPr>
        <w:t>v</w:t>
      </w:r>
      <w:r w:rsidR="00784DAB" w:rsidRPr="00C8150F">
        <w:rPr>
          <w:rFonts w:ascii="Times New Roman" w:hAnsi="Times New Roman" w:cs="Times New Roman"/>
          <w:sz w:val="24"/>
          <w:szCs w:val="24"/>
        </w:rPr>
        <w:t xml:space="preserve">ienlaikus </w:t>
      </w:r>
      <w:r w:rsidR="00784DAB">
        <w:rPr>
          <w:rFonts w:ascii="Times New Roman" w:hAnsi="Times New Roman" w:cs="Times New Roman"/>
          <w:sz w:val="24"/>
          <w:szCs w:val="24"/>
        </w:rPr>
        <w:t>var būt arī norādīta</w:t>
      </w:r>
      <w:r w:rsidR="00784DAB" w:rsidRPr="00C8150F">
        <w:rPr>
          <w:rFonts w:ascii="Times New Roman" w:hAnsi="Times New Roman" w:cs="Times New Roman"/>
          <w:sz w:val="24"/>
          <w:szCs w:val="24"/>
        </w:rPr>
        <w:t xml:space="preserve"> papildu adrese Latvijā vai ārvalstī ar norādītu laika posmu, kurā persona šajā adresē ir sasniedzama;</w:t>
      </w:r>
    </w:p>
    <w:p w14:paraId="429D7D26" w14:textId="51F56C3C" w:rsidR="00784DAB" w:rsidRPr="00C8150F" w:rsidRDefault="00E5351A" w:rsidP="005817AF">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w:t>
      </w:r>
      <w:r w:rsidR="00784DAB">
        <w:rPr>
          <w:rFonts w:ascii="Times New Roman" w:hAnsi="Times New Roman" w:cs="Times New Roman"/>
          <w:b/>
          <w:sz w:val="24"/>
          <w:szCs w:val="24"/>
        </w:rPr>
        <w:t>eģistrētā</w:t>
      </w:r>
      <w:r w:rsidR="00784DAB" w:rsidRPr="00C8150F">
        <w:rPr>
          <w:rFonts w:ascii="Times New Roman" w:hAnsi="Times New Roman" w:cs="Times New Roman"/>
          <w:b/>
          <w:sz w:val="24"/>
          <w:szCs w:val="24"/>
        </w:rPr>
        <w:t xml:space="preserve"> adrese</w:t>
      </w:r>
      <w:r w:rsidR="00784DAB" w:rsidRPr="00C8150F">
        <w:rPr>
          <w:rFonts w:ascii="Times New Roman" w:hAnsi="Times New Roman" w:cs="Times New Roman"/>
          <w:sz w:val="24"/>
          <w:szCs w:val="24"/>
        </w:rPr>
        <w:t xml:space="preserve"> - ir personas dzīvesvietas adrese Latvijā, ko reģistrē </w:t>
      </w:r>
      <w:r w:rsidR="00784DAB">
        <w:rPr>
          <w:rFonts w:ascii="Times New Roman" w:hAnsi="Times New Roman" w:cs="Times New Roman"/>
          <w:sz w:val="24"/>
          <w:szCs w:val="24"/>
        </w:rPr>
        <w:t>pēc iestādes (</w:t>
      </w:r>
      <w:r w:rsidR="00784DAB" w:rsidRPr="00C8150F">
        <w:rPr>
          <w:rFonts w:ascii="Times New Roman" w:hAnsi="Times New Roman" w:cs="Times New Roman"/>
          <w:sz w:val="24"/>
          <w:szCs w:val="24"/>
        </w:rPr>
        <w:t>pašvaldība vai tās iestāde</w:t>
      </w:r>
      <w:r w:rsidR="00784DAB">
        <w:rPr>
          <w:rFonts w:ascii="Times New Roman" w:hAnsi="Times New Roman" w:cs="Times New Roman"/>
          <w:sz w:val="24"/>
          <w:szCs w:val="24"/>
        </w:rPr>
        <w:t>) iniciatīvas</w:t>
      </w:r>
      <w:r w:rsidR="00784DAB" w:rsidRPr="00C8150F">
        <w:rPr>
          <w:rFonts w:ascii="Times New Roman" w:hAnsi="Times New Roman" w:cs="Times New Roman"/>
          <w:sz w:val="24"/>
          <w:szCs w:val="24"/>
        </w:rPr>
        <w:t>, ja personai nav spēkā esošas deklarētās adreses, bet tiek konstatēts nekustamais īpašums (ar adresi), kurā persona dzīvo</w:t>
      </w:r>
      <w:r w:rsidR="00784DAB">
        <w:rPr>
          <w:rFonts w:ascii="Times New Roman" w:hAnsi="Times New Roman" w:cs="Times New Roman"/>
          <w:sz w:val="24"/>
          <w:szCs w:val="24"/>
        </w:rPr>
        <w:t>.</w:t>
      </w:r>
    </w:p>
    <w:p w14:paraId="3FD627E8" w14:textId="77777777" w:rsidR="004329CD" w:rsidRDefault="004329CD">
      <w:pPr>
        <w:spacing w:after="0" w:line="240" w:lineRule="auto"/>
        <w:ind w:firstLine="720"/>
        <w:jc w:val="both"/>
        <w:rPr>
          <w:rFonts w:ascii="Times New Roman" w:hAnsi="Times New Roman" w:cs="Times New Roman"/>
          <w:sz w:val="24"/>
          <w:szCs w:val="24"/>
        </w:rPr>
      </w:pPr>
    </w:p>
    <w:p w14:paraId="79701E4F" w14:textId="77777777" w:rsidR="00F319EC" w:rsidRDefault="00F319EC" w:rsidP="00F319EC">
      <w:pPr>
        <w:spacing w:after="0" w:line="240" w:lineRule="auto"/>
        <w:ind w:firstLine="720"/>
        <w:jc w:val="both"/>
        <w:rPr>
          <w:rFonts w:ascii="Times New Roman" w:hAnsi="Times New Roman" w:cs="Times New Roman"/>
          <w:sz w:val="24"/>
          <w:szCs w:val="24"/>
        </w:rPr>
      </w:pPr>
      <w:r w:rsidRPr="0008360B">
        <w:rPr>
          <w:rFonts w:ascii="Times New Roman" w:hAnsi="Times New Roman" w:cs="Times New Roman"/>
          <w:sz w:val="24"/>
          <w:szCs w:val="24"/>
        </w:rPr>
        <w:lastRenderedPageBreak/>
        <w:t>Norādītā adrese</w:t>
      </w:r>
      <w:r>
        <w:rPr>
          <w:rFonts w:ascii="Times New Roman" w:hAnsi="Times New Roman" w:cs="Times New Roman"/>
          <w:sz w:val="24"/>
          <w:szCs w:val="24"/>
        </w:rPr>
        <w:t xml:space="preserve"> ir dzīvesvietas adrese, kurai ir informatīvs raksturs un kuru Fizisko personu reģistrā iekļauj, ja persona uzturas ārvalstī, vai gadījumos, kad personai Fizisko personu reģistrā, veicot personas pirmreģistrāciju, nav tiesiska pamata deklarēt dzīvesvietu vai nav zināma adrese. Šajā gadījumā ir uzskatāms, ka personai ar statusu “aktīvs” nav </w:t>
      </w:r>
      <w:r w:rsidRPr="0008360B">
        <w:rPr>
          <w:rFonts w:ascii="Times New Roman" w:hAnsi="Times New Roman" w:cs="Times New Roman"/>
          <w:sz w:val="24"/>
          <w:szCs w:val="24"/>
        </w:rPr>
        <w:t>deklarētās vai reģistrētās adreses</w:t>
      </w:r>
      <w:r>
        <w:rPr>
          <w:rFonts w:ascii="Times New Roman" w:hAnsi="Times New Roman" w:cs="Times New Roman"/>
          <w:sz w:val="24"/>
          <w:szCs w:val="24"/>
        </w:rPr>
        <w:t>.</w:t>
      </w:r>
    </w:p>
    <w:p w14:paraId="6BE04734" w14:textId="59A35A22" w:rsidR="00784DAB" w:rsidRDefault="00784DAB" w:rsidP="00784D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F43BED">
        <w:rPr>
          <w:rFonts w:ascii="Times New Roman" w:hAnsi="Times New Roman" w:cs="Times New Roman"/>
          <w:sz w:val="24"/>
          <w:szCs w:val="24"/>
        </w:rPr>
        <w:t>tbilstoši Ukrainas civiliedzīvotāju atbalsta likumā noteiktajam Fizisko personu reģistrā par Ukrainas civiliedzīvotāju iekļauj ziņas par kontaktadresi</w:t>
      </w:r>
      <w:r>
        <w:rPr>
          <w:rFonts w:ascii="Times New Roman" w:hAnsi="Times New Roman" w:cs="Times New Roman"/>
          <w:sz w:val="24"/>
          <w:szCs w:val="24"/>
        </w:rPr>
        <w:t xml:space="preserve"> </w:t>
      </w:r>
      <w:r w:rsidRPr="00F43BED">
        <w:rPr>
          <w:rFonts w:ascii="Times New Roman" w:hAnsi="Times New Roman" w:cs="Times New Roman"/>
          <w:sz w:val="24"/>
          <w:szCs w:val="24"/>
        </w:rPr>
        <w:t xml:space="preserve">(atbilst Ukrainas civiliedzīvotāju atbalsta likuma 2.panta piektās daļas un 3.panta piektās daļas, un Fizisko personu reģistra 11.panta pirmās daļas </w:t>
      </w:r>
      <w:r w:rsidR="00F319EC" w:rsidRPr="00F43BED">
        <w:rPr>
          <w:rFonts w:ascii="Times New Roman" w:hAnsi="Times New Roman" w:cs="Times New Roman"/>
          <w:sz w:val="24"/>
          <w:szCs w:val="24"/>
        </w:rPr>
        <w:t>12.</w:t>
      </w:r>
      <w:r w:rsidR="00F319EC" w:rsidRPr="00A64247">
        <w:rPr>
          <w:rFonts w:ascii="Times New Roman" w:hAnsi="Times New Roman" w:cs="Times New Roman"/>
          <w:sz w:val="24"/>
          <w:szCs w:val="24"/>
          <w:vertAlign w:val="superscript"/>
        </w:rPr>
        <w:t>1</w:t>
      </w:r>
      <w:r w:rsidR="00F319EC" w:rsidRPr="00F43BED">
        <w:rPr>
          <w:rFonts w:ascii="Times New Roman" w:hAnsi="Times New Roman" w:cs="Times New Roman"/>
          <w:sz w:val="24"/>
          <w:szCs w:val="24"/>
        </w:rPr>
        <w:t xml:space="preserve"> punkta nosacījumiem</w:t>
      </w:r>
      <w:r>
        <w:rPr>
          <w:rFonts w:ascii="Times New Roman" w:hAnsi="Times New Roman" w:cs="Times New Roman"/>
          <w:sz w:val="24"/>
          <w:szCs w:val="24"/>
        </w:rPr>
        <w:t xml:space="preserve">). </w:t>
      </w:r>
      <w:r w:rsidRPr="00874BF6">
        <w:rPr>
          <w:rFonts w:ascii="Times New Roman" w:hAnsi="Times New Roman" w:cs="Times New Roman"/>
          <w:sz w:val="24"/>
          <w:szCs w:val="24"/>
        </w:rPr>
        <w:t>Personas norādītajai kontakt</w:t>
      </w:r>
      <w:r>
        <w:rPr>
          <w:rFonts w:ascii="Times New Roman" w:hAnsi="Times New Roman" w:cs="Times New Roman"/>
          <w:sz w:val="24"/>
          <w:szCs w:val="24"/>
        </w:rPr>
        <w:t xml:space="preserve">adresei ir informatīvs raksturs un tā nav adrese Dzīvesvietas deklarēšanas likuma izpratnē. </w:t>
      </w:r>
      <w:r w:rsidRPr="00324EE1">
        <w:rPr>
          <w:rFonts w:ascii="Times New Roman" w:hAnsi="Times New Roman" w:cs="Times New Roman"/>
          <w:sz w:val="24"/>
          <w:szCs w:val="24"/>
        </w:rPr>
        <w:t>Gadījumos, kad Ukrainas civiliedzīvotājs saņem Latvijas Republikā uzturēšanās atļauju, tad persona kļūst par Dzīvesvietas</w:t>
      </w:r>
      <w:r w:rsidRPr="003B699A">
        <w:rPr>
          <w:rFonts w:ascii="Times New Roman" w:hAnsi="Times New Roman" w:cs="Times New Roman"/>
          <w:sz w:val="24"/>
          <w:szCs w:val="24"/>
        </w:rPr>
        <w:t xml:space="preserve"> deklarēšanas likuma subjektu un tai ir pienākums deklarēt dzīvesvietas adresi Dzīvesvietas deklarēšanas likumā noteiktajā kārtībā</w:t>
      </w:r>
      <w:r>
        <w:rPr>
          <w:rFonts w:ascii="Times New Roman" w:hAnsi="Times New Roman" w:cs="Times New Roman"/>
          <w:sz w:val="24"/>
          <w:szCs w:val="24"/>
        </w:rPr>
        <w:t xml:space="preserve">.  </w:t>
      </w:r>
    </w:p>
    <w:p w14:paraId="46A21B4B" w14:textId="77777777" w:rsidR="00784DAB" w:rsidRPr="004329CD" w:rsidRDefault="00784DAB" w:rsidP="00784DAB">
      <w:pPr>
        <w:spacing w:after="0" w:line="240" w:lineRule="auto"/>
        <w:ind w:firstLine="720"/>
        <w:jc w:val="both"/>
        <w:rPr>
          <w:rFonts w:ascii="Times New Roman" w:hAnsi="Times New Roman" w:cs="Times New Roman"/>
          <w:sz w:val="24"/>
          <w:szCs w:val="24"/>
        </w:rPr>
      </w:pPr>
      <w:r w:rsidRPr="00A0577C">
        <w:rPr>
          <w:rFonts w:ascii="Times New Roman" w:hAnsi="Times New Roman" w:cs="Times New Roman"/>
          <w:sz w:val="24"/>
          <w:szCs w:val="24"/>
        </w:rPr>
        <w:t xml:space="preserve">Fizisko personu reģistrā var būt iekļauta persona, kurai nav ziņu par adresi. To starpā ir jaundzimušie, no kuriem atteikušies vecāki, vai ārzemnieki ar Latvijas Republikā izsniegtu uzturēšanās atļauju, kuriem nav informācijas par adresi, to skaitā arī Ukrainas </w:t>
      </w:r>
      <w:r w:rsidRPr="004329CD">
        <w:rPr>
          <w:rFonts w:ascii="Times New Roman" w:hAnsi="Times New Roman" w:cs="Times New Roman"/>
          <w:sz w:val="24"/>
          <w:szCs w:val="24"/>
        </w:rPr>
        <w:t>civiliedzīvotāji bez adreses.</w:t>
      </w:r>
    </w:p>
    <w:p w14:paraId="4E065073" w14:textId="543F06D5" w:rsidR="00784DAB" w:rsidRDefault="00784DAB" w:rsidP="00784DAB">
      <w:pPr>
        <w:spacing w:after="0" w:line="240" w:lineRule="auto"/>
        <w:ind w:firstLine="720"/>
        <w:jc w:val="both"/>
        <w:rPr>
          <w:rFonts w:ascii="Times New Roman" w:hAnsi="Times New Roman" w:cs="Times New Roman"/>
          <w:sz w:val="24"/>
          <w:szCs w:val="24"/>
        </w:rPr>
      </w:pPr>
      <w:r w:rsidRPr="004329CD">
        <w:rPr>
          <w:rFonts w:ascii="Times New Roman" w:hAnsi="Times New Roman" w:cs="Times New Roman"/>
          <w:sz w:val="24"/>
          <w:szCs w:val="24"/>
        </w:rPr>
        <w:t>Saskaņā ar Fizisko personu reģistra datiem par Latvijas iedzīvotāju skaitu pašvaldībās uz 2022.gada 1.jūniju</w:t>
      </w:r>
      <w:r w:rsidR="00FB4B9D">
        <w:rPr>
          <w:rStyle w:val="FootnoteReference"/>
          <w:rFonts w:ascii="Times New Roman" w:hAnsi="Times New Roman"/>
          <w:sz w:val="24"/>
          <w:szCs w:val="24"/>
        </w:rPr>
        <w:footnoteReference w:id="24"/>
      </w:r>
      <w:r w:rsidRPr="004329CD">
        <w:rPr>
          <w:rFonts w:ascii="Times New Roman" w:hAnsi="Times New Roman" w:cs="Times New Roman"/>
          <w:sz w:val="24"/>
          <w:szCs w:val="24"/>
        </w:rPr>
        <w:t xml:space="preserve"> (</w:t>
      </w:r>
      <w:r w:rsidRPr="00365151">
        <w:rPr>
          <w:rFonts w:ascii="Times New Roman" w:hAnsi="Times New Roman" w:cs="Times New Roman"/>
          <w:sz w:val="24"/>
          <w:szCs w:val="24"/>
        </w:rPr>
        <w:t xml:space="preserve">skat. </w:t>
      </w:r>
      <w:r w:rsidR="004329CD" w:rsidRPr="00365151">
        <w:rPr>
          <w:rFonts w:ascii="Times New Roman" w:hAnsi="Times New Roman" w:cs="Times New Roman"/>
          <w:sz w:val="24"/>
          <w:szCs w:val="24"/>
        </w:rPr>
        <w:t>2.</w:t>
      </w:r>
      <w:r w:rsidRPr="00365151">
        <w:rPr>
          <w:rFonts w:ascii="Times New Roman" w:hAnsi="Times New Roman" w:cs="Times New Roman"/>
          <w:sz w:val="24"/>
          <w:szCs w:val="24"/>
        </w:rPr>
        <w:t xml:space="preserve"> pielikum</w:t>
      </w:r>
      <w:r w:rsidR="004329CD" w:rsidRPr="004329CD">
        <w:rPr>
          <w:rFonts w:ascii="Times New Roman" w:hAnsi="Times New Roman" w:cs="Times New Roman"/>
          <w:sz w:val="24"/>
          <w:szCs w:val="24"/>
        </w:rPr>
        <w:t>u</w:t>
      </w:r>
      <w:r w:rsidRPr="004329CD">
        <w:rPr>
          <w:rFonts w:ascii="Times New Roman" w:hAnsi="Times New Roman" w:cs="Times New Roman"/>
          <w:sz w:val="24"/>
          <w:szCs w:val="24"/>
        </w:rPr>
        <w:t>):</w:t>
      </w:r>
    </w:p>
    <w:p w14:paraId="63492431" w14:textId="77777777" w:rsidR="00784DAB" w:rsidRDefault="00784DAB" w:rsidP="005817AF">
      <w:pPr>
        <w:pStyle w:val="ListParagraph"/>
        <w:numPr>
          <w:ilvl w:val="0"/>
          <w:numId w:val="22"/>
        </w:numPr>
        <w:spacing w:after="0" w:line="240" w:lineRule="auto"/>
        <w:jc w:val="both"/>
        <w:rPr>
          <w:rFonts w:ascii="Times New Roman" w:hAnsi="Times New Roman" w:cs="Times New Roman"/>
          <w:sz w:val="24"/>
          <w:szCs w:val="24"/>
        </w:rPr>
      </w:pPr>
      <w:r w:rsidRPr="00A40770">
        <w:rPr>
          <w:rFonts w:ascii="Times New Roman" w:hAnsi="Times New Roman" w:cs="Times New Roman"/>
          <w:b/>
          <w:sz w:val="24"/>
          <w:szCs w:val="24"/>
        </w:rPr>
        <w:t>97%</w:t>
      </w:r>
      <w:r>
        <w:rPr>
          <w:rFonts w:ascii="Times New Roman" w:hAnsi="Times New Roman" w:cs="Times New Roman"/>
          <w:sz w:val="24"/>
          <w:szCs w:val="24"/>
        </w:rPr>
        <w:t xml:space="preserve"> gadījumu ir deklarētā dzīvesvietas adrese;</w:t>
      </w:r>
    </w:p>
    <w:p w14:paraId="07FE5288" w14:textId="77777777" w:rsidR="00784DAB" w:rsidRDefault="00784DAB" w:rsidP="005817AF">
      <w:pPr>
        <w:pStyle w:val="ListParagraph"/>
        <w:numPr>
          <w:ilvl w:val="0"/>
          <w:numId w:val="22"/>
        </w:numPr>
        <w:spacing w:after="0" w:line="240" w:lineRule="auto"/>
        <w:jc w:val="both"/>
        <w:rPr>
          <w:rFonts w:ascii="Times New Roman" w:hAnsi="Times New Roman" w:cs="Times New Roman"/>
          <w:sz w:val="24"/>
          <w:szCs w:val="24"/>
        </w:rPr>
      </w:pPr>
      <w:r w:rsidRPr="00A40770">
        <w:rPr>
          <w:rFonts w:ascii="Times New Roman" w:hAnsi="Times New Roman" w:cs="Times New Roman"/>
          <w:b/>
          <w:sz w:val="24"/>
          <w:szCs w:val="24"/>
        </w:rPr>
        <w:t>0,04%</w:t>
      </w:r>
      <w:r>
        <w:rPr>
          <w:rFonts w:ascii="Times New Roman" w:hAnsi="Times New Roman" w:cs="Times New Roman"/>
          <w:sz w:val="24"/>
          <w:szCs w:val="24"/>
        </w:rPr>
        <w:t xml:space="preserve"> gadījumu jeb </w:t>
      </w:r>
      <w:r w:rsidRPr="00A40770">
        <w:rPr>
          <w:rFonts w:ascii="Times New Roman" w:hAnsi="Times New Roman" w:cs="Times New Roman"/>
          <w:b/>
          <w:sz w:val="24"/>
          <w:szCs w:val="24"/>
        </w:rPr>
        <w:t>768</w:t>
      </w:r>
      <w:r>
        <w:rPr>
          <w:rFonts w:ascii="Times New Roman" w:hAnsi="Times New Roman" w:cs="Times New Roman"/>
          <w:sz w:val="24"/>
          <w:szCs w:val="24"/>
        </w:rPr>
        <w:t xml:space="preserve"> personām ir reģistrētā dzīvesvietas adrese;</w:t>
      </w:r>
    </w:p>
    <w:p w14:paraId="42B0E002" w14:textId="77777777" w:rsidR="00784DAB" w:rsidRDefault="00784DAB" w:rsidP="005817AF">
      <w:pPr>
        <w:pStyle w:val="ListParagraph"/>
        <w:numPr>
          <w:ilvl w:val="0"/>
          <w:numId w:val="22"/>
        </w:numPr>
        <w:spacing w:after="0" w:line="240" w:lineRule="auto"/>
        <w:jc w:val="both"/>
        <w:rPr>
          <w:rFonts w:ascii="Times New Roman" w:hAnsi="Times New Roman" w:cs="Times New Roman"/>
          <w:sz w:val="24"/>
          <w:szCs w:val="24"/>
        </w:rPr>
      </w:pPr>
      <w:r w:rsidRPr="00A40770">
        <w:rPr>
          <w:rFonts w:ascii="Times New Roman" w:hAnsi="Times New Roman" w:cs="Times New Roman"/>
          <w:b/>
          <w:sz w:val="24"/>
          <w:szCs w:val="24"/>
        </w:rPr>
        <w:t>2,5%</w:t>
      </w:r>
      <w:r>
        <w:rPr>
          <w:rFonts w:ascii="Times New Roman" w:hAnsi="Times New Roman" w:cs="Times New Roman"/>
          <w:sz w:val="24"/>
          <w:szCs w:val="24"/>
        </w:rPr>
        <w:t xml:space="preserve"> gadījumu jeb </w:t>
      </w:r>
      <w:r w:rsidRPr="00A40770">
        <w:rPr>
          <w:rFonts w:ascii="Times New Roman" w:hAnsi="Times New Roman" w:cs="Times New Roman"/>
          <w:b/>
          <w:sz w:val="24"/>
          <w:szCs w:val="24"/>
        </w:rPr>
        <w:t>51 207</w:t>
      </w:r>
      <w:r>
        <w:rPr>
          <w:rFonts w:ascii="Times New Roman" w:hAnsi="Times New Roman" w:cs="Times New Roman"/>
          <w:sz w:val="24"/>
          <w:szCs w:val="24"/>
        </w:rPr>
        <w:t xml:space="preserve"> personām nav spēkā reģistrācija dzīvesvietā, t.i., pēdējā dzīvesvietā zudis tiesiskais pamats un citā dzīvesvietā nav tiesiskā pamata deklarēt vai reģistrēt dzīvesvietas adresi;</w:t>
      </w:r>
    </w:p>
    <w:p w14:paraId="168E73D6" w14:textId="34C62D0D" w:rsidR="00784DAB" w:rsidRDefault="00784DAB" w:rsidP="005817AF">
      <w:pPr>
        <w:pStyle w:val="ListParagraph"/>
        <w:numPr>
          <w:ilvl w:val="0"/>
          <w:numId w:val="22"/>
        </w:numPr>
        <w:spacing w:after="0" w:line="240" w:lineRule="auto"/>
        <w:jc w:val="both"/>
        <w:rPr>
          <w:rFonts w:ascii="Times New Roman" w:hAnsi="Times New Roman" w:cs="Times New Roman"/>
          <w:sz w:val="24"/>
          <w:szCs w:val="24"/>
        </w:rPr>
      </w:pPr>
      <w:r w:rsidRPr="00A25551">
        <w:rPr>
          <w:rFonts w:ascii="Times New Roman" w:hAnsi="Times New Roman" w:cs="Times New Roman"/>
          <w:b/>
          <w:sz w:val="24"/>
          <w:szCs w:val="24"/>
        </w:rPr>
        <w:t>85</w:t>
      </w:r>
      <w:r>
        <w:rPr>
          <w:rFonts w:ascii="Times New Roman" w:hAnsi="Times New Roman" w:cs="Times New Roman"/>
          <w:b/>
          <w:sz w:val="24"/>
          <w:szCs w:val="24"/>
        </w:rPr>
        <w:t>6</w:t>
      </w:r>
      <w:r w:rsidRPr="00A25551">
        <w:rPr>
          <w:rFonts w:ascii="Times New Roman" w:hAnsi="Times New Roman" w:cs="Times New Roman"/>
          <w:b/>
          <w:sz w:val="24"/>
          <w:szCs w:val="24"/>
        </w:rPr>
        <w:t>6</w:t>
      </w:r>
      <w:r w:rsidRPr="00A25551">
        <w:t xml:space="preserve"> </w:t>
      </w:r>
      <w:r>
        <w:rPr>
          <w:rFonts w:ascii="Times New Roman" w:hAnsi="Times New Roman" w:cs="Times New Roman"/>
          <w:sz w:val="24"/>
          <w:szCs w:val="24"/>
        </w:rPr>
        <w:t>personām ir norādītā</w:t>
      </w:r>
      <w:r w:rsidRPr="00A25551">
        <w:rPr>
          <w:rFonts w:ascii="Times New Roman" w:hAnsi="Times New Roman" w:cs="Times New Roman"/>
          <w:sz w:val="24"/>
          <w:szCs w:val="24"/>
        </w:rPr>
        <w:t xml:space="preserve"> adrese, kad </w:t>
      </w:r>
      <w:r>
        <w:rPr>
          <w:rFonts w:ascii="Times New Roman" w:hAnsi="Times New Roman" w:cs="Times New Roman"/>
          <w:sz w:val="24"/>
          <w:szCs w:val="24"/>
        </w:rPr>
        <w:t xml:space="preserve">nav </w:t>
      </w:r>
      <w:r w:rsidRPr="00A25551">
        <w:rPr>
          <w:rFonts w:ascii="Times New Roman" w:hAnsi="Times New Roman" w:cs="Times New Roman"/>
          <w:sz w:val="24"/>
          <w:szCs w:val="24"/>
        </w:rPr>
        <w:t xml:space="preserve">tiesiskā pamata </w:t>
      </w:r>
      <w:r>
        <w:rPr>
          <w:rFonts w:ascii="Times New Roman" w:hAnsi="Times New Roman" w:cs="Times New Roman"/>
          <w:sz w:val="24"/>
          <w:szCs w:val="24"/>
        </w:rPr>
        <w:t xml:space="preserve">deklarēt vai reģistrēt dzīvesvietas adresi un tā </w:t>
      </w:r>
      <w:r w:rsidRPr="00A25551">
        <w:rPr>
          <w:rFonts w:ascii="Times New Roman" w:hAnsi="Times New Roman" w:cs="Times New Roman"/>
          <w:sz w:val="24"/>
          <w:szCs w:val="24"/>
        </w:rPr>
        <w:t xml:space="preserve">ir </w:t>
      </w:r>
      <w:r>
        <w:rPr>
          <w:rFonts w:ascii="Times New Roman" w:hAnsi="Times New Roman" w:cs="Times New Roman"/>
          <w:sz w:val="24"/>
          <w:szCs w:val="24"/>
        </w:rPr>
        <w:t xml:space="preserve">personas vienīgā </w:t>
      </w:r>
      <w:r w:rsidRPr="00A25551">
        <w:rPr>
          <w:rFonts w:ascii="Times New Roman" w:hAnsi="Times New Roman" w:cs="Times New Roman"/>
          <w:sz w:val="24"/>
          <w:szCs w:val="24"/>
        </w:rPr>
        <w:t xml:space="preserve">adrese </w:t>
      </w:r>
      <w:r>
        <w:rPr>
          <w:rFonts w:ascii="Times New Roman" w:hAnsi="Times New Roman" w:cs="Times New Roman"/>
          <w:sz w:val="24"/>
          <w:szCs w:val="24"/>
        </w:rPr>
        <w:t>Fizisko personu reģistrā.</w:t>
      </w:r>
    </w:p>
    <w:p w14:paraId="71FE9AAD" w14:textId="77777777" w:rsidR="00784DAB" w:rsidRDefault="00784DAB" w:rsidP="00784DAB">
      <w:pPr>
        <w:spacing w:after="0" w:line="240" w:lineRule="auto"/>
        <w:ind w:left="420"/>
        <w:jc w:val="both"/>
        <w:rPr>
          <w:rFonts w:ascii="Times New Roman" w:hAnsi="Times New Roman" w:cs="Times New Roman"/>
          <w:sz w:val="24"/>
          <w:szCs w:val="24"/>
        </w:rPr>
      </w:pPr>
    </w:p>
    <w:p w14:paraId="5F342695" w14:textId="77777777" w:rsidR="003559B9" w:rsidRDefault="003559B9" w:rsidP="00365151">
      <w:pPr>
        <w:pStyle w:val="ListParagraph"/>
        <w:spacing w:after="0" w:line="240" w:lineRule="auto"/>
        <w:jc w:val="both"/>
        <w:rPr>
          <w:rFonts w:ascii="Times New Roman" w:eastAsia="Times New Roman" w:hAnsi="Times New Roman" w:cs="Times New Roman"/>
          <w:sz w:val="24"/>
          <w:szCs w:val="24"/>
          <w:lang w:eastAsia="lv-LV"/>
        </w:rPr>
      </w:pPr>
    </w:p>
    <w:p w14:paraId="6EB8FB84" w14:textId="40A62795" w:rsidR="003559B9" w:rsidRPr="003559B9" w:rsidRDefault="003559B9" w:rsidP="003914D2">
      <w:pPr>
        <w:spacing w:after="0"/>
        <w:jc w:val="both"/>
        <w:rPr>
          <w:rFonts w:ascii="Times New Roman" w:eastAsia="Times New Roman" w:hAnsi="Times New Roman" w:cs="Times New Roman"/>
          <w:b/>
          <w:sz w:val="24"/>
          <w:szCs w:val="24"/>
          <w:lang w:eastAsia="lv-LV"/>
        </w:rPr>
      </w:pPr>
      <w:r w:rsidRPr="003559B9">
        <w:rPr>
          <w:rFonts w:ascii="Times New Roman" w:eastAsia="Times New Roman" w:hAnsi="Times New Roman" w:cs="Times New Roman"/>
          <w:b/>
          <w:sz w:val="24"/>
          <w:szCs w:val="24"/>
          <w:lang w:eastAsia="lv-LV"/>
        </w:rPr>
        <w:t>2.</w:t>
      </w:r>
      <w:r w:rsidR="006E4178">
        <w:rPr>
          <w:rFonts w:ascii="Times New Roman" w:eastAsia="Times New Roman" w:hAnsi="Times New Roman" w:cs="Times New Roman"/>
          <w:b/>
          <w:sz w:val="24"/>
          <w:szCs w:val="24"/>
          <w:lang w:eastAsia="lv-LV"/>
        </w:rPr>
        <w:t>2</w:t>
      </w:r>
      <w:r w:rsidRPr="003559B9">
        <w:rPr>
          <w:rFonts w:ascii="Times New Roman" w:eastAsia="Times New Roman" w:hAnsi="Times New Roman" w:cs="Times New Roman"/>
          <w:b/>
          <w:sz w:val="24"/>
          <w:szCs w:val="24"/>
          <w:lang w:eastAsia="lv-LV"/>
        </w:rPr>
        <w:t xml:space="preserve">.2. Valsts ieņēmuma dienesta </w:t>
      </w:r>
      <w:r w:rsidRPr="003559B9">
        <w:rPr>
          <w:rFonts w:ascii="Times New Roman" w:hAnsi="Times New Roman" w:cs="Times New Roman"/>
          <w:b/>
          <w:sz w:val="24"/>
          <w:szCs w:val="24"/>
        </w:rPr>
        <w:t>uzkrātie dati</w:t>
      </w:r>
    </w:p>
    <w:p w14:paraId="340518C2" w14:textId="77777777" w:rsidR="003559B9" w:rsidRDefault="003559B9" w:rsidP="003914D2">
      <w:pPr>
        <w:spacing w:after="0"/>
        <w:jc w:val="both"/>
        <w:rPr>
          <w:rFonts w:ascii="Times New Roman" w:eastAsia="Times New Roman" w:hAnsi="Times New Roman" w:cs="Times New Roman"/>
          <w:sz w:val="24"/>
          <w:szCs w:val="24"/>
          <w:lang w:eastAsia="lv-LV"/>
        </w:rPr>
      </w:pPr>
    </w:p>
    <w:p w14:paraId="406DDDC7" w14:textId="35BEB594" w:rsidR="006E63AB" w:rsidRPr="006E63AB" w:rsidRDefault="006E63AB" w:rsidP="003914D2">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6E63AB">
        <w:rPr>
          <w:rFonts w:ascii="Times New Roman" w:eastAsia="Times New Roman" w:hAnsi="Times New Roman" w:cs="Times New Roman"/>
          <w:sz w:val="24"/>
          <w:szCs w:val="24"/>
          <w:lang w:eastAsia="lv-LV"/>
        </w:rPr>
        <w:t>nformācij</w:t>
      </w:r>
      <w:r w:rsidR="00A71288">
        <w:rPr>
          <w:rFonts w:ascii="Times New Roman" w:eastAsia="Times New Roman" w:hAnsi="Times New Roman" w:cs="Times New Roman"/>
          <w:sz w:val="24"/>
          <w:szCs w:val="24"/>
          <w:lang w:eastAsia="lv-LV"/>
        </w:rPr>
        <w:t>a</w:t>
      </w:r>
      <w:r w:rsidRPr="006E63AB">
        <w:rPr>
          <w:rFonts w:ascii="Times New Roman" w:eastAsia="Times New Roman" w:hAnsi="Times New Roman" w:cs="Times New Roman"/>
          <w:sz w:val="24"/>
          <w:szCs w:val="24"/>
          <w:lang w:eastAsia="lv-LV"/>
        </w:rPr>
        <w:t xml:space="preserve"> par fiziskās personas ienākumiem </w:t>
      </w:r>
      <w:r w:rsidR="003559B9" w:rsidRPr="003559B9">
        <w:rPr>
          <w:rFonts w:ascii="Times New Roman" w:eastAsia="Times New Roman" w:hAnsi="Times New Roman" w:cs="Times New Roman"/>
          <w:sz w:val="24"/>
          <w:szCs w:val="24"/>
          <w:lang w:eastAsia="lv-LV"/>
        </w:rPr>
        <w:t>Valsts ieņēmum</w:t>
      </w:r>
      <w:r w:rsidR="00A71288">
        <w:rPr>
          <w:rFonts w:ascii="Times New Roman" w:eastAsia="Times New Roman" w:hAnsi="Times New Roman" w:cs="Times New Roman"/>
          <w:sz w:val="24"/>
          <w:szCs w:val="24"/>
          <w:lang w:eastAsia="lv-LV"/>
        </w:rPr>
        <w:t>u</w:t>
      </w:r>
      <w:r w:rsidR="003559B9" w:rsidRPr="003559B9">
        <w:rPr>
          <w:rFonts w:ascii="Times New Roman" w:eastAsia="Times New Roman" w:hAnsi="Times New Roman" w:cs="Times New Roman"/>
          <w:sz w:val="24"/>
          <w:szCs w:val="24"/>
          <w:lang w:eastAsia="lv-LV"/>
        </w:rPr>
        <w:t xml:space="preserve"> dienesta</w:t>
      </w:r>
      <w:r w:rsidR="003559B9" w:rsidRPr="003559B9">
        <w:rPr>
          <w:rFonts w:ascii="Times New Roman" w:eastAsia="Times New Roman" w:hAnsi="Times New Roman" w:cs="Times New Roman"/>
          <w:b/>
          <w:sz w:val="24"/>
          <w:szCs w:val="24"/>
          <w:lang w:eastAsia="lv-LV"/>
        </w:rPr>
        <w:t xml:space="preserve"> </w:t>
      </w:r>
      <w:r w:rsidR="003559B9">
        <w:rPr>
          <w:rFonts w:ascii="Times New Roman" w:eastAsia="Times New Roman" w:hAnsi="Times New Roman" w:cs="Times New Roman"/>
          <w:sz w:val="24"/>
          <w:szCs w:val="24"/>
          <w:lang w:eastAsia="lv-LV"/>
        </w:rPr>
        <w:t xml:space="preserve">(turpmāk – </w:t>
      </w:r>
      <w:r w:rsidRPr="006E63AB">
        <w:rPr>
          <w:rFonts w:ascii="Times New Roman" w:eastAsia="Times New Roman" w:hAnsi="Times New Roman" w:cs="Times New Roman"/>
          <w:sz w:val="24"/>
          <w:szCs w:val="24"/>
          <w:lang w:eastAsia="lv-LV"/>
        </w:rPr>
        <w:t>VID</w:t>
      </w:r>
      <w:r w:rsidR="003559B9">
        <w:rPr>
          <w:rFonts w:ascii="Times New Roman" w:eastAsia="Times New Roman" w:hAnsi="Times New Roman" w:cs="Times New Roman"/>
          <w:sz w:val="24"/>
          <w:szCs w:val="24"/>
          <w:lang w:eastAsia="lv-LV"/>
        </w:rPr>
        <w:t>)</w:t>
      </w:r>
      <w:r w:rsidRPr="006E63AB">
        <w:rPr>
          <w:rFonts w:ascii="Times New Roman" w:eastAsia="Times New Roman" w:hAnsi="Times New Roman" w:cs="Times New Roman"/>
          <w:sz w:val="24"/>
          <w:szCs w:val="24"/>
          <w:lang w:eastAsia="lv-LV"/>
        </w:rPr>
        <w:t xml:space="preserve"> nonāk no trīs avotiem, to deklarē:</w:t>
      </w:r>
    </w:p>
    <w:p w14:paraId="51E1F74E" w14:textId="77777777" w:rsidR="006E63AB" w:rsidRPr="006E63AB" w:rsidRDefault="006E63AB" w:rsidP="005817AF">
      <w:pPr>
        <w:numPr>
          <w:ilvl w:val="0"/>
          <w:numId w:val="18"/>
        </w:numPr>
        <w:spacing w:after="0" w:line="240" w:lineRule="auto"/>
        <w:ind w:left="795"/>
        <w:jc w:val="both"/>
        <w:rPr>
          <w:rFonts w:ascii="Times New Roman" w:eastAsia="Times New Roman" w:hAnsi="Times New Roman" w:cs="Times New Roman"/>
          <w:sz w:val="24"/>
          <w:szCs w:val="24"/>
          <w:lang w:eastAsia="lv-LV"/>
        </w:rPr>
      </w:pPr>
      <w:r w:rsidRPr="006E63AB">
        <w:rPr>
          <w:rFonts w:ascii="Times New Roman" w:eastAsia="Times New Roman" w:hAnsi="Times New Roman" w:cs="Times New Roman"/>
          <w:sz w:val="24"/>
          <w:szCs w:val="24"/>
          <w:lang w:eastAsia="lv-LV"/>
        </w:rPr>
        <w:t xml:space="preserve">pati fiziskā persona; </w:t>
      </w:r>
    </w:p>
    <w:p w14:paraId="64D94745" w14:textId="77777777" w:rsidR="006E63AB" w:rsidRPr="006E63AB" w:rsidRDefault="006E63AB" w:rsidP="005817AF">
      <w:pPr>
        <w:numPr>
          <w:ilvl w:val="0"/>
          <w:numId w:val="18"/>
        </w:numPr>
        <w:spacing w:after="0" w:line="240" w:lineRule="auto"/>
        <w:ind w:left="795"/>
        <w:jc w:val="both"/>
        <w:rPr>
          <w:rFonts w:ascii="Times New Roman" w:eastAsia="Times New Roman" w:hAnsi="Times New Roman" w:cs="Times New Roman"/>
          <w:sz w:val="24"/>
          <w:szCs w:val="24"/>
          <w:lang w:eastAsia="lv-LV"/>
        </w:rPr>
      </w:pPr>
      <w:r w:rsidRPr="006E63AB">
        <w:rPr>
          <w:rFonts w:ascii="Times New Roman" w:eastAsia="Times New Roman" w:hAnsi="Times New Roman" w:cs="Times New Roman"/>
          <w:sz w:val="24"/>
          <w:szCs w:val="24"/>
          <w:lang w:eastAsia="lv-LV"/>
        </w:rPr>
        <w:t>Latvijā reģistrēts ienākuma izmaksātājs – komersants, biedrība, iestāde, nodibinājums;</w:t>
      </w:r>
    </w:p>
    <w:p w14:paraId="7E901D65" w14:textId="77777777" w:rsidR="006E63AB" w:rsidRPr="006E63AB" w:rsidRDefault="006E63AB" w:rsidP="005817AF">
      <w:pPr>
        <w:numPr>
          <w:ilvl w:val="0"/>
          <w:numId w:val="18"/>
        </w:numPr>
        <w:spacing w:after="0" w:line="240" w:lineRule="auto"/>
        <w:ind w:left="795"/>
        <w:jc w:val="both"/>
        <w:rPr>
          <w:rFonts w:ascii="Times New Roman" w:eastAsia="Times New Roman" w:hAnsi="Times New Roman" w:cs="Times New Roman"/>
          <w:sz w:val="24"/>
          <w:szCs w:val="24"/>
          <w:lang w:eastAsia="lv-LV"/>
        </w:rPr>
      </w:pPr>
      <w:r w:rsidRPr="006E63AB">
        <w:rPr>
          <w:rFonts w:ascii="Times New Roman" w:eastAsia="Times New Roman" w:hAnsi="Times New Roman" w:cs="Times New Roman"/>
          <w:sz w:val="24"/>
          <w:szCs w:val="24"/>
          <w:lang w:eastAsia="lv-LV"/>
        </w:rPr>
        <w:t>ārvalsts nodokļu administrācija, datu apmaiņas ietvaros.</w:t>
      </w:r>
    </w:p>
    <w:p w14:paraId="72129252" w14:textId="77777777" w:rsidR="003559B9" w:rsidRDefault="003559B9" w:rsidP="00122F8D">
      <w:pPr>
        <w:spacing w:after="0" w:line="240" w:lineRule="auto"/>
        <w:ind w:firstLine="435"/>
        <w:jc w:val="both"/>
        <w:rPr>
          <w:rFonts w:ascii="Times New Roman" w:eastAsia="Times New Roman" w:hAnsi="Times New Roman" w:cs="Times New Roman"/>
          <w:sz w:val="24"/>
          <w:szCs w:val="24"/>
          <w:lang w:eastAsia="lv-LV"/>
        </w:rPr>
      </w:pPr>
    </w:p>
    <w:p w14:paraId="79C4AB24" w14:textId="6F00FA8D" w:rsidR="006E63AB" w:rsidRDefault="006E63AB" w:rsidP="00122F8D">
      <w:pPr>
        <w:spacing w:after="0" w:line="240" w:lineRule="auto"/>
        <w:ind w:firstLine="435"/>
        <w:jc w:val="both"/>
        <w:rPr>
          <w:rFonts w:ascii="Times New Roman" w:hAnsi="Times New Roman" w:cs="Times New Roman"/>
          <w:sz w:val="24"/>
          <w:szCs w:val="24"/>
        </w:rPr>
      </w:pPr>
      <w:r>
        <w:rPr>
          <w:rFonts w:ascii="Times New Roman" w:eastAsia="Times New Roman" w:hAnsi="Times New Roman" w:cs="Times New Roman"/>
          <w:sz w:val="24"/>
          <w:szCs w:val="24"/>
          <w:lang w:eastAsia="lv-LV"/>
        </w:rPr>
        <w:t>G</w:t>
      </w:r>
      <w:r w:rsidRPr="006E63AB">
        <w:rPr>
          <w:rFonts w:ascii="Times New Roman" w:eastAsia="Times New Roman" w:hAnsi="Times New Roman" w:cs="Times New Roman"/>
          <w:sz w:val="24"/>
          <w:szCs w:val="24"/>
          <w:lang w:eastAsia="lv-LV"/>
        </w:rPr>
        <w:t xml:space="preserve">an fiziskai personai, gan Latvijā reģistrētajam ienākuma izmaksātajam nodokļu normatīvie akti paredz tiesības nedeklarēt dažāda veida ienākumus, piemēram, no budžeta izmaksāti pabalsti (ar likumā noteiktiem dažiem izņēmumiem), neapliekamo ienākumu, kas nepārsniedz 300 </w:t>
      </w:r>
      <w:r w:rsidR="00E5351A" w:rsidRPr="00E5351A">
        <w:rPr>
          <w:rFonts w:ascii="Times New Roman" w:hAnsi="Times New Roman" w:cs="Times New Roman"/>
          <w:i/>
          <w:sz w:val="24"/>
          <w:szCs w:val="24"/>
        </w:rPr>
        <w:t>euro</w:t>
      </w:r>
      <w:r w:rsidRPr="006E63AB">
        <w:rPr>
          <w:rFonts w:ascii="Times New Roman" w:eastAsia="Times New Roman" w:hAnsi="Times New Roman" w:cs="Times New Roman"/>
          <w:sz w:val="24"/>
          <w:szCs w:val="24"/>
          <w:lang w:eastAsia="lv-LV"/>
        </w:rPr>
        <w:t xml:space="preserve">, vai stipendijas, kā arī fiziskai personai nav jādeklarē ar iedzīvotāju ienākuma nodokli neapliekamie ienākumi, kas kopsummā </w:t>
      </w:r>
      <w:r w:rsidRPr="006E63AB">
        <w:rPr>
          <w:rFonts w:ascii="Times New Roman" w:eastAsia="Times New Roman" w:hAnsi="Times New Roman" w:cs="Times New Roman"/>
          <w:sz w:val="24"/>
          <w:szCs w:val="24"/>
          <w:lang w:eastAsia="lv-LV"/>
        </w:rPr>
        <w:lastRenderedPageBreak/>
        <w:t xml:space="preserve">nepārsniedz 10 000 </w:t>
      </w:r>
      <w:r w:rsidR="00E5351A" w:rsidRPr="00E5351A">
        <w:rPr>
          <w:rFonts w:ascii="Times New Roman" w:hAnsi="Times New Roman" w:cs="Times New Roman"/>
          <w:i/>
          <w:sz w:val="24"/>
          <w:szCs w:val="24"/>
        </w:rPr>
        <w:t>euro</w:t>
      </w:r>
      <w:r w:rsidR="00E5351A" w:rsidRPr="006E63AB">
        <w:rPr>
          <w:rFonts w:ascii="Times New Roman" w:eastAsia="Times New Roman" w:hAnsi="Times New Roman" w:cs="Times New Roman"/>
          <w:sz w:val="24"/>
          <w:szCs w:val="24"/>
          <w:lang w:eastAsia="lv-LV"/>
        </w:rPr>
        <w:t xml:space="preserve"> </w:t>
      </w:r>
      <w:r w:rsidRPr="006E63AB">
        <w:rPr>
          <w:rFonts w:ascii="Times New Roman" w:eastAsia="Times New Roman" w:hAnsi="Times New Roman" w:cs="Times New Roman"/>
          <w:sz w:val="24"/>
          <w:szCs w:val="24"/>
          <w:lang w:eastAsia="lv-LV"/>
        </w:rPr>
        <w:t>gadā, vai arī Eiropas Savienībā saņemto darba algu.</w:t>
      </w:r>
      <w:r w:rsidR="003914D2">
        <w:rPr>
          <w:rFonts w:ascii="Times New Roman" w:eastAsia="Times New Roman" w:hAnsi="Times New Roman" w:cs="Times New Roman"/>
          <w:sz w:val="24"/>
          <w:szCs w:val="24"/>
          <w:lang w:eastAsia="lv-LV"/>
        </w:rPr>
        <w:t xml:space="preserve"> </w:t>
      </w:r>
      <w:r w:rsidR="003914D2">
        <w:rPr>
          <w:rFonts w:ascii="Times New Roman" w:hAnsi="Times New Roman" w:cs="Times New Roman"/>
          <w:sz w:val="24"/>
          <w:szCs w:val="24"/>
        </w:rPr>
        <w:t xml:space="preserve">Detalizēta informācija par datu </w:t>
      </w:r>
      <w:r w:rsidR="00E5351A">
        <w:rPr>
          <w:rFonts w:ascii="Times New Roman" w:hAnsi="Times New Roman" w:cs="Times New Roman"/>
          <w:sz w:val="24"/>
          <w:szCs w:val="24"/>
        </w:rPr>
        <w:t>pieejamību</w:t>
      </w:r>
      <w:r w:rsidR="003914D2">
        <w:rPr>
          <w:rFonts w:ascii="Times New Roman" w:hAnsi="Times New Roman" w:cs="Times New Roman"/>
          <w:sz w:val="24"/>
          <w:szCs w:val="24"/>
        </w:rPr>
        <w:t xml:space="preserve"> atspoguļota </w:t>
      </w:r>
      <w:r w:rsidR="006E4178">
        <w:rPr>
          <w:rFonts w:ascii="Times New Roman" w:hAnsi="Times New Roman" w:cs="Times New Roman"/>
          <w:sz w:val="24"/>
          <w:szCs w:val="24"/>
        </w:rPr>
        <w:t>3.</w:t>
      </w:r>
      <w:r w:rsidR="003914D2">
        <w:rPr>
          <w:rFonts w:ascii="Times New Roman" w:hAnsi="Times New Roman" w:cs="Times New Roman"/>
          <w:sz w:val="24"/>
          <w:szCs w:val="24"/>
        </w:rPr>
        <w:t>pielikumā.</w:t>
      </w:r>
    </w:p>
    <w:p w14:paraId="56E4ADFB" w14:textId="77777777" w:rsidR="00FB4B9D" w:rsidRDefault="00FB4B9D" w:rsidP="00122F8D">
      <w:pPr>
        <w:spacing w:after="0" w:line="240" w:lineRule="auto"/>
        <w:ind w:firstLine="435"/>
        <w:jc w:val="both"/>
        <w:rPr>
          <w:rFonts w:ascii="Times New Roman" w:hAnsi="Times New Roman" w:cs="Times New Roman"/>
          <w:sz w:val="24"/>
          <w:szCs w:val="24"/>
        </w:rPr>
      </w:pPr>
    </w:p>
    <w:p w14:paraId="4D845989" w14:textId="77777777" w:rsidR="003559B9" w:rsidRDefault="003559B9" w:rsidP="00122F8D">
      <w:pPr>
        <w:spacing w:after="0" w:line="240" w:lineRule="auto"/>
        <w:ind w:firstLine="435"/>
        <w:jc w:val="both"/>
        <w:rPr>
          <w:rFonts w:ascii="Times New Roman" w:hAnsi="Times New Roman" w:cs="Times New Roman"/>
          <w:sz w:val="24"/>
          <w:szCs w:val="24"/>
        </w:rPr>
      </w:pPr>
    </w:p>
    <w:p w14:paraId="696BBF73" w14:textId="7048B51F" w:rsidR="003559B9" w:rsidRPr="003559B9" w:rsidRDefault="003559B9" w:rsidP="006E4178">
      <w:pPr>
        <w:spacing w:after="0" w:line="240" w:lineRule="auto"/>
        <w:jc w:val="both"/>
        <w:rPr>
          <w:rFonts w:ascii="Times New Roman" w:hAnsi="Times New Roman" w:cs="Times New Roman"/>
          <w:b/>
          <w:sz w:val="24"/>
          <w:szCs w:val="24"/>
        </w:rPr>
      </w:pPr>
      <w:r w:rsidRPr="003559B9">
        <w:rPr>
          <w:rFonts w:ascii="Times New Roman" w:hAnsi="Times New Roman" w:cs="Times New Roman"/>
          <w:b/>
          <w:sz w:val="24"/>
          <w:szCs w:val="24"/>
        </w:rPr>
        <w:t>2.</w:t>
      </w:r>
      <w:r w:rsidR="006E4178">
        <w:rPr>
          <w:rFonts w:ascii="Times New Roman" w:hAnsi="Times New Roman" w:cs="Times New Roman"/>
          <w:b/>
          <w:sz w:val="24"/>
          <w:szCs w:val="24"/>
        </w:rPr>
        <w:t>2</w:t>
      </w:r>
      <w:r w:rsidRPr="003559B9">
        <w:rPr>
          <w:rFonts w:ascii="Times New Roman" w:hAnsi="Times New Roman" w:cs="Times New Roman"/>
          <w:b/>
          <w:sz w:val="24"/>
          <w:szCs w:val="24"/>
        </w:rPr>
        <w:t xml:space="preserve">.3. Labklājības ministrijas </w:t>
      </w:r>
      <w:r w:rsidR="005D4476">
        <w:rPr>
          <w:rFonts w:ascii="Times New Roman" w:hAnsi="Times New Roman" w:cs="Times New Roman"/>
          <w:b/>
          <w:sz w:val="24"/>
          <w:szCs w:val="24"/>
        </w:rPr>
        <w:t>IT sistēma SPOLIS</w:t>
      </w:r>
    </w:p>
    <w:p w14:paraId="659C8115" w14:textId="77777777" w:rsidR="003559B9" w:rsidRPr="006E63AB" w:rsidRDefault="003559B9" w:rsidP="00122F8D">
      <w:pPr>
        <w:spacing w:after="0" w:line="240" w:lineRule="auto"/>
        <w:ind w:firstLine="435"/>
        <w:jc w:val="both"/>
        <w:rPr>
          <w:rFonts w:ascii="Times New Roman" w:eastAsia="Times New Roman" w:hAnsi="Times New Roman" w:cs="Times New Roman"/>
          <w:sz w:val="24"/>
          <w:szCs w:val="24"/>
          <w:lang w:eastAsia="lv-LV"/>
        </w:rPr>
      </w:pPr>
    </w:p>
    <w:p w14:paraId="25BA7675" w14:textId="29DC9725" w:rsidR="00633851" w:rsidRDefault="006E63AB" w:rsidP="00122F8D">
      <w:pPr>
        <w:spacing w:after="0" w:line="240" w:lineRule="auto"/>
        <w:jc w:val="both"/>
        <w:rPr>
          <w:rFonts w:ascii="Times New Roman" w:hAnsi="Times New Roman" w:cs="Times New Roman"/>
          <w:sz w:val="24"/>
          <w:szCs w:val="24"/>
        </w:rPr>
      </w:pPr>
      <w:r w:rsidRPr="006E63AB">
        <w:rPr>
          <w:rFonts w:ascii="Times New Roman" w:eastAsia="Times New Roman" w:hAnsi="Times New Roman" w:cs="Times New Roman"/>
          <w:sz w:val="24"/>
          <w:szCs w:val="24"/>
          <w:lang w:eastAsia="lv-LV"/>
        </w:rPr>
        <w:t> </w:t>
      </w:r>
      <w:r w:rsidR="00122F8D">
        <w:rPr>
          <w:rFonts w:ascii="Times New Roman" w:eastAsia="Times New Roman" w:hAnsi="Times New Roman" w:cs="Times New Roman"/>
          <w:sz w:val="24"/>
          <w:szCs w:val="24"/>
          <w:lang w:eastAsia="lv-LV"/>
        </w:rPr>
        <w:tab/>
      </w:r>
      <w:r w:rsidR="00E5351A" w:rsidRPr="00E5351A">
        <w:rPr>
          <w:rFonts w:ascii="Times New Roman" w:hAnsi="Times New Roman" w:cs="Times New Roman"/>
          <w:sz w:val="24"/>
          <w:szCs w:val="24"/>
        </w:rPr>
        <w:t xml:space="preserve">Labklājības ministrijas </w:t>
      </w:r>
      <w:r w:rsidR="00A71288" w:rsidRPr="00A71288">
        <w:rPr>
          <w:rFonts w:ascii="Times New Roman" w:hAnsi="Times New Roman" w:cs="Times New Roman"/>
          <w:sz w:val="24"/>
          <w:szCs w:val="24"/>
        </w:rPr>
        <w:t xml:space="preserve">Valsts sociālās politikas monitoringa informācijas </w:t>
      </w:r>
      <w:r w:rsidR="00633851" w:rsidRPr="00633851">
        <w:rPr>
          <w:rFonts w:ascii="Times New Roman" w:hAnsi="Times New Roman" w:cs="Times New Roman"/>
          <w:sz w:val="24"/>
          <w:szCs w:val="24"/>
        </w:rPr>
        <w:t xml:space="preserve">sistēmā </w:t>
      </w:r>
      <w:r w:rsidR="00A71288">
        <w:rPr>
          <w:rFonts w:ascii="Times New Roman" w:hAnsi="Times New Roman" w:cs="Times New Roman"/>
          <w:sz w:val="24"/>
          <w:szCs w:val="24"/>
        </w:rPr>
        <w:t xml:space="preserve">(turpmāk – </w:t>
      </w:r>
      <w:r w:rsidR="00633851" w:rsidRPr="00633851">
        <w:rPr>
          <w:rFonts w:ascii="Times New Roman" w:hAnsi="Times New Roman" w:cs="Times New Roman"/>
          <w:sz w:val="24"/>
          <w:szCs w:val="24"/>
        </w:rPr>
        <w:t>SPOLIS</w:t>
      </w:r>
      <w:r w:rsidR="00A71288">
        <w:rPr>
          <w:rFonts w:ascii="Times New Roman" w:hAnsi="Times New Roman" w:cs="Times New Roman"/>
          <w:sz w:val="24"/>
          <w:szCs w:val="24"/>
        </w:rPr>
        <w:t>)</w:t>
      </w:r>
      <w:r w:rsidR="00633851" w:rsidRPr="00633851">
        <w:rPr>
          <w:rFonts w:ascii="Times New Roman" w:hAnsi="Times New Roman" w:cs="Times New Roman"/>
          <w:sz w:val="24"/>
          <w:szCs w:val="24"/>
        </w:rPr>
        <w:t xml:space="preserve"> tiek saņemti dati no pašvaldību sociālo pakalpojumu un sociālas palīdzības administrēšanas </w:t>
      </w:r>
      <w:r w:rsidR="00F6416E">
        <w:rPr>
          <w:rFonts w:ascii="Times New Roman" w:hAnsi="Times New Roman" w:cs="Times New Roman"/>
          <w:sz w:val="24"/>
          <w:szCs w:val="24"/>
        </w:rPr>
        <w:t xml:space="preserve">lietojumprogrammas </w:t>
      </w:r>
      <w:r w:rsidR="00A71288">
        <w:rPr>
          <w:rFonts w:ascii="Times New Roman" w:hAnsi="Times New Roman" w:cs="Times New Roman"/>
          <w:sz w:val="24"/>
          <w:szCs w:val="24"/>
        </w:rPr>
        <w:t xml:space="preserve">(turpmāk – </w:t>
      </w:r>
      <w:r w:rsidR="00633851" w:rsidRPr="00633851">
        <w:rPr>
          <w:rFonts w:ascii="Times New Roman" w:hAnsi="Times New Roman" w:cs="Times New Roman"/>
          <w:sz w:val="24"/>
          <w:szCs w:val="24"/>
        </w:rPr>
        <w:t>SOPA</w:t>
      </w:r>
      <w:r w:rsidR="00A71288">
        <w:rPr>
          <w:rFonts w:ascii="Times New Roman" w:hAnsi="Times New Roman" w:cs="Times New Roman"/>
          <w:sz w:val="24"/>
          <w:szCs w:val="24"/>
        </w:rPr>
        <w:t>)</w:t>
      </w:r>
      <w:r w:rsidR="00633851" w:rsidRPr="00633851">
        <w:rPr>
          <w:rFonts w:ascii="Times New Roman" w:hAnsi="Times New Roman" w:cs="Times New Roman"/>
          <w:sz w:val="24"/>
          <w:szCs w:val="24"/>
        </w:rPr>
        <w:t xml:space="preserve"> par pašvaldību sociālo dienestu klientiem sniegto sociālo palīdzību un sociālajiem pakalpojumiem.</w:t>
      </w:r>
      <w:r w:rsidR="00A71288">
        <w:rPr>
          <w:rFonts w:ascii="Times New Roman" w:hAnsi="Times New Roman" w:cs="Times New Roman"/>
          <w:sz w:val="24"/>
          <w:szCs w:val="24"/>
        </w:rPr>
        <w:t xml:space="preserve"> Sistēmā</w:t>
      </w:r>
      <w:r w:rsidR="00633851" w:rsidRPr="00633851">
        <w:rPr>
          <w:rFonts w:ascii="Times New Roman" w:hAnsi="Times New Roman" w:cs="Times New Roman"/>
          <w:sz w:val="24"/>
          <w:szCs w:val="24"/>
        </w:rPr>
        <w:t xml:space="preserve"> SPOL</w:t>
      </w:r>
      <w:r w:rsidR="00A71288">
        <w:rPr>
          <w:rFonts w:ascii="Times New Roman" w:hAnsi="Times New Roman" w:cs="Times New Roman"/>
          <w:sz w:val="24"/>
          <w:szCs w:val="24"/>
        </w:rPr>
        <w:t>IS</w:t>
      </w:r>
      <w:r w:rsidR="00633851" w:rsidRPr="00633851">
        <w:rPr>
          <w:rFonts w:ascii="Times New Roman" w:hAnsi="Times New Roman" w:cs="Times New Roman"/>
          <w:sz w:val="24"/>
          <w:szCs w:val="24"/>
        </w:rPr>
        <w:t xml:space="preserve"> ir pieejami konkrēto personu dati un personu kopums, kas dzīvo kopā (tiek uzskatīti par vienu mājsaimniecību), pieejama pazīme par nekustamo un kustamo īpašumu. Tāpat ir redzami dati par personas ienākumiem, piemēram, ienākumi no VSAA, bet šie dati nav izmantojami statistikas veidošanai vai ienākumu vērtēšanai, jo tiek uzkrāti nestrukturētā veidā (teksta lauks).</w:t>
      </w:r>
    </w:p>
    <w:p w14:paraId="5D3A593F" w14:textId="77777777" w:rsidR="00EE5FE0" w:rsidRPr="00EE5FE0" w:rsidRDefault="00EE5FE0" w:rsidP="00365151">
      <w:pPr>
        <w:pStyle w:val="Default"/>
        <w:ind w:firstLine="720"/>
        <w:jc w:val="both"/>
        <w:rPr>
          <w:color w:val="000000" w:themeColor="text1"/>
        </w:rPr>
      </w:pPr>
      <w:bookmarkStart w:id="2" w:name="_Hlk105448060"/>
      <w:r w:rsidRPr="00EE5FE0">
        <w:rPr>
          <w:color w:val="000000" w:themeColor="text1"/>
        </w:rPr>
        <w:t>Programmā SOPA ir pieslēgta ārējo reģistru datu iegūšana no šādiem datu reģistriem:</w:t>
      </w:r>
    </w:p>
    <w:p w14:paraId="227EA679" w14:textId="374A6670" w:rsidR="00EE5FE0" w:rsidRPr="00EE5FE0" w:rsidRDefault="00EE5FE0" w:rsidP="005817AF">
      <w:pPr>
        <w:numPr>
          <w:ilvl w:val="0"/>
          <w:numId w:val="34"/>
        </w:numPr>
        <w:spacing w:after="0" w:line="240" w:lineRule="auto"/>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Pilsonība</w:t>
      </w:r>
      <w:r w:rsidR="00F6416E">
        <w:rPr>
          <w:rFonts w:ascii="Times New Roman" w:hAnsi="Times New Roman" w:cs="Times New Roman"/>
          <w:color w:val="000000" w:themeColor="text1"/>
          <w:sz w:val="24"/>
          <w:szCs w:val="24"/>
        </w:rPr>
        <w:t>s</w:t>
      </w:r>
      <w:r w:rsidRPr="00EE5FE0">
        <w:rPr>
          <w:rFonts w:ascii="Times New Roman" w:hAnsi="Times New Roman" w:cs="Times New Roman"/>
          <w:color w:val="000000" w:themeColor="text1"/>
          <w:sz w:val="24"/>
          <w:szCs w:val="24"/>
        </w:rPr>
        <w:t xml:space="preserve"> un migrācijas lietu pārvaldes “Fizisko personu reģistrs” (PMLP FPR- personas statuss, reģistrētā adrese, radinieki, pieraksta/izraksta un deklarēšanās vēsture u.c.) un Iedzīvotāju dzīvesvietas deklarēšana (PERS – dati tikai par pašvaldības iedzīvotājiem);</w:t>
      </w:r>
    </w:p>
    <w:p w14:paraId="6FC5289A" w14:textId="77777777" w:rsidR="00EE5FE0" w:rsidRPr="00EE5FE0" w:rsidRDefault="00EE5FE0" w:rsidP="005817AF">
      <w:pPr>
        <w:pStyle w:val="ListParagraph"/>
        <w:numPr>
          <w:ilvl w:val="0"/>
          <w:numId w:val="34"/>
        </w:numPr>
        <w:spacing w:after="0" w:line="240" w:lineRule="auto"/>
        <w:contextualSpacing w:val="0"/>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 xml:space="preserve">Valsts ieņēmumu dienests (VID – informācija par personas  bruto ienākumiem gadā, darba vietām, apgādājamiem, nodokļa parādu, un bankas kontiem no VID Kontu reģistra); </w:t>
      </w:r>
    </w:p>
    <w:p w14:paraId="79B38212" w14:textId="77777777" w:rsidR="00EE5FE0" w:rsidRPr="00EE5FE0" w:rsidRDefault="00EE5FE0" w:rsidP="005817AF">
      <w:pPr>
        <w:pStyle w:val="ListParagraph"/>
        <w:numPr>
          <w:ilvl w:val="0"/>
          <w:numId w:val="34"/>
        </w:numPr>
        <w:spacing w:after="0" w:line="240" w:lineRule="auto"/>
        <w:contextualSpacing w:val="0"/>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 xml:space="preserve">Uzņēmumu reģistrs (UR – personas aktuālie amati, dalības, komercķīlas, daļas, likvidācija/maksātnespējas process, laulību līgumi); </w:t>
      </w:r>
    </w:p>
    <w:p w14:paraId="7691DC8E" w14:textId="77777777" w:rsidR="00EE5FE0" w:rsidRPr="00EE5FE0" w:rsidRDefault="00EE5FE0" w:rsidP="005817AF">
      <w:pPr>
        <w:numPr>
          <w:ilvl w:val="0"/>
          <w:numId w:val="34"/>
        </w:numPr>
        <w:spacing w:after="0" w:line="240" w:lineRule="auto"/>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Nodarbinātības valsts aģentūra (NVA – BURVIS - personas bezdarba periodi un statusi, NVA apmeklējumi, veiktie līdzdarbības pasākumi u.c.);</w:t>
      </w:r>
    </w:p>
    <w:p w14:paraId="54C722B4" w14:textId="77777777" w:rsidR="00EE5FE0" w:rsidRPr="00EE5FE0" w:rsidRDefault="00EE5FE0" w:rsidP="005817AF">
      <w:pPr>
        <w:numPr>
          <w:ilvl w:val="0"/>
          <w:numId w:val="34"/>
        </w:numPr>
        <w:spacing w:after="0" w:line="240" w:lineRule="auto"/>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Valsts sociālās apdrošināšanas aģentūra (VSAA - pensiju un valsts pabalstu veids un apmērs pa mēnešiem);</w:t>
      </w:r>
    </w:p>
    <w:p w14:paraId="768B3B9D" w14:textId="77777777" w:rsidR="00EE5FE0" w:rsidRPr="00EE5FE0" w:rsidRDefault="00EE5FE0" w:rsidP="005817AF">
      <w:pPr>
        <w:pStyle w:val="ListParagraph"/>
        <w:numPr>
          <w:ilvl w:val="0"/>
          <w:numId w:val="34"/>
        </w:numPr>
        <w:spacing w:after="0" w:line="240" w:lineRule="auto"/>
        <w:contextualSpacing w:val="0"/>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 xml:space="preserve">Veselības un darbspēju ekspertīzes ārstu valsts komisija (VDEĀVK - informācija par lēmumu piešķirt personai invaliditāti (grupu), tās periods, informācija par transporta kompensāciju un īpašas kopšanas indikācijām, funkcionāliem traucējumiem, invaliditātes cēloni, nelaimes gadījuma kompensācijas faktu); </w:t>
      </w:r>
    </w:p>
    <w:p w14:paraId="567AE946" w14:textId="77777777" w:rsidR="00EE5FE0" w:rsidRPr="00EE5FE0" w:rsidRDefault="00EE5FE0" w:rsidP="005817AF">
      <w:pPr>
        <w:pStyle w:val="ListParagraph"/>
        <w:numPr>
          <w:ilvl w:val="0"/>
          <w:numId w:val="34"/>
        </w:numPr>
        <w:spacing w:after="0" w:line="240" w:lineRule="auto"/>
        <w:contextualSpacing w:val="0"/>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Valsts vienotā datorizētā zemesgrāmata (VVDZ – esošie un bijušie nekustamie īpašumi, darījumi, darījumu summas, dzīvokļu un zemes gabalu platība); ir pieejami dati arī no Valsts Zemes dienesta Kadastra reģistra;</w:t>
      </w:r>
    </w:p>
    <w:p w14:paraId="44540A5B" w14:textId="77777777" w:rsidR="00EE5FE0" w:rsidRPr="00EE5FE0" w:rsidRDefault="00EE5FE0" w:rsidP="005817AF">
      <w:pPr>
        <w:numPr>
          <w:ilvl w:val="0"/>
          <w:numId w:val="34"/>
        </w:numPr>
        <w:spacing w:after="0" w:line="240" w:lineRule="auto"/>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Nekustamā īpašuma nodokļa administrēšana (NINO – redz tos īpašumus, kas nav reģistrēti zemesgrāmatā; persona ir valdītājs/turētājs);</w:t>
      </w:r>
    </w:p>
    <w:p w14:paraId="671E1C6C" w14:textId="77777777" w:rsidR="00EE5FE0" w:rsidRPr="00EE5FE0" w:rsidRDefault="00EE5FE0" w:rsidP="005817AF">
      <w:pPr>
        <w:numPr>
          <w:ilvl w:val="0"/>
          <w:numId w:val="34"/>
        </w:numPr>
        <w:spacing w:after="0" w:line="240" w:lineRule="auto"/>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Ceļu satiksmes drošības direkcija (CSDD - reģistrētie transportlīdzekļi, marka, izlaides gads, pēdējās tehniskās apskates datums u.c. dati);</w:t>
      </w:r>
    </w:p>
    <w:p w14:paraId="0935537F" w14:textId="77777777" w:rsidR="00EE5FE0" w:rsidRPr="00EE5FE0" w:rsidRDefault="00EE5FE0" w:rsidP="005817AF">
      <w:pPr>
        <w:pStyle w:val="ListParagraph"/>
        <w:numPr>
          <w:ilvl w:val="0"/>
          <w:numId w:val="34"/>
        </w:numPr>
        <w:spacing w:after="0" w:line="240" w:lineRule="auto"/>
        <w:contextualSpacing w:val="0"/>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 xml:space="preserve">Valsts tehniskās uzraudzības aģentūra (VTUA – personas īpašumā esošā traktortehnika); </w:t>
      </w:r>
    </w:p>
    <w:p w14:paraId="5DD0F711" w14:textId="77777777" w:rsidR="00EE5FE0" w:rsidRPr="00EE5FE0" w:rsidRDefault="00EE5FE0" w:rsidP="005817AF">
      <w:pPr>
        <w:numPr>
          <w:ilvl w:val="0"/>
          <w:numId w:val="34"/>
        </w:numPr>
        <w:spacing w:after="0" w:line="240" w:lineRule="auto"/>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Uzturlīdzekļu garantiju fonda administrācija (UGFA - uzturlīdzekļu saņēmēji un parādnieki, uzturlīdzekļu apmērs);</w:t>
      </w:r>
    </w:p>
    <w:p w14:paraId="34A32F67" w14:textId="77777777" w:rsidR="00EE5FE0" w:rsidRPr="00EE5FE0" w:rsidRDefault="00EE5FE0" w:rsidP="005817AF">
      <w:pPr>
        <w:pStyle w:val="ListParagraph"/>
        <w:numPr>
          <w:ilvl w:val="0"/>
          <w:numId w:val="34"/>
        </w:numPr>
        <w:spacing w:after="0" w:line="240" w:lineRule="auto"/>
        <w:contextualSpacing w:val="0"/>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 xml:space="preserve">Lauku atbalsta dienests (LAD  – “platību” maksājumi). </w:t>
      </w:r>
    </w:p>
    <w:p w14:paraId="735E4F4B" w14:textId="77777777" w:rsidR="00EE5FE0" w:rsidRPr="00EE5FE0" w:rsidRDefault="00EE5FE0" w:rsidP="005817AF">
      <w:pPr>
        <w:numPr>
          <w:ilvl w:val="0"/>
          <w:numId w:val="34"/>
        </w:numPr>
        <w:spacing w:after="0" w:line="240" w:lineRule="auto"/>
        <w:jc w:val="both"/>
        <w:rPr>
          <w:rFonts w:ascii="Times New Roman" w:hAnsi="Times New Roman" w:cs="Times New Roman"/>
          <w:color w:val="000000" w:themeColor="text1"/>
          <w:sz w:val="24"/>
          <w:szCs w:val="24"/>
        </w:rPr>
      </w:pPr>
      <w:r w:rsidRPr="00EE5FE0">
        <w:rPr>
          <w:rFonts w:ascii="Times New Roman" w:hAnsi="Times New Roman" w:cs="Times New Roman"/>
          <w:color w:val="000000" w:themeColor="text1"/>
          <w:sz w:val="24"/>
          <w:szCs w:val="24"/>
        </w:rPr>
        <w:t>Valsts izglītības informācijas sistēma (VIIS – dati par bērnu mācību iestādi, klasi, periodu, kurā mācījies konkrētā skolā; informācija par PII (bērnu dārzi) - apmeklējums, apmaksa, parāds par samaksu).</w:t>
      </w:r>
    </w:p>
    <w:bookmarkEnd w:id="2"/>
    <w:p w14:paraId="37EA28AE" w14:textId="36D40D29" w:rsidR="003559B9" w:rsidRPr="003559B9" w:rsidRDefault="003559B9" w:rsidP="00122F8D">
      <w:pPr>
        <w:ind w:firstLine="435"/>
        <w:jc w:val="both"/>
        <w:rPr>
          <w:rFonts w:ascii="Times New Roman" w:hAnsi="Times New Roman" w:cs="Times New Roman"/>
          <w:b/>
          <w:sz w:val="24"/>
          <w:szCs w:val="24"/>
        </w:rPr>
      </w:pPr>
      <w:r w:rsidRPr="003559B9">
        <w:rPr>
          <w:rFonts w:ascii="Times New Roman" w:hAnsi="Times New Roman" w:cs="Times New Roman"/>
          <w:b/>
          <w:sz w:val="24"/>
          <w:szCs w:val="24"/>
        </w:rPr>
        <w:lastRenderedPageBreak/>
        <w:t>2.</w:t>
      </w:r>
      <w:r w:rsidR="003F013A">
        <w:rPr>
          <w:rFonts w:ascii="Times New Roman" w:hAnsi="Times New Roman" w:cs="Times New Roman"/>
          <w:b/>
          <w:sz w:val="24"/>
          <w:szCs w:val="24"/>
        </w:rPr>
        <w:t>2</w:t>
      </w:r>
      <w:r w:rsidRPr="003559B9">
        <w:rPr>
          <w:rFonts w:ascii="Times New Roman" w:hAnsi="Times New Roman" w:cs="Times New Roman"/>
          <w:b/>
          <w:sz w:val="24"/>
          <w:szCs w:val="24"/>
        </w:rPr>
        <w:t>.4. Valsts sociālās apdrošināšanas aģentūras uzkrātie dati</w:t>
      </w:r>
    </w:p>
    <w:p w14:paraId="536D8F23" w14:textId="1413E63E" w:rsidR="00896F98" w:rsidRDefault="00896F98" w:rsidP="00896F98">
      <w:pPr>
        <w:spacing w:after="0" w:line="240" w:lineRule="auto"/>
        <w:ind w:firstLine="435"/>
        <w:jc w:val="both"/>
        <w:rPr>
          <w:rFonts w:ascii="Times New Roman" w:hAnsi="Times New Roman" w:cs="Times New Roman"/>
          <w:sz w:val="24"/>
          <w:szCs w:val="24"/>
        </w:rPr>
      </w:pPr>
      <w:r w:rsidRPr="003559B9">
        <w:rPr>
          <w:rFonts w:ascii="Times New Roman" w:hAnsi="Times New Roman" w:cs="Times New Roman"/>
          <w:sz w:val="24"/>
          <w:szCs w:val="24"/>
        </w:rPr>
        <w:t>Valsts sociālās apdrošināšanas aģentūras</w:t>
      </w:r>
      <w:r w:rsidRPr="003559B9">
        <w:rPr>
          <w:rFonts w:ascii="Times New Roman" w:hAnsi="Times New Roman" w:cs="Times New Roman"/>
          <w:b/>
          <w:sz w:val="24"/>
          <w:szCs w:val="24"/>
        </w:rPr>
        <w:t xml:space="preserve"> </w:t>
      </w:r>
      <w:r>
        <w:rPr>
          <w:rFonts w:ascii="Times New Roman" w:hAnsi="Times New Roman" w:cs="Times New Roman"/>
          <w:sz w:val="24"/>
          <w:szCs w:val="24"/>
        </w:rPr>
        <w:t xml:space="preserve">(turpmāk – VSAA) datu bāzē ir pieejami dati par pensiju, atlīdzību un pabalstu apmēriem </w:t>
      </w:r>
      <w:r>
        <w:rPr>
          <w:rFonts w:ascii="Times New Roman" w:hAnsi="Times New Roman" w:cs="Times New Roman"/>
          <w:i/>
          <w:sz w:val="24"/>
          <w:szCs w:val="24"/>
        </w:rPr>
        <w:t>(</w:t>
      </w:r>
      <w:r w:rsidRPr="00DD5B66">
        <w:rPr>
          <w:rFonts w:ascii="Times New Roman" w:hAnsi="Times New Roman" w:cs="Times New Roman"/>
          <w:i/>
          <w:sz w:val="24"/>
          <w:szCs w:val="24"/>
        </w:rPr>
        <w:t>bruto</w:t>
      </w:r>
      <w:r w:rsidR="006E4178">
        <w:rPr>
          <w:rFonts w:ascii="Times New Roman" w:hAnsi="Times New Roman" w:cs="Times New Roman"/>
          <w:i/>
          <w:sz w:val="24"/>
          <w:szCs w:val="24"/>
        </w:rPr>
        <w:t xml:space="preserve"> un </w:t>
      </w:r>
      <w:r w:rsidRPr="00DD5B66">
        <w:rPr>
          <w:rFonts w:ascii="Times New Roman" w:hAnsi="Times New Roman" w:cs="Times New Roman"/>
          <w:i/>
          <w:sz w:val="24"/>
          <w:szCs w:val="24"/>
        </w:rPr>
        <w:t>neto)</w:t>
      </w:r>
      <w:r>
        <w:rPr>
          <w:rFonts w:ascii="Times New Roman" w:hAnsi="Times New Roman" w:cs="Times New Roman"/>
          <w:sz w:val="24"/>
          <w:szCs w:val="24"/>
        </w:rPr>
        <w:t>, aktuālo pakalpojumu saņēmēju kontu dati un adreses izmaksai dzīvesvietā.</w:t>
      </w:r>
    </w:p>
    <w:p w14:paraId="37C876A2" w14:textId="54815841" w:rsidR="00896F98" w:rsidRDefault="006E4178" w:rsidP="00896F98">
      <w:pPr>
        <w:spacing w:after="0" w:line="240" w:lineRule="auto"/>
        <w:ind w:firstLine="435"/>
        <w:jc w:val="both"/>
        <w:rPr>
          <w:rFonts w:ascii="Times New Roman" w:hAnsi="Times New Roman" w:cs="Times New Roman"/>
          <w:sz w:val="24"/>
          <w:szCs w:val="24"/>
        </w:rPr>
      </w:pPr>
      <w:r>
        <w:rPr>
          <w:rFonts w:ascii="Times New Roman" w:hAnsi="Times New Roman" w:cs="Times New Roman"/>
          <w:sz w:val="24"/>
          <w:szCs w:val="24"/>
        </w:rPr>
        <w:t>Tāpat</w:t>
      </w:r>
      <w:r w:rsidR="00896F98">
        <w:rPr>
          <w:rFonts w:ascii="Times New Roman" w:hAnsi="Times New Roman" w:cs="Times New Roman"/>
          <w:sz w:val="24"/>
          <w:szCs w:val="24"/>
        </w:rPr>
        <w:t xml:space="preserve"> VSAA rīcībā ir dati, kas tiek saņemti no citām datu bāzēm: </w:t>
      </w:r>
    </w:p>
    <w:p w14:paraId="207C00F1" w14:textId="1F807D9C" w:rsidR="00896F98" w:rsidRDefault="00896F98" w:rsidP="00896F98">
      <w:pPr>
        <w:spacing w:after="0" w:line="240" w:lineRule="auto"/>
        <w:ind w:firstLine="435"/>
        <w:jc w:val="both"/>
        <w:rPr>
          <w:rFonts w:ascii="Times New Roman" w:hAnsi="Times New Roman" w:cs="Times New Roman"/>
          <w:sz w:val="24"/>
          <w:szCs w:val="24"/>
        </w:rPr>
      </w:pPr>
      <w:r>
        <w:rPr>
          <w:rFonts w:ascii="Times New Roman" w:hAnsi="Times New Roman" w:cs="Times New Roman"/>
          <w:sz w:val="24"/>
          <w:szCs w:val="24"/>
        </w:rPr>
        <w:t xml:space="preserve">1) no VID saņemtie dati par </w:t>
      </w:r>
      <w:r w:rsidRPr="00444864">
        <w:rPr>
          <w:rFonts w:ascii="Times New Roman" w:hAnsi="Times New Roman" w:cs="Times New Roman"/>
          <w:i/>
          <w:sz w:val="24"/>
          <w:szCs w:val="24"/>
        </w:rPr>
        <w:t>bruto</w:t>
      </w:r>
      <w:r>
        <w:rPr>
          <w:rFonts w:ascii="Times New Roman" w:hAnsi="Times New Roman" w:cs="Times New Roman"/>
          <w:sz w:val="24"/>
          <w:szCs w:val="24"/>
        </w:rPr>
        <w:t xml:space="preserve"> ienākumiem no algota darba, no pašnodarbinātības (VID dati VSAA rīcībā ir ar 2-5 mēnešu nobīdi), kas nepieciešami sociālās apdrošināšanas pensiju un pabalstu apmēru noteikšanai;</w:t>
      </w:r>
    </w:p>
    <w:p w14:paraId="503CDA18" w14:textId="77777777" w:rsidR="00896F98" w:rsidRDefault="00896F98" w:rsidP="00896F98">
      <w:pPr>
        <w:spacing w:after="0" w:line="240" w:lineRule="auto"/>
        <w:ind w:firstLine="435"/>
        <w:jc w:val="both"/>
        <w:rPr>
          <w:rFonts w:ascii="Times New Roman" w:hAnsi="Times New Roman" w:cs="Times New Roman"/>
          <w:sz w:val="24"/>
          <w:szCs w:val="24"/>
        </w:rPr>
      </w:pPr>
      <w:r>
        <w:rPr>
          <w:rFonts w:ascii="Times New Roman" w:hAnsi="Times New Roman" w:cs="Times New Roman"/>
          <w:sz w:val="24"/>
          <w:szCs w:val="24"/>
        </w:rPr>
        <w:t>2) no PMLP saņemtie dati  par laulību, par bērniem, par deklarēto dzīvesvietu, par personas miršanu u.c.  par personām, kuras ir VSAA datubāzē (dati ir vienmēr aktuāli). Lai datus iegūtu par pilnīgi visiem Latvijas iedzīvotājiem, nepieciešamas izmaiņas nododamo datu apjomā un apstrādē sadarbībā ar PMLP;</w:t>
      </w:r>
    </w:p>
    <w:p w14:paraId="49879B91" w14:textId="77777777" w:rsidR="00896F98" w:rsidRDefault="00896F98" w:rsidP="00896F98">
      <w:pPr>
        <w:spacing w:after="0" w:line="240" w:lineRule="auto"/>
        <w:ind w:firstLine="435"/>
        <w:jc w:val="both"/>
        <w:rPr>
          <w:rFonts w:ascii="Times New Roman" w:hAnsi="Times New Roman" w:cs="Times New Roman"/>
          <w:sz w:val="24"/>
          <w:szCs w:val="24"/>
        </w:rPr>
      </w:pPr>
      <w:r>
        <w:rPr>
          <w:rFonts w:ascii="Times New Roman" w:hAnsi="Times New Roman" w:cs="Times New Roman"/>
          <w:sz w:val="24"/>
          <w:szCs w:val="24"/>
        </w:rPr>
        <w:t xml:space="preserve">3) no UGF saņemtie dati par bērniem izmaksātajiem uzturlīdzekļiem (dati ar viena mēneša nobīdi).  </w:t>
      </w:r>
    </w:p>
    <w:p w14:paraId="18F38B2D" w14:textId="711FF324" w:rsidR="00B466C8" w:rsidRDefault="00896F98">
      <w:pPr>
        <w:spacing w:after="0" w:line="240" w:lineRule="auto"/>
        <w:ind w:firstLine="435"/>
        <w:jc w:val="both"/>
        <w:rPr>
          <w:rFonts w:ascii="Times New Roman" w:hAnsi="Times New Roman" w:cs="Times New Roman"/>
          <w:sz w:val="24"/>
          <w:szCs w:val="24"/>
        </w:rPr>
      </w:pPr>
      <w:r>
        <w:rPr>
          <w:rFonts w:ascii="Times New Roman" w:hAnsi="Times New Roman" w:cs="Times New Roman"/>
          <w:sz w:val="24"/>
          <w:szCs w:val="24"/>
        </w:rPr>
        <w:t xml:space="preserve">Detalizēta informācija par datu </w:t>
      </w:r>
      <w:r w:rsidR="00E5351A">
        <w:rPr>
          <w:rFonts w:ascii="Times New Roman" w:hAnsi="Times New Roman" w:cs="Times New Roman"/>
          <w:sz w:val="24"/>
          <w:szCs w:val="24"/>
        </w:rPr>
        <w:t>pieejamību</w:t>
      </w:r>
      <w:r>
        <w:rPr>
          <w:rFonts w:ascii="Times New Roman" w:hAnsi="Times New Roman" w:cs="Times New Roman"/>
          <w:sz w:val="24"/>
          <w:szCs w:val="24"/>
        </w:rPr>
        <w:t xml:space="preserve"> atspoguļota </w:t>
      </w:r>
      <w:r w:rsidR="006E4178">
        <w:rPr>
          <w:rFonts w:ascii="Times New Roman" w:hAnsi="Times New Roman" w:cs="Times New Roman"/>
          <w:sz w:val="24"/>
          <w:szCs w:val="24"/>
        </w:rPr>
        <w:t>3.</w:t>
      </w:r>
      <w:r>
        <w:rPr>
          <w:rFonts w:ascii="Times New Roman" w:hAnsi="Times New Roman" w:cs="Times New Roman"/>
          <w:sz w:val="24"/>
          <w:szCs w:val="24"/>
        </w:rPr>
        <w:t>pielikumā.</w:t>
      </w:r>
    </w:p>
    <w:p w14:paraId="48F47E9E" w14:textId="71BFA383" w:rsidR="00114009" w:rsidRDefault="00114009" w:rsidP="00EE5FE0">
      <w:pPr>
        <w:rPr>
          <w:rFonts w:ascii="Times New Roman" w:hAnsi="Times New Roman" w:cs="Times New Roman"/>
          <w:b/>
          <w:sz w:val="24"/>
          <w:szCs w:val="24"/>
        </w:rPr>
      </w:pPr>
    </w:p>
    <w:p w14:paraId="5FF0C71C" w14:textId="77777777" w:rsidR="00E5351A" w:rsidRDefault="00E5351A" w:rsidP="00EE5FE0">
      <w:pPr>
        <w:rPr>
          <w:rFonts w:ascii="Times New Roman" w:hAnsi="Times New Roman" w:cs="Times New Roman"/>
          <w:b/>
          <w:sz w:val="24"/>
          <w:szCs w:val="24"/>
        </w:rPr>
      </w:pPr>
    </w:p>
    <w:p w14:paraId="14733AA9" w14:textId="3612F5A6" w:rsidR="0035193C" w:rsidRPr="00E5351A" w:rsidRDefault="0035193C" w:rsidP="00E5132C">
      <w:pPr>
        <w:jc w:val="both"/>
        <w:rPr>
          <w:rFonts w:ascii="Times New Roman" w:hAnsi="Times New Roman" w:cs="Times New Roman"/>
          <w:b/>
          <w:sz w:val="26"/>
          <w:szCs w:val="24"/>
        </w:rPr>
      </w:pPr>
      <w:r w:rsidRPr="00E5351A">
        <w:rPr>
          <w:rFonts w:ascii="Times New Roman" w:hAnsi="Times New Roman" w:cs="Times New Roman"/>
          <w:b/>
          <w:sz w:val="26"/>
          <w:szCs w:val="24"/>
        </w:rPr>
        <w:t>3.</w:t>
      </w:r>
      <w:r w:rsidR="00A4528E" w:rsidRPr="00E5351A">
        <w:rPr>
          <w:rFonts w:ascii="Times New Roman" w:hAnsi="Times New Roman" w:cs="Times New Roman"/>
          <w:b/>
          <w:sz w:val="26"/>
          <w:szCs w:val="24"/>
        </w:rPr>
        <w:t xml:space="preserve"> </w:t>
      </w:r>
      <w:r w:rsidRPr="00E5351A">
        <w:rPr>
          <w:rFonts w:ascii="Times New Roman" w:hAnsi="Times New Roman" w:cs="Times New Roman"/>
          <w:b/>
          <w:sz w:val="26"/>
          <w:szCs w:val="24"/>
        </w:rPr>
        <w:t>Piedāvātie risinājumi</w:t>
      </w:r>
      <w:r w:rsidR="008051CF" w:rsidRPr="00E5351A">
        <w:rPr>
          <w:rFonts w:ascii="Times New Roman" w:hAnsi="Times New Roman" w:cs="Times New Roman"/>
          <w:b/>
          <w:sz w:val="26"/>
          <w:szCs w:val="24"/>
        </w:rPr>
        <w:t>.</w:t>
      </w:r>
    </w:p>
    <w:p w14:paraId="18386E90" w14:textId="77777777" w:rsidR="00E973AD" w:rsidRPr="00A37166" w:rsidRDefault="00E973AD" w:rsidP="00E973AD">
      <w:pPr>
        <w:rPr>
          <w:rFonts w:ascii="Times New Roman" w:hAnsi="Times New Roman" w:cs="Times New Roman"/>
          <w:b/>
          <w:i/>
          <w:sz w:val="24"/>
          <w:szCs w:val="24"/>
        </w:rPr>
      </w:pPr>
      <w:r w:rsidRPr="00FD0A1B">
        <w:rPr>
          <w:rFonts w:ascii="Times New Roman" w:hAnsi="Times New Roman" w:cs="Times New Roman"/>
          <w:b/>
          <w:i/>
          <w:sz w:val="24"/>
          <w:szCs w:val="24"/>
        </w:rPr>
        <w:t xml:space="preserve">Definīcijas </w:t>
      </w:r>
    </w:p>
    <w:p w14:paraId="47F63C5D" w14:textId="77777777" w:rsidR="00E973AD" w:rsidRDefault="00E973AD" w:rsidP="00E973AD">
      <w:pPr>
        <w:spacing w:after="0" w:line="240" w:lineRule="auto"/>
        <w:ind w:firstLine="720"/>
        <w:jc w:val="both"/>
        <w:rPr>
          <w:rFonts w:ascii="Times New Roman" w:hAnsi="Times New Roman" w:cs="Times New Roman"/>
          <w:sz w:val="24"/>
          <w:szCs w:val="24"/>
        </w:rPr>
      </w:pPr>
      <w:r w:rsidRPr="001420D3">
        <w:rPr>
          <w:rFonts w:ascii="Times New Roman" w:hAnsi="Times New Roman" w:cs="Times New Roman"/>
          <w:b/>
          <w:sz w:val="24"/>
          <w:szCs w:val="24"/>
        </w:rPr>
        <w:t>Mājsaimniecība</w:t>
      </w:r>
      <w:r>
        <w:rPr>
          <w:rFonts w:ascii="Times New Roman" w:hAnsi="Times New Roman" w:cs="Times New Roman"/>
          <w:sz w:val="24"/>
          <w:szCs w:val="24"/>
        </w:rPr>
        <w:t xml:space="preserve"> šī informatīvā ziņojumā piedāvātajiem atbalsta pasākumiem </w:t>
      </w:r>
      <w:r w:rsidRPr="00135754">
        <w:rPr>
          <w:rFonts w:ascii="Times New Roman" w:hAnsi="Times New Roman" w:cs="Times New Roman"/>
          <w:sz w:val="24"/>
          <w:szCs w:val="24"/>
          <w:u w:val="single"/>
        </w:rPr>
        <w:t>primāri</w:t>
      </w:r>
      <w:r>
        <w:rPr>
          <w:rFonts w:ascii="Times New Roman" w:hAnsi="Times New Roman" w:cs="Times New Roman"/>
          <w:sz w:val="24"/>
          <w:szCs w:val="24"/>
        </w:rPr>
        <w:t xml:space="preserve"> </w:t>
      </w:r>
      <w:r w:rsidRPr="00135754">
        <w:rPr>
          <w:rFonts w:ascii="Times New Roman" w:hAnsi="Times New Roman" w:cs="Times New Roman"/>
          <w:sz w:val="24"/>
          <w:szCs w:val="24"/>
        </w:rPr>
        <w:t xml:space="preserve">tiek </w:t>
      </w:r>
      <w:r>
        <w:rPr>
          <w:rFonts w:ascii="Times New Roman" w:hAnsi="Times New Roman" w:cs="Times New Roman"/>
          <w:sz w:val="24"/>
          <w:szCs w:val="24"/>
        </w:rPr>
        <w:t>definēta kā</w:t>
      </w:r>
      <w:r w:rsidRPr="00135754">
        <w:rPr>
          <w:rFonts w:ascii="Times New Roman" w:hAnsi="Times New Roman" w:cs="Times New Roman"/>
          <w:sz w:val="24"/>
          <w:szCs w:val="24"/>
        </w:rPr>
        <w:t xml:space="preserve"> personu kopa,</w:t>
      </w:r>
      <w:r>
        <w:rPr>
          <w:rFonts w:ascii="Times New Roman" w:hAnsi="Times New Roman" w:cs="Times New Roman"/>
          <w:sz w:val="24"/>
          <w:szCs w:val="24"/>
        </w:rPr>
        <w:t xml:space="preserve"> kura atbilst šādiem kritērijiem:</w:t>
      </w:r>
    </w:p>
    <w:p w14:paraId="4C76A283" w14:textId="77777777" w:rsidR="00E973AD" w:rsidRPr="00747E04" w:rsidRDefault="00E973AD" w:rsidP="005817AF">
      <w:pPr>
        <w:pStyle w:val="ListParagraph"/>
        <w:numPr>
          <w:ilvl w:val="0"/>
          <w:numId w:val="20"/>
        </w:numPr>
        <w:spacing w:after="0" w:line="240" w:lineRule="auto"/>
        <w:jc w:val="both"/>
        <w:rPr>
          <w:rFonts w:ascii="Times New Roman" w:hAnsi="Times New Roman" w:cs="Times New Roman"/>
          <w:sz w:val="24"/>
          <w:szCs w:val="24"/>
        </w:rPr>
      </w:pPr>
      <w:r w:rsidRPr="00CC06F1">
        <w:rPr>
          <w:rFonts w:ascii="Times New Roman" w:hAnsi="Times New Roman" w:cs="Times New Roman"/>
          <w:sz w:val="24"/>
          <w:szCs w:val="24"/>
        </w:rPr>
        <w:t xml:space="preserve">vairākas personas, </w:t>
      </w:r>
      <w:r w:rsidRPr="00747E04">
        <w:rPr>
          <w:rFonts w:ascii="Times New Roman" w:hAnsi="Times New Roman" w:cs="Times New Roman"/>
          <w:sz w:val="24"/>
          <w:szCs w:val="24"/>
        </w:rPr>
        <w:t>kuras dzīvo vienā mājoklī un kopīgi sedz izdevumus, vai viena persona, kura saimnieko atsevišķi (ievērojot analoģiju ar Sociālo pakalpojumu un sociālās palīdzības likuma 1.panta 40.apakšpunktā sniegto mājsaimniecības definīciju);</w:t>
      </w:r>
    </w:p>
    <w:p w14:paraId="7E45568D" w14:textId="25CA65A0" w:rsidR="00E973AD" w:rsidRPr="00747E04" w:rsidRDefault="00E973AD" w:rsidP="005817AF">
      <w:pPr>
        <w:pStyle w:val="ListParagraph"/>
        <w:numPr>
          <w:ilvl w:val="0"/>
          <w:numId w:val="20"/>
        </w:numPr>
        <w:spacing w:after="0" w:line="240" w:lineRule="auto"/>
        <w:jc w:val="both"/>
        <w:rPr>
          <w:rFonts w:ascii="Times New Roman" w:hAnsi="Times New Roman" w:cs="Times New Roman"/>
          <w:sz w:val="24"/>
          <w:szCs w:val="24"/>
        </w:rPr>
      </w:pPr>
      <w:r w:rsidRPr="00747E04">
        <w:rPr>
          <w:rFonts w:ascii="Times New Roman" w:hAnsi="Times New Roman" w:cs="Times New Roman"/>
          <w:sz w:val="24"/>
          <w:szCs w:val="24"/>
        </w:rPr>
        <w:t>atbilstoši Fizisko personu reģistr</w:t>
      </w:r>
      <w:r>
        <w:rPr>
          <w:rFonts w:ascii="Times New Roman" w:hAnsi="Times New Roman" w:cs="Times New Roman"/>
          <w:sz w:val="24"/>
          <w:szCs w:val="24"/>
        </w:rPr>
        <w:t>ā</w:t>
      </w:r>
      <w:r w:rsidRPr="00747E04">
        <w:rPr>
          <w:rFonts w:ascii="Times New Roman" w:hAnsi="Times New Roman" w:cs="Times New Roman"/>
          <w:sz w:val="24"/>
          <w:szCs w:val="24"/>
        </w:rPr>
        <w:t xml:space="preserve"> iekļau</w:t>
      </w:r>
      <w:r>
        <w:rPr>
          <w:rFonts w:ascii="Times New Roman" w:hAnsi="Times New Roman" w:cs="Times New Roman"/>
          <w:sz w:val="24"/>
          <w:szCs w:val="24"/>
        </w:rPr>
        <w:t>tajā</w:t>
      </w:r>
      <w:r w:rsidRPr="00747E04">
        <w:rPr>
          <w:rFonts w:ascii="Times New Roman" w:hAnsi="Times New Roman" w:cs="Times New Roman"/>
          <w:sz w:val="24"/>
          <w:szCs w:val="24"/>
        </w:rPr>
        <w:t xml:space="preserve">m </w:t>
      </w:r>
      <w:r>
        <w:rPr>
          <w:rFonts w:ascii="Times New Roman" w:hAnsi="Times New Roman" w:cs="Times New Roman"/>
          <w:sz w:val="24"/>
          <w:szCs w:val="24"/>
        </w:rPr>
        <w:t xml:space="preserve">ziņām visām </w:t>
      </w:r>
      <w:r w:rsidRPr="00747E04">
        <w:rPr>
          <w:rFonts w:ascii="Times New Roman" w:hAnsi="Times New Roman" w:cs="Times New Roman"/>
          <w:sz w:val="24"/>
          <w:szCs w:val="24"/>
        </w:rPr>
        <w:t>personām</w:t>
      </w:r>
      <w:r>
        <w:rPr>
          <w:rFonts w:ascii="Times New Roman" w:hAnsi="Times New Roman" w:cs="Times New Roman"/>
          <w:sz w:val="24"/>
          <w:szCs w:val="24"/>
        </w:rPr>
        <w:t xml:space="preserve">, kuras iekļaujamas primārās atbalsta pasākumu personu kopā, </w:t>
      </w:r>
      <w:r w:rsidR="008849D4">
        <w:rPr>
          <w:rFonts w:ascii="Times New Roman" w:hAnsi="Times New Roman" w:cs="Times New Roman"/>
          <w:sz w:val="24"/>
          <w:szCs w:val="24"/>
        </w:rPr>
        <w:t>ir statuss “aktīvs”;</w:t>
      </w:r>
    </w:p>
    <w:p w14:paraId="45164CB1" w14:textId="77777777" w:rsidR="00E973AD" w:rsidRDefault="00E973AD" w:rsidP="005817AF">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atbilstoši Fizisko personu reģistrā iekļautajām ziņām </w:t>
      </w:r>
      <w:r w:rsidRPr="00A40202">
        <w:rPr>
          <w:rFonts w:ascii="Times New Roman" w:hAnsi="Times New Roman" w:cs="Times New Roman"/>
          <w:sz w:val="24"/>
          <w:szCs w:val="24"/>
        </w:rPr>
        <w:t xml:space="preserve">visām personām </w:t>
      </w:r>
      <w:r>
        <w:rPr>
          <w:rFonts w:ascii="Times New Roman" w:hAnsi="Times New Roman" w:cs="Times New Roman"/>
          <w:sz w:val="24"/>
          <w:szCs w:val="24"/>
        </w:rPr>
        <w:t xml:space="preserve">ar statusu “aktīvs” </w:t>
      </w:r>
      <w:r w:rsidRPr="00A40202">
        <w:rPr>
          <w:rFonts w:ascii="Times New Roman" w:hAnsi="Times New Roman" w:cs="Times New Roman"/>
          <w:sz w:val="24"/>
          <w:szCs w:val="24"/>
        </w:rPr>
        <w:t xml:space="preserve">ir </w:t>
      </w:r>
      <w:r>
        <w:rPr>
          <w:rFonts w:ascii="Times New Roman" w:hAnsi="Times New Roman" w:cs="Times New Roman"/>
          <w:sz w:val="24"/>
          <w:szCs w:val="24"/>
        </w:rPr>
        <w:t xml:space="preserve">ziņas par </w:t>
      </w:r>
      <w:r w:rsidRPr="00A40202">
        <w:rPr>
          <w:rFonts w:ascii="Times New Roman" w:hAnsi="Times New Roman" w:cs="Times New Roman"/>
          <w:sz w:val="24"/>
          <w:szCs w:val="24"/>
        </w:rPr>
        <w:t>vien</w:t>
      </w:r>
      <w:r>
        <w:rPr>
          <w:rFonts w:ascii="Times New Roman" w:hAnsi="Times New Roman" w:cs="Times New Roman"/>
          <w:sz w:val="24"/>
          <w:szCs w:val="24"/>
        </w:rPr>
        <w:t>u</w:t>
      </w:r>
      <w:r w:rsidRPr="00A40202">
        <w:rPr>
          <w:rFonts w:ascii="Times New Roman" w:hAnsi="Times New Roman" w:cs="Times New Roman"/>
          <w:sz w:val="24"/>
          <w:szCs w:val="24"/>
        </w:rPr>
        <w:t xml:space="preserve"> un t</w:t>
      </w:r>
      <w:r>
        <w:rPr>
          <w:rFonts w:ascii="Times New Roman" w:hAnsi="Times New Roman" w:cs="Times New Roman"/>
          <w:sz w:val="24"/>
          <w:szCs w:val="24"/>
        </w:rPr>
        <w:t>o</w:t>
      </w:r>
      <w:r w:rsidRPr="00A40202">
        <w:rPr>
          <w:rFonts w:ascii="Times New Roman" w:hAnsi="Times New Roman" w:cs="Times New Roman"/>
          <w:sz w:val="24"/>
          <w:szCs w:val="24"/>
        </w:rPr>
        <w:t xml:space="preserve"> pa</w:t>
      </w:r>
      <w:r>
        <w:rPr>
          <w:rFonts w:ascii="Times New Roman" w:hAnsi="Times New Roman" w:cs="Times New Roman"/>
          <w:sz w:val="24"/>
          <w:szCs w:val="24"/>
        </w:rPr>
        <w:t>šu</w:t>
      </w:r>
      <w:r w:rsidRPr="00A40202">
        <w:rPr>
          <w:rFonts w:ascii="Times New Roman" w:hAnsi="Times New Roman" w:cs="Times New Roman"/>
          <w:sz w:val="24"/>
          <w:szCs w:val="24"/>
        </w:rPr>
        <w:t xml:space="preserve"> deklarēt</w:t>
      </w:r>
      <w:r>
        <w:rPr>
          <w:rFonts w:ascii="Times New Roman" w:hAnsi="Times New Roman" w:cs="Times New Roman"/>
          <w:sz w:val="24"/>
          <w:szCs w:val="24"/>
        </w:rPr>
        <w:t>o vai</w:t>
      </w:r>
      <w:r w:rsidRPr="00A40202">
        <w:rPr>
          <w:rFonts w:ascii="Times New Roman" w:hAnsi="Times New Roman" w:cs="Times New Roman"/>
          <w:sz w:val="24"/>
          <w:szCs w:val="24"/>
        </w:rPr>
        <w:t xml:space="preserve"> reģistrēt</w:t>
      </w:r>
      <w:r>
        <w:rPr>
          <w:rFonts w:ascii="Times New Roman" w:hAnsi="Times New Roman" w:cs="Times New Roman"/>
          <w:sz w:val="24"/>
          <w:szCs w:val="24"/>
        </w:rPr>
        <w:t>o</w:t>
      </w:r>
      <w:r w:rsidRPr="00D73216">
        <w:rPr>
          <w:rFonts w:ascii="Times New Roman" w:hAnsi="Times New Roman" w:cs="Times New Roman"/>
          <w:sz w:val="24"/>
          <w:szCs w:val="24"/>
        </w:rPr>
        <w:t xml:space="preserve"> dzīvesvietas adres</w:t>
      </w:r>
      <w:r>
        <w:rPr>
          <w:rFonts w:ascii="Times New Roman" w:hAnsi="Times New Roman" w:cs="Times New Roman"/>
          <w:sz w:val="24"/>
          <w:szCs w:val="24"/>
        </w:rPr>
        <w:t>i</w:t>
      </w:r>
      <w:r w:rsidRPr="00D73216">
        <w:rPr>
          <w:rFonts w:ascii="Times New Roman" w:hAnsi="Times New Roman" w:cs="Times New Roman"/>
          <w:sz w:val="24"/>
          <w:szCs w:val="24"/>
        </w:rPr>
        <w:t xml:space="preserve"> Latvijā</w:t>
      </w:r>
      <w:r w:rsidRPr="002F19DA">
        <w:rPr>
          <w:rFonts w:ascii="Times New Roman" w:hAnsi="Times New Roman" w:cs="Times New Roman"/>
          <w:sz w:val="24"/>
          <w:szCs w:val="24"/>
        </w:rPr>
        <w:t xml:space="preserve"> (atbilst</w:t>
      </w:r>
      <w:r w:rsidRPr="00A25551">
        <w:rPr>
          <w:rFonts w:ascii="Times New Roman" w:hAnsi="Times New Roman" w:cs="Times New Roman"/>
          <w:sz w:val="24"/>
          <w:szCs w:val="24"/>
        </w:rPr>
        <w:t xml:space="preserve"> D</w:t>
      </w:r>
      <w:r w:rsidRPr="001560FD">
        <w:rPr>
          <w:rFonts w:ascii="Times New Roman" w:hAnsi="Times New Roman" w:cs="Times New Roman"/>
          <w:sz w:val="24"/>
          <w:szCs w:val="24"/>
        </w:rPr>
        <w:t>z</w:t>
      </w:r>
      <w:r w:rsidRPr="001D5A2B">
        <w:rPr>
          <w:rFonts w:ascii="Times New Roman" w:hAnsi="Times New Roman" w:cs="Times New Roman"/>
          <w:sz w:val="24"/>
          <w:szCs w:val="24"/>
        </w:rPr>
        <w:t>īve</w:t>
      </w:r>
      <w:r w:rsidRPr="0058113D">
        <w:rPr>
          <w:rFonts w:ascii="Times New Roman" w:hAnsi="Times New Roman" w:cs="Times New Roman"/>
          <w:sz w:val="24"/>
          <w:szCs w:val="24"/>
        </w:rPr>
        <w:t>sv</w:t>
      </w:r>
      <w:r w:rsidRPr="00FB35D5">
        <w:rPr>
          <w:rFonts w:ascii="Times New Roman" w:hAnsi="Times New Roman" w:cs="Times New Roman"/>
          <w:sz w:val="24"/>
          <w:szCs w:val="24"/>
        </w:rPr>
        <w:t xml:space="preserve">ietas deklarēšanas likuma </w:t>
      </w:r>
      <w:r w:rsidRPr="00A0577C">
        <w:rPr>
          <w:rFonts w:ascii="Times New Roman" w:hAnsi="Times New Roman" w:cs="Times New Roman"/>
          <w:sz w:val="24"/>
          <w:szCs w:val="24"/>
        </w:rPr>
        <w:t>3.panta un 10.panta</w:t>
      </w:r>
      <w:r>
        <w:rPr>
          <w:rFonts w:ascii="Times New Roman" w:hAnsi="Times New Roman" w:cs="Times New Roman"/>
          <w:sz w:val="24"/>
          <w:szCs w:val="24"/>
        </w:rPr>
        <w:t xml:space="preserve"> nosacījumiem</w:t>
      </w:r>
      <w:r w:rsidRPr="002F19DA">
        <w:rPr>
          <w:rFonts w:ascii="Times New Roman" w:hAnsi="Times New Roman" w:cs="Times New Roman"/>
          <w:sz w:val="24"/>
          <w:szCs w:val="24"/>
        </w:rPr>
        <w:t>)</w:t>
      </w:r>
      <w:r>
        <w:rPr>
          <w:rFonts w:ascii="Times New Roman" w:hAnsi="Times New Roman" w:cs="Times New Roman"/>
          <w:sz w:val="24"/>
          <w:szCs w:val="24"/>
        </w:rPr>
        <w:t>;</w:t>
      </w:r>
    </w:p>
    <w:p w14:paraId="03890AAE" w14:textId="77777777" w:rsidR="00E973AD" w:rsidRPr="00CC06F1" w:rsidRDefault="00E973AD" w:rsidP="005817AF">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atbilstoši Fizisko personu reģistrā iekļautajām ziņām</w:t>
      </w:r>
      <w:r w:rsidRPr="006E0FF6">
        <w:rPr>
          <w:rFonts w:ascii="Times New Roman" w:hAnsi="Times New Roman" w:cs="Times New Roman"/>
          <w:sz w:val="24"/>
          <w:szCs w:val="24"/>
        </w:rPr>
        <w:t xml:space="preserve"> vienā </w:t>
      </w:r>
      <w:r>
        <w:rPr>
          <w:rFonts w:ascii="Times New Roman" w:hAnsi="Times New Roman" w:cs="Times New Roman"/>
          <w:sz w:val="24"/>
          <w:szCs w:val="24"/>
        </w:rPr>
        <w:t xml:space="preserve">dzīvesvietas adresē </w:t>
      </w:r>
      <w:r w:rsidRPr="006E0FF6">
        <w:rPr>
          <w:rFonts w:ascii="Times New Roman" w:hAnsi="Times New Roman" w:cs="Times New Roman"/>
          <w:sz w:val="24"/>
          <w:szCs w:val="24"/>
        </w:rPr>
        <w:t>deklarētās</w:t>
      </w:r>
      <w:r>
        <w:rPr>
          <w:rFonts w:ascii="Times New Roman" w:hAnsi="Times New Roman" w:cs="Times New Roman"/>
          <w:sz w:val="24"/>
          <w:szCs w:val="24"/>
        </w:rPr>
        <w:t xml:space="preserve"> vai reģistrētās</w:t>
      </w:r>
      <w:r w:rsidRPr="006E0FF6">
        <w:rPr>
          <w:rFonts w:ascii="Times New Roman" w:hAnsi="Times New Roman" w:cs="Times New Roman"/>
          <w:sz w:val="24"/>
          <w:szCs w:val="24"/>
        </w:rPr>
        <w:t xml:space="preserve"> nepilngadīgas</w:t>
      </w:r>
      <w:r w:rsidRPr="00CC06F1">
        <w:rPr>
          <w:rFonts w:ascii="Times New Roman" w:hAnsi="Times New Roman" w:cs="Times New Roman"/>
          <w:sz w:val="24"/>
          <w:szCs w:val="24"/>
        </w:rPr>
        <w:t xml:space="preserve"> personas vecumā līdz 18 gadiem bez pilngadīgas personas netiek uzskatītas par mājsaimniecību.</w:t>
      </w:r>
    </w:p>
    <w:p w14:paraId="3B6B69A9" w14:textId="45D897B3" w:rsidR="00E973AD" w:rsidRPr="00E973AD" w:rsidRDefault="00E973AD" w:rsidP="005817AF">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E973AD">
        <w:rPr>
          <w:rFonts w:ascii="Times New Roman" w:hAnsi="Times New Roman" w:cs="Times New Roman"/>
          <w:sz w:val="24"/>
          <w:szCs w:val="24"/>
        </w:rPr>
        <w:t>tbilstība mājsaimniecības kritērijiem tiek vērtēta katra konkrētā atbalsta veida ietvaros, detalizētākā veidā raksturojot un pamatojot mājsaimniecības identificēšanu atbilstoši piedāvātajam atbalsta administrēšanas veidam un atbalsta saņemšanas kritērijiem un ņemot vērā mājsaimniecību reģistra vai platformas neesamību Latvijā.</w:t>
      </w:r>
    </w:p>
    <w:p w14:paraId="22C157EE" w14:textId="77777777" w:rsidR="00E973AD" w:rsidRDefault="00E973AD" w:rsidP="00E973AD">
      <w:pPr>
        <w:spacing w:after="0" w:line="240" w:lineRule="auto"/>
        <w:jc w:val="both"/>
        <w:rPr>
          <w:rFonts w:ascii="Times New Roman" w:hAnsi="Times New Roman" w:cs="Times New Roman"/>
          <w:sz w:val="24"/>
          <w:szCs w:val="24"/>
        </w:rPr>
      </w:pPr>
    </w:p>
    <w:p w14:paraId="44EB12D6" w14:textId="537036EB" w:rsidR="00E973AD" w:rsidRDefault="00E973AD" w:rsidP="00E973AD">
      <w:pPr>
        <w:spacing w:after="0" w:line="240" w:lineRule="auto"/>
        <w:ind w:firstLine="360"/>
        <w:jc w:val="both"/>
        <w:rPr>
          <w:rFonts w:ascii="Times New Roman" w:hAnsi="Times New Roman" w:cs="Times New Roman"/>
          <w:sz w:val="24"/>
          <w:szCs w:val="24"/>
        </w:rPr>
      </w:pPr>
      <w:r w:rsidRPr="001F6869">
        <w:rPr>
          <w:rFonts w:ascii="Times New Roman" w:hAnsi="Times New Roman" w:cs="Times New Roman"/>
          <w:sz w:val="24"/>
          <w:szCs w:val="24"/>
        </w:rPr>
        <w:t xml:space="preserve">Kā </w:t>
      </w:r>
      <w:r w:rsidRPr="001F6869">
        <w:rPr>
          <w:rFonts w:ascii="Times New Roman" w:hAnsi="Times New Roman" w:cs="Times New Roman"/>
          <w:b/>
          <w:sz w:val="24"/>
          <w:szCs w:val="24"/>
        </w:rPr>
        <w:t>mājsaimniecības ienākumi</w:t>
      </w:r>
      <w:r w:rsidRPr="001F6869">
        <w:rPr>
          <w:rFonts w:ascii="Times New Roman" w:hAnsi="Times New Roman" w:cs="Times New Roman"/>
          <w:sz w:val="24"/>
          <w:szCs w:val="24"/>
        </w:rPr>
        <w:t>, kas tiek vērtēti atbalsta saņemšanas nosacījumu pārbaudē, šī informatīvā ziņojumā piedāvātajiem atbalsta pasākumiem</w:t>
      </w:r>
      <w:r w:rsidR="00AC5473">
        <w:rPr>
          <w:rFonts w:ascii="Times New Roman" w:hAnsi="Times New Roman" w:cs="Times New Roman"/>
          <w:sz w:val="24"/>
          <w:szCs w:val="24"/>
        </w:rPr>
        <w:t xml:space="preserve"> </w:t>
      </w:r>
      <w:r w:rsidR="00AC5473" w:rsidRPr="00E973AD">
        <w:rPr>
          <w:rFonts w:ascii="Times New Roman" w:hAnsi="Times New Roman" w:cs="Times New Roman"/>
          <w:sz w:val="24"/>
          <w:szCs w:val="24"/>
        </w:rPr>
        <w:t xml:space="preserve">tiek </w:t>
      </w:r>
      <w:r w:rsidR="00AC5473">
        <w:rPr>
          <w:rFonts w:ascii="Times New Roman" w:hAnsi="Times New Roman" w:cs="Times New Roman"/>
          <w:sz w:val="24"/>
          <w:szCs w:val="24"/>
        </w:rPr>
        <w:t>aprakstīti</w:t>
      </w:r>
      <w:r w:rsidR="00AC5473" w:rsidRPr="00E973AD">
        <w:rPr>
          <w:rFonts w:ascii="Times New Roman" w:hAnsi="Times New Roman" w:cs="Times New Roman"/>
          <w:sz w:val="24"/>
          <w:szCs w:val="24"/>
        </w:rPr>
        <w:t xml:space="preserve"> katra konkrētā atbalsta veida ietvaros</w:t>
      </w:r>
      <w:r w:rsidR="00AC5473">
        <w:rPr>
          <w:rFonts w:ascii="Times New Roman" w:hAnsi="Times New Roman" w:cs="Times New Roman"/>
          <w:sz w:val="24"/>
          <w:szCs w:val="24"/>
        </w:rPr>
        <w:t>.</w:t>
      </w:r>
    </w:p>
    <w:p w14:paraId="1CFFD9AD" w14:textId="3F822EE6" w:rsidR="00E973AD" w:rsidRDefault="00E973AD" w:rsidP="00E973AD">
      <w:pPr>
        <w:spacing w:after="0" w:line="240" w:lineRule="auto"/>
        <w:ind w:firstLine="360"/>
        <w:jc w:val="both"/>
        <w:rPr>
          <w:rFonts w:ascii="Times New Roman" w:hAnsi="Times New Roman" w:cs="Times New Roman"/>
          <w:sz w:val="24"/>
          <w:szCs w:val="24"/>
        </w:rPr>
      </w:pPr>
      <w:r w:rsidRPr="001F6869">
        <w:rPr>
          <w:rFonts w:ascii="Times New Roman" w:hAnsi="Times New Roman" w:cs="Times New Roman"/>
          <w:sz w:val="24"/>
          <w:szCs w:val="24"/>
        </w:rPr>
        <w:t xml:space="preserve"> </w:t>
      </w:r>
    </w:p>
    <w:p w14:paraId="759E78C9" w14:textId="6F0866C7" w:rsidR="00AC5473" w:rsidRDefault="00AC5473">
      <w:pPr>
        <w:rPr>
          <w:rFonts w:ascii="Times New Roman" w:hAnsi="Times New Roman" w:cs="Times New Roman"/>
          <w:color w:val="414142"/>
          <w:sz w:val="24"/>
          <w:szCs w:val="24"/>
        </w:rPr>
      </w:pPr>
      <w:r>
        <w:rPr>
          <w:rFonts w:ascii="Times New Roman" w:hAnsi="Times New Roman" w:cs="Times New Roman"/>
          <w:color w:val="414142"/>
          <w:sz w:val="24"/>
          <w:szCs w:val="24"/>
        </w:rPr>
        <w:br w:type="page"/>
      </w:r>
    </w:p>
    <w:p w14:paraId="305BE0F2" w14:textId="77777777" w:rsidR="00AC5473" w:rsidRPr="001F6869" w:rsidRDefault="00AC5473" w:rsidP="00E973AD">
      <w:pPr>
        <w:spacing w:after="0" w:line="240" w:lineRule="auto"/>
        <w:ind w:firstLine="360"/>
        <w:jc w:val="both"/>
        <w:rPr>
          <w:rFonts w:ascii="Times New Roman" w:hAnsi="Times New Roman" w:cs="Times New Roman"/>
          <w:color w:val="414142"/>
          <w:sz w:val="24"/>
          <w:szCs w:val="24"/>
        </w:rPr>
      </w:pPr>
    </w:p>
    <w:p w14:paraId="7911C1B8" w14:textId="787A7BF3" w:rsidR="0088014E" w:rsidRPr="00E5132C" w:rsidRDefault="0035193C" w:rsidP="00E5132C">
      <w:pPr>
        <w:jc w:val="both"/>
        <w:rPr>
          <w:rFonts w:ascii="Times New Roman" w:hAnsi="Times New Roman"/>
          <w:sz w:val="24"/>
          <w:szCs w:val="24"/>
        </w:rPr>
      </w:pPr>
      <w:r w:rsidRPr="00365151">
        <w:rPr>
          <w:rFonts w:ascii="Times New Roman" w:hAnsi="Times New Roman" w:cs="Times New Roman"/>
          <w:b/>
          <w:sz w:val="24"/>
          <w:szCs w:val="24"/>
        </w:rPr>
        <w:t>3.1.pirmais rezolūcijas uzdevums</w:t>
      </w:r>
      <w:r w:rsidR="0088014E">
        <w:rPr>
          <w:rFonts w:ascii="Times New Roman" w:hAnsi="Times New Roman" w:cs="Times New Roman"/>
          <w:b/>
          <w:i/>
          <w:sz w:val="24"/>
          <w:szCs w:val="24"/>
        </w:rPr>
        <w:t xml:space="preserve">: </w:t>
      </w:r>
      <w:r w:rsidR="007A65F4" w:rsidRPr="00E5132C">
        <w:rPr>
          <w:rFonts w:ascii="Times New Roman" w:hAnsi="Times New Roman"/>
          <w:sz w:val="24"/>
          <w:szCs w:val="24"/>
        </w:rPr>
        <w:t>“Atbalsta virzieni, kas kompensē straujo inflācijas pieaugumu un kuri orientēti uz grupām, kuru ienākumi netiek indeksēti ar administratīviem lēmumiem/ likumā ietvertu ienākumu indeksāciju vai kuru ienākumi nepieaug līdz ar darba tirgus spiedienu un sekojošām atlīdzības izmaiņām</w:t>
      </w:r>
      <w:r w:rsidR="007A65F4" w:rsidRPr="00E5132C">
        <w:rPr>
          <w:rFonts w:ascii="Times New Roman" w:hAnsi="Times New Roman"/>
          <w:b/>
          <w:sz w:val="24"/>
          <w:szCs w:val="24"/>
        </w:rPr>
        <w:t xml:space="preserve">. </w:t>
      </w:r>
      <w:r w:rsidR="007A65F4" w:rsidRPr="00E5132C">
        <w:rPr>
          <w:rFonts w:ascii="Times New Roman" w:hAnsi="Times New Roman"/>
          <w:sz w:val="24"/>
          <w:szCs w:val="24"/>
        </w:rPr>
        <w:t>Atbalsta pasākumi tiek orientēti uz 1.–3. kvintili, ņemot vērā patēriņa groza specifiku un to, ka primārās vajadzības – pārtika, mājokļa un energoapgādes pakalpojumi – veido ievērojamu izdevumu īpatsvaru”</w:t>
      </w:r>
    </w:p>
    <w:p w14:paraId="1066B0E2" w14:textId="77777777" w:rsidR="008051CF" w:rsidRDefault="008051CF">
      <w:pPr>
        <w:rPr>
          <w:rFonts w:ascii="Times New Roman" w:hAnsi="Times New Roman" w:cs="Times New Roman"/>
          <w:b/>
          <w:szCs w:val="24"/>
        </w:rPr>
      </w:pPr>
    </w:p>
    <w:p w14:paraId="5A8FB8EB" w14:textId="030B7A20" w:rsidR="0087275E" w:rsidRPr="003B2CC4" w:rsidRDefault="00412AE7">
      <w:pPr>
        <w:rPr>
          <w:rFonts w:ascii="Times New Roman" w:hAnsi="Times New Roman" w:cs="Times New Roman"/>
          <w:b/>
          <w:szCs w:val="24"/>
        </w:rPr>
      </w:pPr>
      <w:r w:rsidRPr="003B2CC4">
        <w:rPr>
          <w:rFonts w:ascii="Times New Roman" w:hAnsi="Times New Roman" w:cs="Times New Roman"/>
          <w:b/>
          <w:szCs w:val="24"/>
        </w:rPr>
        <w:t xml:space="preserve">3.1.1. </w:t>
      </w:r>
      <w:r w:rsidR="0087275E" w:rsidRPr="003B2CC4">
        <w:rPr>
          <w:rFonts w:ascii="Times New Roman" w:hAnsi="Times New Roman" w:cs="Times New Roman"/>
          <w:b/>
          <w:szCs w:val="24"/>
        </w:rPr>
        <w:t>MĀJOKĻA PABALST</w:t>
      </w:r>
      <w:r w:rsidR="00AE63A6">
        <w:rPr>
          <w:rFonts w:ascii="Times New Roman" w:hAnsi="Times New Roman" w:cs="Times New Roman"/>
          <w:b/>
          <w:szCs w:val="24"/>
        </w:rPr>
        <w:t>S</w:t>
      </w:r>
      <w:r w:rsidR="00350075" w:rsidRPr="003B2CC4">
        <w:rPr>
          <w:rFonts w:ascii="Times New Roman" w:hAnsi="Times New Roman" w:cs="Times New Roman"/>
          <w:b/>
          <w:szCs w:val="24"/>
        </w:rPr>
        <w:t xml:space="preserve"> </w:t>
      </w:r>
    </w:p>
    <w:p w14:paraId="77603AC5" w14:textId="43E08C8B" w:rsidR="006C31D6" w:rsidRPr="00F96409" w:rsidRDefault="006C31D6" w:rsidP="006C3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 uzlabotu mājokļa pabalsta pieejamību, dodot iespējas saņemt šo pabalstu lielākam cilvēku lokam ar augstākiem ienākumiem, </w:t>
      </w:r>
      <w:r w:rsidR="00280268">
        <w:rPr>
          <w:rFonts w:ascii="Times New Roman" w:hAnsi="Times New Roman" w:cs="Times New Roman"/>
          <w:sz w:val="24"/>
          <w:szCs w:val="24"/>
        </w:rPr>
        <w:t xml:space="preserve">par periodu </w:t>
      </w:r>
      <w:r w:rsidRPr="00A77DE2">
        <w:rPr>
          <w:rFonts w:ascii="Times New Roman" w:hAnsi="Times New Roman" w:cs="Times New Roman"/>
          <w:b/>
          <w:sz w:val="24"/>
          <w:szCs w:val="24"/>
        </w:rPr>
        <w:t>no</w:t>
      </w:r>
      <w:r w:rsidRPr="00A77DE2">
        <w:rPr>
          <w:rFonts w:ascii="Times New Roman" w:hAnsi="Times New Roman" w:cs="Times New Roman"/>
          <w:sz w:val="24"/>
          <w:szCs w:val="24"/>
        </w:rPr>
        <w:t xml:space="preserve"> </w:t>
      </w:r>
      <w:r w:rsidRPr="00A77DE2">
        <w:rPr>
          <w:rFonts w:ascii="Times New Roman" w:hAnsi="Times New Roman" w:cs="Times New Roman"/>
          <w:b/>
          <w:sz w:val="24"/>
          <w:szCs w:val="24"/>
        </w:rPr>
        <w:t>2022.gada</w:t>
      </w:r>
      <w:r w:rsidRPr="00A77DE2">
        <w:rPr>
          <w:rFonts w:ascii="Times New Roman" w:hAnsi="Times New Roman" w:cs="Times New Roman"/>
          <w:sz w:val="24"/>
          <w:szCs w:val="24"/>
        </w:rPr>
        <w:t xml:space="preserve"> </w:t>
      </w:r>
      <w:r w:rsidR="00914232" w:rsidRPr="00A77DE2">
        <w:rPr>
          <w:rFonts w:ascii="Times New Roman" w:hAnsi="Times New Roman" w:cs="Times New Roman"/>
          <w:b/>
          <w:sz w:val="24"/>
          <w:szCs w:val="24"/>
        </w:rPr>
        <w:t>1</w:t>
      </w:r>
      <w:r w:rsidR="00914232" w:rsidRPr="00A77DE2">
        <w:rPr>
          <w:rFonts w:ascii="Times New Roman" w:hAnsi="Times New Roman" w:cs="Times New Roman"/>
          <w:sz w:val="24"/>
          <w:szCs w:val="24"/>
        </w:rPr>
        <w:t>.</w:t>
      </w:r>
      <w:r w:rsidR="00A77DE2">
        <w:rPr>
          <w:rFonts w:ascii="Times New Roman" w:hAnsi="Times New Roman" w:cs="Times New Roman"/>
          <w:b/>
          <w:sz w:val="24"/>
          <w:szCs w:val="24"/>
        </w:rPr>
        <w:t>oktobra</w:t>
      </w:r>
      <w:r w:rsidR="00914232" w:rsidRPr="00A77DE2">
        <w:rPr>
          <w:rFonts w:ascii="Times New Roman" w:hAnsi="Times New Roman" w:cs="Times New Roman"/>
          <w:b/>
          <w:sz w:val="24"/>
          <w:szCs w:val="24"/>
        </w:rPr>
        <w:t xml:space="preserve"> līdz 2023.gada 3</w:t>
      </w:r>
      <w:r w:rsidR="00280268">
        <w:rPr>
          <w:rFonts w:ascii="Times New Roman" w:hAnsi="Times New Roman" w:cs="Times New Roman"/>
          <w:b/>
          <w:sz w:val="24"/>
          <w:szCs w:val="24"/>
        </w:rPr>
        <w:t>0</w:t>
      </w:r>
      <w:r w:rsidR="00914232" w:rsidRPr="00A77DE2">
        <w:rPr>
          <w:rFonts w:ascii="Times New Roman" w:hAnsi="Times New Roman" w:cs="Times New Roman"/>
          <w:b/>
          <w:sz w:val="24"/>
          <w:szCs w:val="24"/>
        </w:rPr>
        <w:t>.</w:t>
      </w:r>
      <w:r w:rsidR="00A77DE2">
        <w:rPr>
          <w:rFonts w:ascii="Times New Roman" w:hAnsi="Times New Roman" w:cs="Times New Roman"/>
          <w:b/>
          <w:sz w:val="24"/>
          <w:szCs w:val="24"/>
        </w:rPr>
        <w:t>aprīlim</w:t>
      </w:r>
      <w:r w:rsidR="00914232" w:rsidRPr="00D66049">
        <w:rPr>
          <w:rFonts w:ascii="Times New Roman" w:hAnsi="Times New Roman" w:cs="Times New Roman"/>
          <w:sz w:val="24"/>
          <w:szCs w:val="24"/>
        </w:rPr>
        <w:t xml:space="preserve"> </w:t>
      </w:r>
      <w:r>
        <w:rPr>
          <w:rFonts w:ascii="Times New Roman" w:hAnsi="Times New Roman" w:cs="Times New Roman"/>
          <w:sz w:val="24"/>
          <w:szCs w:val="24"/>
        </w:rPr>
        <w:t>piedāvājam</w:t>
      </w:r>
      <w:r w:rsidRPr="00D66049">
        <w:rPr>
          <w:rFonts w:ascii="Times New Roman" w:hAnsi="Times New Roman" w:cs="Times New Roman"/>
          <w:sz w:val="24"/>
          <w:szCs w:val="24"/>
        </w:rPr>
        <w:t xml:space="preserve"> </w:t>
      </w:r>
      <w:r w:rsidR="00280268">
        <w:rPr>
          <w:rFonts w:ascii="Times New Roman" w:hAnsi="Times New Roman" w:cs="Times New Roman"/>
          <w:b/>
          <w:sz w:val="24"/>
          <w:szCs w:val="24"/>
        </w:rPr>
        <w:t>piemērot</w:t>
      </w:r>
      <w:r w:rsidRPr="00365151">
        <w:rPr>
          <w:rFonts w:ascii="Times New Roman" w:hAnsi="Times New Roman" w:cs="Times New Roman"/>
          <w:b/>
          <w:sz w:val="24"/>
          <w:szCs w:val="24"/>
        </w:rPr>
        <w:t xml:space="preserve"> </w:t>
      </w:r>
      <w:r w:rsidRPr="00365151">
        <w:rPr>
          <w:rFonts w:ascii="Times New Roman" w:hAnsi="Times New Roman" w:cs="Times New Roman"/>
          <w:b/>
          <w:bCs/>
          <w:sz w:val="24"/>
          <w:szCs w:val="24"/>
        </w:rPr>
        <w:t>koeficientu 3</w:t>
      </w:r>
      <w:r w:rsidRPr="00910570">
        <w:rPr>
          <w:rStyle w:val="FootnoteReference"/>
          <w:rFonts w:ascii="Times New Roman" w:hAnsi="Times New Roman"/>
          <w:sz w:val="24"/>
          <w:szCs w:val="24"/>
        </w:rPr>
        <w:footnoteReference w:id="25"/>
      </w:r>
      <w:r w:rsidRPr="00910570">
        <w:rPr>
          <w:rFonts w:ascii="Times New Roman" w:hAnsi="Times New Roman" w:cs="Times New Roman"/>
          <w:bCs/>
          <w:sz w:val="24"/>
          <w:szCs w:val="24"/>
        </w:rPr>
        <w:t xml:space="preserve"> </w:t>
      </w:r>
      <w:r w:rsidRPr="00910570">
        <w:rPr>
          <w:rFonts w:ascii="Times New Roman" w:hAnsi="Times New Roman" w:cs="Times New Roman"/>
          <w:sz w:val="24"/>
          <w:szCs w:val="24"/>
        </w:rPr>
        <w:t>visām mājsaimniecībām</w:t>
      </w:r>
      <w:r>
        <w:rPr>
          <w:rFonts w:ascii="Times New Roman" w:hAnsi="Times New Roman" w:cs="Times New Roman"/>
          <w:sz w:val="24"/>
          <w:szCs w:val="24"/>
        </w:rPr>
        <w:t xml:space="preserve"> </w:t>
      </w:r>
      <w:r w:rsidRPr="00D66049">
        <w:rPr>
          <w:rFonts w:ascii="Times New Roman" w:hAnsi="Times New Roman" w:cs="Times New Roman"/>
          <w:bCs/>
          <w:sz w:val="24"/>
          <w:szCs w:val="24"/>
        </w:rPr>
        <w:t>mājokļa pabalsta apmēra</w:t>
      </w:r>
      <w:r w:rsidRPr="005F31F4">
        <w:rPr>
          <w:rFonts w:ascii="Times New Roman" w:hAnsi="Times New Roman" w:cs="Times New Roman"/>
          <w:bCs/>
          <w:sz w:val="24"/>
          <w:szCs w:val="24"/>
        </w:rPr>
        <w:t xml:space="preserve"> aprēķinam</w:t>
      </w:r>
      <w:r>
        <w:rPr>
          <w:rFonts w:ascii="Times New Roman" w:hAnsi="Times New Roman" w:cs="Times New Roman"/>
          <w:sz w:val="24"/>
          <w:szCs w:val="24"/>
        </w:rPr>
        <w:t xml:space="preserve">. </w:t>
      </w:r>
      <w:r w:rsidR="003F3168">
        <w:rPr>
          <w:rFonts w:ascii="Times New Roman" w:hAnsi="Times New Roman" w:cs="Times New Roman"/>
          <w:sz w:val="24"/>
          <w:szCs w:val="24"/>
        </w:rPr>
        <w:t xml:space="preserve">Ja </w:t>
      </w:r>
      <w:r w:rsidR="003F3168" w:rsidRPr="00D66049">
        <w:rPr>
          <w:rFonts w:ascii="Times New Roman" w:hAnsi="Times New Roman" w:cs="Times New Roman"/>
          <w:bCs/>
          <w:sz w:val="24"/>
          <w:szCs w:val="24"/>
        </w:rPr>
        <w:t>mājokļa pabalsta apmēra</w:t>
      </w:r>
      <w:r w:rsidR="003F3168" w:rsidRPr="005F31F4">
        <w:rPr>
          <w:rFonts w:ascii="Times New Roman" w:hAnsi="Times New Roman" w:cs="Times New Roman"/>
          <w:bCs/>
          <w:sz w:val="24"/>
          <w:szCs w:val="24"/>
        </w:rPr>
        <w:t xml:space="preserve"> aprēķinam</w:t>
      </w:r>
      <w:r w:rsidR="003F3168">
        <w:rPr>
          <w:rFonts w:ascii="Times New Roman" w:hAnsi="Times New Roman" w:cs="Times New Roman"/>
          <w:bCs/>
          <w:sz w:val="24"/>
          <w:szCs w:val="24"/>
        </w:rPr>
        <w:t xml:space="preserve"> piemērotu </w:t>
      </w:r>
      <w:r w:rsidR="003F3168" w:rsidRPr="000C5E35">
        <w:rPr>
          <w:rFonts w:ascii="Times New Roman" w:hAnsi="Times New Roman" w:cs="Times New Roman"/>
          <w:bCs/>
          <w:sz w:val="24"/>
          <w:szCs w:val="24"/>
        </w:rPr>
        <w:t>koeficientu 4</w:t>
      </w:r>
      <w:r w:rsidR="003F3168" w:rsidRPr="00F96409">
        <w:rPr>
          <w:rStyle w:val="FootnoteReference"/>
          <w:rFonts w:ascii="Times New Roman" w:hAnsi="Times New Roman"/>
          <w:bCs/>
          <w:sz w:val="24"/>
          <w:szCs w:val="24"/>
        </w:rPr>
        <w:footnoteReference w:id="26"/>
      </w:r>
      <w:r w:rsidR="003F3168">
        <w:rPr>
          <w:rFonts w:ascii="Times New Roman" w:hAnsi="Times New Roman" w:cs="Times New Roman"/>
          <w:bCs/>
          <w:sz w:val="24"/>
          <w:szCs w:val="24"/>
        </w:rPr>
        <w:t>, tas dotu iespēju vēl plašākam iedzīvotāju lokam, tomēr, ņemot vēr</w:t>
      </w:r>
      <w:r w:rsidR="00B15931">
        <w:rPr>
          <w:rFonts w:ascii="Times New Roman" w:hAnsi="Times New Roman" w:cs="Times New Roman"/>
          <w:bCs/>
          <w:sz w:val="24"/>
          <w:szCs w:val="24"/>
        </w:rPr>
        <w:t xml:space="preserve">ā, ka šāda koeficienta paaugstināšana radīs loti būtisku slodzi sociālajiem dienestiem, šis variants netiek detalizēti izvērtēts. </w:t>
      </w:r>
    </w:p>
    <w:p w14:paraId="00978D4F" w14:textId="77777777" w:rsidR="005F31F4" w:rsidRDefault="005F31F4" w:rsidP="005F31F4">
      <w:pPr>
        <w:spacing w:after="0" w:line="240" w:lineRule="auto"/>
        <w:jc w:val="both"/>
        <w:rPr>
          <w:rFonts w:ascii="Times New Roman" w:hAnsi="Times New Roman" w:cs="Times New Roman"/>
          <w:sz w:val="24"/>
          <w:szCs w:val="24"/>
        </w:rPr>
      </w:pPr>
    </w:p>
    <w:p w14:paraId="3B07A949" w14:textId="441C5B36" w:rsidR="00D66049" w:rsidRDefault="003212A1" w:rsidP="00BF40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Paaugstināti koeficienti</w:t>
      </w:r>
      <w:r w:rsidR="00D66049" w:rsidRPr="00D66049">
        <w:rPr>
          <w:rFonts w:ascii="Times New Roman" w:hAnsi="Times New Roman" w:cs="Times New Roman"/>
          <w:sz w:val="24"/>
          <w:szCs w:val="24"/>
        </w:rPr>
        <w:t xml:space="preserve"> dod iespēju saglabāt atsevišķi dzīvojošas personas vai vairāku personu mājsaimniecības rīcībā vairāk līdzekļus ikdienas izdevumu apmaksai, tajā skaitā, pārtikas iegādei</w:t>
      </w:r>
      <w:r w:rsidR="00BF6806">
        <w:rPr>
          <w:rFonts w:ascii="Times New Roman" w:hAnsi="Times New Roman" w:cs="Times New Roman"/>
          <w:sz w:val="24"/>
          <w:szCs w:val="24"/>
        </w:rPr>
        <w:t xml:space="preserve"> un kvalificēties mājokļa pabalstam ar nedaudz augstākiem ienākumiem kā iepriekš</w:t>
      </w:r>
      <w:r w:rsidR="00D66049" w:rsidRPr="00D66049">
        <w:rPr>
          <w:rFonts w:ascii="Times New Roman" w:hAnsi="Times New Roman" w:cs="Times New Roman"/>
          <w:sz w:val="24"/>
          <w:szCs w:val="24"/>
        </w:rPr>
        <w:t xml:space="preserve">.      </w:t>
      </w:r>
    </w:p>
    <w:p w14:paraId="315FB91C" w14:textId="77777777" w:rsidR="00BF4031" w:rsidRDefault="00BF4031" w:rsidP="00BF4031">
      <w:pPr>
        <w:spacing w:after="0" w:line="240" w:lineRule="auto"/>
        <w:jc w:val="both"/>
        <w:rPr>
          <w:rFonts w:ascii="Times New Roman" w:hAnsi="Times New Roman" w:cs="Times New Roman"/>
          <w:sz w:val="24"/>
          <w:szCs w:val="24"/>
        </w:rPr>
      </w:pPr>
    </w:p>
    <w:p w14:paraId="40F6CC97" w14:textId="77777777" w:rsidR="006C31D6" w:rsidRPr="00D66049" w:rsidRDefault="006C31D6" w:rsidP="006C31D6">
      <w:pPr>
        <w:rPr>
          <w:rFonts w:ascii="Times New Roman" w:hAnsi="Times New Roman" w:cs="Times New Roman"/>
          <w:sz w:val="24"/>
          <w:szCs w:val="24"/>
          <w:u w:val="single"/>
        </w:rPr>
      </w:pPr>
      <w:r w:rsidRPr="00D66049">
        <w:rPr>
          <w:rFonts w:ascii="Times New Roman" w:hAnsi="Times New Roman" w:cs="Times New Roman"/>
          <w:sz w:val="24"/>
          <w:szCs w:val="24"/>
          <w:u w:val="single"/>
        </w:rPr>
        <w:t>Piemēri:</w:t>
      </w:r>
    </w:p>
    <w:p w14:paraId="57139E7C" w14:textId="77777777" w:rsidR="006C31D6" w:rsidRPr="00D66049" w:rsidRDefault="006C31D6" w:rsidP="005817AF">
      <w:pPr>
        <w:pStyle w:val="ListParagraph"/>
        <w:numPr>
          <w:ilvl w:val="0"/>
          <w:numId w:val="17"/>
        </w:numPr>
        <w:rPr>
          <w:rFonts w:ascii="Times New Roman" w:hAnsi="Times New Roman" w:cs="Times New Roman"/>
          <w:sz w:val="24"/>
          <w:szCs w:val="24"/>
        </w:rPr>
      </w:pPr>
      <w:r w:rsidRPr="00D66049">
        <w:rPr>
          <w:rFonts w:ascii="Times New Roman" w:hAnsi="Times New Roman" w:cs="Times New Roman"/>
          <w:sz w:val="24"/>
          <w:szCs w:val="24"/>
        </w:rPr>
        <w:t xml:space="preserve">Vienas personas mājsaimniecība – pensionārs, kura ienākumi ir </w:t>
      </w:r>
      <w:r>
        <w:rPr>
          <w:rFonts w:ascii="Times New Roman" w:hAnsi="Times New Roman" w:cs="Times New Roman"/>
          <w:b/>
          <w:sz w:val="24"/>
          <w:szCs w:val="24"/>
        </w:rPr>
        <w:t>508</w:t>
      </w:r>
      <w:r w:rsidRPr="00D66049">
        <w:rPr>
          <w:rFonts w:ascii="Times New Roman" w:hAnsi="Times New Roman" w:cs="Times New Roman"/>
          <w:b/>
          <w:sz w:val="24"/>
          <w:szCs w:val="24"/>
        </w:rPr>
        <w:t xml:space="preserve"> </w:t>
      </w:r>
      <w:r w:rsidRPr="00D66049">
        <w:rPr>
          <w:rFonts w:ascii="Times New Roman" w:hAnsi="Times New Roman" w:cs="Times New Roman"/>
          <w:b/>
          <w:i/>
          <w:sz w:val="24"/>
          <w:szCs w:val="24"/>
        </w:rPr>
        <w:t>euro</w:t>
      </w:r>
      <w:r w:rsidRPr="00D66049">
        <w:rPr>
          <w:rFonts w:ascii="Times New Roman" w:hAnsi="Times New Roman" w:cs="Times New Roman"/>
          <w:sz w:val="24"/>
          <w:szCs w:val="24"/>
        </w:rPr>
        <w:t xml:space="preserve"> mēnesī.</w:t>
      </w:r>
    </w:p>
    <w:tbl>
      <w:tblPr>
        <w:tblStyle w:val="TableGrid"/>
        <w:tblW w:w="0" w:type="auto"/>
        <w:tblInd w:w="-5" w:type="dxa"/>
        <w:tblLook w:val="04A0" w:firstRow="1" w:lastRow="0" w:firstColumn="1" w:lastColumn="0" w:noHBand="0" w:noVBand="1"/>
      </w:tblPr>
      <w:tblGrid>
        <w:gridCol w:w="2075"/>
        <w:gridCol w:w="2034"/>
        <w:gridCol w:w="2128"/>
        <w:gridCol w:w="2064"/>
      </w:tblGrid>
      <w:tr w:rsidR="006C31D6" w:rsidRPr="00D66049" w14:paraId="65B05E10" w14:textId="77777777" w:rsidTr="001D2398">
        <w:tc>
          <w:tcPr>
            <w:tcW w:w="2075" w:type="dxa"/>
          </w:tcPr>
          <w:p w14:paraId="26B3EEE3" w14:textId="77777777" w:rsidR="006C31D6" w:rsidRPr="00D66049" w:rsidRDefault="006C31D6" w:rsidP="001D2398">
            <w:pPr>
              <w:pStyle w:val="ListParagraph"/>
              <w:ind w:left="0"/>
              <w:rPr>
                <w:rFonts w:ascii="Times New Roman" w:hAnsi="Times New Roman"/>
                <w:sz w:val="24"/>
                <w:szCs w:val="24"/>
              </w:rPr>
            </w:pPr>
          </w:p>
        </w:tc>
        <w:tc>
          <w:tcPr>
            <w:tcW w:w="2034" w:type="dxa"/>
          </w:tcPr>
          <w:p w14:paraId="5FE04D42" w14:textId="77777777" w:rsidR="006C31D6" w:rsidRPr="00D66049" w:rsidRDefault="006C31D6" w:rsidP="001D2398">
            <w:pPr>
              <w:pStyle w:val="ListParagraph"/>
              <w:ind w:left="0"/>
              <w:rPr>
                <w:rFonts w:ascii="Times New Roman" w:hAnsi="Times New Roman"/>
                <w:b/>
                <w:sz w:val="24"/>
                <w:szCs w:val="24"/>
              </w:rPr>
            </w:pPr>
            <w:r w:rsidRPr="00D66049">
              <w:rPr>
                <w:rFonts w:ascii="Times New Roman" w:hAnsi="Times New Roman"/>
                <w:b/>
                <w:sz w:val="24"/>
                <w:szCs w:val="24"/>
              </w:rPr>
              <w:t>Koeficients 2,5</w:t>
            </w:r>
          </w:p>
        </w:tc>
        <w:tc>
          <w:tcPr>
            <w:tcW w:w="2128" w:type="dxa"/>
          </w:tcPr>
          <w:p w14:paraId="3B00D22A" w14:textId="77777777" w:rsidR="006C31D6" w:rsidRPr="00D66049" w:rsidRDefault="006C31D6" w:rsidP="001D2398">
            <w:pPr>
              <w:pStyle w:val="ListParagraph"/>
              <w:ind w:left="0"/>
              <w:rPr>
                <w:rFonts w:ascii="Times New Roman" w:hAnsi="Times New Roman"/>
                <w:b/>
                <w:sz w:val="24"/>
                <w:szCs w:val="24"/>
              </w:rPr>
            </w:pPr>
            <w:r w:rsidRPr="00D66049">
              <w:rPr>
                <w:rFonts w:ascii="Times New Roman" w:hAnsi="Times New Roman"/>
                <w:b/>
                <w:sz w:val="24"/>
                <w:szCs w:val="24"/>
              </w:rPr>
              <w:t>Koeficients 3</w:t>
            </w:r>
          </w:p>
        </w:tc>
        <w:tc>
          <w:tcPr>
            <w:tcW w:w="2064" w:type="dxa"/>
          </w:tcPr>
          <w:p w14:paraId="298B7265" w14:textId="77777777" w:rsidR="006C31D6" w:rsidRPr="00D66049" w:rsidRDefault="006C31D6" w:rsidP="001D2398">
            <w:pPr>
              <w:pStyle w:val="ListParagraph"/>
              <w:ind w:left="0"/>
              <w:rPr>
                <w:rFonts w:ascii="Times New Roman" w:hAnsi="Times New Roman"/>
                <w:b/>
                <w:sz w:val="24"/>
                <w:szCs w:val="24"/>
              </w:rPr>
            </w:pPr>
            <w:r w:rsidRPr="00D66049">
              <w:rPr>
                <w:rFonts w:ascii="Times New Roman" w:hAnsi="Times New Roman"/>
                <w:b/>
                <w:sz w:val="24"/>
                <w:szCs w:val="24"/>
              </w:rPr>
              <w:t xml:space="preserve">Koeficients </w:t>
            </w:r>
            <w:r>
              <w:rPr>
                <w:rFonts w:ascii="Times New Roman" w:hAnsi="Times New Roman"/>
                <w:b/>
                <w:sz w:val="24"/>
                <w:szCs w:val="24"/>
              </w:rPr>
              <w:t>4</w:t>
            </w:r>
          </w:p>
        </w:tc>
      </w:tr>
      <w:tr w:rsidR="006C31D6" w:rsidRPr="00D66049" w14:paraId="3DDABA13" w14:textId="77777777" w:rsidTr="001D2398">
        <w:tc>
          <w:tcPr>
            <w:tcW w:w="2075" w:type="dxa"/>
          </w:tcPr>
          <w:p w14:paraId="3A156FB1"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Pārtikai u.c. </w:t>
            </w:r>
            <w:r w:rsidRPr="00910570">
              <w:rPr>
                <w:rFonts w:ascii="Times New Roman" w:hAnsi="Times New Roman"/>
                <w:sz w:val="24"/>
                <w:szCs w:val="24"/>
              </w:rPr>
              <w:t xml:space="preserve">ikdienas izdevumiem atstājamā daļa </w:t>
            </w:r>
            <w:r w:rsidRPr="00365151">
              <w:rPr>
                <w:rFonts w:ascii="Times New Roman" w:hAnsi="Times New Roman"/>
                <w:sz w:val="24"/>
                <w:szCs w:val="24"/>
              </w:rPr>
              <w:t>jeb GMI slieksnis</w:t>
            </w:r>
          </w:p>
        </w:tc>
        <w:tc>
          <w:tcPr>
            <w:tcW w:w="2034" w:type="dxa"/>
          </w:tcPr>
          <w:p w14:paraId="636AB802"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109 x 2,5 = 272,5 </w:t>
            </w:r>
            <w:r w:rsidRPr="00D66049">
              <w:rPr>
                <w:rFonts w:ascii="Times New Roman" w:hAnsi="Times New Roman"/>
                <w:i/>
                <w:sz w:val="24"/>
                <w:szCs w:val="24"/>
              </w:rPr>
              <w:t>euro</w:t>
            </w:r>
          </w:p>
        </w:tc>
        <w:tc>
          <w:tcPr>
            <w:tcW w:w="2128" w:type="dxa"/>
          </w:tcPr>
          <w:p w14:paraId="10221559"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109 x 3 = 327 </w:t>
            </w:r>
            <w:r w:rsidRPr="00D66049">
              <w:rPr>
                <w:rFonts w:ascii="Times New Roman" w:hAnsi="Times New Roman"/>
                <w:i/>
                <w:sz w:val="24"/>
                <w:szCs w:val="24"/>
              </w:rPr>
              <w:t>euro</w:t>
            </w:r>
          </w:p>
          <w:p w14:paraId="0699AB09" w14:textId="77777777" w:rsidR="006C31D6" w:rsidRPr="00D66049" w:rsidRDefault="006C31D6" w:rsidP="001D2398">
            <w:pPr>
              <w:pStyle w:val="ListParagraph"/>
              <w:ind w:left="0"/>
              <w:rPr>
                <w:rFonts w:ascii="Times New Roman" w:hAnsi="Times New Roman"/>
                <w:sz w:val="24"/>
                <w:szCs w:val="24"/>
              </w:rPr>
            </w:pPr>
          </w:p>
        </w:tc>
        <w:tc>
          <w:tcPr>
            <w:tcW w:w="2064" w:type="dxa"/>
          </w:tcPr>
          <w:p w14:paraId="5043387B" w14:textId="77777777" w:rsidR="006C31D6" w:rsidRPr="00D66049" w:rsidRDefault="006C31D6" w:rsidP="001D2398">
            <w:pPr>
              <w:pStyle w:val="ListParagraph"/>
              <w:ind w:left="0"/>
              <w:rPr>
                <w:rFonts w:ascii="Times New Roman" w:hAnsi="Times New Roman"/>
                <w:sz w:val="24"/>
                <w:szCs w:val="24"/>
              </w:rPr>
            </w:pPr>
            <w:r>
              <w:rPr>
                <w:rFonts w:ascii="Times New Roman" w:hAnsi="Times New Roman"/>
                <w:sz w:val="24"/>
                <w:szCs w:val="24"/>
              </w:rPr>
              <w:t xml:space="preserve">109 x 4 = 436 </w:t>
            </w:r>
            <w:r w:rsidRPr="00AE6432">
              <w:rPr>
                <w:rFonts w:ascii="Times New Roman" w:hAnsi="Times New Roman"/>
                <w:i/>
                <w:sz w:val="24"/>
                <w:szCs w:val="24"/>
              </w:rPr>
              <w:t>euro</w:t>
            </w:r>
          </w:p>
        </w:tc>
      </w:tr>
      <w:tr w:rsidR="006C31D6" w:rsidRPr="00D66049" w14:paraId="3FF01828" w14:textId="77777777" w:rsidTr="001D2398">
        <w:tc>
          <w:tcPr>
            <w:tcW w:w="2075" w:type="dxa"/>
          </w:tcPr>
          <w:p w14:paraId="0B213A41"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Kopējie izdevumi par mājokli, telefonu, internetu</w:t>
            </w:r>
          </w:p>
        </w:tc>
        <w:tc>
          <w:tcPr>
            <w:tcW w:w="2034" w:type="dxa"/>
          </w:tcPr>
          <w:p w14:paraId="14C490CE"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200 </w:t>
            </w:r>
            <w:r w:rsidRPr="00D66049">
              <w:rPr>
                <w:rFonts w:ascii="Times New Roman" w:hAnsi="Times New Roman"/>
                <w:i/>
                <w:sz w:val="24"/>
                <w:szCs w:val="24"/>
              </w:rPr>
              <w:t>euro</w:t>
            </w:r>
          </w:p>
        </w:tc>
        <w:tc>
          <w:tcPr>
            <w:tcW w:w="2128" w:type="dxa"/>
          </w:tcPr>
          <w:p w14:paraId="53F3E35C"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200 </w:t>
            </w:r>
            <w:r w:rsidRPr="00D66049">
              <w:rPr>
                <w:rFonts w:ascii="Times New Roman" w:hAnsi="Times New Roman"/>
                <w:i/>
                <w:sz w:val="24"/>
                <w:szCs w:val="24"/>
              </w:rPr>
              <w:t>euro</w:t>
            </w:r>
          </w:p>
        </w:tc>
        <w:tc>
          <w:tcPr>
            <w:tcW w:w="2064" w:type="dxa"/>
          </w:tcPr>
          <w:p w14:paraId="4E6626EC"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200 </w:t>
            </w:r>
            <w:r w:rsidRPr="00D66049">
              <w:rPr>
                <w:rFonts w:ascii="Times New Roman" w:hAnsi="Times New Roman"/>
                <w:i/>
                <w:sz w:val="24"/>
                <w:szCs w:val="24"/>
              </w:rPr>
              <w:t>euro</w:t>
            </w:r>
          </w:p>
        </w:tc>
      </w:tr>
      <w:tr w:rsidR="006C31D6" w:rsidRPr="00D66049" w14:paraId="49EBF7B9" w14:textId="77777777" w:rsidTr="001D2398">
        <w:tc>
          <w:tcPr>
            <w:tcW w:w="2075" w:type="dxa"/>
          </w:tcPr>
          <w:p w14:paraId="78DB8A00"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Mājokļa pabalsta apmērs</w:t>
            </w:r>
            <w:r>
              <w:rPr>
                <w:rFonts w:ascii="Times New Roman" w:hAnsi="Times New Roman"/>
                <w:sz w:val="24"/>
                <w:szCs w:val="24"/>
              </w:rPr>
              <w:t xml:space="preserve">, </w:t>
            </w:r>
            <w:r w:rsidRPr="00E42207">
              <w:rPr>
                <w:rFonts w:ascii="Times New Roman" w:hAnsi="Times New Roman"/>
                <w:i/>
                <w:sz w:val="24"/>
                <w:szCs w:val="24"/>
              </w:rPr>
              <w:t>euro</w:t>
            </w:r>
          </w:p>
        </w:tc>
        <w:tc>
          <w:tcPr>
            <w:tcW w:w="2034" w:type="dxa"/>
          </w:tcPr>
          <w:p w14:paraId="194A092E" w14:textId="77777777" w:rsidR="006C31D6" w:rsidRPr="00E42207" w:rsidRDefault="006C31D6" w:rsidP="001D2398">
            <w:pPr>
              <w:pStyle w:val="ListParagraph"/>
              <w:ind w:left="0"/>
              <w:rPr>
                <w:rFonts w:ascii="Times New Roman" w:hAnsi="Times New Roman"/>
                <w:i/>
                <w:sz w:val="24"/>
                <w:szCs w:val="24"/>
              </w:rPr>
            </w:pPr>
            <w:r w:rsidRPr="00D66049">
              <w:rPr>
                <w:rFonts w:ascii="Times New Roman" w:hAnsi="Times New Roman"/>
                <w:sz w:val="24"/>
                <w:szCs w:val="24"/>
              </w:rPr>
              <w:t xml:space="preserve">272,5 + 200 = 472,5 </w:t>
            </w:r>
            <w:r w:rsidRPr="00E42207">
              <w:rPr>
                <w:rFonts w:ascii="Times New Roman" w:hAnsi="Times New Roman"/>
                <w:i/>
                <w:sz w:val="24"/>
                <w:szCs w:val="24"/>
              </w:rPr>
              <w:t>euro</w:t>
            </w:r>
          </w:p>
          <w:p w14:paraId="484EE1D5"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lastRenderedPageBreak/>
              <w:t xml:space="preserve">472,5 - </w:t>
            </w:r>
            <w:r>
              <w:rPr>
                <w:rFonts w:ascii="Times New Roman" w:hAnsi="Times New Roman"/>
                <w:sz w:val="24"/>
                <w:szCs w:val="24"/>
              </w:rPr>
              <w:t>508</w:t>
            </w:r>
            <w:r w:rsidRPr="00D66049">
              <w:rPr>
                <w:rFonts w:ascii="Times New Roman" w:hAnsi="Times New Roman"/>
                <w:sz w:val="24"/>
                <w:szCs w:val="24"/>
              </w:rPr>
              <w:t xml:space="preserve"> </w:t>
            </w:r>
            <w:r w:rsidRPr="00D66049">
              <w:rPr>
                <w:rFonts w:ascii="Times New Roman" w:hAnsi="Times New Roman"/>
                <w:i/>
                <w:sz w:val="24"/>
                <w:szCs w:val="24"/>
              </w:rPr>
              <w:t>euro</w:t>
            </w:r>
            <w:r w:rsidRPr="00D66049">
              <w:rPr>
                <w:rFonts w:ascii="Times New Roman" w:hAnsi="Times New Roman"/>
                <w:sz w:val="24"/>
                <w:szCs w:val="24"/>
              </w:rPr>
              <w:t xml:space="preserve"> (</w:t>
            </w:r>
            <w:r w:rsidRPr="00E42207">
              <w:rPr>
                <w:rFonts w:ascii="Times New Roman" w:hAnsi="Times New Roman"/>
                <w:i/>
                <w:sz w:val="24"/>
                <w:szCs w:val="24"/>
              </w:rPr>
              <w:t>pensija</w:t>
            </w:r>
            <w:r w:rsidRPr="00D66049">
              <w:rPr>
                <w:rFonts w:ascii="Times New Roman" w:hAnsi="Times New Roman"/>
                <w:sz w:val="24"/>
                <w:szCs w:val="24"/>
              </w:rPr>
              <w:t xml:space="preserve">) = </w:t>
            </w:r>
            <w:r w:rsidRPr="00E42207">
              <w:rPr>
                <w:rFonts w:ascii="Times New Roman" w:hAnsi="Times New Roman"/>
                <w:b/>
                <w:color w:val="C00000"/>
                <w:sz w:val="24"/>
                <w:szCs w:val="24"/>
              </w:rPr>
              <w:t xml:space="preserve">- 35,5 </w:t>
            </w:r>
            <w:r w:rsidRPr="00E42207">
              <w:rPr>
                <w:rFonts w:ascii="Times New Roman" w:hAnsi="Times New Roman"/>
                <w:b/>
                <w:i/>
                <w:color w:val="C00000"/>
                <w:sz w:val="24"/>
                <w:szCs w:val="24"/>
              </w:rPr>
              <w:t>euro</w:t>
            </w:r>
          </w:p>
        </w:tc>
        <w:tc>
          <w:tcPr>
            <w:tcW w:w="2128" w:type="dxa"/>
          </w:tcPr>
          <w:p w14:paraId="153A8418"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lastRenderedPageBreak/>
              <w:t xml:space="preserve">327 + 200 = 527 </w:t>
            </w:r>
          </w:p>
          <w:p w14:paraId="00EA4CC9"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527 – </w:t>
            </w:r>
            <w:r>
              <w:rPr>
                <w:rFonts w:ascii="Times New Roman" w:hAnsi="Times New Roman"/>
                <w:sz w:val="24"/>
                <w:szCs w:val="24"/>
              </w:rPr>
              <w:t xml:space="preserve">508 </w:t>
            </w:r>
            <w:r w:rsidRPr="00D66049">
              <w:rPr>
                <w:rFonts w:ascii="Times New Roman" w:hAnsi="Times New Roman"/>
                <w:i/>
                <w:sz w:val="24"/>
                <w:szCs w:val="24"/>
              </w:rPr>
              <w:t xml:space="preserve">euro </w:t>
            </w:r>
            <w:r w:rsidRPr="00D66049">
              <w:rPr>
                <w:rFonts w:ascii="Times New Roman" w:hAnsi="Times New Roman"/>
                <w:sz w:val="24"/>
                <w:szCs w:val="24"/>
              </w:rPr>
              <w:t>(</w:t>
            </w:r>
            <w:r w:rsidRPr="00E42207">
              <w:rPr>
                <w:rFonts w:ascii="Times New Roman" w:hAnsi="Times New Roman"/>
                <w:i/>
                <w:sz w:val="24"/>
                <w:szCs w:val="24"/>
              </w:rPr>
              <w:t>pensija</w:t>
            </w:r>
            <w:r w:rsidRPr="00D66049">
              <w:rPr>
                <w:rFonts w:ascii="Times New Roman" w:hAnsi="Times New Roman"/>
                <w:sz w:val="24"/>
                <w:szCs w:val="24"/>
              </w:rPr>
              <w:t xml:space="preserve">) = </w:t>
            </w:r>
            <w:r w:rsidRPr="00AE6432">
              <w:rPr>
                <w:rFonts w:ascii="Times New Roman" w:hAnsi="Times New Roman"/>
                <w:b/>
                <w:sz w:val="24"/>
                <w:szCs w:val="24"/>
              </w:rPr>
              <w:t xml:space="preserve">19 </w:t>
            </w:r>
            <w:r w:rsidRPr="00AE6432">
              <w:rPr>
                <w:rFonts w:ascii="Times New Roman" w:hAnsi="Times New Roman"/>
                <w:b/>
                <w:i/>
                <w:sz w:val="24"/>
                <w:szCs w:val="24"/>
              </w:rPr>
              <w:t>euro</w:t>
            </w:r>
          </w:p>
        </w:tc>
        <w:tc>
          <w:tcPr>
            <w:tcW w:w="2064" w:type="dxa"/>
          </w:tcPr>
          <w:p w14:paraId="37907A1C" w14:textId="77777777" w:rsidR="006C31D6" w:rsidRDefault="006C31D6" w:rsidP="001D2398">
            <w:pPr>
              <w:pStyle w:val="ListParagraph"/>
              <w:ind w:left="0"/>
              <w:rPr>
                <w:rFonts w:ascii="Times New Roman" w:hAnsi="Times New Roman"/>
                <w:i/>
                <w:sz w:val="24"/>
                <w:szCs w:val="24"/>
              </w:rPr>
            </w:pPr>
            <w:r>
              <w:rPr>
                <w:rFonts w:ascii="Times New Roman" w:hAnsi="Times New Roman"/>
                <w:sz w:val="24"/>
                <w:szCs w:val="24"/>
              </w:rPr>
              <w:t xml:space="preserve">436 + 200 = 636 </w:t>
            </w:r>
            <w:r w:rsidRPr="00E42207">
              <w:rPr>
                <w:rFonts w:ascii="Times New Roman" w:hAnsi="Times New Roman"/>
                <w:i/>
                <w:sz w:val="24"/>
                <w:szCs w:val="24"/>
              </w:rPr>
              <w:t>euro</w:t>
            </w:r>
          </w:p>
          <w:p w14:paraId="48323A1B" w14:textId="5B23B801" w:rsidR="006C31D6" w:rsidRPr="00365151" w:rsidRDefault="006C31D6" w:rsidP="001D2398">
            <w:pPr>
              <w:pStyle w:val="ListParagraph"/>
              <w:ind w:left="0"/>
              <w:rPr>
                <w:rFonts w:ascii="Times New Roman" w:hAnsi="Times New Roman"/>
                <w:b/>
                <w:i/>
                <w:sz w:val="24"/>
                <w:szCs w:val="24"/>
              </w:rPr>
            </w:pPr>
            <w:r>
              <w:rPr>
                <w:rFonts w:ascii="Times New Roman" w:hAnsi="Times New Roman"/>
                <w:sz w:val="24"/>
                <w:szCs w:val="24"/>
              </w:rPr>
              <w:lastRenderedPageBreak/>
              <w:t>636 – 508 (</w:t>
            </w:r>
            <w:r w:rsidRPr="00E42207">
              <w:rPr>
                <w:rFonts w:ascii="Times New Roman" w:hAnsi="Times New Roman"/>
                <w:i/>
                <w:sz w:val="24"/>
                <w:szCs w:val="24"/>
              </w:rPr>
              <w:t>pensija</w:t>
            </w:r>
            <w:r>
              <w:rPr>
                <w:rFonts w:ascii="Times New Roman" w:hAnsi="Times New Roman"/>
                <w:sz w:val="24"/>
                <w:szCs w:val="24"/>
              </w:rPr>
              <w:t xml:space="preserve">) = </w:t>
            </w:r>
            <w:r w:rsidRPr="00E42207">
              <w:rPr>
                <w:rFonts w:ascii="Times New Roman" w:hAnsi="Times New Roman"/>
                <w:b/>
                <w:sz w:val="24"/>
                <w:szCs w:val="24"/>
              </w:rPr>
              <w:t xml:space="preserve">128 </w:t>
            </w:r>
            <w:r w:rsidRPr="00E42207">
              <w:rPr>
                <w:rFonts w:ascii="Times New Roman" w:hAnsi="Times New Roman"/>
                <w:b/>
                <w:i/>
                <w:sz w:val="24"/>
                <w:szCs w:val="24"/>
              </w:rPr>
              <w:t>euro</w:t>
            </w:r>
          </w:p>
        </w:tc>
      </w:tr>
      <w:tr w:rsidR="006C31D6" w:rsidRPr="00D66049" w14:paraId="34753860" w14:textId="77777777" w:rsidTr="001D2398">
        <w:tc>
          <w:tcPr>
            <w:tcW w:w="2075" w:type="dxa"/>
          </w:tcPr>
          <w:p w14:paraId="7C8B4CD8"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lastRenderedPageBreak/>
              <w:t>Personai pašai par mājokli apmaksājamā daļa</w:t>
            </w:r>
          </w:p>
        </w:tc>
        <w:tc>
          <w:tcPr>
            <w:tcW w:w="2034" w:type="dxa"/>
          </w:tcPr>
          <w:p w14:paraId="070FF61B" w14:textId="77777777" w:rsidR="006C31D6" w:rsidRPr="00D66049" w:rsidRDefault="006C31D6" w:rsidP="001D2398">
            <w:pPr>
              <w:pStyle w:val="ListParagraph"/>
              <w:ind w:left="0"/>
              <w:rPr>
                <w:rFonts w:ascii="Times New Roman" w:hAnsi="Times New Roman"/>
                <w:sz w:val="24"/>
                <w:szCs w:val="24"/>
              </w:rPr>
            </w:pPr>
            <w:r>
              <w:rPr>
                <w:rFonts w:ascii="Times New Roman" w:hAnsi="Times New Roman"/>
                <w:sz w:val="24"/>
                <w:szCs w:val="24"/>
              </w:rPr>
              <w:t xml:space="preserve">Visi izdevumi - </w:t>
            </w:r>
            <w:r w:rsidRPr="00E42207">
              <w:rPr>
                <w:rFonts w:ascii="Times New Roman" w:hAnsi="Times New Roman"/>
                <w:sz w:val="24"/>
                <w:szCs w:val="24"/>
              </w:rPr>
              <w:t xml:space="preserve">200 </w:t>
            </w:r>
            <w:r w:rsidRPr="00E42207">
              <w:rPr>
                <w:rFonts w:ascii="Times New Roman" w:hAnsi="Times New Roman"/>
                <w:i/>
                <w:sz w:val="24"/>
                <w:szCs w:val="24"/>
              </w:rPr>
              <w:t>euro</w:t>
            </w:r>
          </w:p>
        </w:tc>
        <w:tc>
          <w:tcPr>
            <w:tcW w:w="2128" w:type="dxa"/>
          </w:tcPr>
          <w:p w14:paraId="0A611233" w14:textId="77777777" w:rsidR="006C31D6" w:rsidRPr="00E42207" w:rsidRDefault="006C31D6" w:rsidP="001D2398">
            <w:pPr>
              <w:pStyle w:val="ListParagraph"/>
              <w:ind w:left="0"/>
              <w:rPr>
                <w:rFonts w:ascii="Times New Roman" w:hAnsi="Times New Roman"/>
                <w:sz w:val="24"/>
                <w:szCs w:val="24"/>
              </w:rPr>
            </w:pPr>
            <w:r w:rsidRPr="00E42207">
              <w:rPr>
                <w:rFonts w:ascii="Times New Roman" w:hAnsi="Times New Roman"/>
                <w:sz w:val="24"/>
                <w:szCs w:val="24"/>
              </w:rPr>
              <w:t xml:space="preserve">181 </w:t>
            </w:r>
            <w:r w:rsidRPr="00E42207">
              <w:rPr>
                <w:rFonts w:ascii="Times New Roman" w:hAnsi="Times New Roman"/>
                <w:i/>
                <w:sz w:val="24"/>
                <w:szCs w:val="24"/>
              </w:rPr>
              <w:t>euro</w:t>
            </w:r>
          </w:p>
        </w:tc>
        <w:tc>
          <w:tcPr>
            <w:tcW w:w="2064" w:type="dxa"/>
          </w:tcPr>
          <w:p w14:paraId="4903DE55" w14:textId="77777777" w:rsidR="006C31D6" w:rsidRPr="00E42207" w:rsidRDefault="006C31D6" w:rsidP="001D2398">
            <w:pPr>
              <w:pStyle w:val="ListParagraph"/>
              <w:ind w:left="0"/>
              <w:rPr>
                <w:rFonts w:ascii="Times New Roman" w:hAnsi="Times New Roman"/>
                <w:sz w:val="24"/>
                <w:szCs w:val="24"/>
              </w:rPr>
            </w:pPr>
            <w:r w:rsidRPr="00E42207">
              <w:rPr>
                <w:rFonts w:ascii="Times New Roman" w:hAnsi="Times New Roman"/>
                <w:sz w:val="24"/>
                <w:szCs w:val="24"/>
              </w:rPr>
              <w:t xml:space="preserve">72 </w:t>
            </w:r>
            <w:r w:rsidRPr="00E42207">
              <w:rPr>
                <w:rFonts w:ascii="Times New Roman" w:hAnsi="Times New Roman"/>
                <w:i/>
                <w:sz w:val="24"/>
                <w:szCs w:val="24"/>
              </w:rPr>
              <w:t>euro</w:t>
            </w:r>
          </w:p>
        </w:tc>
      </w:tr>
    </w:tbl>
    <w:p w14:paraId="10007805" w14:textId="77777777" w:rsidR="006C31D6" w:rsidRPr="00D66049" w:rsidRDefault="006C31D6" w:rsidP="006C31D6">
      <w:pPr>
        <w:rPr>
          <w:rFonts w:ascii="Times New Roman" w:hAnsi="Times New Roman" w:cs="Times New Roman"/>
          <w:sz w:val="24"/>
          <w:szCs w:val="24"/>
        </w:rPr>
      </w:pPr>
    </w:p>
    <w:p w14:paraId="7D0913AE" w14:textId="77777777" w:rsidR="006C31D6" w:rsidRPr="00604E30" w:rsidRDefault="006C31D6" w:rsidP="005817AF">
      <w:pPr>
        <w:pStyle w:val="ListParagraph"/>
        <w:numPr>
          <w:ilvl w:val="0"/>
          <w:numId w:val="17"/>
        </w:numPr>
        <w:jc w:val="both"/>
        <w:rPr>
          <w:rFonts w:ascii="Times New Roman" w:hAnsi="Times New Roman" w:cs="Times New Roman"/>
          <w:sz w:val="24"/>
          <w:szCs w:val="24"/>
        </w:rPr>
      </w:pPr>
      <w:r w:rsidRPr="00D66049">
        <w:rPr>
          <w:rFonts w:ascii="Times New Roman" w:hAnsi="Times New Roman" w:cs="Times New Roman"/>
          <w:sz w:val="24"/>
          <w:szCs w:val="24"/>
        </w:rPr>
        <w:t xml:space="preserve">Četru personu mājsaimniecība ar diviem bērniem – vecāku kopējie ienākumi no algota darba </w:t>
      </w:r>
      <w:r w:rsidRPr="00301CB3">
        <w:rPr>
          <w:rFonts w:ascii="Times New Roman" w:hAnsi="Times New Roman" w:cs="Times New Roman"/>
          <w:b/>
          <w:sz w:val="24"/>
          <w:szCs w:val="24"/>
        </w:rPr>
        <w:t>1 500</w:t>
      </w:r>
      <w:r w:rsidRPr="00D66049">
        <w:rPr>
          <w:rFonts w:ascii="Times New Roman" w:hAnsi="Times New Roman" w:cs="Times New Roman"/>
          <w:b/>
          <w:sz w:val="24"/>
          <w:szCs w:val="24"/>
        </w:rPr>
        <w:t xml:space="preserve"> </w:t>
      </w:r>
      <w:r w:rsidRPr="00D66049">
        <w:rPr>
          <w:rFonts w:ascii="Times New Roman" w:hAnsi="Times New Roman" w:cs="Times New Roman"/>
          <w:b/>
          <w:i/>
          <w:sz w:val="24"/>
          <w:szCs w:val="24"/>
        </w:rPr>
        <w:t>euro</w:t>
      </w:r>
      <w:r w:rsidRPr="00D66049">
        <w:rPr>
          <w:rFonts w:ascii="Times New Roman" w:hAnsi="Times New Roman" w:cs="Times New Roman"/>
          <w:b/>
          <w:sz w:val="24"/>
          <w:szCs w:val="24"/>
        </w:rPr>
        <w:t xml:space="preserve"> </w:t>
      </w:r>
      <w:r w:rsidRPr="00D66049">
        <w:rPr>
          <w:rFonts w:ascii="Times New Roman" w:hAnsi="Times New Roman" w:cs="Times New Roman"/>
          <w:sz w:val="24"/>
          <w:szCs w:val="24"/>
        </w:rPr>
        <w:t xml:space="preserve">mēnesī. Ģimenes valsts pabalsts par diviem bērniem </w:t>
      </w:r>
      <w:r w:rsidRPr="00D66049">
        <w:rPr>
          <w:rFonts w:ascii="Times New Roman" w:eastAsia="Times New Roman" w:hAnsi="Times New Roman" w:cs="Times New Roman"/>
          <w:sz w:val="24"/>
          <w:szCs w:val="24"/>
          <w:lang w:eastAsia="lv-LV"/>
        </w:rPr>
        <w:t>– </w:t>
      </w:r>
      <w:r w:rsidRPr="00D66049">
        <w:rPr>
          <w:rFonts w:ascii="Times New Roman" w:eastAsia="Times New Roman" w:hAnsi="Times New Roman" w:cs="Times New Roman"/>
          <w:b/>
          <w:sz w:val="24"/>
          <w:szCs w:val="24"/>
          <w:lang w:eastAsia="lv-LV"/>
        </w:rPr>
        <w:t xml:space="preserve">100 </w:t>
      </w:r>
      <w:r w:rsidRPr="00D66049">
        <w:rPr>
          <w:rFonts w:ascii="Times New Roman" w:eastAsia="Times New Roman" w:hAnsi="Times New Roman" w:cs="Times New Roman"/>
          <w:b/>
          <w:i/>
          <w:sz w:val="24"/>
          <w:szCs w:val="24"/>
          <w:lang w:eastAsia="lv-LV"/>
        </w:rPr>
        <w:t>euro</w:t>
      </w:r>
      <w:r w:rsidRPr="00D66049">
        <w:rPr>
          <w:rFonts w:ascii="Times New Roman" w:eastAsia="Times New Roman" w:hAnsi="Times New Roman" w:cs="Times New Roman"/>
          <w:sz w:val="24"/>
          <w:szCs w:val="24"/>
          <w:lang w:eastAsia="lv-LV"/>
        </w:rPr>
        <w:t> (50 euro par katru bērnu) netiek ņemts vērā ienākumos.</w:t>
      </w:r>
    </w:p>
    <w:p w14:paraId="6044FF6F" w14:textId="77777777" w:rsidR="006C31D6" w:rsidRPr="00D66049" w:rsidRDefault="006C31D6" w:rsidP="006C31D6">
      <w:pPr>
        <w:pStyle w:val="ListParagraph"/>
        <w:jc w:val="both"/>
        <w:rPr>
          <w:rFonts w:ascii="Times New Roman" w:hAnsi="Times New Roman" w:cs="Times New Roman"/>
          <w:sz w:val="24"/>
          <w:szCs w:val="24"/>
        </w:rPr>
      </w:pPr>
    </w:p>
    <w:tbl>
      <w:tblPr>
        <w:tblStyle w:val="TableGrid"/>
        <w:tblW w:w="8647" w:type="dxa"/>
        <w:tblInd w:w="-5" w:type="dxa"/>
        <w:tblLook w:val="04A0" w:firstRow="1" w:lastRow="0" w:firstColumn="1" w:lastColumn="0" w:noHBand="0" w:noVBand="1"/>
      </w:tblPr>
      <w:tblGrid>
        <w:gridCol w:w="2173"/>
        <w:gridCol w:w="2190"/>
        <w:gridCol w:w="2100"/>
        <w:gridCol w:w="2184"/>
      </w:tblGrid>
      <w:tr w:rsidR="006C31D6" w:rsidRPr="00D66049" w14:paraId="432ED29B" w14:textId="77777777" w:rsidTr="001D2398">
        <w:tc>
          <w:tcPr>
            <w:tcW w:w="2173" w:type="dxa"/>
          </w:tcPr>
          <w:p w14:paraId="52081DAA" w14:textId="77777777" w:rsidR="006C31D6" w:rsidRPr="00D66049" w:rsidRDefault="006C31D6" w:rsidP="001D2398">
            <w:pPr>
              <w:pStyle w:val="ListParagraph"/>
              <w:ind w:left="0"/>
              <w:rPr>
                <w:rFonts w:ascii="Times New Roman" w:hAnsi="Times New Roman"/>
                <w:sz w:val="24"/>
                <w:szCs w:val="24"/>
              </w:rPr>
            </w:pPr>
          </w:p>
        </w:tc>
        <w:tc>
          <w:tcPr>
            <w:tcW w:w="2190" w:type="dxa"/>
          </w:tcPr>
          <w:p w14:paraId="1C66E285" w14:textId="77777777" w:rsidR="006C31D6" w:rsidRPr="00D66049" w:rsidRDefault="006C31D6" w:rsidP="001D2398">
            <w:pPr>
              <w:pStyle w:val="ListParagraph"/>
              <w:ind w:left="0"/>
              <w:rPr>
                <w:rFonts w:ascii="Times New Roman" w:hAnsi="Times New Roman"/>
                <w:b/>
                <w:sz w:val="24"/>
                <w:szCs w:val="24"/>
              </w:rPr>
            </w:pPr>
            <w:r w:rsidRPr="00D66049">
              <w:rPr>
                <w:rFonts w:ascii="Times New Roman" w:hAnsi="Times New Roman"/>
                <w:b/>
                <w:sz w:val="24"/>
                <w:szCs w:val="24"/>
              </w:rPr>
              <w:t>Koeficients 1,5</w:t>
            </w:r>
          </w:p>
        </w:tc>
        <w:tc>
          <w:tcPr>
            <w:tcW w:w="2100" w:type="dxa"/>
          </w:tcPr>
          <w:p w14:paraId="320CC10A" w14:textId="77777777" w:rsidR="006C31D6" w:rsidRPr="00D66049" w:rsidRDefault="006C31D6" w:rsidP="001D2398">
            <w:pPr>
              <w:pStyle w:val="ListParagraph"/>
              <w:ind w:left="0"/>
              <w:rPr>
                <w:rFonts w:ascii="Times New Roman" w:hAnsi="Times New Roman"/>
                <w:b/>
                <w:sz w:val="24"/>
                <w:szCs w:val="24"/>
              </w:rPr>
            </w:pPr>
            <w:r w:rsidRPr="00D66049">
              <w:rPr>
                <w:rFonts w:ascii="Times New Roman" w:hAnsi="Times New Roman"/>
                <w:b/>
                <w:sz w:val="24"/>
                <w:szCs w:val="24"/>
              </w:rPr>
              <w:t xml:space="preserve">Koeficients </w:t>
            </w:r>
            <w:r>
              <w:rPr>
                <w:rFonts w:ascii="Times New Roman" w:hAnsi="Times New Roman"/>
                <w:b/>
                <w:sz w:val="24"/>
                <w:szCs w:val="24"/>
              </w:rPr>
              <w:t>3</w:t>
            </w:r>
          </w:p>
        </w:tc>
        <w:tc>
          <w:tcPr>
            <w:tcW w:w="2184" w:type="dxa"/>
          </w:tcPr>
          <w:p w14:paraId="2E56635E" w14:textId="77777777" w:rsidR="006C31D6" w:rsidRPr="00D66049" w:rsidRDefault="006C31D6" w:rsidP="001D2398">
            <w:pPr>
              <w:pStyle w:val="ListParagraph"/>
              <w:ind w:left="0"/>
              <w:rPr>
                <w:rFonts w:ascii="Times New Roman" w:hAnsi="Times New Roman"/>
                <w:b/>
                <w:sz w:val="24"/>
                <w:szCs w:val="24"/>
              </w:rPr>
            </w:pPr>
            <w:r>
              <w:rPr>
                <w:rFonts w:ascii="Times New Roman" w:hAnsi="Times New Roman"/>
                <w:b/>
                <w:sz w:val="24"/>
                <w:szCs w:val="24"/>
              </w:rPr>
              <w:t>Koeficients 4</w:t>
            </w:r>
          </w:p>
        </w:tc>
      </w:tr>
      <w:tr w:rsidR="006C31D6" w:rsidRPr="00D66049" w14:paraId="18169B70" w14:textId="77777777" w:rsidTr="001D2398">
        <w:tc>
          <w:tcPr>
            <w:tcW w:w="2173" w:type="dxa"/>
          </w:tcPr>
          <w:p w14:paraId="76526CC1"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Pārtikai u.c. ikdienas izdevumiem atstājamā daļa</w:t>
            </w:r>
          </w:p>
        </w:tc>
        <w:tc>
          <w:tcPr>
            <w:tcW w:w="2190" w:type="dxa"/>
          </w:tcPr>
          <w:p w14:paraId="53233042" w14:textId="77777777" w:rsidR="006C31D6" w:rsidRPr="00D66049" w:rsidRDefault="006C31D6" w:rsidP="001D2398">
            <w:pPr>
              <w:pStyle w:val="ListParagraph"/>
              <w:ind w:left="0"/>
              <w:rPr>
                <w:rFonts w:ascii="Times New Roman" w:hAnsi="Times New Roman"/>
                <w:i/>
                <w:sz w:val="24"/>
                <w:szCs w:val="24"/>
              </w:rPr>
            </w:pPr>
            <w:r w:rsidRPr="00D66049">
              <w:rPr>
                <w:rFonts w:ascii="Times New Roman" w:hAnsi="Times New Roman"/>
                <w:sz w:val="24"/>
                <w:szCs w:val="24"/>
              </w:rPr>
              <w:t xml:space="preserve">109 + 76 x 3 = 337 </w:t>
            </w:r>
            <w:r w:rsidRPr="00D66049">
              <w:rPr>
                <w:rFonts w:ascii="Times New Roman" w:hAnsi="Times New Roman"/>
                <w:i/>
                <w:sz w:val="24"/>
                <w:szCs w:val="24"/>
              </w:rPr>
              <w:t>euro</w:t>
            </w:r>
          </w:p>
          <w:p w14:paraId="07FF2F78"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337 </w:t>
            </w:r>
            <w:r w:rsidRPr="00D66049">
              <w:rPr>
                <w:rFonts w:ascii="Times New Roman" w:hAnsi="Times New Roman"/>
                <w:i/>
                <w:sz w:val="24"/>
                <w:szCs w:val="24"/>
              </w:rPr>
              <w:t xml:space="preserve">euro x </w:t>
            </w:r>
            <w:r w:rsidRPr="00D66049">
              <w:rPr>
                <w:rFonts w:ascii="Times New Roman" w:hAnsi="Times New Roman"/>
                <w:b/>
                <w:i/>
                <w:sz w:val="24"/>
                <w:szCs w:val="24"/>
              </w:rPr>
              <w:t>1,5</w:t>
            </w:r>
            <w:r w:rsidRPr="00D66049">
              <w:rPr>
                <w:rFonts w:ascii="Times New Roman" w:hAnsi="Times New Roman"/>
                <w:i/>
                <w:sz w:val="24"/>
                <w:szCs w:val="24"/>
              </w:rPr>
              <w:t xml:space="preserve"> = </w:t>
            </w:r>
            <w:r w:rsidRPr="00D66049">
              <w:rPr>
                <w:rFonts w:ascii="Times New Roman" w:hAnsi="Times New Roman"/>
                <w:b/>
                <w:sz w:val="24"/>
                <w:szCs w:val="24"/>
              </w:rPr>
              <w:t>505,5</w:t>
            </w:r>
            <w:r w:rsidRPr="00D66049">
              <w:rPr>
                <w:rFonts w:ascii="Times New Roman" w:hAnsi="Times New Roman"/>
                <w:i/>
                <w:sz w:val="24"/>
                <w:szCs w:val="24"/>
              </w:rPr>
              <w:t xml:space="preserve"> </w:t>
            </w:r>
            <w:r w:rsidRPr="00D66049">
              <w:rPr>
                <w:rFonts w:ascii="Times New Roman" w:hAnsi="Times New Roman"/>
                <w:b/>
                <w:i/>
                <w:sz w:val="24"/>
                <w:szCs w:val="24"/>
              </w:rPr>
              <w:t>euro</w:t>
            </w:r>
          </w:p>
        </w:tc>
        <w:tc>
          <w:tcPr>
            <w:tcW w:w="2100" w:type="dxa"/>
          </w:tcPr>
          <w:p w14:paraId="63CCB9C0" w14:textId="77777777" w:rsidR="006C31D6" w:rsidRPr="00D66049" w:rsidRDefault="006C31D6" w:rsidP="001D2398">
            <w:pPr>
              <w:pStyle w:val="ListParagraph"/>
              <w:ind w:left="0"/>
              <w:rPr>
                <w:rFonts w:ascii="Times New Roman" w:hAnsi="Times New Roman"/>
                <w:i/>
                <w:sz w:val="24"/>
                <w:szCs w:val="24"/>
              </w:rPr>
            </w:pPr>
            <w:r w:rsidRPr="00D66049">
              <w:rPr>
                <w:rFonts w:ascii="Times New Roman" w:hAnsi="Times New Roman"/>
                <w:sz w:val="24"/>
                <w:szCs w:val="24"/>
              </w:rPr>
              <w:t xml:space="preserve">109 + 76 x 3 = 337 </w:t>
            </w:r>
            <w:r w:rsidRPr="00D66049">
              <w:rPr>
                <w:rFonts w:ascii="Times New Roman" w:hAnsi="Times New Roman"/>
                <w:i/>
                <w:sz w:val="24"/>
                <w:szCs w:val="24"/>
              </w:rPr>
              <w:t>euro</w:t>
            </w:r>
          </w:p>
          <w:p w14:paraId="3FFEEC91"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 337 x </w:t>
            </w:r>
            <w:r>
              <w:rPr>
                <w:rFonts w:ascii="Times New Roman" w:hAnsi="Times New Roman"/>
                <w:b/>
                <w:sz w:val="24"/>
                <w:szCs w:val="24"/>
              </w:rPr>
              <w:t>3</w:t>
            </w:r>
            <w:r w:rsidRPr="00D66049">
              <w:rPr>
                <w:rFonts w:ascii="Times New Roman" w:hAnsi="Times New Roman"/>
                <w:b/>
                <w:sz w:val="24"/>
                <w:szCs w:val="24"/>
              </w:rPr>
              <w:t xml:space="preserve"> </w:t>
            </w:r>
            <w:r w:rsidRPr="00D66049">
              <w:rPr>
                <w:rFonts w:ascii="Times New Roman" w:hAnsi="Times New Roman"/>
                <w:sz w:val="24"/>
                <w:szCs w:val="24"/>
              </w:rPr>
              <w:t xml:space="preserve">= </w:t>
            </w:r>
            <w:r>
              <w:rPr>
                <w:rFonts w:ascii="Times New Roman" w:hAnsi="Times New Roman"/>
                <w:b/>
                <w:sz w:val="24"/>
                <w:szCs w:val="24"/>
              </w:rPr>
              <w:t>1 011</w:t>
            </w:r>
            <w:r w:rsidRPr="00D66049">
              <w:rPr>
                <w:rFonts w:ascii="Times New Roman" w:hAnsi="Times New Roman"/>
                <w:b/>
                <w:sz w:val="24"/>
                <w:szCs w:val="24"/>
              </w:rPr>
              <w:t xml:space="preserve"> </w:t>
            </w:r>
            <w:r w:rsidRPr="00D66049">
              <w:rPr>
                <w:rFonts w:ascii="Times New Roman" w:hAnsi="Times New Roman"/>
                <w:b/>
                <w:i/>
                <w:sz w:val="24"/>
                <w:szCs w:val="24"/>
              </w:rPr>
              <w:t>euro</w:t>
            </w:r>
          </w:p>
        </w:tc>
        <w:tc>
          <w:tcPr>
            <w:tcW w:w="2184" w:type="dxa"/>
          </w:tcPr>
          <w:p w14:paraId="31C64D25" w14:textId="77777777" w:rsidR="006C31D6" w:rsidRPr="00D66049" w:rsidRDefault="006C31D6" w:rsidP="001D2398">
            <w:pPr>
              <w:pStyle w:val="ListParagraph"/>
              <w:ind w:left="0"/>
              <w:rPr>
                <w:rFonts w:ascii="Times New Roman" w:hAnsi="Times New Roman"/>
                <w:i/>
                <w:sz w:val="24"/>
                <w:szCs w:val="24"/>
              </w:rPr>
            </w:pPr>
            <w:r w:rsidRPr="00D66049">
              <w:rPr>
                <w:rFonts w:ascii="Times New Roman" w:hAnsi="Times New Roman"/>
                <w:sz w:val="24"/>
                <w:szCs w:val="24"/>
              </w:rPr>
              <w:t xml:space="preserve">109 + 76 x </w:t>
            </w:r>
            <w:r>
              <w:rPr>
                <w:rFonts w:ascii="Times New Roman" w:hAnsi="Times New Roman"/>
                <w:sz w:val="24"/>
                <w:szCs w:val="24"/>
              </w:rPr>
              <w:t>3</w:t>
            </w:r>
            <w:r w:rsidRPr="00D66049">
              <w:rPr>
                <w:rFonts w:ascii="Times New Roman" w:hAnsi="Times New Roman"/>
                <w:sz w:val="24"/>
                <w:szCs w:val="24"/>
              </w:rPr>
              <w:t xml:space="preserve"> = 337 </w:t>
            </w:r>
            <w:r w:rsidRPr="00D66049">
              <w:rPr>
                <w:rFonts w:ascii="Times New Roman" w:hAnsi="Times New Roman"/>
                <w:i/>
                <w:sz w:val="24"/>
                <w:szCs w:val="24"/>
              </w:rPr>
              <w:t>euro</w:t>
            </w:r>
          </w:p>
          <w:p w14:paraId="1F8A4F72"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 337 x </w:t>
            </w:r>
            <w:r w:rsidRPr="001A5943">
              <w:rPr>
                <w:rFonts w:ascii="Times New Roman" w:hAnsi="Times New Roman"/>
                <w:b/>
                <w:sz w:val="24"/>
                <w:szCs w:val="24"/>
              </w:rPr>
              <w:t>4</w:t>
            </w:r>
            <w:r w:rsidRPr="00D66049">
              <w:rPr>
                <w:rFonts w:ascii="Times New Roman" w:hAnsi="Times New Roman"/>
                <w:b/>
                <w:sz w:val="24"/>
                <w:szCs w:val="24"/>
              </w:rPr>
              <w:t xml:space="preserve"> </w:t>
            </w:r>
            <w:r w:rsidRPr="00D66049">
              <w:rPr>
                <w:rFonts w:ascii="Times New Roman" w:hAnsi="Times New Roman"/>
                <w:sz w:val="24"/>
                <w:szCs w:val="24"/>
              </w:rPr>
              <w:t xml:space="preserve">= </w:t>
            </w:r>
            <w:r>
              <w:rPr>
                <w:rFonts w:ascii="Times New Roman" w:hAnsi="Times New Roman"/>
                <w:b/>
                <w:sz w:val="24"/>
                <w:szCs w:val="24"/>
              </w:rPr>
              <w:t>1 348</w:t>
            </w:r>
            <w:r w:rsidRPr="00D66049">
              <w:rPr>
                <w:rFonts w:ascii="Times New Roman" w:hAnsi="Times New Roman"/>
                <w:b/>
                <w:sz w:val="24"/>
                <w:szCs w:val="24"/>
              </w:rPr>
              <w:t xml:space="preserve"> </w:t>
            </w:r>
            <w:r w:rsidRPr="00D66049">
              <w:rPr>
                <w:rFonts w:ascii="Times New Roman" w:hAnsi="Times New Roman"/>
                <w:b/>
                <w:i/>
                <w:sz w:val="24"/>
                <w:szCs w:val="24"/>
              </w:rPr>
              <w:t>euro</w:t>
            </w:r>
          </w:p>
        </w:tc>
      </w:tr>
      <w:tr w:rsidR="006C31D6" w:rsidRPr="00D66049" w14:paraId="564C1EB1" w14:textId="77777777" w:rsidTr="001D2398">
        <w:tc>
          <w:tcPr>
            <w:tcW w:w="2173" w:type="dxa"/>
          </w:tcPr>
          <w:p w14:paraId="3655D50E"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Kopējie izdevumi par mājokli, telefonu, internetu</w:t>
            </w:r>
          </w:p>
        </w:tc>
        <w:tc>
          <w:tcPr>
            <w:tcW w:w="2190" w:type="dxa"/>
          </w:tcPr>
          <w:p w14:paraId="15DB4ADD"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350 </w:t>
            </w:r>
            <w:r w:rsidRPr="00D66049">
              <w:rPr>
                <w:rFonts w:ascii="Times New Roman" w:hAnsi="Times New Roman"/>
                <w:i/>
                <w:sz w:val="24"/>
                <w:szCs w:val="24"/>
              </w:rPr>
              <w:t>euro</w:t>
            </w:r>
          </w:p>
        </w:tc>
        <w:tc>
          <w:tcPr>
            <w:tcW w:w="2100" w:type="dxa"/>
          </w:tcPr>
          <w:p w14:paraId="18D3AC6C"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350 </w:t>
            </w:r>
            <w:r w:rsidRPr="00D66049">
              <w:rPr>
                <w:rFonts w:ascii="Times New Roman" w:hAnsi="Times New Roman"/>
                <w:i/>
                <w:sz w:val="24"/>
                <w:szCs w:val="24"/>
              </w:rPr>
              <w:t>euro</w:t>
            </w:r>
          </w:p>
        </w:tc>
        <w:tc>
          <w:tcPr>
            <w:tcW w:w="2184" w:type="dxa"/>
          </w:tcPr>
          <w:p w14:paraId="0B8A5E30"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350 </w:t>
            </w:r>
            <w:r w:rsidRPr="00D66049">
              <w:rPr>
                <w:rFonts w:ascii="Times New Roman" w:hAnsi="Times New Roman"/>
                <w:i/>
                <w:sz w:val="24"/>
                <w:szCs w:val="24"/>
              </w:rPr>
              <w:t>euro</w:t>
            </w:r>
          </w:p>
        </w:tc>
      </w:tr>
      <w:tr w:rsidR="006C31D6" w:rsidRPr="00D66049" w14:paraId="33F37671" w14:textId="77777777" w:rsidTr="001D2398">
        <w:tc>
          <w:tcPr>
            <w:tcW w:w="2173" w:type="dxa"/>
          </w:tcPr>
          <w:p w14:paraId="4142628A"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Izdevumi par mājokli un ikdienas izdevumiem, tajā skaitā pārtiku</w:t>
            </w:r>
          </w:p>
        </w:tc>
        <w:tc>
          <w:tcPr>
            <w:tcW w:w="2190" w:type="dxa"/>
          </w:tcPr>
          <w:p w14:paraId="2ACB13BD" w14:textId="77777777" w:rsidR="006C31D6"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505,5 + 350 = </w:t>
            </w:r>
          </w:p>
          <w:p w14:paraId="4BC0F7B3" w14:textId="77777777" w:rsidR="006C31D6" w:rsidRPr="00D66049" w:rsidRDefault="006C31D6" w:rsidP="001D2398">
            <w:pPr>
              <w:pStyle w:val="ListParagraph"/>
              <w:ind w:left="0"/>
              <w:rPr>
                <w:rFonts w:ascii="Times New Roman" w:hAnsi="Times New Roman"/>
                <w:i/>
                <w:sz w:val="24"/>
                <w:szCs w:val="24"/>
              </w:rPr>
            </w:pPr>
            <w:r w:rsidRPr="00D66049">
              <w:rPr>
                <w:rFonts w:ascii="Times New Roman" w:hAnsi="Times New Roman"/>
                <w:sz w:val="24"/>
                <w:szCs w:val="24"/>
              </w:rPr>
              <w:t xml:space="preserve">855,5 </w:t>
            </w:r>
            <w:r w:rsidRPr="00D66049">
              <w:rPr>
                <w:rFonts w:ascii="Times New Roman" w:hAnsi="Times New Roman"/>
                <w:i/>
                <w:sz w:val="24"/>
                <w:szCs w:val="24"/>
              </w:rPr>
              <w:t>euro</w:t>
            </w:r>
          </w:p>
          <w:p w14:paraId="44EB7727" w14:textId="77777777" w:rsidR="006C31D6" w:rsidRPr="00D66049" w:rsidRDefault="006C31D6" w:rsidP="001D2398">
            <w:pPr>
              <w:pStyle w:val="ListParagraph"/>
              <w:ind w:left="0"/>
              <w:rPr>
                <w:rFonts w:ascii="Times New Roman" w:hAnsi="Times New Roman"/>
                <w:sz w:val="24"/>
                <w:szCs w:val="24"/>
              </w:rPr>
            </w:pPr>
          </w:p>
        </w:tc>
        <w:tc>
          <w:tcPr>
            <w:tcW w:w="2100" w:type="dxa"/>
          </w:tcPr>
          <w:p w14:paraId="1846E6F1" w14:textId="77777777" w:rsidR="006C31D6" w:rsidRDefault="006C31D6" w:rsidP="001D2398">
            <w:pPr>
              <w:pStyle w:val="ListParagraph"/>
              <w:ind w:left="0"/>
              <w:rPr>
                <w:rFonts w:ascii="Times New Roman" w:hAnsi="Times New Roman"/>
                <w:sz w:val="24"/>
                <w:szCs w:val="24"/>
              </w:rPr>
            </w:pPr>
            <w:r>
              <w:rPr>
                <w:rFonts w:ascii="Times New Roman" w:hAnsi="Times New Roman"/>
                <w:sz w:val="24"/>
                <w:szCs w:val="24"/>
              </w:rPr>
              <w:t>1 011</w:t>
            </w:r>
            <w:r w:rsidRPr="00D66049">
              <w:rPr>
                <w:rFonts w:ascii="Times New Roman" w:hAnsi="Times New Roman"/>
                <w:sz w:val="24"/>
                <w:szCs w:val="24"/>
              </w:rPr>
              <w:t xml:space="preserve"> + 350 = </w:t>
            </w:r>
          </w:p>
          <w:p w14:paraId="731661DF" w14:textId="77777777" w:rsidR="006C31D6" w:rsidRPr="00D66049" w:rsidRDefault="006C31D6" w:rsidP="001D2398">
            <w:pPr>
              <w:pStyle w:val="ListParagraph"/>
              <w:ind w:left="0"/>
              <w:rPr>
                <w:rFonts w:ascii="Times New Roman" w:hAnsi="Times New Roman"/>
                <w:sz w:val="24"/>
                <w:szCs w:val="24"/>
              </w:rPr>
            </w:pPr>
            <w:r>
              <w:rPr>
                <w:rFonts w:ascii="Times New Roman" w:hAnsi="Times New Roman"/>
                <w:sz w:val="24"/>
                <w:szCs w:val="24"/>
              </w:rPr>
              <w:t>1 361</w:t>
            </w:r>
            <w:r w:rsidRPr="00D66049">
              <w:rPr>
                <w:rFonts w:ascii="Times New Roman" w:hAnsi="Times New Roman"/>
                <w:sz w:val="24"/>
                <w:szCs w:val="24"/>
              </w:rPr>
              <w:t xml:space="preserve"> </w:t>
            </w:r>
            <w:r w:rsidRPr="00D66049">
              <w:rPr>
                <w:rFonts w:ascii="Times New Roman" w:hAnsi="Times New Roman"/>
                <w:i/>
                <w:sz w:val="24"/>
                <w:szCs w:val="24"/>
              </w:rPr>
              <w:t>euro</w:t>
            </w:r>
          </w:p>
        </w:tc>
        <w:tc>
          <w:tcPr>
            <w:tcW w:w="2184" w:type="dxa"/>
          </w:tcPr>
          <w:p w14:paraId="3CB59C4D" w14:textId="77777777" w:rsidR="006C31D6" w:rsidRDefault="006C31D6" w:rsidP="001D2398">
            <w:pPr>
              <w:pStyle w:val="ListParagraph"/>
              <w:ind w:left="0"/>
              <w:rPr>
                <w:rFonts w:ascii="Times New Roman" w:hAnsi="Times New Roman"/>
                <w:sz w:val="24"/>
                <w:szCs w:val="24"/>
              </w:rPr>
            </w:pPr>
            <w:r>
              <w:rPr>
                <w:rFonts w:ascii="Times New Roman" w:hAnsi="Times New Roman"/>
                <w:sz w:val="24"/>
                <w:szCs w:val="24"/>
              </w:rPr>
              <w:t xml:space="preserve">1 348 + 350 = </w:t>
            </w:r>
          </w:p>
          <w:p w14:paraId="1E3A0C38" w14:textId="77777777" w:rsidR="006C31D6" w:rsidRPr="00D66049" w:rsidDel="000D30D9" w:rsidRDefault="006C31D6" w:rsidP="001D2398">
            <w:pPr>
              <w:pStyle w:val="ListParagraph"/>
              <w:ind w:left="0"/>
              <w:rPr>
                <w:rFonts w:ascii="Times New Roman" w:hAnsi="Times New Roman"/>
                <w:sz w:val="24"/>
                <w:szCs w:val="24"/>
              </w:rPr>
            </w:pPr>
            <w:r>
              <w:rPr>
                <w:rFonts w:ascii="Times New Roman" w:hAnsi="Times New Roman"/>
                <w:sz w:val="24"/>
                <w:szCs w:val="24"/>
              </w:rPr>
              <w:t xml:space="preserve">1 698 </w:t>
            </w:r>
            <w:r w:rsidRPr="00301CB3">
              <w:rPr>
                <w:rFonts w:ascii="Times New Roman" w:hAnsi="Times New Roman"/>
                <w:i/>
                <w:sz w:val="24"/>
                <w:szCs w:val="24"/>
              </w:rPr>
              <w:t>euro</w:t>
            </w:r>
          </w:p>
        </w:tc>
      </w:tr>
      <w:tr w:rsidR="006C31D6" w:rsidRPr="00D66049" w14:paraId="0979BC15" w14:textId="77777777" w:rsidTr="001D2398">
        <w:tc>
          <w:tcPr>
            <w:tcW w:w="2173" w:type="dxa"/>
          </w:tcPr>
          <w:p w14:paraId="1E13AC70"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Mājokļa pabalsta apmērs</w:t>
            </w:r>
          </w:p>
        </w:tc>
        <w:tc>
          <w:tcPr>
            <w:tcW w:w="2190" w:type="dxa"/>
          </w:tcPr>
          <w:p w14:paraId="73CB00ED" w14:textId="77777777" w:rsidR="006C31D6" w:rsidRDefault="006C31D6" w:rsidP="001D2398">
            <w:pPr>
              <w:pStyle w:val="ListParagraph"/>
              <w:ind w:left="0"/>
              <w:jc w:val="both"/>
              <w:rPr>
                <w:rFonts w:ascii="Times New Roman" w:hAnsi="Times New Roman"/>
                <w:sz w:val="24"/>
                <w:szCs w:val="24"/>
              </w:rPr>
            </w:pPr>
            <w:r w:rsidRPr="00EE5FE0">
              <w:rPr>
                <w:rFonts w:ascii="Times New Roman" w:hAnsi="Times New Roman"/>
                <w:sz w:val="24"/>
                <w:szCs w:val="24"/>
              </w:rPr>
              <w:t xml:space="preserve">855,5 – </w:t>
            </w:r>
            <w:r>
              <w:rPr>
                <w:rFonts w:ascii="Times New Roman" w:hAnsi="Times New Roman"/>
                <w:sz w:val="24"/>
                <w:szCs w:val="24"/>
              </w:rPr>
              <w:t>1 500</w:t>
            </w:r>
            <w:r w:rsidRPr="00EE5FE0">
              <w:rPr>
                <w:rFonts w:ascii="Times New Roman" w:hAnsi="Times New Roman"/>
                <w:sz w:val="24"/>
                <w:szCs w:val="24"/>
              </w:rPr>
              <w:t xml:space="preserve"> = </w:t>
            </w:r>
          </w:p>
          <w:p w14:paraId="4DEF85CC" w14:textId="77777777" w:rsidR="006C31D6" w:rsidRPr="004D346C" w:rsidRDefault="006C31D6" w:rsidP="001D2398">
            <w:pPr>
              <w:pStyle w:val="ListParagraph"/>
              <w:ind w:left="0"/>
              <w:jc w:val="both"/>
              <w:rPr>
                <w:rFonts w:ascii="Times New Roman" w:hAnsi="Times New Roman"/>
                <w:color w:val="C00000"/>
                <w:sz w:val="24"/>
                <w:szCs w:val="24"/>
              </w:rPr>
            </w:pPr>
            <w:r w:rsidRPr="004D346C">
              <w:rPr>
                <w:rFonts w:ascii="Times New Roman" w:hAnsi="Times New Roman"/>
                <w:color w:val="C00000"/>
                <w:sz w:val="24"/>
                <w:szCs w:val="24"/>
              </w:rPr>
              <w:t xml:space="preserve">- 644,5 </w:t>
            </w:r>
            <w:r w:rsidRPr="004D346C">
              <w:rPr>
                <w:rFonts w:ascii="Times New Roman" w:hAnsi="Times New Roman"/>
                <w:i/>
                <w:color w:val="C00000"/>
                <w:sz w:val="24"/>
                <w:szCs w:val="24"/>
              </w:rPr>
              <w:t>euro</w:t>
            </w:r>
          </w:p>
          <w:p w14:paraId="78ECCD21" w14:textId="77777777" w:rsidR="006C31D6" w:rsidRPr="00D66049" w:rsidRDefault="006C31D6" w:rsidP="001D2398">
            <w:pPr>
              <w:pStyle w:val="ListParagraph"/>
              <w:ind w:left="0"/>
              <w:jc w:val="both"/>
              <w:rPr>
                <w:rFonts w:ascii="Times New Roman" w:hAnsi="Times New Roman"/>
                <w:sz w:val="24"/>
                <w:szCs w:val="24"/>
              </w:rPr>
            </w:pPr>
            <w:r w:rsidRPr="00EE5FE0">
              <w:rPr>
                <w:rFonts w:ascii="Times New Roman" w:hAnsi="Times New Roman"/>
                <w:sz w:val="24"/>
                <w:szCs w:val="24"/>
              </w:rPr>
              <w:t>Mājokļa pabalsts netiek izmaksāts.</w:t>
            </w:r>
          </w:p>
        </w:tc>
        <w:tc>
          <w:tcPr>
            <w:tcW w:w="2100" w:type="dxa"/>
          </w:tcPr>
          <w:p w14:paraId="2F866C04" w14:textId="77777777" w:rsidR="006C31D6" w:rsidRDefault="006C31D6" w:rsidP="001D2398">
            <w:pPr>
              <w:pStyle w:val="ListParagraph"/>
              <w:ind w:left="0"/>
              <w:rPr>
                <w:rFonts w:ascii="Times New Roman" w:hAnsi="Times New Roman"/>
                <w:b/>
                <w:sz w:val="24"/>
                <w:szCs w:val="24"/>
              </w:rPr>
            </w:pPr>
            <w:r>
              <w:rPr>
                <w:rFonts w:ascii="Times New Roman" w:hAnsi="Times New Roman"/>
                <w:sz w:val="24"/>
                <w:szCs w:val="24"/>
              </w:rPr>
              <w:t>1 361</w:t>
            </w:r>
            <w:r w:rsidRPr="00D66049">
              <w:rPr>
                <w:rFonts w:ascii="Times New Roman" w:hAnsi="Times New Roman"/>
                <w:sz w:val="24"/>
                <w:szCs w:val="24"/>
              </w:rPr>
              <w:t xml:space="preserve"> – </w:t>
            </w:r>
            <w:r>
              <w:rPr>
                <w:rFonts w:ascii="Times New Roman" w:hAnsi="Times New Roman"/>
                <w:sz w:val="24"/>
                <w:szCs w:val="24"/>
              </w:rPr>
              <w:t xml:space="preserve">1 500 </w:t>
            </w:r>
            <w:r w:rsidRPr="00D66049">
              <w:rPr>
                <w:rFonts w:ascii="Times New Roman" w:hAnsi="Times New Roman"/>
                <w:sz w:val="24"/>
                <w:szCs w:val="24"/>
              </w:rPr>
              <w:t xml:space="preserve">= </w:t>
            </w:r>
            <w:r>
              <w:rPr>
                <w:rFonts w:ascii="Times New Roman" w:hAnsi="Times New Roman"/>
                <w:b/>
                <w:sz w:val="24"/>
                <w:szCs w:val="24"/>
              </w:rPr>
              <w:t> </w:t>
            </w:r>
          </w:p>
          <w:p w14:paraId="52EAA733" w14:textId="77777777" w:rsidR="006C31D6" w:rsidRDefault="006C31D6" w:rsidP="001D2398">
            <w:pPr>
              <w:pStyle w:val="ListParagraph"/>
              <w:ind w:left="0"/>
              <w:rPr>
                <w:rFonts w:ascii="Times New Roman" w:hAnsi="Times New Roman"/>
                <w:i/>
                <w:color w:val="C00000"/>
                <w:sz w:val="24"/>
                <w:szCs w:val="24"/>
              </w:rPr>
            </w:pPr>
            <w:r w:rsidRPr="007B5764">
              <w:rPr>
                <w:rFonts w:ascii="Times New Roman" w:hAnsi="Times New Roman"/>
                <w:color w:val="C00000"/>
                <w:sz w:val="24"/>
                <w:szCs w:val="24"/>
              </w:rPr>
              <w:t xml:space="preserve">- 139 </w:t>
            </w:r>
            <w:r w:rsidRPr="007B5764">
              <w:rPr>
                <w:rFonts w:ascii="Times New Roman" w:hAnsi="Times New Roman"/>
                <w:i/>
                <w:color w:val="C00000"/>
                <w:sz w:val="24"/>
                <w:szCs w:val="24"/>
              </w:rPr>
              <w:t>euro</w:t>
            </w:r>
          </w:p>
          <w:p w14:paraId="0F1D2FE3" w14:textId="77777777" w:rsidR="006C31D6" w:rsidRPr="007B5764" w:rsidRDefault="006C31D6" w:rsidP="001D2398">
            <w:pPr>
              <w:pStyle w:val="ListParagraph"/>
              <w:ind w:left="0"/>
              <w:rPr>
                <w:rFonts w:ascii="Times New Roman" w:hAnsi="Times New Roman"/>
                <w:sz w:val="24"/>
                <w:szCs w:val="24"/>
              </w:rPr>
            </w:pPr>
            <w:r w:rsidRPr="00EE5FE0">
              <w:rPr>
                <w:rFonts w:ascii="Times New Roman" w:hAnsi="Times New Roman"/>
                <w:sz w:val="24"/>
                <w:szCs w:val="24"/>
              </w:rPr>
              <w:t>Mājokļa pabalsts netiek izmaksāts.</w:t>
            </w:r>
          </w:p>
        </w:tc>
        <w:tc>
          <w:tcPr>
            <w:tcW w:w="2184" w:type="dxa"/>
          </w:tcPr>
          <w:p w14:paraId="6DC2E191" w14:textId="77777777" w:rsidR="006C31D6" w:rsidRDefault="006C31D6" w:rsidP="001D2398">
            <w:pPr>
              <w:pStyle w:val="ListParagraph"/>
              <w:ind w:left="0"/>
              <w:rPr>
                <w:rFonts w:ascii="Times New Roman" w:hAnsi="Times New Roman"/>
                <w:sz w:val="24"/>
                <w:szCs w:val="24"/>
              </w:rPr>
            </w:pPr>
            <w:r>
              <w:rPr>
                <w:rFonts w:ascii="Times New Roman" w:hAnsi="Times New Roman"/>
                <w:sz w:val="24"/>
                <w:szCs w:val="24"/>
              </w:rPr>
              <w:t xml:space="preserve">1 698 – 1500 = </w:t>
            </w:r>
          </w:p>
          <w:p w14:paraId="68546A2A" w14:textId="77777777" w:rsidR="006C31D6" w:rsidRPr="00D66049" w:rsidDel="000D30D9" w:rsidRDefault="006C31D6" w:rsidP="001D2398">
            <w:pPr>
              <w:pStyle w:val="ListParagraph"/>
              <w:ind w:left="0"/>
              <w:rPr>
                <w:rFonts w:ascii="Times New Roman" w:hAnsi="Times New Roman"/>
                <w:sz w:val="24"/>
                <w:szCs w:val="24"/>
              </w:rPr>
            </w:pPr>
            <w:r w:rsidRPr="007B5764">
              <w:rPr>
                <w:rFonts w:ascii="Times New Roman" w:hAnsi="Times New Roman"/>
                <w:b/>
                <w:sz w:val="24"/>
                <w:szCs w:val="24"/>
              </w:rPr>
              <w:t xml:space="preserve">198 </w:t>
            </w:r>
            <w:r w:rsidRPr="007B5764">
              <w:rPr>
                <w:rFonts w:ascii="Times New Roman" w:hAnsi="Times New Roman"/>
                <w:b/>
                <w:i/>
                <w:sz w:val="24"/>
                <w:szCs w:val="24"/>
              </w:rPr>
              <w:t>euro</w:t>
            </w:r>
          </w:p>
        </w:tc>
      </w:tr>
      <w:tr w:rsidR="006C31D6" w:rsidRPr="00D66049" w14:paraId="4B27D4EF" w14:textId="77777777" w:rsidTr="001D2398">
        <w:tc>
          <w:tcPr>
            <w:tcW w:w="2173" w:type="dxa"/>
          </w:tcPr>
          <w:p w14:paraId="1E31178C"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Mājsaimniecībai pašai par mājokli apmaksājamā daļa</w:t>
            </w:r>
          </w:p>
        </w:tc>
        <w:tc>
          <w:tcPr>
            <w:tcW w:w="2190" w:type="dxa"/>
          </w:tcPr>
          <w:p w14:paraId="5C6105E3" w14:textId="77777777" w:rsidR="006C31D6" w:rsidRDefault="006C31D6" w:rsidP="001D2398">
            <w:pPr>
              <w:pStyle w:val="ListParagraph"/>
              <w:ind w:left="0"/>
              <w:rPr>
                <w:rFonts w:ascii="Times New Roman" w:hAnsi="Times New Roman"/>
                <w:sz w:val="24"/>
                <w:szCs w:val="24"/>
              </w:rPr>
            </w:pPr>
            <w:r>
              <w:rPr>
                <w:rFonts w:ascii="Times New Roman" w:hAnsi="Times New Roman"/>
                <w:sz w:val="24"/>
                <w:szCs w:val="24"/>
              </w:rPr>
              <w:t xml:space="preserve">Visi izdevumi – </w:t>
            </w:r>
          </w:p>
          <w:p w14:paraId="112BBFDE" w14:textId="77777777" w:rsidR="006C31D6" w:rsidRPr="00D66049" w:rsidRDefault="006C31D6" w:rsidP="001D2398">
            <w:pPr>
              <w:pStyle w:val="ListParagraph"/>
              <w:ind w:left="0"/>
              <w:rPr>
                <w:rFonts w:ascii="Times New Roman" w:hAnsi="Times New Roman"/>
                <w:sz w:val="24"/>
                <w:szCs w:val="24"/>
              </w:rPr>
            </w:pPr>
            <w:r w:rsidRPr="00D66049">
              <w:rPr>
                <w:rFonts w:ascii="Times New Roman" w:hAnsi="Times New Roman"/>
                <w:sz w:val="24"/>
                <w:szCs w:val="24"/>
              </w:rPr>
              <w:t xml:space="preserve">350 </w:t>
            </w:r>
            <w:r w:rsidRPr="00D66049">
              <w:rPr>
                <w:rFonts w:ascii="Times New Roman" w:hAnsi="Times New Roman"/>
                <w:i/>
                <w:sz w:val="24"/>
                <w:szCs w:val="24"/>
              </w:rPr>
              <w:t>euro</w:t>
            </w:r>
          </w:p>
        </w:tc>
        <w:tc>
          <w:tcPr>
            <w:tcW w:w="2100" w:type="dxa"/>
          </w:tcPr>
          <w:p w14:paraId="566C586D" w14:textId="77777777" w:rsidR="006C31D6" w:rsidRPr="00D66049" w:rsidRDefault="006C31D6" w:rsidP="001D2398">
            <w:pPr>
              <w:pStyle w:val="ListParagraph"/>
              <w:ind w:left="0"/>
              <w:rPr>
                <w:rFonts w:ascii="Times New Roman" w:hAnsi="Times New Roman"/>
                <w:sz w:val="24"/>
                <w:szCs w:val="24"/>
              </w:rPr>
            </w:pPr>
            <w:r>
              <w:rPr>
                <w:rFonts w:ascii="Times New Roman" w:hAnsi="Times New Roman"/>
                <w:sz w:val="24"/>
                <w:szCs w:val="24"/>
              </w:rPr>
              <w:t xml:space="preserve">Visi izdevumi - </w:t>
            </w:r>
            <w:r w:rsidRPr="00D66049">
              <w:rPr>
                <w:rFonts w:ascii="Times New Roman" w:hAnsi="Times New Roman"/>
                <w:sz w:val="24"/>
                <w:szCs w:val="24"/>
              </w:rPr>
              <w:t xml:space="preserve">350 </w:t>
            </w:r>
            <w:r w:rsidRPr="00D66049">
              <w:rPr>
                <w:rFonts w:ascii="Times New Roman" w:hAnsi="Times New Roman"/>
                <w:i/>
                <w:sz w:val="24"/>
                <w:szCs w:val="24"/>
              </w:rPr>
              <w:t>euro</w:t>
            </w:r>
          </w:p>
        </w:tc>
        <w:tc>
          <w:tcPr>
            <w:tcW w:w="2184" w:type="dxa"/>
          </w:tcPr>
          <w:p w14:paraId="158930F5" w14:textId="77777777" w:rsidR="006C31D6" w:rsidRPr="00D66049" w:rsidRDefault="006C31D6" w:rsidP="001D2398">
            <w:pPr>
              <w:pStyle w:val="ListParagraph"/>
              <w:ind w:left="0"/>
              <w:rPr>
                <w:rFonts w:ascii="Times New Roman" w:hAnsi="Times New Roman"/>
                <w:sz w:val="24"/>
                <w:szCs w:val="24"/>
              </w:rPr>
            </w:pPr>
            <w:r>
              <w:rPr>
                <w:rFonts w:ascii="Times New Roman" w:hAnsi="Times New Roman"/>
                <w:sz w:val="24"/>
                <w:szCs w:val="24"/>
              </w:rPr>
              <w:t xml:space="preserve">152 </w:t>
            </w:r>
            <w:r w:rsidRPr="007B5764">
              <w:rPr>
                <w:rFonts w:ascii="Times New Roman" w:hAnsi="Times New Roman"/>
                <w:i/>
                <w:sz w:val="24"/>
                <w:szCs w:val="24"/>
              </w:rPr>
              <w:t>euro</w:t>
            </w:r>
          </w:p>
        </w:tc>
      </w:tr>
    </w:tbl>
    <w:p w14:paraId="5220BBED" w14:textId="77777777" w:rsidR="006C31D6" w:rsidRDefault="006C31D6" w:rsidP="006C31D6">
      <w:pPr>
        <w:spacing w:after="0" w:line="240" w:lineRule="auto"/>
        <w:jc w:val="both"/>
        <w:rPr>
          <w:rFonts w:ascii="Times New Roman" w:hAnsi="Times New Roman" w:cs="Times New Roman"/>
          <w:sz w:val="24"/>
          <w:szCs w:val="24"/>
        </w:rPr>
      </w:pPr>
    </w:p>
    <w:p w14:paraId="4CD64A8A" w14:textId="35569CAB" w:rsidR="006C31D6" w:rsidRDefault="006C31D6" w:rsidP="006C31D6">
      <w:pPr>
        <w:spacing w:after="0" w:line="240" w:lineRule="auto"/>
        <w:jc w:val="both"/>
        <w:rPr>
          <w:rFonts w:ascii="Times New Roman" w:hAnsi="Times New Roman" w:cs="Times New Roman"/>
          <w:sz w:val="24"/>
          <w:szCs w:val="24"/>
        </w:rPr>
      </w:pPr>
      <w:r w:rsidRPr="00D66049">
        <w:rPr>
          <w:rFonts w:ascii="Times New Roman" w:hAnsi="Times New Roman" w:cs="Times New Roman"/>
          <w:sz w:val="24"/>
          <w:szCs w:val="24"/>
        </w:rPr>
        <w:t xml:space="preserve">No 2023.gada 1.janvāra plānots noteikt GMI slieksni </w:t>
      </w:r>
      <w:r>
        <w:rPr>
          <w:rFonts w:ascii="Times New Roman" w:hAnsi="Times New Roman" w:cs="Times New Roman"/>
          <w:sz w:val="24"/>
          <w:szCs w:val="24"/>
        </w:rPr>
        <w:t xml:space="preserve">20% apmērā no minimālās ienākumu mediānas, attiecīgi </w:t>
      </w:r>
      <w:r w:rsidRPr="00D66049">
        <w:rPr>
          <w:rFonts w:ascii="Times New Roman" w:hAnsi="Times New Roman" w:cs="Times New Roman"/>
          <w:sz w:val="24"/>
          <w:szCs w:val="24"/>
        </w:rPr>
        <w:t xml:space="preserve">pirmajai personai mājsaimniecībā </w:t>
      </w:r>
      <w:r w:rsidRPr="00D66049">
        <w:rPr>
          <w:rFonts w:ascii="Times New Roman" w:hAnsi="Times New Roman" w:cs="Times New Roman"/>
          <w:b/>
          <w:sz w:val="24"/>
          <w:szCs w:val="24"/>
        </w:rPr>
        <w:t xml:space="preserve">125 </w:t>
      </w:r>
      <w:r w:rsidRPr="00D66049">
        <w:rPr>
          <w:rFonts w:ascii="Times New Roman" w:hAnsi="Times New Roman" w:cs="Times New Roman"/>
          <w:b/>
          <w:i/>
          <w:iCs/>
          <w:sz w:val="24"/>
          <w:szCs w:val="24"/>
        </w:rPr>
        <w:t>euro</w:t>
      </w:r>
      <w:r>
        <w:rPr>
          <w:rFonts w:ascii="Times New Roman" w:hAnsi="Times New Roman" w:cs="Times New Roman"/>
          <w:sz w:val="24"/>
          <w:szCs w:val="24"/>
        </w:rPr>
        <w:t xml:space="preserve"> un </w:t>
      </w:r>
      <w:r w:rsidRPr="00D66049">
        <w:rPr>
          <w:rFonts w:ascii="Times New Roman" w:hAnsi="Times New Roman" w:cs="Times New Roman"/>
          <w:b/>
          <w:sz w:val="24"/>
          <w:szCs w:val="24"/>
        </w:rPr>
        <w:t xml:space="preserve">87,5 </w:t>
      </w:r>
      <w:r w:rsidRPr="00D66049">
        <w:rPr>
          <w:rFonts w:ascii="Times New Roman" w:hAnsi="Times New Roman" w:cs="Times New Roman"/>
          <w:b/>
          <w:i/>
          <w:iCs/>
          <w:sz w:val="24"/>
          <w:szCs w:val="24"/>
        </w:rPr>
        <w:t>euro</w:t>
      </w:r>
      <w:r w:rsidRPr="00D66049">
        <w:rPr>
          <w:rFonts w:ascii="Times New Roman" w:hAnsi="Times New Roman" w:cs="Times New Roman"/>
          <w:sz w:val="24"/>
          <w:szCs w:val="24"/>
        </w:rPr>
        <w:t xml:space="preserve"> </w:t>
      </w:r>
      <w:r>
        <w:rPr>
          <w:rFonts w:ascii="Times New Roman" w:hAnsi="Times New Roman" w:cs="Times New Roman"/>
          <w:sz w:val="24"/>
          <w:szCs w:val="24"/>
        </w:rPr>
        <w:t>pārējām personām mājsaimniecībā</w:t>
      </w:r>
      <w:r w:rsidR="0043551A" w:rsidRPr="000C5E35">
        <w:rPr>
          <w:rStyle w:val="FootnoteReference"/>
          <w:rFonts w:ascii="Times New Roman" w:hAnsi="Times New Roman"/>
        </w:rPr>
        <w:footnoteReference w:id="27"/>
      </w:r>
      <w:r w:rsidR="00932B0A" w:rsidRPr="000C5E35">
        <w:rPr>
          <w:rStyle w:val="FootnoteReference"/>
          <w:rFonts w:ascii="Times New Roman" w:hAnsi="Times New Roman"/>
        </w:rPr>
        <w:footnoteReference w:id="28"/>
      </w:r>
      <w:r>
        <w:rPr>
          <w:rFonts w:ascii="Times New Roman" w:hAnsi="Times New Roman" w:cs="Times New Roman"/>
          <w:sz w:val="24"/>
          <w:szCs w:val="24"/>
        </w:rPr>
        <w:t>. GMI sliekšņu palielināšana</w:t>
      </w:r>
      <w:r w:rsidRPr="00D66049">
        <w:rPr>
          <w:rFonts w:ascii="Times New Roman" w:hAnsi="Times New Roman" w:cs="Times New Roman"/>
          <w:sz w:val="24"/>
          <w:szCs w:val="24"/>
        </w:rPr>
        <w:t xml:space="preserve"> dos papildu atbalstu arī mājokļa izdevumu segšanai, jo GMI slieksnis ietilpst mājokļa pabalsta apmēra aprēķin</w:t>
      </w:r>
      <w:r>
        <w:rPr>
          <w:rFonts w:ascii="Times New Roman" w:hAnsi="Times New Roman" w:cs="Times New Roman"/>
          <w:sz w:val="24"/>
          <w:szCs w:val="24"/>
        </w:rPr>
        <w:t>a</w:t>
      </w:r>
      <w:r w:rsidRPr="00D66049">
        <w:rPr>
          <w:rFonts w:ascii="Times New Roman" w:hAnsi="Times New Roman" w:cs="Times New Roman"/>
          <w:sz w:val="24"/>
          <w:szCs w:val="24"/>
        </w:rPr>
        <w:t xml:space="preserve"> formulā, t.i.</w:t>
      </w:r>
      <w:r>
        <w:rPr>
          <w:rFonts w:ascii="Times New Roman" w:hAnsi="Times New Roman" w:cs="Times New Roman"/>
          <w:sz w:val="24"/>
          <w:szCs w:val="24"/>
        </w:rPr>
        <w:t>,</w:t>
      </w:r>
      <w:r w:rsidRPr="00D66049">
        <w:rPr>
          <w:rFonts w:ascii="Times New Roman" w:hAnsi="Times New Roman" w:cs="Times New Roman"/>
          <w:sz w:val="24"/>
          <w:szCs w:val="24"/>
        </w:rPr>
        <w:t xml:space="preserve"> jo lielāks GMI slieksnis mājsaimniecībai, jo mājsaimniecības ar lielākiem ienākumiem kvalificējas mājokļa pabalstam.</w:t>
      </w:r>
      <w:r>
        <w:rPr>
          <w:rFonts w:ascii="Times New Roman" w:hAnsi="Times New Roman" w:cs="Times New Roman"/>
          <w:sz w:val="24"/>
          <w:szCs w:val="24"/>
        </w:rPr>
        <w:t xml:space="preserve"> Tāpat n</w:t>
      </w:r>
      <w:r w:rsidRPr="00EE5FE0">
        <w:rPr>
          <w:rFonts w:ascii="Times New Roman" w:hAnsi="Times New Roman" w:cs="Times New Roman"/>
          <w:sz w:val="24"/>
          <w:szCs w:val="24"/>
        </w:rPr>
        <w:t>o 2023.gada 1.janvāra plānots  līdzfinansējums pašvaldībām 50 % apmērā no GMI un mājokļa pabalstam izmaksātajām summām.</w:t>
      </w:r>
    </w:p>
    <w:p w14:paraId="53F668FF" w14:textId="77777777" w:rsidR="006C31D6" w:rsidRPr="00B844D8" w:rsidRDefault="006C31D6" w:rsidP="006C31D6">
      <w:pPr>
        <w:spacing w:after="0" w:line="240" w:lineRule="auto"/>
        <w:jc w:val="both"/>
        <w:rPr>
          <w:rFonts w:ascii="Times New Roman" w:hAnsi="Times New Roman" w:cs="Times New Roman"/>
          <w:sz w:val="24"/>
          <w:szCs w:val="24"/>
        </w:rPr>
      </w:pPr>
    </w:p>
    <w:p w14:paraId="2F26E8D0" w14:textId="77777777" w:rsidR="006C31D6" w:rsidRPr="009D3F51" w:rsidRDefault="006C31D6" w:rsidP="006C31D6">
      <w:pPr>
        <w:pStyle w:val="tv213"/>
        <w:shd w:val="clear" w:color="auto" w:fill="FFFFFF"/>
        <w:spacing w:before="0" w:beforeAutospacing="0" w:after="0" w:afterAutospacing="0" w:line="293" w:lineRule="atLeast"/>
        <w:jc w:val="both"/>
      </w:pPr>
      <w:r w:rsidRPr="009D3F51">
        <w:t>Lai saņemtu mājokļa pabalstu, vienai no mājsaimniecības personām jāvēršas pašvaldības sociālajā dienestā un jāiesniedz:</w:t>
      </w:r>
    </w:p>
    <w:p w14:paraId="02BE35CE" w14:textId="77777777" w:rsidR="006C31D6" w:rsidRPr="009D3F51" w:rsidRDefault="006C31D6" w:rsidP="006C31D6">
      <w:pPr>
        <w:pStyle w:val="tv213"/>
        <w:shd w:val="clear" w:color="auto" w:fill="FFFFFF"/>
        <w:spacing w:before="0" w:beforeAutospacing="0" w:after="0" w:afterAutospacing="0" w:line="293" w:lineRule="atLeast"/>
        <w:ind w:firstLine="567"/>
        <w:jc w:val="both"/>
      </w:pPr>
      <w:r w:rsidRPr="009D3F51">
        <w:t>1) </w:t>
      </w:r>
      <w:r w:rsidRPr="009D3F51">
        <w:rPr>
          <w:i/>
        </w:rPr>
        <w:t>iesniegumu</w:t>
      </w:r>
      <w:r w:rsidRPr="009D3F51">
        <w:t>, kuru parakstījušas mājsaimniecības pilngadīgās personas;</w:t>
      </w:r>
    </w:p>
    <w:p w14:paraId="5622C2D4" w14:textId="77777777" w:rsidR="006C31D6" w:rsidRPr="009D3F51" w:rsidRDefault="006C31D6" w:rsidP="006C31D6">
      <w:pPr>
        <w:pStyle w:val="tv213"/>
        <w:shd w:val="clear" w:color="auto" w:fill="FFFFFF"/>
        <w:spacing w:before="0" w:beforeAutospacing="0" w:after="0" w:afterAutospacing="0" w:line="293" w:lineRule="atLeast"/>
        <w:ind w:firstLine="567"/>
        <w:jc w:val="both"/>
      </w:pPr>
      <w:r w:rsidRPr="009D3F51">
        <w:lastRenderedPageBreak/>
        <w:t>2) </w:t>
      </w:r>
      <w:r w:rsidRPr="009D3F51">
        <w:rPr>
          <w:i/>
        </w:rPr>
        <w:t>darba devēja izziņu</w:t>
      </w:r>
      <w:r w:rsidRPr="009D3F51">
        <w:t xml:space="preserve"> par darba samaksu par pilniem pēdējiem trim kalendāra mēnešiem par katru darba ņēmēju mājsaimniecībā;</w:t>
      </w:r>
    </w:p>
    <w:p w14:paraId="0E991231" w14:textId="77777777" w:rsidR="006C31D6" w:rsidRPr="009D3F51" w:rsidRDefault="006C31D6" w:rsidP="006C31D6">
      <w:pPr>
        <w:pStyle w:val="tv213"/>
        <w:shd w:val="clear" w:color="auto" w:fill="FFFFFF"/>
        <w:spacing w:before="0" w:beforeAutospacing="0" w:after="0" w:afterAutospacing="0" w:line="293" w:lineRule="atLeast"/>
        <w:ind w:firstLine="567"/>
        <w:jc w:val="both"/>
      </w:pPr>
      <w:r w:rsidRPr="009D3F51">
        <w:t xml:space="preserve">3) izziņu par ienākumiem </w:t>
      </w:r>
      <w:r w:rsidRPr="009D3F51">
        <w:rPr>
          <w:i/>
        </w:rPr>
        <w:t>no saimnieciskās darbības</w:t>
      </w:r>
      <w:r w:rsidRPr="009D3F51">
        <w:rPr>
          <w:rStyle w:val="FootnoteReference"/>
          <w:rFonts w:eastAsiaTheme="majorEastAsia"/>
        </w:rPr>
        <w:footnoteReference w:id="29"/>
      </w:r>
      <w:r w:rsidRPr="009D3F51">
        <w:t xml:space="preserve"> par pilniem pēdējiem trim kalendāra mēnešiem par katru saimnieciskās darbības veicēju mājsaimniecībā;</w:t>
      </w:r>
    </w:p>
    <w:p w14:paraId="215B9DBF" w14:textId="427C2AA4" w:rsidR="006C31D6" w:rsidRPr="009D3F51" w:rsidRDefault="006C31D6" w:rsidP="006C31D6">
      <w:pPr>
        <w:pStyle w:val="tv213"/>
        <w:shd w:val="clear" w:color="auto" w:fill="FFFFFF"/>
        <w:spacing w:before="0" w:beforeAutospacing="0" w:after="0" w:afterAutospacing="0" w:line="293" w:lineRule="atLeast"/>
        <w:ind w:firstLine="567"/>
        <w:jc w:val="both"/>
      </w:pPr>
      <w:r w:rsidRPr="009D3F51">
        <w:t xml:space="preserve">4) visu mājsaimniecībā esošo personu kredītiestāžu vai pasta norēķinu sistēmas </w:t>
      </w:r>
      <w:r w:rsidRPr="009D3F51">
        <w:rPr>
          <w:i/>
        </w:rPr>
        <w:t>kontu pārskatus</w:t>
      </w:r>
      <w:r w:rsidRPr="009D3F51">
        <w:t xml:space="preserve"> par </w:t>
      </w:r>
      <w:r>
        <w:t>vienu iepriekšējo pilnu</w:t>
      </w:r>
      <w:r w:rsidRPr="009D3F51">
        <w:t xml:space="preserve"> kalendāra mēne</w:t>
      </w:r>
      <w:r>
        <w:t>si</w:t>
      </w:r>
      <w:r w:rsidRPr="009D3F51">
        <w:t>;</w:t>
      </w:r>
    </w:p>
    <w:p w14:paraId="52BF67DA" w14:textId="77777777" w:rsidR="006C31D6" w:rsidRPr="009D3F51" w:rsidRDefault="006C31D6" w:rsidP="006C31D6">
      <w:pPr>
        <w:pStyle w:val="tv213"/>
        <w:shd w:val="clear" w:color="auto" w:fill="FFFFFF"/>
        <w:spacing w:before="0" w:beforeAutospacing="0" w:after="0" w:afterAutospacing="0" w:line="293" w:lineRule="atLeast"/>
        <w:ind w:firstLine="567"/>
        <w:jc w:val="both"/>
      </w:pPr>
      <w:r w:rsidRPr="009D3F51">
        <w:rPr>
          <w:shd w:val="clear" w:color="auto" w:fill="FFFFFF"/>
        </w:rPr>
        <w:t>6)  </w:t>
      </w:r>
      <w:r w:rsidRPr="009D3F51">
        <w:rPr>
          <w:i/>
          <w:shd w:val="clear" w:color="auto" w:fill="FFFFFF"/>
        </w:rPr>
        <w:t>dokumentus mājokļa pabalsta aprēķināšanai</w:t>
      </w:r>
      <w:r w:rsidRPr="009D3F51">
        <w:rPr>
          <w:shd w:val="clear" w:color="auto" w:fill="FFFFFF"/>
        </w:rPr>
        <w:t>, kas apliecina ar mājokļa lietošanu saistītus izdevumus, kā arī uzrāda mājokļa lietošanu apliecinošus dokumentus (piemēram, īres līgumu), ja šādu dokumentu nav sociālā dienesta rīcībā;</w:t>
      </w:r>
    </w:p>
    <w:p w14:paraId="13FFEA45" w14:textId="77777777" w:rsidR="006C31D6" w:rsidRPr="009D3F51" w:rsidRDefault="006C31D6" w:rsidP="006C31D6">
      <w:pPr>
        <w:spacing w:after="0" w:line="240" w:lineRule="auto"/>
        <w:ind w:firstLine="567"/>
        <w:jc w:val="both"/>
        <w:rPr>
          <w:rFonts w:ascii="Times New Roman" w:eastAsia="Times New Roman" w:hAnsi="Times New Roman" w:cs="Times New Roman"/>
          <w:b/>
          <w:sz w:val="24"/>
          <w:szCs w:val="24"/>
          <w:lang w:eastAsia="lv-LV"/>
        </w:rPr>
      </w:pPr>
      <w:r w:rsidRPr="009D3F51">
        <w:rPr>
          <w:rFonts w:ascii="Times New Roman" w:hAnsi="Times New Roman" w:cs="Times New Roman"/>
          <w:sz w:val="24"/>
          <w:szCs w:val="24"/>
        </w:rPr>
        <w:t>7) citus dokumentus, ja tas ir nepieciešams lēmuma pieņemšanai</w:t>
      </w:r>
      <w:r w:rsidRPr="009D3F51">
        <w:rPr>
          <w:rFonts w:ascii="Times New Roman" w:hAnsi="Times New Roman" w:cs="Times New Roman"/>
          <w:sz w:val="24"/>
          <w:szCs w:val="24"/>
          <w:shd w:val="clear" w:color="auto" w:fill="FFFFFF"/>
        </w:rPr>
        <w:t xml:space="preserve"> par sociālās palīdzības piešķiršanu vai trūcīgas vai maznodrošinātas mājsaimniecības statusa noteikšanu.</w:t>
      </w:r>
    </w:p>
    <w:p w14:paraId="5BCB04E6" w14:textId="77777777" w:rsidR="006C31D6" w:rsidRDefault="006C31D6" w:rsidP="006C31D6">
      <w:pPr>
        <w:pStyle w:val="tv213"/>
        <w:shd w:val="clear" w:color="auto" w:fill="FFFFFF"/>
        <w:spacing w:before="0" w:beforeAutospacing="0" w:after="0" w:afterAutospacing="0"/>
        <w:jc w:val="both"/>
      </w:pPr>
    </w:p>
    <w:p w14:paraId="1687CF5D" w14:textId="68D3ABCB" w:rsidR="006C31D6" w:rsidRPr="00AB35FB" w:rsidRDefault="006C31D6" w:rsidP="006C31D6">
      <w:pPr>
        <w:pStyle w:val="tv213"/>
        <w:shd w:val="clear" w:color="auto" w:fill="FFFFFF"/>
        <w:spacing w:before="0" w:beforeAutospacing="0" w:after="0" w:afterAutospacing="0"/>
        <w:jc w:val="both"/>
      </w:pPr>
      <w:r w:rsidRPr="009D3F51">
        <w:t>Pašvaldības sociālais dienests pirms lēmuma par trūcīgas vai maznodrošinātas mājsaimniecības statusa vai sociālās palīdzības pabalsta piešķiršanu mājsaimniecībai vai atsevišķai personai mājsaimniecībā pieņemšanas izvērtē mājsaimniecības kopējos materiālos resursus</w:t>
      </w:r>
      <w:r>
        <w:t xml:space="preserve"> – ienākumus un īpašumus</w:t>
      </w:r>
      <w:r w:rsidRPr="009D3F51">
        <w:t xml:space="preserve">, izmantojot valsts un pašvaldības informācijas sistēmās esošos datus un ievērojot </w:t>
      </w:r>
      <w:r>
        <w:t xml:space="preserve">noteiktus </w:t>
      </w:r>
      <w:r w:rsidRPr="009D3F51">
        <w:t>kritērijus</w:t>
      </w:r>
      <w:r>
        <w:t xml:space="preserve">. </w:t>
      </w:r>
      <w:r w:rsidRPr="00AB35FB">
        <w:t>Sociālo pakalpojumu un sociālās palīdzības likumā</w:t>
      </w:r>
      <w:r w:rsidRPr="00AB35FB">
        <w:rPr>
          <w:rStyle w:val="FootnoteReference"/>
        </w:rPr>
        <w:footnoteReference w:id="30"/>
      </w:r>
      <w:r w:rsidRPr="00AB35FB">
        <w:t xml:space="preserve"> </w:t>
      </w:r>
      <w:r>
        <w:t>ir noteikta virkne ienākumu, kuri</w:t>
      </w:r>
      <w:r w:rsidRPr="00AB35FB">
        <w:t xml:space="preserve"> netiek ņemti vērā, novērtējot mājsaimniecības materiālo situāciju</w:t>
      </w:r>
      <w:r>
        <w:t>,</w:t>
      </w:r>
      <w:r w:rsidRPr="00AB35FB">
        <w:t xml:space="preserve"> un noteikti nekustamā un kustamā īpašuma veidi un naudas līdzekļu daudzums, kas var piederēt mājsaimniecībai, kura pretendē uz materiālo atbalstu. </w:t>
      </w:r>
    </w:p>
    <w:p w14:paraId="15FE177A" w14:textId="0FA40E9D" w:rsidR="00E5430F" w:rsidRPr="00365151" w:rsidRDefault="0043551A" w:rsidP="00E5430F">
      <w:pPr>
        <w:pStyle w:val="tv213"/>
        <w:shd w:val="clear" w:color="auto" w:fill="FFFFFF"/>
        <w:jc w:val="both"/>
        <w:rPr>
          <w:u w:val="single"/>
        </w:rPr>
      </w:pPr>
      <w:r>
        <w:rPr>
          <w:u w:val="single"/>
        </w:rPr>
        <w:t>Ieviešot vēl lielākus koeficientus mājokļa pabalsta aprēķinā, n</w:t>
      </w:r>
      <w:r w:rsidR="00E5430F" w:rsidRPr="00365151">
        <w:rPr>
          <w:u w:val="single"/>
        </w:rPr>
        <w:t>epieciešamie atbalsta pasākumi pašvaldībām:</w:t>
      </w:r>
    </w:p>
    <w:p w14:paraId="4CD8F39A" w14:textId="2F596AE6" w:rsidR="00AB4BC2" w:rsidRPr="00F73288" w:rsidRDefault="00AB4BC2" w:rsidP="005817AF">
      <w:pPr>
        <w:pStyle w:val="tv213"/>
        <w:numPr>
          <w:ilvl w:val="0"/>
          <w:numId w:val="37"/>
        </w:numPr>
        <w:shd w:val="clear" w:color="auto" w:fill="FFFFFF"/>
        <w:jc w:val="both"/>
      </w:pPr>
      <w:r w:rsidRPr="00F73288">
        <w:t xml:space="preserve">valsts </w:t>
      </w:r>
      <w:r w:rsidRPr="00F73288">
        <w:rPr>
          <w:bCs/>
        </w:rPr>
        <w:t xml:space="preserve">līdzfinansējums </w:t>
      </w:r>
      <w:r w:rsidRPr="00F73288">
        <w:t xml:space="preserve">pašvaldībām </w:t>
      </w:r>
      <w:r w:rsidRPr="00F73288">
        <w:rPr>
          <w:bCs/>
        </w:rPr>
        <w:t xml:space="preserve">mājokļa pabalstam 50% apmērā no faktiskajiem izdevumiem (neterminēts pasākums); </w:t>
      </w:r>
    </w:p>
    <w:p w14:paraId="3A064A11" w14:textId="77777777" w:rsidR="00AB4BC2" w:rsidRPr="003E0A1E" w:rsidRDefault="00AB4BC2" w:rsidP="005817AF">
      <w:pPr>
        <w:pStyle w:val="tv213"/>
        <w:numPr>
          <w:ilvl w:val="0"/>
          <w:numId w:val="37"/>
        </w:numPr>
        <w:shd w:val="clear" w:color="auto" w:fill="FFFFFF"/>
        <w:jc w:val="both"/>
      </w:pPr>
      <w:r w:rsidRPr="003E0A1E">
        <w:t xml:space="preserve">noteiktas tiesības mājokļa pabalsta aprēķinam pieņemt darbā cilvēkus bez </w:t>
      </w:r>
      <w:r>
        <w:t xml:space="preserve">Sociālo pakalpojumu un sociālās palīdzība likumā </w:t>
      </w:r>
      <w:r w:rsidRPr="003E0A1E">
        <w:t>noteikt</w:t>
      </w:r>
      <w:r>
        <w:t>aj</w:t>
      </w:r>
      <w:r w:rsidRPr="003E0A1E">
        <w:t xml:space="preserve">ām izglītības prasībām </w:t>
      </w:r>
      <w:r>
        <w:t>(terminēts pasākums uz atbalsta sniegšanas periodu)</w:t>
      </w:r>
      <w:r w:rsidRPr="003E0A1E">
        <w:t xml:space="preserve">; </w:t>
      </w:r>
    </w:p>
    <w:p w14:paraId="2BB7BC60" w14:textId="77777777" w:rsidR="00550B59" w:rsidRDefault="00AB4BC2" w:rsidP="005817AF">
      <w:pPr>
        <w:pStyle w:val="tv213"/>
        <w:numPr>
          <w:ilvl w:val="0"/>
          <w:numId w:val="37"/>
        </w:numPr>
        <w:shd w:val="clear" w:color="auto" w:fill="FFFFFF"/>
        <w:jc w:val="both"/>
      </w:pPr>
      <w:r w:rsidRPr="003E0A1E">
        <w:t xml:space="preserve">valsts </w:t>
      </w:r>
      <w:r>
        <w:t>kompensē</w:t>
      </w:r>
      <w:r w:rsidRPr="003E0A1E">
        <w:t xml:space="preserve"> pašvaldībām </w:t>
      </w:r>
      <w:r w:rsidRPr="0060012D">
        <w:rPr>
          <w:bCs/>
        </w:rPr>
        <w:t xml:space="preserve">8 </w:t>
      </w:r>
      <w:r w:rsidRPr="00E973AD">
        <w:rPr>
          <w:bCs/>
          <w:i/>
          <w:iCs/>
        </w:rPr>
        <w:t>euro</w:t>
      </w:r>
      <w:r w:rsidRPr="00365151">
        <w:rPr>
          <w:b/>
          <w:bCs/>
        </w:rPr>
        <w:t xml:space="preserve"> </w:t>
      </w:r>
      <w:r w:rsidRPr="003E0A1E">
        <w:t>par viena mājsaimniecības iesnieguma apstrādi ar pozitīvu vai negatīvu lēmumu</w:t>
      </w:r>
      <w:r>
        <w:t xml:space="preserve"> (terminēts pasākums uz atbalsta sniegšanas periodu)</w:t>
      </w:r>
      <w:r w:rsidRPr="003E0A1E">
        <w:t xml:space="preserve">; </w:t>
      </w:r>
    </w:p>
    <w:p w14:paraId="5EE7AE8E" w14:textId="1CD25784" w:rsidR="00914232" w:rsidRDefault="00914232" w:rsidP="00914232">
      <w:pPr>
        <w:pStyle w:val="tv213"/>
        <w:numPr>
          <w:ilvl w:val="0"/>
          <w:numId w:val="37"/>
        </w:numPr>
        <w:shd w:val="clear" w:color="auto" w:fill="FFFFFF"/>
        <w:jc w:val="both"/>
      </w:pPr>
      <w:r w:rsidRPr="00550B59">
        <w:t>tiek vienkāršotas mājsaimniecības materiālās situācijas izvērtēšanas procedūras un vienkāršoti kritēriji</w:t>
      </w:r>
      <w:r>
        <w:t>, piemēram, netiek vērtēti kustamie un nekustamie īpašumi un naudas līdzekļu uzkrājumi, netiek vērtēti ienākumi 12 mēnešu periodā</w:t>
      </w:r>
      <w:r>
        <w:rPr>
          <w:rStyle w:val="FootnoteReference"/>
        </w:rPr>
        <w:footnoteReference w:id="31"/>
      </w:r>
      <w:r>
        <w:t xml:space="preserve"> </w:t>
      </w:r>
      <w:r w:rsidRPr="00550B59">
        <w:t xml:space="preserve">(terminēts pasākums uz atbalsta sniegšanas periodu).    </w:t>
      </w:r>
    </w:p>
    <w:p w14:paraId="4C7429AF" w14:textId="77777777" w:rsidR="00914232" w:rsidRDefault="00914232" w:rsidP="00365151">
      <w:pPr>
        <w:pStyle w:val="tv213"/>
        <w:shd w:val="clear" w:color="auto" w:fill="FFFFFF"/>
        <w:jc w:val="both"/>
        <w:rPr>
          <w:color w:val="000000" w:themeColor="text1"/>
          <w:u w:val="single"/>
        </w:rPr>
      </w:pPr>
    </w:p>
    <w:p w14:paraId="1F700A66" w14:textId="77777777" w:rsidR="00914232" w:rsidRDefault="00914232" w:rsidP="00365151">
      <w:pPr>
        <w:pStyle w:val="tv213"/>
        <w:shd w:val="clear" w:color="auto" w:fill="FFFFFF"/>
        <w:jc w:val="both"/>
        <w:rPr>
          <w:color w:val="000000" w:themeColor="text1"/>
          <w:u w:val="single"/>
        </w:rPr>
      </w:pPr>
    </w:p>
    <w:p w14:paraId="284BAD25" w14:textId="77777777" w:rsidR="00914232" w:rsidRDefault="00914232" w:rsidP="00365151">
      <w:pPr>
        <w:pStyle w:val="tv213"/>
        <w:shd w:val="clear" w:color="auto" w:fill="FFFFFF"/>
        <w:jc w:val="both"/>
        <w:rPr>
          <w:color w:val="000000" w:themeColor="text1"/>
          <w:u w:val="single"/>
        </w:rPr>
      </w:pPr>
    </w:p>
    <w:p w14:paraId="779D6978" w14:textId="3541FD1E" w:rsidR="006C31D6" w:rsidRPr="00EE5FE0" w:rsidRDefault="006C31D6" w:rsidP="00365151">
      <w:pPr>
        <w:pStyle w:val="tv213"/>
        <w:shd w:val="clear" w:color="auto" w:fill="FFFFFF"/>
        <w:jc w:val="both"/>
        <w:rPr>
          <w:color w:val="000000" w:themeColor="text1"/>
          <w:u w:val="single"/>
        </w:rPr>
      </w:pPr>
      <w:r w:rsidRPr="00EE5FE0">
        <w:rPr>
          <w:color w:val="000000" w:themeColor="text1"/>
          <w:u w:val="single"/>
        </w:rPr>
        <w:t>2022.gadam piešķirtais finansējums</w:t>
      </w:r>
      <w:r>
        <w:rPr>
          <w:rStyle w:val="FootnoteReference"/>
          <w:color w:val="000000" w:themeColor="text1"/>
          <w:u w:val="single"/>
        </w:rPr>
        <w:footnoteReference w:id="32"/>
      </w:r>
      <w:r w:rsidRPr="00EE5FE0">
        <w:rPr>
          <w:color w:val="000000" w:themeColor="text1"/>
          <w:u w:val="single"/>
        </w:rPr>
        <w:t xml:space="preserve">:  </w:t>
      </w:r>
    </w:p>
    <w:p w14:paraId="6CE4151B" w14:textId="044FC85F" w:rsidR="006C31D6" w:rsidRPr="005F43A8" w:rsidRDefault="006C31D6" w:rsidP="00365151">
      <w:pPr>
        <w:spacing w:after="0" w:line="240" w:lineRule="auto"/>
        <w:ind w:firstLine="720"/>
        <w:jc w:val="both"/>
        <w:rPr>
          <w:rFonts w:ascii="Times New Roman" w:hAnsi="Times New Roman" w:cs="Times New Roman"/>
          <w:color w:val="000000" w:themeColor="text1"/>
          <w:sz w:val="24"/>
        </w:rPr>
      </w:pPr>
      <w:r w:rsidRPr="00910570">
        <w:rPr>
          <w:rFonts w:ascii="Times New Roman" w:hAnsi="Times New Roman" w:cs="Times New Roman"/>
          <w:color w:val="000000" w:themeColor="text1"/>
          <w:sz w:val="24"/>
        </w:rPr>
        <w:t xml:space="preserve">Kopējais mājokļa pabalstam 12 mēnešos indikatīvi nepieciešamais finansējums ir  </w:t>
      </w:r>
      <w:r w:rsidRPr="00365151">
        <w:rPr>
          <w:rFonts w:ascii="Times New Roman" w:hAnsi="Times New Roman" w:cs="Times New Roman"/>
          <w:color w:val="000000" w:themeColor="text1"/>
          <w:sz w:val="24"/>
        </w:rPr>
        <w:t>47</w:t>
      </w:r>
      <w:r w:rsidR="0043551A">
        <w:rPr>
          <w:rFonts w:ascii="Times New Roman" w:hAnsi="Times New Roman" w:cs="Times New Roman"/>
          <w:color w:val="000000" w:themeColor="text1"/>
          <w:sz w:val="24"/>
        </w:rPr>
        <w:t xml:space="preserve"> </w:t>
      </w:r>
      <w:r w:rsidRPr="00365151">
        <w:rPr>
          <w:rFonts w:ascii="Times New Roman" w:hAnsi="Times New Roman" w:cs="Times New Roman"/>
          <w:color w:val="000000" w:themeColor="text1"/>
          <w:sz w:val="24"/>
        </w:rPr>
        <w:t xml:space="preserve">447 623 </w:t>
      </w:r>
      <w:r w:rsidRPr="00365151">
        <w:rPr>
          <w:rFonts w:ascii="Times New Roman" w:hAnsi="Times New Roman" w:cs="Times New Roman"/>
          <w:i/>
          <w:color w:val="000000" w:themeColor="text1"/>
          <w:sz w:val="24"/>
        </w:rPr>
        <w:t>euro</w:t>
      </w:r>
      <w:r w:rsidR="00E5430F" w:rsidRPr="00136421">
        <w:rPr>
          <w:rStyle w:val="FootnoteReference"/>
          <w:rFonts w:ascii="Times New Roman" w:hAnsi="Times New Roman"/>
          <w:color w:val="000000" w:themeColor="text1"/>
          <w:sz w:val="24"/>
        </w:rPr>
        <w:footnoteReference w:id="33"/>
      </w:r>
      <w:r w:rsidRPr="00365151">
        <w:rPr>
          <w:rFonts w:ascii="Times New Roman" w:hAnsi="Times New Roman" w:cs="Times New Roman"/>
          <w:color w:val="000000" w:themeColor="text1"/>
          <w:sz w:val="24"/>
        </w:rPr>
        <w:t xml:space="preserve">. </w:t>
      </w:r>
      <w:r w:rsidRPr="00910570">
        <w:rPr>
          <w:rFonts w:ascii="Times New Roman" w:hAnsi="Times New Roman" w:cs="Times New Roman"/>
          <w:color w:val="000000" w:themeColor="text1"/>
          <w:sz w:val="24"/>
        </w:rPr>
        <w:t xml:space="preserve">Līdz ar to mājokļa pabalsta līdzfinansējumam 50 procentu apmērā </w:t>
      </w:r>
      <w:r w:rsidRPr="00910570">
        <w:rPr>
          <w:rFonts w:ascii="Times New Roman" w:hAnsi="Times New Roman" w:cs="Times New Roman"/>
          <w:color w:val="000000" w:themeColor="text1"/>
          <w:sz w:val="24"/>
        </w:rPr>
        <w:lastRenderedPageBreak/>
        <w:t xml:space="preserve">no pašvaldību faktiski izlietotajiem līdzekļiem 12 mēnešos indikatīvi nepieciešami </w:t>
      </w:r>
      <w:r w:rsidRPr="00365151">
        <w:rPr>
          <w:rFonts w:ascii="Times New Roman" w:hAnsi="Times New Roman" w:cs="Times New Roman"/>
          <w:color w:val="000000" w:themeColor="text1"/>
          <w:sz w:val="24"/>
        </w:rPr>
        <w:t xml:space="preserve">23 723 812 </w:t>
      </w:r>
      <w:r w:rsidRPr="00365151">
        <w:rPr>
          <w:rFonts w:ascii="Times New Roman" w:hAnsi="Times New Roman" w:cs="Times New Roman"/>
          <w:i/>
          <w:color w:val="000000" w:themeColor="text1"/>
          <w:sz w:val="24"/>
        </w:rPr>
        <w:t>euro.</w:t>
      </w:r>
      <w:r w:rsidRPr="00365151">
        <w:rPr>
          <w:rFonts w:ascii="Times New Roman" w:hAnsi="Times New Roman" w:cs="Times New Roman"/>
          <w:color w:val="000000" w:themeColor="text1"/>
          <w:sz w:val="24"/>
        </w:rPr>
        <w:t> </w:t>
      </w:r>
      <w:r w:rsidR="00CF7E4E" w:rsidRPr="00CF7E4E">
        <w:rPr>
          <w:rFonts w:ascii="Times New Roman" w:hAnsi="Times New Roman" w:cs="Times New Roman"/>
          <w:color w:val="000000" w:themeColor="text1"/>
          <w:sz w:val="24"/>
        </w:rPr>
        <w:t xml:space="preserve">Administrēšanas izmaksas - 25 tūkst. mājsaimniecības x 8 euro, </w:t>
      </w:r>
      <w:r w:rsidR="002B5FE2">
        <w:rPr>
          <w:rFonts w:ascii="Times New Roman" w:hAnsi="Times New Roman" w:cs="Times New Roman"/>
          <w:color w:val="000000" w:themeColor="text1"/>
          <w:sz w:val="24"/>
        </w:rPr>
        <w:t>3</w:t>
      </w:r>
      <w:r w:rsidR="00CF7E4E" w:rsidRPr="00CF7E4E">
        <w:rPr>
          <w:rFonts w:ascii="Times New Roman" w:hAnsi="Times New Roman" w:cs="Times New Roman"/>
          <w:color w:val="000000" w:themeColor="text1"/>
          <w:sz w:val="24"/>
        </w:rPr>
        <w:t xml:space="preserve"> </w:t>
      </w:r>
      <w:r w:rsidR="00CF7E4E" w:rsidRPr="005F43A8">
        <w:rPr>
          <w:rFonts w:ascii="Times New Roman" w:hAnsi="Times New Roman" w:cs="Times New Roman"/>
          <w:color w:val="000000" w:themeColor="text1"/>
          <w:sz w:val="24"/>
        </w:rPr>
        <w:t xml:space="preserve">mēnešiem – </w:t>
      </w:r>
      <w:r w:rsidR="005F43A8" w:rsidRPr="005F43A8">
        <w:rPr>
          <w:rFonts w:ascii="Times New Roman" w:hAnsi="Times New Roman" w:cs="Times New Roman"/>
          <w:color w:val="000000" w:themeColor="text1"/>
          <w:sz w:val="24"/>
        </w:rPr>
        <w:t>6</w:t>
      </w:r>
      <w:r w:rsidR="00CF7E4E" w:rsidRPr="005F43A8">
        <w:rPr>
          <w:rFonts w:ascii="Times New Roman" w:hAnsi="Times New Roman" w:cs="Times New Roman"/>
          <w:color w:val="000000" w:themeColor="text1"/>
          <w:sz w:val="24"/>
        </w:rPr>
        <w:t xml:space="preserve">00 000 euro.  </w:t>
      </w:r>
    </w:p>
    <w:p w14:paraId="050A9809" w14:textId="696059A3" w:rsidR="006C31D6" w:rsidRPr="00E5430F" w:rsidRDefault="006C31D6" w:rsidP="00365151">
      <w:pPr>
        <w:spacing w:after="0" w:line="240" w:lineRule="auto"/>
        <w:ind w:firstLine="720"/>
        <w:jc w:val="both"/>
        <w:rPr>
          <w:rFonts w:ascii="Times New Roman" w:hAnsi="Times New Roman" w:cs="Times New Roman"/>
          <w:color w:val="000000" w:themeColor="text1"/>
        </w:rPr>
      </w:pPr>
      <w:r w:rsidRPr="005F43A8">
        <w:rPr>
          <w:rFonts w:ascii="Times New Roman" w:hAnsi="Times New Roman" w:cs="Times New Roman"/>
          <w:color w:val="000000" w:themeColor="text1"/>
          <w:sz w:val="24"/>
        </w:rPr>
        <w:t>Kopējais nepieciešamais</w:t>
      </w:r>
      <w:r w:rsidRPr="00910570">
        <w:rPr>
          <w:rFonts w:ascii="Times New Roman" w:hAnsi="Times New Roman" w:cs="Times New Roman"/>
          <w:color w:val="000000" w:themeColor="text1"/>
          <w:sz w:val="24"/>
        </w:rPr>
        <w:t xml:space="preserve"> finansējuma apmērs 2022.gadā ir </w:t>
      </w:r>
      <w:r w:rsidRPr="00365151">
        <w:rPr>
          <w:rFonts w:ascii="Times New Roman" w:hAnsi="Times New Roman" w:cs="Times New Roman"/>
          <w:color w:val="000000" w:themeColor="text1"/>
          <w:sz w:val="24"/>
        </w:rPr>
        <w:t>20 587 905</w:t>
      </w:r>
      <w:r w:rsidRPr="00910570">
        <w:rPr>
          <w:rFonts w:ascii="Times New Roman" w:hAnsi="Times New Roman" w:cs="Times New Roman"/>
          <w:color w:val="000000" w:themeColor="text1"/>
          <w:sz w:val="24"/>
        </w:rPr>
        <w:t xml:space="preserve"> </w:t>
      </w:r>
      <w:r w:rsidRPr="00365151">
        <w:rPr>
          <w:rFonts w:ascii="Times New Roman" w:hAnsi="Times New Roman" w:cs="Times New Roman"/>
          <w:i/>
          <w:color w:val="000000" w:themeColor="text1"/>
          <w:sz w:val="24"/>
        </w:rPr>
        <w:t>euro</w:t>
      </w:r>
      <w:r w:rsidRPr="00365151">
        <w:rPr>
          <w:rFonts w:ascii="Times New Roman" w:hAnsi="Times New Roman" w:cs="Times New Roman"/>
          <w:color w:val="000000" w:themeColor="text1"/>
          <w:sz w:val="24"/>
        </w:rPr>
        <w:t xml:space="preserve"> </w:t>
      </w:r>
      <w:r w:rsidRPr="00910570">
        <w:rPr>
          <w:rFonts w:ascii="Times New Roman" w:hAnsi="Times New Roman" w:cs="Times New Roman"/>
          <w:color w:val="000000" w:themeColor="text1"/>
          <w:sz w:val="24"/>
        </w:rPr>
        <w:t xml:space="preserve">apmērā, savukārt finansējums 3 135 907 </w:t>
      </w:r>
      <w:r w:rsidRPr="0060012D">
        <w:rPr>
          <w:rFonts w:ascii="Times New Roman" w:hAnsi="Times New Roman" w:cs="Times New Roman"/>
          <w:i/>
          <w:color w:val="000000" w:themeColor="text1"/>
          <w:sz w:val="24"/>
        </w:rPr>
        <w:t>euro</w:t>
      </w:r>
      <w:r w:rsidRPr="00E5430F">
        <w:rPr>
          <w:rFonts w:ascii="Times New Roman" w:hAnsi="Times New Roman" w:cs="Times New Roman"/>
          <w:color w:val="000000" w:themeColor="text1"/>
          <w:sz w:val="24"/>
        </w:rPr>
        <w:t xml:space="preserve"> apmērā nepieciešams 2023.gadā, lai nodrošinātu mājokļa pabalsta līdzfinansēšanu par pašvaldību izlietotajiem līdzekļiem 2022.gada decembrī.</w:t>
      </w:r>
      <w:r w:rsidR="002A6B3C">
        <w:rPr>
          <w:rFonts w:ascii="Times New Roman" w:hAnsi="Times New Roman" w:cs="Times New Roman"/>
          <w:color w:val="000000" w:themeColor="text1"/>
          <w:sz w:val="24"/>
        </w:rPr>
        <w:t xml:space="preserve"> Plānojot palielināt </w:t>
      </w:r>
      <w:r w:rsidR="002A6B3C" w:rsidRPr="00910570">
        <w:rPr>
          <w:rFonts w:ascii="Times New Roman" w:hAnsi="Times New Roman" w:cs="Times New Roman"/>
          <w:bCs/>
          <w:sz w:val="24"/>
          <w:szCs w:val="24"/>
        </w:rPr>
        <w:t>mājokļa pabalsta apmēra aprēķinam</w:t>
      </w:r>
      <w:r w:rsidR="002A6B3C" w:rsidRPr="00365151">
        <w:rPr>
          <w:rFonts w:ascii="Times New Roman" w:hAnsi="Times New Roman" w:cs="Times New Roman"/>
          <w:sz w:val="24"/>
          <w:szCs w:val="24"/>
        </w:rPr>
        <w:t xml:space="preserve"> </w:t>
      </w:r>
      <w:r w:rsidR="002A6B3C">
        <w:rPr>
          <w:rFonts w:ascii="Times New Roman" w:hAnsi="Times New Roman" w:cs="Times New Roman"/>
          <w:sz w:val="24"/>
          <w:szCs w:val="24"/>
        </w:rPr>
        <w:t xml:space="preserve">piemērojamo koeficientu 2022.gadā, </w:t>
      </w:r>
      <w:r w:rsidR="002A6B3C" w:rsidRPr="002A6B3C">
        <w:rPr>
          <w:rFonts w:ascii="Times New Roman" w:hAnsi="Times New Roman" w:cs="Times New Roman"/>
          <w:color w:val="000000" w:themeColor="text1"/>
          <w:sz w:val="24"/>
        </w:rPr>
        <w:t>Labklājības ministrija iekļausies 2022.gadam paredzētajā finansējuma apjomā</w:t>
      </w:r>
      <w:r w:rsidR="002A6B3C">
        <w:rPr>
          <w:rFonts w:ascii="Times New Roman" w:hAnsi="Times New Roman" w:cs="Times New Roman"/>
          <w:color w:val="000000" w:themeColor="text1"/>
          <w:sz w:val="24"/>
        </w:rPr>
        <w:t>.</w:t>
      </w:r>
    </w:p>
    <w:p w14:paraId="1BB3AB4A" w14:textId="77777777" w:rsidR="00E5430F" w:rsidRDefault="00E5430F" w:rsidP="006C31D6">
      <w:pPr>
        <w:spacing w:after="0" w:line="240" w:lineRule="auto"/>
        <w:jc w:val="both"/>
        <w:rPr>
          <w:rFonts w:ascii="Times New Roman" w:hAnsi="Times New Roman" w:cs="Times New Roman"/>
          <w:color w:val="000000" w:themeColor="text1"/>
          <w:sz w:val="24"/>
          <w:u w:val="single"/>
        </w:rPr>
      </w:pPr>
    </w:p>
    <w:p w14:paraId="0277420D" w14:textId="77777777" w:rsidR="006C31D6" w:rsidRPr="00EE5FE0" w:rsidRDefault="006C31D6" w:rsidP="006C31D6">
      <w:pPr>
        <w:spacing w:after="0" w:line="240" w:lineRule="auto"/>
        <w:jc w:val="both"/>
        <w:rPr>
          <w:rFonts w:ascii="Times New Roman" w:hAnsi="Times New Roman" w:cs="Times New Roman"/>
          <w:color w:val="000000" w:themeColor="text1"/>
          <w:sz w:val="24"/>
          <w:u w:val="single"/>
        </w:rPr>
      </w:pPr>
      <w:r w:rsidRPr="00EE5FE0">
        <w:rPr>
          <w:rFonts w:ascii="Times New Roman" w:hAnsi="Times New Roman" w:cs="Times New Roman"/>
          <w:color w:val="000000" w:themeColor="text1"/>
          <w:sz w:val="24"/>
          <w:u w:val="single"/>
        </w:rPr>
        <w:t>2023.gadam indikatīvi nepieciešamais finansējums</w:t>
      </w:r>
      <w:r w:rsidRPr="00F96409">
        <w:rPr>
          <w:rStyle w:val="FootnoteReference"/>
          <w:rFonts w:ascii="Times New Roman" w:hAnsi="Times New Roman"/>
          <w:i/>
          <w:color w:val="000000" w:themeColor="text1"/>
          <w:sz w:val="24"/>
          <w:szCs w:val="24"/>
        </w:rPr>
        <w:footnoteReference w:id="34"/>
      </w:r>
      <w:r w:rsidRPr="000C5E35">
        <w:rPr>
          <w:rFonts w:ascii="Times New Roman" w:hAnsi="Times New Roman" w:cs="Times New Roman"/>
          <w:color w:val="000000" w:themeColor="text1"/>
          <w:sz w:val="24"/>
        </w:rPr>
        <w:t>:</w:t>
      </w:r>
      <w:r w:rsidRPr="00EE5FE0">
        <w:rPr>
          <w:rFonts w:ascii="Times New Roman" w:hAnsi="Times New Roman" w:cs="Times New Roman"/>
          <w:color w:val="000000" w:themeColor="text1"/>
          <w:sz w:val="24"/>
          <w:u w:val="single"/>
        </w:rPr>
        <w:t xml:space="preserve">  </w:t>
      </w:r>
    </w:p>
    <w:p w14:paraId="56D4A5C7" w14:textId="1466C084" w:rsidR="006C31D6" w:rsidRPr="000C5E35" w:rsidRDefault="00B15931" w:rsidP="000C5E35">
      <w:pPr>
        <w:spacing w:before="120" w:after="0" w:line="240" w:lineRule="auto"/>
        <w:jc w:val="both"/>
        <w:rPr>
          <w:rFonts w:ascii="Times New Roman" w:hAnsi="Times New Roman" w:cs="Times New Roman"/>
          <w:b/>
          <w:sz w:val="24"/>
          <w:szCs w:val="24"/>
        </w:rPr>
      </w:pPr>
      <w:r>
        <w:rPr>
          <w:rFonts w:ascii="Times New Roman" w:hAnsi="Times New Roman" w:cs="Times New Roman"/>
          <w:bCs/>
          <w:sz w:val="24"/>
          <w:szCs w:val="24"/>
        </w:rPr>
        <w:t>M</w:t>
      </w:r>
      <w:r w:rsidR="0082573C" w:rsidRPr="000C5E35">
        <w:rPr>
          <w:rFonts w:ascii="Times New Roman" w:hAnsi="Times New Roman" w:cs="Times New Roman"/>
          <w:bCs/>
          <w:sz w:val="24"/>
          <w:szCs w:val="24"/>
        </w:rPr>
        <w:t>ājokļa pabalsta apmēra aprēķinam</w:t>
      </w:r>
      <w:r w:rsidR="0082573C" w:rsidRPr="000C5E35">
        <w:rPr>
          <w:rFonts w:ascii="Times New Roman" w:hAnsi="Times New Roman" w:cs="Times New Roman"/>
          <w:sz w:val="24"/>
          <w:szCs w:val="24"/>
        </w:rPr>
        <w:t xml:space="preserve"> piemēro</w:t>
      </w:r>
      <w:r>
        <w:rPr>
          <w:rFonts w:ascii="Times New Roman" w:hAnsi="Times New Roman" w:cs="Times New Roman"/>
          <w:sz w:val="24"/>
          <w:szCs w:val="24"/>
        </w:rPr>
        <w:t>jo</w:t>
      </w:r>
      <w:r w:rsidR="0082573C" w:rsidRPr="000C5E35">
        <w:rPr>
          <w:rFonts w:ascii="Times New Roman" w:hAnsi="Times New Roman" w:cs="Times New Roman"/>
          <w:sz w:val="24"/>
          <w:szCs w:val="24"/>
        </w:rPr>
        <w:t>t</w:t>
      </w:r>
      <w:r w:rsidR="006C31D6" w:rsidRPr="000C5E35">
        <w:rPr>
          <w:rFonts w:ascii="Times New Roman" w:hAnsi="Times New Roman" w:cs="Times New Roman"/>
          <w:b/>
          <w:sz w:val="24"/>
          <w:szCs w:val="24"/>
        </w:rPr>
        <w:t xml:space="preserve"> </w:t>
      </w:r>
      <w:r w:rsidR="006C31D6" w:rsidRPr="000C5E35">
        <w:rPr>
          <w:rFonts w:ascii="Times New Roman" w:hAnsi="Times New Roman" w:cs="Times New Roman"/>
          <w:sz w:val="24"/>
          <w:szCs w:val="24"/>
        </w:rPr>
        <w:t>koeficientu 3</w:t>
      </w:r>
      <w:r w:rsidRPr="000C5E35">
        <w:rPr>
          <w:rFonts w:ascii="Times New Roman" w:hAnsi="Times New Roman" w:cs="Times New Roman"/>
          <w:sz w:val="24"/>
          <w:szCs w:val="24"/>
        </w:rPr>
        <w:t>,</w:t>
      </w:r>
      <w:r>
        <w:rPr>
          <w:rFonts w:ascii="Times New Roman" w:hAnsi="Times New Roman" w:cs="Times New Roman"/>
          <w:b/>
          <w:sz w:val="24"/>
          <w:szCs w:val="24"/>
        </w:rPr>
        <w:t xml:space="preserve"> </w:t>
      </w:r>
      <w:r w:rsidRPr="000C5E35">
        <w:rPr>
          <w:rFonts w:ascii="Times New Roman" w:hAnsi="Times New Roman" w:cs="Times New Roman"/>
          <w:sz w:val="24"/>
          <w:szCs w:val="24"/>
        </w:rPr>
        <w:t>veidojas šādas izmaksas</w:t>
      </w:r>
      <w:r w:rsidR="00E5430F" w:rsidRPr="000C5E35">
        <w:rPr>
          <w:rFonts w:ascii="Times New Roman" w:hAnsi="Times New Roman" w:cs="Times New Roman"/>
          <w:sz w:val="24"/>
          <w:szCs w:val="24"/>
        </w:rPr>
        <w:t>:</w:t>
      </w:r>
      <w:r w:rsidR="006C31D6" w:rsidRPr="000C5E35">
        <w:rPr>
          <w:rFonts w:ascii="Times New Roman" w:hAnsi="Times New Roman" w:cs="Times New Roman"/>
          <w:sz w:val="24"/>
          <w:szCs w:val="24"/>
        </w:rPr>
        <w:t xml:space="preserve"> </w:t>
      </w:r>
    </w:p>
    <w:p w14:paraId="2CD9119D" w14:textId="77777777" w:rsidR="00E5430F" w:rsidRDefault="00E5430F" w:rsidP="00365151">
      <w:pPr>
        <w:spacing w:after="0" w:line="240" w:lineRule="auto"/>
        <w:rPr>
          <w:rFonts w:ascii="Times New Roman" w:hAnsi="Times New Roman" w:cs="Times New Roman"/>
          <w:sz w:val="24"/>
          <w:szCs w:val="24"/>
        </w:rPr>
      </w:pPr>
    </w:p>
    <w:p w14:paraId="36E89B09" w14:textId="77777777" w:rsidR="006C31D6" w:rsidRPr="00365151" w:rsidRDefault="006C31D6" w:rsidP="00365151">
      <w:pPr>
        <w:spacing w:after="0" w:line="240" w:lineRule="auto"/>
        <w:rPr>
          <w:rFonts w:ascii="Times New Roman" w:hAnsi="Times New Roman" w:cs="Times New Roman"/>
          <w:sz w:val="24"/>
          <w:szCs w:val="24"/>
        </w:rPr>
      </w:pPr>
      <w:r w:rsidRPr="00365151">
        <w:rPr>
          <w:rFonts w:ascii="Times New Roman" w:hAnsi="Times New Roman" w:cs="Times New Roman"/>
          <w:sz w:val="24"/>
          <w:szCs w:val="24"/>
        </w:rPr>
        <w:t xml:space="preserve">Mājokļa pabalstam 12 mēnešos – 33 624 934 </w:t>
      </w:r>
      <w:r w:rsidRPr="00365151">
        <w:rPr>
          <w:rFonts w:ascii="Times New Roman" w:hAnsi="Times New Roman" w:cs="Times New Roman"/>
          <w:i/>
          <w:sz w:val="24"/>
          <w:szCs w:val="24"/>
        </w:rPr>
        <w:t xml:space="preserve">euro </w:t>
      </w:r>
    </w:p>
    <w:p w14:paraId="149076A6" w14:textId="14BE4093" w:rsidR="006C31D6" w:rsidRPr="00365151" w:rsidRDefault="006C31D6" w:rsidP="00365151">
      <w:pPr>
        <w:spacing w:after="0" w:line="240" w:lineRule="auto"/>
        <w:rPr>
          <w:rFonts w:ascii="Times New Roman" w:hAnsi="Times New Roman" w:cs="Times New Roman"/>
          <w:sz w:val="24"/>
          <w:szCs w:val="24"/>
        </w:rPr>
      </w:pPr>
      <w:r w:rsidRPr="00365151">
        <w:rPr>
          <w:rFonts w:ascii="Times New Roman" w:hAnsi="Times New Roman" w:cs="Times New Roman"/>
          <w:sz w:val="24"/>
          <w:szCs w:val="24"/>
        </w:rPr>
        <w:t xml:space="preserve">Vienam ziemas mēnesim - 4 310 889 </w:t>
      </w:r>
      <w:r w:rsidRPr="00365151">
        <w:rPr>
          <w:rFonts w:ascii="Times New Roman" w:hAnsi="Times New Roman" w:cs="Times New Roman"/>
          <w:i/>
          <w:sz w:val="24"/>
          <w:szCs w:val="24"/>
        </w:rPr>
        <w:t>euro</w:t>
      </w:r>
      <w:r w:rsidRPr="00365151">
        <w:rPr>
          <w:rFonts w:ascii="Times New Roman" w:hAnsi="Times New Roman" w:cs="Times New Roman"/>
          <w:sz w:val="24"/>
          <w:szCs w:val="24"/>
        </w:rPr>
        <w:t xml:space="preserve">; 4 mēnešos – 17 243 556 </w:t>
      </w:r>
      <w:r w:rsidRPr="00365151">
        <w:rPr>
          <w:rFonts w:ascii="Times New Roman" w:hAnsi="Times New Roman" w:cs="Times New Roman"/>
          <w:i/>
          <w:sz w:val="24"/>
          <w:szCs w:val="24"/>
        </w:rPr>
        <w:t>euro</w:t>
      </w:r>
    </w:p>
    <w:p w14:paraId="052471A2" w14:textId="61C00391" w:rsidR="006C31D6" w:rsidRPr="00365151" w:rsidRDefault="006C31D6" w:rsidP="00365151">
      <w:pPr>
        <w:spacing w:after="0" w:line="240" w:lineRule="auto"/>
        <w:rPr>
          <w:rFonts w:ascii="Times New Roman" w:hAnsi="Times New Roman" w:cs="Times New Roman"/>
          <w:sz w:val="24"/>
          <w:szCs w:val="24"/>
        </w:rPr>
      </w:pPr>
      <w:r w:rsidRPr="00365151">
        <w:rPr>
          <w:rFonts w:ascii="Times New Roman" w:hAnsi="Times New Roman" w:cs="Times New Roman"/>
          <w:sz w:val="24"/>
          <w:szCs w:val="24"/>
        </w:rPr>
        <w:t>50%</w:t>
      </w:r>
      <w:r w:rsidRPr="00365151">
        <w:rPr>
          <w:rFonts w:ascii="Times New Roman" w:hAnsi="Times New Roman" w:cs="Times New Roman"/>
          <w:i/>
          <w:sz w:val="24"/>
          <w:szCs w:val="24"/>
        </w:rPr>
        <w:t xml:space="preserve"> </w:t>
      </w:r>
      <w:r w:rsidRPr="00365151">
        <w:rPr>
          <w:rFonts w:ascii="Times New Roman" w:hAnsi="Times New Roman" w:cs="Times New Roman"/>
          <w:sz w:val="24"/>
          <w:szCs w:val="24"/>
        </w:rPr>
        <w:t xml:space="preserve">līdzfinansējums pašvaldībām 4 mēnešiem - 8 621 778 </w:t>
      </w:r>
      <w:r w:rsidRPr="00365151">
        <w:rPr>
          <w:rFonts w:ascii="Times New Roman" w:hAnsi="Times New Roman" w:cs="Times New Roman"/>
          <w:i/>
          <w:sz w:val="24"/>
          <w:szCs w:val="24"/>
        </w:rPr>
        <w:t>euro</w:t>
      </w:r>
    </w:p>
    <w:p w14:paraId="62281796" w14:textId="77777777" w:rsidR="006C31D6" w:rsidRPr="00E973AD" w:rsidRDefault="006C31D6" w:rsidP="00365151">
      <w:pPr>
        <w:spacing w:after="0" w:line="240" w:lineRule="auto"/>
        <w:rPr>
          <w:color w:val="C00000"/>
        </w:rPr>
      </w:pPr>
    </w:p>
    <w:p w14:paraId="371DB720" w14:textId="1E857A05" w:rsidR="006C31D6" w:rsidRPr="00365151" w:rsidRDefault="006C31D6" w:rsidP="00365151">
      <w:pPr>
        <w:spacing w:after="0" w:line="240" w:lineRule="auto"/>
        <w:jc w:val="both"/>
      </w:pPr>
      <w:r w:rsidRPr="00365151">
        <w:rPr>
          <w:rFonts w:ascii="Times New Roman" w:hAnsi="Times New Roman" w:cs="Times New Roman"/>
          <w:sz w:val="24"/>
          <w:szCs w:val="24"/>
        </w:rPr>
        <w:t>Tas indikatīvi pārklās 1.</w:t>
      </w:r>
      <w:r w:rsidR="00E5430F">
        <w:rPr>
          <w:rFonts w:ascii="Times New Roman" w:hAnsi="Times New Roman" w:cs="Times New Roman"/>
          <w:sz w:val="24"/>
          <w:szCs w:val="24"/>
        </w:rPr>
        <w:t>kvintili</w:t>
      </w:r>
      <w:r w:rsidRPr="00365151">
        <w:rPr>
          <w:rFonts w:ascii="Times New Roman" w:hAnsi="Times New Roman" w:cs="Times New Roman"/>
          <w:sz w:val="24"/>
          <w:szCs w:val="24"/>
        </w:rPr>
        <w:t xml:space="preserve"> un daļēji 2.kvintili jeb 5,3 % iedzīvotāju (101 tūkst.</w:t>
      </w:r>
    </w:p>
    <w:p w14:paraId="0A07141B" w14:textId="77777777" w:rsidR="006C31D6" w:rsidRPr="00365151" w:rsidRDefault="006C31D6" w:rsidP="00365151">
      <w:pPr>
        <w:spacing w:after="0" w:line="240" w:lineRule="auto"/>
        <w:jc w:val="both"/>
      </w:pPr>
      <w:r w:rsidRPr="00365151">
        <w:rPr>
          <w:rFonts w:ascii="Times New Roman" w:hAnsi="Times New Roman" w:cs="Times New Roman"/>
          <w:sz w:val="24"/>
          <w:szCs w:val="24"/>
        </w:rPr>
        <w:t>personas mēnesī).</w:t>
      </w:r>
    </w:p>
    <w:p w14:paraId="4C9AFC3E" w14:textId="14A0EE15" w:rsidR="006C31D6" w:rsidRPr="00365151" w:rsidRDefault="006C31D6" w:rsidP="00365151">
      <w:pPr>
        <w:spacing w:after="0" w:line="240" w:lineRule="auto"/>
        <w:jc w:val="both"/>
      </w:pPr>
      <w:r w:rsidRPr="00365151">
        <w:rPr>
          <w:rFonts w:ascii="Times New Roman" w:hAnsi="Times New Roman" w:cs="Times New Roman"/>
          <w:sz w:val="24"/>
          <w:szCs w:val="24"/>
        </w:rPr>
        <w:t xml:space="preserve">44 tūkst. mājsaimniecības – administrēšanas izmaksas 4 </w:t>
      </w:r>
      <w:r w:rsidRPr="00365151">
        <w:rPr>
          <w:rFonts w:ascii="Times New Roman" w:hAnsi="Times New Roman" w:cs="Times New Roman"/>
          <w:sz w:val="24"/>
          <w:szCs w:val="24"/>
          <w:shd w:val="clear" w:color="auto" w:fill="FFFFFF" w:themeFill="background1"/>
        </w:rPr>
        <w:t xml:space="preserve">mēnešiem – </w:t>
      </w:r>
      <w:r w:rsidR="00CF7E4E" w:rsidRPr="00365151">
        <w:rPr>
          <w:rFonts w:ascii="Times New Roman" w:eastAsia="Times New Roman" w:hAnsi="Times New Roman" w:cs="Times New Roman"/>
          <w:bCs/>
          <w:sz w:val="24"/>
          <w:szCs w:val="24"/>
          <w:shd w:val="clear" w:color="auto" w:fill="FFFFFF" w:themeFill="background1"/>
          <w:lang w:eastAsia="lv-LV"/>
        </w:rPr>
        <w:t>1 408 000</w:t>
      </w:r>
      <w:r w:rsidR="00CF7E4E" w:rsidRPr="00365151">
        <w:rPr>
          <w:rFonts w:ascii="Times New Roman" w:eastAsia="Times New Roman" w:hAnsi="Times New Roman" w:cs="Times New Roman"/>
          <w:b/>
          <w:bCs/>
          <w:sz w:val="24"/>
          <w:szCs w:val="24"/>
          <w:shd w:val="clear" w:color="auto" w:fill="FFFFFF" w:themeFill="background1"/>
          <w:lang w:eastAsia="lv-LV"/>
        </w:rPr>
        <w:t xml:space="preserve"> </w:t>
      </w:r>
      <w:r w:rsidRPr="00365151">
        <w:rPr>
          <w:rFonts w:ascii="Times New Roman" w:hAnsi="Times New Roman" w:cs="Times New Roman"/>
          <w:i/>
          <w:sz w:val="24"/>
          <w:szCs w:val="24"/>
          <w:shd w:val="clear" w:color="auto" w:fill="FFFFFF" w:themeFill="background1"/>
        </w:rPr>
        <w:t>euro</w:t>
      </w:r>
      <w:r w:rsidRPr="00365151">
        <w:rPr>
          <w:rFonts w:ascii="Times New Roman" w:hAnsi="Times New Roman" w:cs="Times New Roman"/>
          <w:sz w:val="24"/>
          <w:szCs w:val="24"/>
          <w:shd w:val="clear" w:color="auto" w:fill="FFFFFF" w:themeFill="background1"/>
        </w:rPr>
        <w:t>.</w:t>
      </w:r>
      <w:r w:rsidRPr="00365151">
        <w:rPr>
          <w:rFonts w:ascii="Times New Roman" w:hAnsi="Times New Roman" w:cs="Times New Roman"/>
          <w:sz w:val="24"/>
          <w:szCs w:val="24"/>
        </w:rPr>
        <w:t xml:space="preserve">  </w:t>
      </w:r>
    </w:p>
    <w:p w14:paraId="70CBA558" w14:textId="77777777" w:rsidR="006C31D6" w:rsidRPr="00365151" w:rsidRDefault="006C31D6" w:rsidP="00365151">
      <w:pPr>
        <w:spacing w:after="0" w:line="240" w:lineRule="auto"/>
        <w:rPr>
          <w:rFonts w:ascii="Times New Roman" w:hAnsi="Times New Roman" w:cs="Times New Roman"/>
          <w:sz w:val="24"/>
          <w:szCs w:val="24"/>
        </w:rPr>
      </w:pPr>
    </w:p>
    <w:p w14:paraId="4F932478" w14:textId="62DC42C6" w:rsidR="006C31D6" w:rsidRPr="00365151" w:rsidRDefault="006C31D6" w:rsidP="00365151">
      <w:pPr>
        <w:spacing w:after="0" w:line="240" w:lineRule="auto"/>
        <w:rPr>
          <w:rFonts w:ascii="Times New Roman" w:hAnsi="Times New Roman" w:cs="Times New Roman"/>
          <w:sz w:val="24"/>
          <w:szCs w:val="24"/>
        </w:rPr>
      </w:pPr>
      <w:r w:rsidRPr="00365151">
        <w:rPr>
          <w:rFonts w:ascii="Times New Roman" w:hAnsi="Times New Roman" w:cs="Times New Roman"/>
          <w:sz w:val="24"/>
          <w:szCs w:val="24"/>
        </w:rPr>
        <w:t xml:space="preserve">GMI pabalstam 12 mēnešos - 13 794 334 </w:t>
      </w:r>
      <w:r w:rsidRPr="00365151">
        <w:rPr>
          <w:rFonts w:ascii="Times New Roman" w:hAnsi="Times New Roman" w:cs="Times New Roman"/>
          <w:i/>
          <w:sz w:val="24"/>
          <w:szCs w:val="24"/>
        </w:rPr>
        <w:t>euro</w:t>
      </w:r>
      <w:r w:rsidRPr="00910570">
        <w:rPr>
          <w:rStyle w:val="FootnoteReference"/>
          <w:rFonts w:ascii="Times New Roman" w:hAnsi="Times New Roman"/>
          <w:color w:val="000000" w:themeColor="text1"/>
          <w:sz w:val="24"/>
          <w:szCs w:val="24"/>
        </w:rPr>
        <w:footnoteReference w:id="35"/>
      </w:r>
      <w:r w:rsidRPr="00365151">
        <w:rPr>
          <w:rFonts w:ascii="Times New Roman" w:hAnsi="Times New Roman" w:cs="Times New Roman"/>
          <w:i/>
          <w:sz w:val="24"/>
          <w:szCs w:val="24"/>
        </w:rPr>
        <w:t xml:space="preserve">; </w:t>
      </w:r>
      <w:r w:rsidRPr="00365151">
        <w:rPr>
          <w:rFonts w:ascii="Times New Roman" w:hAnsi="Times New Roman" w:cs="Times New Roman"/>
          <w:sz w:val="24"/>
          <w:szCs w:val="24"/>
        </w:rPr>
        <w:t>50% līdzfinansējums pašvaldībām</w:t>
      </w:r>
      <w:r w:rsidRPr="00365151">
        <w:rPr>
          <w:rFonts w:ascii="Times New Roman" w:hAnsi="Times New Roman" w:cs="Times New Roman"/>
          <w:i/>
          <w:sz w:val="24"/>
          <w:szCs w:val="24"/>
        </w:rPr>
        <w:t xml:space="preserve"> - </w:t>
      </w:r>
      <w:r w:rsidRPr="00365151">
        <w:rPr>
          <w:rFonts w:ascii="Times New Roman" w:hAnsi="Times New Roman" w:cs="Times New Roman"/>
          <w:sz w:val="24"/>
          <w:szCs w:val="24"/>
        </w:rPr>
        <w:t xml:space="preserve">6 897 167 </w:t>
      </w:r>
      <w:r w:rsidRPr="00365151">
        <w:rPr>
          <w:rFonts w:ascii="Times New Roman" w:hAnsi="Times New Roman" w:cs="Times New Roman"/>
          <w:i/>
          <w:sz w:val="24"/>
          <w:szCs w:val="24"/>
        </w:rPr>
        <w:t>euro</w:t>
      </w:r>
      <w:r w:rsidR="00943E84">
        <w:rPr>
          <w:rStyle w:val="FootnoteReference"/>
          <w:rFonts w:ascii="Times New Roman" w:hAnsi="Times New Roman"/>
          <w:i/>
          <w:sz w:val="24"/>
          <w:szCs w:val="24"/>
        </w:rPr>
        <w:footnoteReference w:id="36"/>
      </w:r>
      <w:r w:rsidRPr="00365151">
        <w:rPr>
          <w:rFonts w:ascii="Times New Roman" w:hAnsi="Times New Roman" w:cs="Times New Roman"/>
          <w:sz w:val="24"/>
          <w:szCs w:val="24"/>
        </w:rPr>
        <w:t>.</w:t>
      </w:r>
    </w:p>
    <w:p w14:paraId="5AEAE10A" w14:textId="77777777" w:rsidR="006C31D6" w:rsidRPr="00E973AD" w:rsidRDefault="006C31D6" w:rsidP="00365151">
      <w:pPr>
        <w:spacing w:after="0" w:line="240" w:lineRule="auto"/>
        <w:rPr>
          <w:color w:val="C00000"/>
        </w:rPr>
      </w:pPr>
    </w:p>
    <w:p w14:paraId="450D31DD" w14:textId="0404AD79" w:rsidR="006C31D6" w:rsidRPr="00365151" w:rsidRDefault="00B15931" w:rsidP="00F9640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Ja </w:t>
      </w:r>
      <w:r w:rsidR="0082573C" w:rsidRPr="000C5E35">
        <w:rPr>
          <w:rFonts w:ascii="Times New Roman" w:hAnsi="Times New Roman" w:cs="Times New Roman"/>
          <w:bCs/>
          <w:sz w:val="24"/>
          <w:szCs w:val="24"/>
        </w:rPr>
        <w:t>mājokļa pabalsta apmēra aprēķinam</w:t>
      </w:r>
      <w:r w:rsidR="0082573C" w:rsidRPr="000C5E35">
        <w:rPr>
          <w:rFonts w:ascii="Times New Roman" w:hAnsi="Times New Roman" w:cs="Times New Roman"/>
          <w:sz w:val="24"/>
          <w:szCs w:val="24"/>
        </w:rPr>
        <w:t xml:space="preserve"> piemērot</w:t>
      </w:r>
      <w:r>
        <w:rPr>
          <w:rFonts w:ascii="Times New Roman" w:hAnsi="Times New Roman" w:cs="Times New Roman"/>
          <w:sz w:val="24"/>
          <w:szCs w:val="24"/>
        </w:rPr>
        <w:t>u</w:t>
      </w:r>
      <w:r w:rsidR="0082573C" w:rsidRPr="000C5E35">
        <w:rPr>
          <w:rFonts w:ascii="Times New Roman" w:hAnsi="Times New Roman" w:cs="Times New Roman"/>
          <w:b/>
          <w:sz w:val="24"/>
          <w:szCs w:val="24"/>
        </w:rPr>
        <w:t xml:space="preserve"> </w:t>
      </w:r>
      <w:r w:rsidR="006C31D6" w:rsidRPr="000C5E35">
        <w:rPr>
          <w:rFonts w:ascii="Times New Roman" w:hAnsi="Times New Roman" w:cs="Times New Roman"/>
          <w:sz w:val="24"/>
          <w:szCs w:val="24"/>
        </w:rPr>
        <w:t>koeficientu 4</w:t>
      </w:r>
      <w:r>
        <w:rPr>
          <w:rFonts w:ascii="Times New Roman" w:hAnsi="Times New Roman" w:cs="Times New Roman"/>
          <w:sz w:val="24"/>
          <w:szCs w:val="24"/>
        </w:rPr>
        <w:t>, tad</w:t>
      </w:r>
      <w:r w:rsidR="006C31D6" w:rsidRPr="000C5E35">
        <w:rPr>
          <w:rFonts w:ascii="Times New Roman" w:hAnsi="Times New Roman" w:cs="Times New Roman"/>
          <w:b/>
          <w:sz w:val="24"/>
          <w:szCs w:val="24"/>
        </w:rPr>
        <w:t xml:space="preserve"> </w:t>
      </w:r>
      <w:r>
        <w:rPr>
          <w:rFonts w:ascii="Times New Roman" w:hAnsi="Times New Roman" w:cs="Times New Roman"/>
          <w:sz w:val="24"/>
          <w:szCs w:val="24"/>
        </w:rPr>
        <w:t xml:space="preserve">valsts </w:t>
      </w:r>
      <w:r w:rsidR="006C31D6" w:rsidRPr="00365151">
        <w:rPr>
          <w:rFonts w:ascii="Times New Roman" w:hAnsi="Times New Roman" w:cs="Times New Roman"/>
          <w:sz w:val="24"/>
          <w:szCs w:val="24"/>
        </w:rPr>
        <w:t>50%</w:t>
      </w:r>
      <w:r w:rsidR="006C31D6" w:rsidRPr="00365151">
        <w:rPr>
          <w:rFonts w:ascii="Times New Roman" w:hAnsi="Times New Roman" w:cs="Times New Roman"/>
          <w:i/>
          <w:sz w:val="24"/>
          <w:szCs w:val="24"/>
        </w:rPr>
        <w:t xml:space="preserve"> </w:t>
      </w:r>
      <w:r w:rsidR="006C31D6" w:rsidRPr="00365151">
        <w:rPr>
          <w:rFonts w:ascii="Times New Roman" w:hAnsi="Times New Roman" w:cs="Times New Roman"/>
          <w:sz w:val="24"/>
          <w:szCs w:val="24"/>
        </w:rPr>
        <w:t xml:space="preserve">līdzfinansējums pašvaldībām </w:t>
      </w:r>
      <w:r>
        <w:rPr>
          <w:rFonts w:ascii="Times New Roman" w:hAnsi="Times New Roman" w:cs="Times New Roman"/>
          <w:sz w:val="24"/>
          <w:szCs w:val="24"/>
        </w:rPr>
        <w:t xml:space="preserve">2023.gada </w:t>
      </w:r>
      <w:r w:rsidR="006C31D6" w:rsidRPr="00365151">
        <w:rPr>
          <w:rFonts w:ascii="Times New Roman" w:hAnsi="Times New Roman" w:cs="Times New Roman"/>
          <w:sz w:val="24"/>
          <w:szCs w:val="24"/>
        </w:rPr>
        <w:t xml:space="preserve">4 mēnešiem </w:t>
      </w:r>
      <w:r>
        <w:rPr>
          <w:rFonts w:ascii="Times New Roman" w:hAnsi="Times New Roman" w:cs="Times New Roman"/>
          <w:sz w:val="24"/>
          <w:szCs w:val="24"/>
        </w:rPr>
        <w:t>sastādītu</w:t>
      </w:r>
      <w:r w:rsidR="006C31D6" w:rsidRPr="00365151">
        <w:rPr>
          <w:rFonts w:ascii="Times New Roman" w:hAnsi="Times New Roman" w:cs="Times New Roman"/>
          <w:sz w:val="24"/>
          <w:szCs w:val="24"/>
        </w:rPr>
        <w:t xml:space="preserve"> 24 452 928 </w:t>
      </w:r>
      <w:r w:rsidR="006C31D6" w:rsidRPr="00365151">
        <w:rPr>
          <w:rFonts w:ascii="Times New Roman" w:hAnsi="Times New Roman" w:cs="Times New Roman"/>
          <w:i/>
          <w:sz w:val="24"/>
          <w:szCs w:val="24"/>
        </w:rPr>
        <w:t>euro</w:t>
      </w:r>
      <w:r>
        <w:rPr>
          <w:rFonts w:ascii="Times New Roman" w:hAnsi="Times New Roman" w:cs="Times New Roman"/>
          <w:i/>
          <w:sz w:val="24"/>
          <w:szCs w:val="24"/>
        </w:rPr>
        <w:t>.</w:t>
      </w:r>
    </w:p>
    <w:p w14:paraId="263EB923" w14:textId="77777777" w:rsidR="006C31D6" w:rsidRPr="00365151" w:rsidRDefault="006C31D6">
      <w:pPr>
        <w:spacing w:after="0" w:line="240" w:lineRule="auto"/>
        <w:jc w:val="both"/>
        <w:rPr>
          <w:rFonts w:ascii="Times New Roman" w:hAnsi="Times New Roman" w:cs="Times New Roman"/>
          <w:sz w:val="24"/>
          <w:szCs w:val="24"/>
        </w:rPr>
      </w:pPr>
    </w:p>
    <w:p w14:paraId="64C62FA8" w14:textId="65AA643F" w:rsidR="006C31D6" w:rsidRDefault="006C31D6" w:rsidP="006C31D6">
      <w:pPr>
        <w:spacing w:after="0" w:line="240" w:lineRule="auto"/>
        <w:rPr>
          <w:rFonts w:ascii="Times New Roman" w:hAnsi="Times New Roman" w:cs="Times New Roman"/>
          <w:sz w:val="24"/>
          <w:szCs w:val="24"/>
        </w:rPr>
      </w:pPr>
      <w:r w:rsidRPr="00365151">
        <w:rPr>
          <w:rFonts w:ascii="Times New Roman" w:hAnsi="Times New Roman" w:cs="Times New Roman"/>
          <w:sz w:val="24"/>
          <w:szCs w:val="24"/>
          <w:u w:val="single"/>
        </w:rPr>
        <w:t>Priekšrocības</w:t>
      </w:r>
      <w:r>
        <w:rPr>
          <w:rFonts w:ascii="Times New Roman" w:hAnsi="Times New Roman" w:cs="Times New Roman"/>
          <w:sz w:val="24"/>
          <w:szCs w:val="24"/>
        </w:rPr>
        <w:t>:</w:t>
      </w:r>
      <w:r w:rsidR="0043022A" w:rsidRPr="0043022A">
        <w:rPr>
          <w:rStyle w:val="FootnoteReference"/>
        </w:rPr>
        <w:t xml:space="preserve"> </w:t>
      </w:r>
    </w:p>
    <w:p w14:paraId="221F2556" w14:textId="77777777" w:rsidR="006C31D6" w:rsidRDefault="006C31D6" w:rsidP="005817AF">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nodrošina mājsaimniecības identificēšanu;</w:t>
      </w:r>
    </w:p>
    <w:p w14:paraId="1FE81DE6" w14:textId="77777777" w:rsidR="006C31D6" w:rsidRPr="00044C38" w:rsidRDefault="006C31D6" w:rsidP="005817AF">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044C38">
        <w:rPr>
          <w:rFonts w:ascii="Times New Roman" w:hAnsi="Times New Roman" w:cs="Times New Roman"/>
          <w:sz w:val="24"/>
          <w:szCs w:val="24"/>
        </w:rPr>
        <w:t>ērķēts atbalsts uz mājsaimniecībām ar zemiem ienākumiem;</w:t>
      </w:r>
    </w:p>
    <w:p w14:paraId="26CFC93D" w14:textId="77777777" w:rsidR="006C31D6" w:rsidRDefault="006C31D6" w:rsidP="005817AF">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ieviešams esošā institucionālā mehānisma ietvaros;</w:t>
      </w:r>
    </w:p>
    <w:p w14:paraId="0C67E3FB" w14:textId="77777777" w:rsidR="006C31D6" w:rsidRDefault="006C31D6" w:rsidP="005817AF">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ir noteikta normatīvā bāze mājokļa pabalsta saņemšanas nosacījumiem un piešķiršanas kritērijiem;</w:t>
      </w:r>
    </w:p>
    <w:p w14:paraId="08A1DE37" w14:textId="77777777" w:rsidR="006C31D6" w:rsidRDefault="006C31D6" w:rsidP="005817AF">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nav nepieciešamas tiesiskas izmaiņas institūciju atbildības un funkciju sadalījumā;</w:t>
      </w:r>
    </w:p>
    <w:p w14:paraId="44D6A924" w14:textId="77777777" w:rsidR="006C31D6" w:rsidRDefault="006C31D6" w:rsidP="005817AF">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atbalsts nodrošina gan MP rezolūcijā noteiktā mērķa, gan minimālo ienākumu reformai noteikto mērķu sasniegšanu;</w:t>
      </w:r>
    </w:p>
    <w:p w14:paraId="097A61A6" w14:textId="0C6BCFFF" w:rsidR="00BA545C" w:rsidRDefault="006C31D6" w:rsidP="00BA545C">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īstenojams kā pastāvīgs ilgtermiņa risinājums komunālo izmaksu </w:t>
      </w:r>
      <w:r w:rsidR="00BA545C">
        <w:rPr>
          <w:rFonts w:ascii="Times New Roman" w:hAnsi="Times New Roman" w:cs="Times New Roman"/>
          <w:sz w:val="24"/>
          <w:szCs w:val="24"/>
        </w:rPr>
        <w:t>sloga mazināšanai iedzīvotājiem;</w:t>
      </w:r>
    </w:p>
    <w:p w14:paraId="1F172C53" w14:textId="77777777" w:rsidR="00BA545C" w:rsidRDefault="00BA545C" w:rsidP="00BA545C">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atvieglojot materiālās situācijas izvērtēšanas nosacījumus, vairāk mājsaimniecības varēs kvalificēties visa veida valsts un pašvaldību atbalstam.</w:t>
      </w:r>
    </w:p>
    <w:p w14:paraId="52C5E194" w14:textId="77777777" w:rsidR="00BA545C" w:rsidRPr="00BA545C" w:rsidRDefault="00BA545C" w:rsidP="00BA545C">
      <w:pPr>
        <w:spacing w:after="0" w:line="240" w:lineRule="auto"/>
        <w:jc w:val="both"/>
        <w:rPr>
          <w:rFonts w:ascii="Times New Roman" w:hAnsi="Times New Roman" w:cs="Times New Roman"/>
          <w:sz w:val="24"/>
          <w:szCs w:val="24"/>
        </w:rPr>
      </w:pPr>
    </w:p>
    <w:p w14:paraId="425776EF" w14:textId="77777777" w:rsidR="006C31D6" w:rsidRDefault="006C31D6" w:rsidP="006C31D6">
      <w:pPr>
        <w:spacing w:after="0" w:line="240" w:lineRule="auto"/>
        <w:rPr>
          <w:rFonts w:ascii="Times New Roman" w:hAnsi="Times New Roman" w:cs="Times New Roman"/>
          <w:sz w:val="24"/>
          <w:szCs w:val="24"/>
        </w:rPr>
      </w:pPr>
    </w:p>
    <w:p w14:paraId="307A88D0" w14:textId="77777777" w:rsidR="006C31D6" w:rsidRPr="009D3F51" w:rsidRDefault="006C31D6" w:rsidP="006C31D6">
      <w:pPr>
        <w:spacing w:after="0" w:line="240" w:lineRule="auto"/>
        <w:rPr>
          <w:rFonts w:ascii="Times New Roman" w:hAnsi="Times New Roman" w:cs="Times New Roman"/>
          <w:sz w:val="24"/>
          <w:szCs w:val="24"/>
        </w:rPr>
      </w:pPr>
      <w:r w:rsidRPr="00365151">
        <w:rPr>
          <w:rFonts w:ascii="Times New Roman" w:hAnsi="Times New Roman" w:cs="Times New Roman"/>
          <w:sz w:val="24"/>
          <w:szCs w:val="24"/>
          <w:u w:val="single"/>
        </w:rPr>
        <w:t>Trūkumi</w:t>
      </w:r>
      <w:r w:rsidRPr="009D3F51">
        <w:rPr>
          <w:rFonts w:ascii="Times New Roman" w:hAnsi="Times New Roman" w:cs="Times New Roman"/>
          <w:sz w:val="24"/>
          <w:szCs w:val="24"/>
        </w:rPr>
        <w:t>:</w:t>
      </w:r>
    </w:p>
    <w:p w14:paraId="02523023" w14:textId="2ED97C06" w:rsidR="006C31D6" w:rsidRDefault="00B15931" w:rsidP="005817AF">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31D6">
        <w:rPr>
          <w:rFonts w:ascii="Times New Roman" w:hAnsi="Times New Roman" w:cs="Times New Roman"/>
          <w:sz w:val="24"/>
          <w:szCs w:val="24"/>
        </w:rPr>
        <w:t>esasniedz visas MP rezolūcijā noteiktās mērķa grupas, proti, mājsaimniecības, kuru ienākumi atbilst 3.kvintilei</w:t>
      </w:r>
      <w:r w:rsidR="0043551A">
        <w:rPr>
          <w:rFonts w:ascii="Times New Roman" w:hAnsi="Times New Roman" w:cs="Times New Roman"/>
          <w:sz w:val="24"/>
          <w:szCs w:val="24"/>
        </w:rPr>
        <w:t>, kā arī ne visas trūcīgās un maznodrošinātās mājsaimniecības</w:t>
      </w:r>
      <w:r w:rsidR="006C31D6">
        <w:rPr>
          <w:rFonts w:ascii="Times New Roman" w:hAnsi="Times New Roman" w:cs="Times New Roman"/>
          <w:sz w:val="24"/>
          <w:szCs w:val="24"/>
        </w:rPr>
        <w:t>;</w:t>
      </w:r>
    </w:p>
    <w:p w14:paraId="260D5754" w14:textId="77777777" w:rsidR="006C31D6" w:rsidRDefault="006C31D6" w:rsidP="005817AF">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 palielināta pašvaldību sociālo dienestu noslodze;</w:t>
      </w:r>
    </w:p>
    <w:p w14:paraId="68DBF63A" w14:textId="77777777" w:rsidR="006C31D6" w:rsidRDefault="006C31D6" w:rsidP="005817AF">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nepieciešams papildu darba spēks pašvaldībā un darba vietu iekārtošana;</w:t>
      </w:r>
    </w:p>
    <w:p w14:paraId="03BF3DFB" w14:textId="2088E74A" w:rsidR="006C31D6" w:rsidRPr="00BA545C" w:rsidRDefault="006C31D6" w:rsidP="000C5E35">
      <w:pPr>
        <w:pStyle w:val="ListParagraph"/>
        <w:numPr>
          <w:ilvl w:val="0"/>
          <w:numId w:val="14"/>
        </w:numPr>
        <w:spacing w:after="0" w:line="240" w:lineRule="auto"/>
        <w:jc w:val="both"/>
      </w:pPr>
      <w:r>
        <w:rPr>
          <w:rFonts w:ascii="Times New Roman" w:hAnsi="Times New Roman" w:cs="Times New Roman"/>
          <w:sz w:val="24"/>
          <w:szCs w:val="24"/>
        </w:rPr>
        <w:t>papildu finansējuma piesaiste mājokļa pabalsta</w:t>
      </w:r>
      <w:r w:rsidR="00BA545C">
        <w:rPr>
          <w:rFonts w:ascii="Times New Roman" w:hAnsi="Times New Roman" w:cs="Times New Roman"/>
          <w:sz w:val="24"/>
          <w:szCs w:val="24"/>
        </w:rPr>
        <w:t xml:space="preserve"> administrēšanas nodrošināšanai;</w:t>
      </w:r>
    </w:p>
    <w:p w14:paraId="64C2CEEB" w14:textId="0461EE60" w:rsidR="00BA545C" w:rsidRDefault="00BA545C" w:rsidP="00BA545C">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paredzētie materiālās situācijas izvērtēšanas kritēriju atvieglojumi mazina mērķētību.</w:t>
      </w:r>
    </w:p>
    <w:p w14:paraId="3C0278A5" w14:textId="77777777" w:rsidR="00BA545C" w:rsidRPr="00BA545C" w:rsidRDefault="00BA545C" w:rsidP="00BA545C">
      <w:pPr>
        <w:pStyle w:val="ListParagraph"/>
        <w:spacing w:after="0" w:line="240" w:lineRule="auto"/>
        <w:jc w:val="both"/>
        <w:rPr>
          <w:rFonts w:ascii="Times New Roman" w:hAnsi="Times New Roman" w:cs="Times New Roman"/>
          <w:sz w:val="24"/>
          <w:szCs w:val="24"/>
        </w:rPr>
      </w:pPr>
    </w:p>
    <w:p w14:paraId="2D39F880" w14:textId="77777777" w:rsidR="004C6391" w:rsidRDefault="004C6391" w:rsidP="005137FF">
      <w:pPr>
        <w:spacing w:after="0" w:line="240" w:lineRule="auto"/>
        <w:rPr>
          <w:rFonts w:ascii="Times New Roman" w:hAnsi="Times New Roman" w:cs="Times New Roman"/>
          <w:sz w:val="24"/>
          <w:szCs w:val="24"/>
        </w:rPr>
      </w:pPr>
    </w:p>
    <w:p w14:paraId="37664B58" w14:textId="1BFCBC3B" w:rsidR="0087275E" w:rsidRPr="00365151" w:rsidRDefault="00412AE7" w:rsidP="008470B8">
      <w:pPr>
        <w:jc w:val="both"/>
        <w:rPr>
          <w:rFonts w:ascii="Times New Roman" w:hAnsi="Times New Roman" w:cs="Times New Roman"/>
          <w:b/>
        </w:rPr>
      </w:pPr>
      <w:r w:rsidRPr="00365151">
        <w:rPr>
          <w:rFonts w:ascii="Times New Roman" w:hAnsi="Times New Roman" w:cs="Times New Roman"/>
          <w:b/>
        </w:rPr>
        <w:t xml:space="preserve">3.1.2. </w:t>
      </w:r>
      <w:r w:rsidR="00AE63A6" w:rsidRPr="00365151">
        <w:rPr>
          <w:rFonts w:ascii="Times New Roman" w:hAnsi="Times New Roman" w:cs="Times New Roman"/>
          <w:b/>
        </w:rPr>
        <w:t>A</w:t>
      </w:r>
      <w:r w:rsidR="0087275E" w:rsidRPr="00365151">
        <w:rPr>
          <w:rFonts w:ascii="Times New Roman" w:hAnsi="Times New Roman" w:cs="Times New Roman"/>
          <w:b/>
        </w:rPr>
        <w:t>TBALST</w:t>
      </w:r>
      <w:r w:rsidR="00AE63A6" w:rsidRPr="00365151">
        <w:rPr>
          <w:rFonts w:ascii="Times New Roman" w:hAnsi="Times New Roman" w:cs="Times New Roman"/>
          <w:b/>
        </w:rPr>
        <w:t>S</w:t>
      </w:r>
      <w:r w:rsidR="0087275E" w:rsidRPr="00365151">
        <w:rPr>
          <w:rFonts w:ascii="Times New Roman" w:hAnsi="Times New Roman" w:cs="Times New Roman"/>
          <w:b/>
        </w:rPr>
        <w:t xml:space="preserve"> </w:t>
      </w:r>
      <w:r w:rsidR="002959D4" w:rsidRPr="00365151">
        <w:rPr>
          <w:rFonts w:ascii="Times New Roman" w:hAnsi="Times New Roman" w:cs="Times New Roman"/>
          <w:b/>
        </w:rPr>
        <w:t xml:space="preserve">PERSONU GRUPĀM </w:t>
      </w:r>
    </w:p>
    <w:p w14:paraId="75251005" w14:textId="57ABA338" w:rsidR="00884533" w:rsidRPr="00B66536" w:rsidRDefault="00B66536" w:rsidP="006238C5">
      <w:pPr>
        <w:spacing w:after="0" w:line="240" w:lineRule="auto"/>
        <w:jc w:val="both"/>
        <w:rPr>
          <w:rFonts w:ascii="Times New Roman" w:hAnsi="Times New Roman"/>
          <w:b/>
          <w:sz w:val="24"/>
          <w:szCs w:val="24"/>
        </w:rPr>
      </w:pPr>
      <w:r w:rsidRPr="00B66536">
        <w:rPr>
          <w:rFonts w:ascii="Times New Roman" w:hAnsi="Times New Roman"/>
          <w:sz w:val="24"/>
          <w:szCs w:val="24"/>
        </w:rPr>
        <w:t>Atbalsts</w:t>
      </w:r>
      <w:r>
        <w:rPr>
          <w:rFonts w:ascii="Times New Roman" w:hAnsi="Times New Roman"/>
          <w:b/>
          <w:sz w:val="24"/>
          <w:szCs w:val="24"/>
        </w:rPr>
        <w:t xml:space="preserve"> </w:t>
      </w:r>
      <w:r>
        <w:rPr>
          <w:rFonts w:ascii="Times New Roman" w:hAnsi="Times New Roman"/>
          <w:sz w:val="24"/>
          <w:szCs w:val="24"/>
        </w:rPr>
        <w:t>tiek orientēts uz divām iedzīvotāju grupām</w:t>
      </w:r>
      <w:r>
        <w:rPr>
          <w:rFonts w:ascii="Times New Roman" w:hAnsi="Times New Roman"/>
          <w:b/>
          <w:sz w:val="24"/>
          <w:szCs w:val="24"/>
        </w:rPr>
        <w:t xml:space="preserve"> – </w:t>
      </w:r>
      <w:r w:rsidRPr="00B66536">
        <w:rPr>
          <w:rFonts w:ascii="Times New Roman" w:hAnsi="Times New Roman"/>
          <w:sz w:val="24"/>
          <w:szCs w:val="24"/>
        </w:rPr>
        <w:t>senioriem un personām ar invaliditāti, ņemot šo grupu relatīvi zemos ienākumus, salīdzinot ar pārējo iedzīvotāju ienākumiem, kā rezultātā šīm grupām ir palielināts nabadzības risks.</w:t>
      </w:r>
      <w:r>
        <w:rPr>
          <w:rFonts w:ascii="Times New Roman" w:hAnsi="Times New Roman"/>
          <w:b/>
          <w:sz w:val="24"/>
          <w:szCs w:val="24"/>
        </w:rPr>
        <w:t xml:space="preserve"> </w:t>
      </w:r>
      <w:r w:rsidRPr="00B66536">
        <w:rPr>
          <w:rFonts w:ascii="Times New Roman" w:hAnsi="Times New Roman"/>
          <w:b/>
          <w:sz w:val="24"/>
          <w:szCs w:val="24"/>
        </w:rPr>
        <w:t xml:space="preserve"> </w:t>
      </w:r>
    </w:p>
    <w:p w14:paraId="1D6CFCE9" w14:textId="77777777" w:rsidR="00B66536" w:rsidRDefault="00B66536" w:rsidP="006238C5">
      <w:pPr>
        <w:spacing w:after="0" w:line="240" w:lineRule="auto"/>
        <w:jc w:val="both"/>
        <w:rPr>
          <w:rFonts w:ascii="Times New Roman" w:hAnsi="Times New Roman"/>
          <w:b/>
          <w:sz w:val="24"/>
          <w:szCs w:val="24"/>
        </w:rPr>
      </w:pPr>
    </w:p>
    <w:p w14:paraId="0F1B0E0F" w14:textId="5F7DDDD2" w:rsidR="006238C5" w:rsidRDefault="006238C5" w:rsidP="006238C5">
      <w:pPr>
        <w:spacing w:after="0" w:line="240" w:lineRule="auto"/>
        <w:jc w:val="both"/>
        <w:rPr>
          <w:rFonts w:ascii="Times New Roman" w:hAnsi="Times New Roman"/>
          <w:b/>
          <w:sz w:val="24"/>
          <w:szCs w:val="24"/>
        </w:rPr>
      </w:pPr>
      <w:r>
        <w:rPr>
          <w:rFonts w:ascii="Times New Roman" w:hAnsi="Times New Roman"/>
          <w:b/>
          <w:sz w:val="24"/>
          <w:szCs w:val="24"/>
        </w:rPr>
        <w:t>Ātrāka p</w:t>
      </w:r>
      <w:r w:rsidRPr="00274870">
        <w:rPr>
          <w:rFonts w:ascii="Times New Roman" w:hAnsi="Times New Roman"/>
          <w:b/>
          <w:sz w:val="24"/>
          <w:szCs w:val="24"/>
        </w:rPr>
        <w:t>ensiju indeksācija</w:t>
      </w:r>
    </w:p>
    <w:p w14:paraId="60F28E37" w14:textId="77777777" w:rsidR="006238C5" w:rsidRPr="00274870" w:rsidRDefault="006238C5" w:rsidP="006238C5">
      <w:pPr>
        <w:spacing w:after="0" w:line="240" w:lineRule="auto"/>
        <w:jc w:val="both"/>
        <w:rPr>
          <w:rFonts w:ascii="Times New Roman" w:hAnsi="Times New Roman"/>
          <w:b/>
          <w:sz w:val="24"/>
          <w:szCs w:val="24"/>
        </w:rPr>
      </w:pPr>
    </w:p>
    <w:p w14:paraId="54D03702" w14:textId="77777777" w:rsidR="00487991" w:rsidRDefault="00487991" w:rsidP="00487991">
      <w:pPr>
        <w:spacing w:after="0" w:line="240" w:lineRule="auto"/>
        <w:jc w:val="both"/>
        <w:rPr>
          <w:rFonts w:ascii="Times New Roman" w:hAnsi="Times New Roman"/>
          <w:sz w:val="24"/>
          <w:szCs w:val="24"/>
          <w:shd w:val="clear" w:color="auto" w:fill="FFFFFF"/>
        </w:rPr>
      </w:pPr>
      <w:r>
        <w:rPr>
          <w:rFonts w:ascii="Times New Roman" w:hAnsi="Times New Roman"/>
          <w:sz w:val="24"/>
          <w:szCs w:val="24"/>
        </w:rPr>
        <w:t>L</w:t>
      </w:r>
      <w:r w:rsidRPr="0094652B">
        <w:rPr>
          <w:rFonts w:ascii="Times New Roman" w:hAnsi="Times New Roman"/>
          <w:sz w:val="24"/>
          <w:szCs w:val="24"/>
        </w:rPr>
        <w:t xml:space="preserve">ai </w:t>
      </w:r>
      <w:r>
        <w:rPr>
          <w:rFonts w:ascii="Times New Roman" w:hAnsi="Times New Roman"/>
          <w:sz w:val="24"/>
          <w:szCs w:val="24"/>
        </w:rPr>
        <w:t>pensijas saņēmējiem</w:t>
      </w:r>
      <w:r w:rsidRPr="00B76F13">
        <w:rPr>
          <w:rFonts w:ascii="Verdana" w:hAnsi="Verdana"/>
          <w:sz w:val="19"/>
          <w:szCs w:val="19"/>
          <w:shd w:val="clear" w:color="auto" w:fill="FFFFFF"/>
        </w:rPr>
        <w:t> </w:t>
      </w:r>
      <w:r w:rsidRPr="0094652B">
        <w:rPr>
          <w:rFonts w:ascii="Times New Roman" w:hAnsi="Times New Roman"/>
          <w:sz w:val="24"/>
          <w:szCs w:val="24"/>
          <w:shd w:val="clear" w:color="auto" w:fill="FFFFFF"/>
        </w:rPr>
        <w:t>mazinātu straujās inflācijas negatīvo ietekmi</w:t>
      </w:r>
      <w:r>
        <w:rPr>
          <w:rFonts w:ascii="Times New Roman" w:hAnsi="Times New Roman"/>
          <w:sz w:val="24"/>
          <w:szCs w:val="24"/>
          <w:shd w:val="clear" w:color="auto" w:fill="FFFFFF"/>
        </w:rPr>
        <w:t xml:space="preserve"> uz valsts pensiju apmēriem, 2022.gadā plānots pensijas </w:t>
      </w:r>
      <w:r w:rsidRPr="0094652B">
        <w:rPr>
          <w:rFonts w:ascii="Times New Roman" w:hAnsi="Times New Roman"/>
          <w:sz w:val="24"/>
          <w:szCs w:val="24"/>
          <w:shd w:val="clear" w:color="auto" w:fill="FFFFFF"/>
        </w:rPr>
        <w:t xml:space="preserve"> indeksēt mēnesi agrāk nekā parasti </w:t>
      </w:r>
      <w:r>
        <w:rPr>
          <w:rFonts w:ascii="Times New Roman" w:hAnsi="Times New Roman"/>
          <w:sz w:val="24"/>
          <w:szCs w:val="24"/>
          <w:shd w:val="clear" w:color="auto" w:fill="FFFFFF"/>
        </w:rPr>
        <w:t>-</w:t>
      </w:r>
      <w:r w:rsidRPr="0094652B">
        <w:rPr>
          <w:rFonts w:ascii="Times New Roman" w:hAnsi="Times New Roman"/>
          <w:sz w:val="24"/>
          <w:szCs w:val="24"/>
          <w:shd w:val="clear" w:color="auto" w:fill="FFFFFF"/>
        </w:rPr>
        <w:t xml:space="preserve"> </w:t>
      </w:r>
      <w:r w:rsidRPr="0094652B">
        <w:rPr>
          <w:rFonts w:ascii="Times New Roman" w:hAnsi="Times New Roman"/>
          <w:sz w:val="24"/>
          <w:szCs w:val="24"/>
          <w:shd w:val="clear" w:color="auto" w:fill="FFFFFF"/>
        </w:rPr>
        <w:lastRenderedPageBreak/>
        <w:t>1.septembrī.</w:t>
      </w:r>
      <w:r>
        <w:rPr>
          <w:rFonts w:ascii="Times New Roman" w:hAnsi="Times New Roman"/>
          <w:sz w:val="24"/>
          <w:szCs w:val="24"/>
          <w:shd w:val="clear" w:color="auto" w:fill="FFFFFF"/>
        </w:rPr>
        <w:t xml:space="preserve"> Minēto paredz š.g. 24.maijā Ministru kabineta sēdē apstiprinātais likumprojekts “Grozījumi likumā “Par valsts pensijām””, kas vēl ir jāpieņem Saeimai. </w:t>
      </w:r>
    </w:p>
    <w:p w14:paraId="52DB2550" w14:textId="77777777" w:rsidR="00487991" w:rsidRDefault="00487991" w:rsidP="00487991">
      <w:pPr>
        <w:spacing w:after="0" w:line="240" w:lineRule="auto"/>
        <w:jc w:val="both"/>
        <w:rPr>
          <w:rFonts w:ascii="Times New Roman" w:hAnsi="Times New Roman"/>
          <w:sz w:val="24"/>
          <w:szCs w:val="24"/>
          <w:shd w:val="clear" w:color="auto" w:fill="FFFFFF"/>
        </w:rPr>
      </w:pPr>
    </w:p>
    <w:p w14:paraId="1BF7003C" w14:textId="0661890D" w:rsidR="006238C5" w:rsidRPr="004251B7" w:rsidRDefault="00487991" w:rsidP="00487991">
      <w:pPr>
        <w:spacing w:after="0" w:line="240" w:lineRule="auto"/>
        <w:jc w:val="both"/>
        <w:rPr>
          <w:rFonts w:ascii="Times New Roman" w:hAnsi="Times New Roman" w:cs="Times New Roman"/>
          <w:sz w:val="24"/>
          <w:szCs w:val="24"/>
        </w:rPr>
      </w:pPr>
      <w:r>
        <w:rPr>
          <w:rFonts w:ascii="Times New Roman" w:hAnsi="Times New Roman"/>
          <w:sz w:val="24"/>
          <w:szCs w:val="24"/>
          <w:shd w:val="clear" w:color="auto" w:fill="FFFFFF"/>
        </w:rPr>
        <w:t xml:space="preserve">Tātad 2022.gadā </w:t>
      </w:r>
      <w:r w:rsidRPr="004251B7">
        <w:rPr>
          <w:rFonts w:ascii="Times New Roman" w:hAnsi="Times New Roman" w:cs="Times New Roman"/>
          <w:sz w:val="24"/>
          <w:szCs w:val="24"/>
        </w:rPr>
        <w:t xml:space="preserve">valsts pensijas vai tās daļas apmēru, kas nepārsniedz </w:t>
      </w:r>
      <w:r>
        <w:rPr>
          <w:rFonts w:ascii="Times New Roman" w:hAnsi="Times New Roman" w:cs="Times New Roman"/>
          <w:sz w:val="24"/>
          <w:szCs w:val="24"/>
        </w:rPr>
        <w:t xml:space="preserve">2022.gadā 534 </w:t>
      </w:r>
      <w:r w:rsidR="006238C5" w:rsidRPr="004251B7">
        <w:rPr>
          <w:rFonts w:ascii="Times New Roman" w:hAnsi="Times New Roman" w:cs="Times New Roman"/>
          <w:sz w:val="24"/>
          <w:szCs w:val="24"/>
        </w:rPr>
        <w:t>no iepriekšējā kalendārā gada vidējās apdrošināšanas iemaksu algas valstī</w:t>
      </w:r>
      <w:r w:rsidR="006238C5">
        <w:rPr>
          <w:rFonts w:ascii="Times New Roman" w:hAnsi="Times New Roman" w:cs="Times New Roman"/>
          <w:sz w:val="24"/>
          <w:szCs w:val="24"/>
        </w:rPr>
        <w:t>)</w:t>
      </w:r>
      <w:r w:rsidR="006238C5" w:rsidRPr="004251B7">
        <w:rPr>
          <w:rFonts w:ascii="Times New Roman" w:hAnsi="Times New Roman" w:cs="Times New Roman"/>
          <w:sz w:val="24"/>
          <w:szCs w:val="24"/>
        </w:rPr>
        <w:t>, pārskat</w:t>
      </w:r>
      <w:r w:rsidR="006238C5">
        <w:rPr>
          <w:rFonts w:ascii="Times New Roman" w:hAnsi="Times New Roman" w:cs="Times New Roman"/>
          <w:sz w:val="24"/>
          <w:szCs w:val="24"/>
        </w:rPr>
        <w:t>īs</w:t>
      </w:r>
      <w:r w:rsidR="006238C5" w:rsidRPr="004251B7">
        <w:rPr>
          <w:rFonts w:ascii="Times New Roman" w:hAnsi="Times New Roman" w:cs="Times New Roman"/>
          <w:sz w:val="24"/>
          <w:szCs w:val="24"/>
        </w:rPr>
        <w:t xml:space="preserve"> 1.</w:t>
      </w:r>
      <w:r w:rsidR="006238C5">
        <w:rPr>
          <w:rFonts w:ascii="Times New Roman" w:hAnsi="Times New Roman" w:cs="Times New Roman"/>
          <w:sz w:val="24"/>
          <w:szCs w:val="24"/>
        </w:rPr>
        <w:t>septembrī</w:t>
      </w:r>
      <w:r w:rsidR="006238C5" w:rsidRPr="004251B7">
        <w:rPr>
          <w:rFonts w:ascii="Times New Roman" w:hAnsi="Times New Roman" w:cs="Times New Roman"/>
          <w:sz w:val="24"/>
          <w:szCs w:val="24"/>
        </w:rPr>
        <w:t xml:space="preserve">, ņemot vērā faktisko patēriņa cenu indeksu un 50% no apdrošināšanas iemaksu algas reālā pieauguma procentiem. Politiski represētajām personām, </w:t>
      </w:r>
      <w:r w:rsidR="006238C5">
        <w:rPr>
          <w:rFonts w:ascii="Times New Roman" w:hAnsi="Times New Roman" w:cs="Times New Roman"/>
          <w:sz w:val="24"/>
          <w:szCs w:val="24"/>
        </w:rPr>
        <w:t xml:space="preserve">personām ar </w:t>
      </w:r>
      <w:r w:rsidR="006238C5" w:rsidRPr="004251B7">
        <w:rPr>
          <w:rFonts w:ascii="Times New Roman" w:hAnsi="Times New Roman" w:cs="Times New Roman"/>
          <w:sz w:val="24"/>
          <w:szCs w:val="24"/>
        </w:rPr>
        <w:t xml:space="preserve">I </w:t>
      </w:r>
      <w:r w:rsidR="006238C5">
        <w:rPr>
          <w:rFonts w:ascii="Times New Roman" w:hAnsi="Times New Roman" w:cs="Times New Roman"/>
          <w:sz w:val="24"/>
          <w:szCs w:val="24"/>
        </w:rPr>
        <w:t>invaliditāt</w:t>
      </w:r>
      <w:r w:rsidR="00914431">
        <w:rPr>
          <w:rFonts w:ascii="Times New Roman" w:hAnsi="Times New Roman" w:cs="Times New Roman"/>
          <w:sz w:val="24"/>
          <w:szCs w:val="24"/>
        </w:rPr>
        <w:t>es</w:t>
      </w:r>
      <w:r w:rsidR="006238C5" w:rsidRPr="004251B7">
        <w:rPr>
          <w:rFonts w:ascii="Times New Roman" w:hAnsi="Times New Roman" w:cs="Times New Roman"/>
          <w:sz w:val="24"/>
          <w:szCs w:val="24"/>
        </w:rPr>
        <w:t xml:space="preserve"> </w:t>
      </w:r>
      <w:r w:rsidR="00914431" w:rsidRPr="004251B7">
        <w:rPr>
          <w:rFonts w:ascii="Times New Roman" w:hAnsi="Times New Roman" w:cs="Times New Roman"/>
          <w:sz w:val="24"/>
          <w:szCs w:val="24"/>
        </w:rPr>
        <w:t>grup</w:t>
      </w:r>
      <w:r w:rsidR="00914431">
        <w:rPr>
          <w:rFonts w:ascii="Times New Roman" w:hAnsi="Times New Roman" w:cs="Times New Roman"/>
          <w:sz w:val="24"/>
          <w:szCs w:val="24"/>
        </w:rPr>
        <w:t>u</w:t>
      </w:r>
      <w:r w:rsidR="00914431" w:rsidRPr="004251B7">
        <w:rPr>
          <w:rFonts w:ascii="Times New Roman" w:hAnsi="Times New Roman" w:cs="Times New Roman"/>
          <w:sz w:val="24"/>
          <w:szCs w:val="24"/>
        </w:rPr>
        <w:t xml:space="preserve"> </w:t>
      </w:r>
      <w:r w:rsidR="006238C5" w:rsidRPr="004251B7">
        <w:rPr>
          <w:rFonts w:ascii="Times New Roman" w:hAnsi="Times New Roman" w:cs="Times New Roman"/>
          <w:sz w:val="24"/>
          <w:szCs w:val="24"/>
        </w:rPr>
        <w:t>un Černobiļas atomelektrostacijas avārijas seku likvidēšanas dalībniekiem pārskat</w:t>
      </w:r>
      <w:r w:rsidR="006238C5">
        <w:rPr>
          <w:rFonts w:ascii="Times New Roman" w:hAnsi="Times New Roman" w:cs="Times New Roman"/>
          <w:sz w:val="24"/>
          <w:szCs w:val="24"/>
        </w:rPr>
        <w:t>īs</w:t>
      </w:r>
      <w:r w:rsidR="006238C5" w:rsidRPr="004251B7">
        <w:rPr>
          <w:rFonts w:ascii="Times New Roman" w:hAnsi="Times New Roman" w:cs="Times New Roman"/>
          <w:sz w:val="24"/>
          <w:szCs w:val="24"/>
        </w:rPr>
        <w:t xml:space="preserve"> visu valsts pensijas apmēru.</w:t>
      </w:r>
    </w:p>
    <w:p w14:paraId="77E4473D" w14:textId="77777777" w:rsidR="00C12F0A" w:rsidRDefault="00C12F0A" w:rsidP="006238C5">
      <w:pPr>
        <w:spacing w:after="0" w:line="240" w:lineRule="auto"/>
        <w:contextualSpacing/>
        <w:jc w:val="both"/>
        <w:rPr>
          <w:rFonts w:ascii="Times New Roman" w:hAnsi="Times New Roman" w:cs="Times New Roman"/>
          <w:sz w:val="24"/>
          <w:szCs w:val="24"/>
        </w:rPr>
      </w:pPr>
    </w:p>
    <w:p w14:paraId="6DD0CCC5" w14:textId="77777777" w:rsidR="006238C5" w:rsidRPr="004251B7" w:rsidRDefault="006238C5" w:rsidP="006238C5">
      <w:pPr>
        <w:spacing w:after="0" w:line="240" w:lineRule="auto"/>
        <w:contextualSpacing/>
        <w:jc w:val="both"/>
        <w:rPr>
          <w:rFonts w:ascii="Times New Roman" w:hAnsi="Times New Roman" w:cs="Times New Roman"/>
          <w:sz w:val="24"/>
          <w:szCs w:val="24"/>
        </w:rPr>
      </w:pPr>
      <w:r w:rsidRPr="004251B7">
        <w:rPr>
          <w:rFonts w:ascii="Times New Roman" w:hAnsi="Times New Roman" w:cs="Times New Roman"/>
          <w:sz w:val="24"/>
          <w:szCs w:val="24"/>
        </w:rPr>
        <w:t>Vecuma pensijām ar lielu apdrošināšanas stāžu pensiju indeksācijā piemēro lielāku daļu no apdrošināšanas iemaksu algu summas reālā pieauguma procentiem</w:t>
      </w:r>
      <w:r>
        <w:rPr>
          <w:rFonts w:ascii="Times New Roman" w:hAnsi="Times New Roman" w:cs="Times New Roman"/>
          <w:sz w:val="24"/>
          <w:szCs w:val="24"/>
        </w:rPr>
        <w:t xml:space="preserve"> (50% vietā)</w:t>
      </w:r>
      <w:r w:rsidRPr="004251B7">
        <w:rPr>
          <w:rFonts w:ascii="Times New Roman" w:hAnsi="Times New Roman" w:cs="Times New Roman"/>
          <w:sz w:val="24"/>
          <w:szCs w:val="24"/>
        </w:rPr>
        <w:t>:</w:t>
      </w:r>
    </w:p>
    <w:p w14:paraId="7E4C8CA3" w14:textId="77777777" w:rsidR="006238C5" w:rsidRPr="004251B7" w:rsidRDefault="006238C5" w:rsidP="005817AF">
      <w:pPr>
        <w:pStyle w:val="ListParagraph"/>
        <w:numPr>
          <w:ilvl w:val="0"/>
          <w:numId w:val="15"/>
        </w:numPr>
        <w:spacing w:after="0" w:line="240" w:lineRule="auto"/>
        <w:jc w:val="both"/>
        <w:rPr>
          <w:rFonts w:ascii="Times New Roman" w:hAnsi="Times New Roman" w:cs="Times New Roman"/>
          <w:sz w:val="24"/>
          <w:szCs w:val="24"/>
        </w:rPr>
      </w:pPr>
      <w:r w:rsidRPr="004251B7">
        <w:rPr>
          <w:rFonts w:ascii="Times New Roman" w:hAnsi="Times New Roman" w:cs="Times New Roman"/>
          <w:sz w:val="24"/>
          <w:szCs w:val="24"/>
        </w:rPr>
        <w:t xml:space="preserve">60%, ja apdrošināšanas stāžs no 30 – 39 gadiem un pensijām, kas piešķirtas par darbu kaitīgos un smagos, vai sevišķi kaitīgos un smagos darba apstākļos, </w:t>
      </w:r>
    </w:p>
    <w:p w14:paraId="59BC38C8" w14:textId="77777777" w:rsidR="006238C5" w:rsidRPr="004251B7" w:rsidRDefault="006238C5" w:rsidP="005817AF">
      <w:pPr>
        <w:pStyle w:val="ListParagraph"/>
        <w:numPr>
          <w:ilvl w:val="0"/>
          <w:numId w:val="15"/>
        </w:numPr>
        <w:spacing w:after="0" w:line="240" w:lineRule="auto"/>
        <w:jc w:val="both"/>
        <w:rPr>
          <w:rFonts w:ascii="Times New Roman" w:hAnsi="Times New Roman" w:cs="Times New Roman"/>
          <w:sz w:val="24"/>
          <w:szCs w:val="24"/>
        </w:rPr>
      </w:pPr>
      <w:r w:rsidRPr="004251B7">
        <w:rPr>
          <w:rFonts w:ascii="Times New Roman" w:hAnsi="Times New Roman" w:cs="Times New Roman"/>
          <w:sz w:val="24"/>
          <w:szCs w:val="24"/>
        </w:rPr>
        <w:t>70%, ja apdrošināšanas stāžs no 40 – 44 gadiem</w:t>
      </w:r>
    </w:p>
    <w:p w14:paraId="24DB3C55" w14:textId="77777777" w:rsidR="006238C5" w:rsidRPr="004251B7" w:rsidRDefault="006238C5" w:rsidP="005817AF">
      <w:pPr>
        <w:pStyle w:val="ListParagraph"/>
        <w:numPr>
          <w:ilvl w:val="0"/>
          <w:numId w:val="15"/>
        </w:numPr>
        <w:spacing w:after="0" w:line="240" w:lineRule="auto"/>
        <w:jc w:val="both"/>
        <w:rPr>
          <w:rFonts w:ascii="Times New Roman" w:hAnsi="Times New Roman" w:cs="Times New Roman"/>
          <w:sz w:val="24"/>
          <w:szCs w:val="24"/>
        </w:rPr>
      </w:pPr>
      <w:r w:rsidRPr="004251B7">
        <w:rPr>
          <w:rFonts w:ascii="Times New Roman" w:hAnsi="Times New Roman" w:cs="Times New Roman"/>
          <w:sz w:val="24"/>
          <w:szCs w:val="24"/>
        </w:rPr>
        <w:t xml:space="preserve">80%, ja apdrošināšanas stāžs ir 45 un vairāk gadi. </w:t>
      </w:r>
    </w:p>
    <w:p w14:paraId="1C9E16FA" w14:textId="77777777" w:rsidR="00C12F0A" w:rsidRDefault="00C12F0A" w:rsidP="006238C5">
      <w:pPr>
        <w:jc w:val="both"/>
        <w:rPr>
          <w:rFonts w:ascii="Times New Roman" w:hAnsi="Times New Roman" w:cs="Times New Roman"/>
          <w:sz w:val="24"/>
          <w:szCs w:val="24"/>
        </w:rPr>
      </w:pPr>
    </w:p>
    <w:p w14:paraId="09A63D08" w14:textId="4D52559B" w:rsidR="006238C5" w:rsidRDefault="006238C5" w:rsidP="006238C5">
      <w:pPr>
        <w:jc w:val="both"/>
        <w:rPr>
          <w:rFonts w:ascii="Times New Roman" w:hAnsi="Times New Roman" w:cs="Times New Roman"/>
          <w:sz w:val="24"/>
          <w:szCs w:val="24"/>
        </w:rPr>
      </w:pPr>
      <w:r w:rsidRPr="00274870">
        <w:rPr>
          <w:rFonts w:ascii="Times New Roman" w:hAnsi="Times New Roman" w:cs="Times New Roman"/>
          <w:sz w:val="24"/>
          <w:szCs w:val="24"/>
        </w:rPr>
        <w:t xml:space="preserve">Saskaņā ar VSAA datiem 2022.gada martā VSAA uzskaitē </w:t>
      </w:r>
      <w:r w:rsidRPr="00B66536">
        <w:rPr>
          <w:rFonts w:ascii="Times New Roman" w:hAnsi="Times New Roman" w:cs="Times New Roman"/>
          <w:sz w:val="24"/>
          <w:szCs w:val="24"/>
        </w:rPr>
        <w:t>bija 534 tūks</w:t>
      </w:r>
      <w:r w:rsidR="00914431">
        <w:rPr>
          <w:rFonts w:ascii="Times New Roman" w:hAnsi="Times New Roman" w:cs="Times New Roman"/>
          <w:sz w:val="24"/>
          <w:szCs w:val="24"/>
        </w:rPr>
        <w:t>t</w:t>
      </w:r>
      <w:r w:rsidRPr="00B66536">
        <w:rPr>
          <w:rFonts w:ascii="Times New Roman" w:hAnsi="Times New Roman" w:cs="Times New Roman"/>
          <w:sz w:val="24"/>
          <w:szCs w:val="24"/>
        </w:rPr>
        <w:t>.</w:t>
      </w:r>
      <w:r w:rsidRPr="00274870">
        <w:rPr>
          <w:rFonts w:ascii="Times New Roman" w:hAnsi="Times New Roman" w:cs="Times New Roman"/>
          <w:sz w:val="24"/>
          <w:szCs w:val="24"/>
        </w:rPr>
        <w:t xml:space="preserve"> pensiju saņēmēji, no tiem vecuma pensiju saņēmēj</w:t>
      </w:r>
      <w:r w:rsidR="00914431">
        <w:rPr>
          <w:rFonts w:ascii="Times New Roman" w:hAnsi="Times New Roman" w:cs="Times New Roman"/>
          <w:sz w:val="24"/>
          <w:szCs w:val="24"/>
        </w:rPr>
        <w:t>i</w:t>
      </w:r>
      <w:r w:rsidRPr="00274870">
        <w:rPr>
          <w:rFonts w:ascii="Times New Roman" w:hAnsi="Times New Roman" w:cs="Times New Roman"/>
          <w:sz w:val="24"/>
          <w:szCs w:val="24"/>
        </w:rPr>
        <w:t xml:space="preserve"> bija 434 tūkst., invaliditātes pensiju saņēmēji - 75,3 tūkst., apgādnieka zaudējuma pensijas saņēmēji - 15,5 tūkst., izdienas pensiju saņēmēji - 11 tūkst., bet atlīdzību saņēmēji bija 14 tūkst. Aizsardzības ministrijas uzskaitē 2021.gadā bija 1 981 izdienas pensij</w:t>
      </w:r>
      <w:r w:rsidR="00914431">
        <w:rPr>
          <w:rFonts w:ascii="Times New Roman" w:hAnsi="Times New Roman" w:cs="Times New Roman"/>
          <w:sz w:val="24"/>
          <w:szCs w:val="24"/>
        </w:rPr>
        <w:t>as</w:t>
      </w:r>
      <w:r w:rsidRPr="00274870">
        <w:rPr>
          <w:rFonts w:ascii="Times New Roman" w:hAnsi="Times New Roman" w:cs="Times New Roman"/>
          <w:sz w:val="24"/>
          <w:szCs w:val="24"/>
        </w:rPr>
        <w:t xml:space="preserve"> saņēmēj</w:t>
      </w:r>
      <w:r w:rsidR="00914431">
        <w:rPr>
          <w:rFonts w:ascii="Times New Roman" w:hAnsi="Times New Roman" w:cs="Times New Roman"/>
          <w:sz w:val="24"/>
          <w:szCs w:val="24"/>
        </w:rPr>
        <w:t>a</w:t>
      </w:r>
      <w:r w:rsidRPr="00274870">
        <w:rPr>
          <w:rFonts w:ascii="Times New Roman" w:hAnsi="Times New Roman" w:cs="Times New Roman"/>
          <w:sz w:val="24"/>
          <w:szCs w:val="24"/>
        </w:rPr>
        <w:t>.</w:t>
      </w:r>
    </w:p>
    <w:p w14:paraId="49801F91" w14:textId="77777777" w:rsidR="006238C5" w:rsidRDefault="006238C5" w:rsidP="006238C5">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Kopā izdevumi šī gada indeksācijai (no septembra līdz decembrim) - 104,3 milj. </w:t>
      </w:r>
      <w:r w:rsidRPr="004A36A8">
        <w:rPr>
          <w:rFonts w:ascii="Times New Roman" w:eastAsia="Times New Roman" w:hAnsi="Times New Roman" w:cs="Times New Roman"/>
          <w:i/>
          <w:sz w:val="24"/>
          <w:szCs w:val="24"/>
          <w:lang w:eastAsia="lv-LV"/>
        </w:rPr>
        <w:t>euro</w:t>
      </w:r>
      <w:r>
        <w:rPr>
          <w:rFonts w:ascii="Times New Roman" w:eastAsia="Times New Roman" w:hAnsi="Times New Roman" w:cs="Times New Roman"/>
          <w:sz w:val="24"/>
          <w:szCs w:val="24"/>
          <w:lang w:eastAsia="lv-LV"/>
        </w:rPr>
        <w:t xml:space="preserve"> (26,1 (septembrī) + 78,2 (oktobris-decembris)). </w:t>
      </w:r>
    </w:p>
    <w:p w14:paraId="0155BCFC" w14:textId="77777777" w:rsidR="00585476" w:rsidRDefault="00585476" w:rsidP="002959D4">
      <w:pPr>
        <w:rPr>
          <w:rFonts w:ascii="Times New Roman" w:hAnsi="Times New Roman" w:cs="Times New Roman"/>
          <w:sz w:val="24"/>
          <w:szCs w:val="24"/>
          <w:u w:val="single"/>
        </w:rPr>
      </w:pPr>
    </w:p>
    <w:p w14:paraId="0640AE69" w14:textId="0A9A845C" w:rsidR="006238C5" w:rsidRDefault="00797663" w:rsidP="006238C5">
      <w:pPr>
        <w:jc w:val="both"/>
        <w:rPr>
          <w:rFonts w:ascii="Times New Roman" w:hAnsi="Times New Roman" w:cs="Times New Roman"/>
          <w:b/>
          <w:sz w:val="24"/>
          <w:szCs w:val="24"/>
        </w:rPr>
      </w:pPr>
      <w:r>
        <w:rPr>
          <w:rFonts w:ascii="Times New Roman" w:hAnsi="Times New Roman" w:cs="Times New Roman"/>
          <w:b/>
          <w:sz w:val="24"/>
          <w:szCs w:val="24"/>
        </w:rPr>
        <w:t>Pabalsti</w:t>
      </w:r>
      <w:r w:rsidR="006238C5" w:rsidRPr="006B694F">
        <w:rPr>
          <w:rFonts w:ascii="Times New Roman" w:hAnsi="Times New Roman" w:cs="Times New Roman"/>
          <w:b/>
          <w:sz w:val="24"/>
          <w:szCs w:val="24"/>
        </w:rPr>
        <w:t xml:space="preserve"> senioriem un personām ar invaliditāti</w:t>
      </w:r>
    </w:p>
    <w:p w14:paraId="073B0CE4" w14:textId="4F277FE3" w:rsidR="005D7635" w:rsidRPr="000C5E35" w:rsidRDefault="00C774B1" w:rsidP="000C5E35">
      <w:pPr>
        <w:pStyle w:val="ListParagraph"/>
        <w:numPr>
          <w:ilvl w:val="4"/>
          <w:numId w:val="1"/>
        </w:numPr>
        <w:spacing w:after="0" w:line="240" w:lineRule="auto"/>
        <w:ind w:left="284"/>
        <w:jc w:val="both"/>
        <w:rPr>
          <w:rFonts w:ascii="Times New Roman" w:hAnsi="Times New Roman" w:cs="Times New Roman"/>
          <w:b/>
          <w:sz w:val="24"/>
          <w:szCs w:val="24"/>
        </w:rPr>
      </w:pPr>
      <w:r w:rsidRPr="000C5E35">
        <w:rPr>
          <w:rFonts w:ascii="Times New Roman" w:hAnsi="Times New Roman" w:cs="Times New Roman"/>
          <w:b/>
          <w:sz w:val="24"/>
          <w:szCs w:val="24"/>
        </w:rPr>
        <w:t>A</w:t>
      </w:r>
      <w:r w:rsidR="00274F5E" w:rsidRPr="000C5E35">
        <w:rPr>
          <w:rFonts w:ascii="Times New Roman" w:hAnsi="Times New Roman" w:cs="Times New Roman"/>
          <w:b/>
          <w:sz w:val="24"/>
          <w:szCs w:val="24"/>
        </w:rPr>
        <w:t xml:space="preserve">tbalsts </w:t>
      </w:r>
      <w:r w:rsidR="005D7635" w:rsidRPr="000C5E35">
        <w:rPr>
          <w:rFonts w:ascii="Times New Roman" w:hAnsi="Times New Roman" w:cs="Times New Roman"/>
          <w:b/>
          <w:sz w:val="24"/>
          <w:szCs w:val="24"/>
        </w:rPr>
        <w:t>senioriem, personām ar invaliditāti, apgādnieku zaudējušām personām</w:t>
      </w:r>
      <w:r w:rsidR="005D7635" w:rsidRPr="000C5E35">
        <w:rPr>
          <w:rFonts w:ascii="Times New Roman" w:hAnsi="Times New Roman" w:cs="Times New Roman"/>
          <w:sz w:val="24"/>
          <w:szCs w:val="24"/>
        </w:rPr>
        <w:t xml:space="preserve"> </w:t>
      </w:r>
      <w:r w:rsidR="005D7635" w:rsidRPr="000C5E35">
        <w:rPr>
          <w:rFonts w:ascii="Times New Roman" w:hAnsi="Times New Roman" w:cs="Times New Roman"/>
          <w:b/>
          <w:sz w:val="24"/>
          <w:szCs w:val="24"/>
        </w:rPr>
        <w:t xml:space="preserve"> no 01.11.2022. līdz 30.05.2023. (kopējais atbalsta periods – 7 mēneši):</w:t>
      </w:r>
    </w:p>
    <w:p w14:paraId="02A5308E" w14:textId="3102A50F" w:rsidR="005D7635" w:rsidRPr="005D7635" w:rsidRDefault="005D7635" w:rsidP="005D7635">
      <w:pPr>
        <w:pStyle w:val="ListParagraph"/>
        <w:numPr>
          <w:ilvl w:val="0"/>
          <w:numId w:val="48"/>
        </w:numPr>
        <w:spacing w:after="0"/>
        <w:jc w:val="both"/>
        <w:rPr>
          <w:rFonts w:ascii="Times New Roman" w:hAnsi="Times New Roman" w:cs="Times New Roman"/>
          <w:b/>
          <w:sz w:val="24"/>
          <w:szCs w:val="24"/>
        </w:rPr>
      </w:pPr>
      <w:r w:rsidRPr="005D7635">
        <w:rPr>
          <w:rFonts w:ascii="Times New Roman" w:hAnsi="Times New Roman" w:cs="Times New Roman"/>
          <w:b/>
          <w:sz w:val="24"/>
          <w:szCs w:val="24"/>
        </w:rPr>
        <w:t xml:space="preserve">30 euro mēnesī </w:t>
      </w:r>
      <w:r w:rsidRPr="0097401B">
        <w:rPr>
          <w:rFonts w:ascii="Times New Roman" w:hAnsi="Times New Roman" w:cs="Times New Roman"/>
          <w:sz w:val="24"/>
          <w:szCs w:val="24"/>
        </w:rPr>
        <w:t xml:space="preserve">tiem </w:t>
      </w:r>
      <w:r w:rsidRPr="005908B2">
        <w:rPr>
          <w:rFonts w:ascii="Times New Roman" w:hAnsi="Times New Roman" w:cs="Times New Roman"/>
          <w:sz w:val="24"/>
          <w:szCs w:val="24"/>
          <w:lang w:eastAsia="lv-LV"/>
        </w:rPr>
        <w:t>vecuma, invaliditātes vai apgādnieka zaudējuma pensijas saņēmēj</w:t>
      </w:r>
      <w:r>
        <w:rPr>
          <w:rFonts w:ascii="Times New Roman" w:hAnsi="Times New Roman" w:cs="Times New Roman"/>
          <w:sz w:val="24"/>
          <w:szCs w:val="24"/>
          <w:lang w:eastAsia="lv-LV"/>
        </w:rPr>
        <w:t xml:space="preserve">iem, kuru pensijas vai atlīdzības apmērs </w:t>
      </w:r>
      <w:r w:rsidRPr="0097401B">
        <w:rPr>
          <w:rFonts w:ascii="Times New Roman" w:hAnsi="Times New Roman" w:cs="Times New Roman"/>
          <w:b/>
          <w:sz w:val="24"/>
          <w:szCs w:val="24"/>
          <w:lang w:eastAsia="lv-LV"/>
        </w:rPr>
        <w:t xml:space="preserve">nepārsniedz 300 </w:t>
      </w:r>
      <w:r w:rsidRPr="00B734DB">
        <w:rPr>
          <w:rFonts w:ascii="Times New Roman" w:hAnsi="Times New Roman" w:cs="Times New Roman"/>
          <w:b/>
          <w:i/>
          <w:sz w:val="24"/>
          <w:szCs w:val="24"/>
          <w:lang w:eastAsia="lv-LV"/>
        </w:rPr>
        <w:t>euro</w:t>
      </w:r>
      <w:r w:rsidR="00464148">
        <w:rPr>
          <w:rStyle w:val="FootnoteReference"/>
          <w:rFonts w:ascii="Times New Roman" w:hAnsi="Times New Roman"/>
          <w:b/>
          <w:i/>
          <w:sz w:val="24"/>
          <w:szCs w:val="24"/>
          <w:lang w:eastAsia="lv-LV"/>
        </w:rPr>
        <w:footnoteReference w:id="37"/>
      </w:r>
      <w:r w:rsidRPr="0097401B">
        <w:rPr>
          <w:rFonts w:ascii="Times New Roman" w:hAnsi="Times New Roman" w:cs="Times New Roman"/>
          <w:b/>
          <w:sz w:val="24"/>
          <w:szCs w:val="24"/>
          <w:lang w:eastAsia="lv-LV"/>
        </w:rPr>
        <w:t xml:space="preserve"> mēnesī</w:t>
      </w:r>
      <w:r>
        <w:rPr>
          <w:rFonts w:ascii="Times New Roman" w:hAnsi="Times New Roman" w:cs="Times New Roman"/>
          <w:sz w:val="24"/>
          <w:szCs w:val="24"/>
          <w:lang w:eastAsia="lv-LV"/>
        </w:rPr>
        <w:t>;</w:t>
      </w:r>
    </w:p>
    <w:p w14:paraId="22207D70" w14:textId="61DF5583" w:rsidR="005D7635" w:rsidRPr="005D7635" w:rsidRDefault="005D7635" w:rsidP="005D7635">
      <w:pPr>
        <w:pStyle w:val="ListParagraph"/>
        <w:numPr>
          <w:ilvl w:val="0"/>
          <w:numId w:val="48"/>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20 euro mēnesī </w:t>
      </w:r>
      <w:r w:rsidRPr="005D7635">
        <w:rPr>
          <w:rFonts w:ascii="Times New Roman" w:hAnsi="Times New Roman" w:cs="Times New Roman"/>
          <w:b/>
          <w:sz w:val="24"/>
          <w:szCs w:val="24"/>
        </w:rPr>
        <w:t xml:space="preserve"> </w:t>
      </w:r>
      <w:r w:rsidRPr="0097401B">
        <w:rPr>
          <w:rFonts w:ascii="Times New Roman" w:hAnsi="Times New Roman" w:cs="Times New Roman"/>
          <w:sz w:val="24"/>
          <w:szCs w:val="24"/>
        </w:rPr>
        <w:t xml:space="preserve">tiem </w:t>
      </w:r>
      <w:r w:rsidRPr="0097401B">
        <w:rPr>
          <w:rFonts w:ascii="Times New Roman" w:hAnsi="Times New Roman" w:cs="Times New Roman"/>
          <w:sz w:val="24"/>
          <w:szCs w:val="24"/>
          <w:lang w:eastAsia="lv-LV"/>
        </w:rPr>
        <w:t>ve</w:t>
      </w:r>
      <w:r w:rsidRPr="005908B2">
        <w:rPr>
          <w:rFonts w:ascii="Times New Roman" w:hAnsi="Times New Roman" w:cs="Times New Roman"/>
          <w:sz w:val="24"/>
          <w:szCs w:val="24"/>
          <w:lang w:eastAsia="lv-LV"/>
        </w:rPr>
        <w:t>cuma, invaliditātes vai apgādnieka zaudējuma pensijas saņēmēj</w:t>
      </w:r>
      <w:r>
        <w:rPr>
          <w:rFonts w:ascii="Times New Roman" w:hAnsi="Times New Roman" w:cs="Times New Roman"/>
          <w:sz w:val="24"/>
          <w:szCs w:val="24"/>
          <w:lang w:eastAsia="lv-LV"/>
        </w:rPr>
        <w:t xml:space="preserve">iem, kuru pensijas vai atlīdzības apmērs ir robežās </w:t>
      </w:r>
      <w:r w:rsidRPr="0097401B">
        <w:rPr>
          <w:rFonts w:ascii="Times New Roman" w:hAnsi="Times New Roman" w:cs="Times New Roman"/>
          <w:b/>
          <w:sz w:val="24"/>
          <w:szCs w:val="24"/>
          <w:lang w:eastAsia="lv-LV"/>
        </w:rPr>
        <w:t xml:space="preserve">no 301 </w:t>
      </w:r>
      <w:r w:rsidRPr="00B734DB">
        <w:rPr>
          <w:rFonts w:ascii="Times New Roman" w:hAnsi="Times New Roman" w:cs="Times New Roman"/>
          <w:b/>
          <w:i/>
          <w:sz w:val="24"/>
          <w:szCs w:val="24"/>
          <w:lang w:eastAsia="lv-LV"/>
        </w:rPr>
        <w:t>euro</w:t>
      </w:r>
      <w:r w:rsidRPr="0097401B">
        <w:rPr>
          <w:rFonts w:ascii="Times New Roman" w:hAnsi="Times New Roman" w:cs="Times New Roman"/>
          <w:b/>
          <w:sz w:val="24"/>
          <w:szCs w:val="24"/>
          <w:lang w:eastAsia="lv-LV"/>
        </w:rPr>
        <w:t xml:space="preserve"> līdz 509 </w:t>
      </w:r>
      <w:r w:rsidRPr="00B734DB">
        <w:rPr>
          <w:rFonts w:ascii="Times New Roman" w:hAnsi="Times New Roman" w:cs="Times New Roman"/>
          <w:b/>
          <w:i/>
          <w:sz w:val="24"/>
          <w:szCs w:val="24"/>
          <w:lang w:eastAsia="lv-LV"/>
        </w:rPr>
        <w:t>euro</w:t>
      </w:r>
      <w:r w:rsidR="00464148">
        <w:rPr>
          <w:rStyle w:val="FootnoteReference"/>
          <w:rFonts w:ascii="Times New Roman" w:hAnsi="Times New Roman"/>
          <w:b/>
          <w:i/>
          <w:sz w:val="24"/>
          <w:szCs w:val="24"/>
          <w:lang w:eastAsia="lv-LV"/>
        </w:rPr>
        <w:footnoteReference w:id="38"/>
      </w:r>
      <w:r>
        <w:rPr>
          <w:rFonts w:ascii="Times New Roman" w:hAnsi="Times New Roman" w:cs="Times New Roman"/>
          <w:sz w:val="24"/>
          <w:szCs w:val="24"/>
          <w:lang w:eastAsia="lv-LV"/>
        </w:rPr>
        <w:t>;</w:t>
      </w:r>
    </w:p>
    <w:p w14:paraId="1E5FB229" w14:textId="0CBE706F" w:rsidR="005D7635" w:rsidRPr="005D7635" w:rsidRDefault="005D7635" w:rsidP="005D7635">
      <w:pPr>
        <w:pStyle w:val="ListParagraph"/>
        <w:numPr>
          <w:ilvl w:val="0"/>
          <w:numId w:val="48"/>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10 euro mēnesī </w:t>
      </w:r>
      <w:r w:rsidRPr="0097401B">
        <w:rPr>
          <w:rFonts w:ascii="Times New Roman" w:hAnsi="Times New Roman" w:cs="Times New Roman"/>
          <w:sz w:val="24"/>
          <w:szCs w:val="24"/>
        </w:rPr>
        <w:t xml:space="preserve">tiem </w:t>
      </w:r>
      <w:r w:rsidRPr="005908B2">
        <w:rPr>
          <w:rFonts w:ascii="Times New Roman" w:hAnsi="Times New Roman" w:cs="Times New Roman"/>
          <w:sz w:val="24"/>
          <w:szCs w:val="24"/>
          <w:lang w:eastAsia="lv-LV"/>
        </w:rPr>
        <w:t>vecuma, invaliditātes vai apgādnieka zaudējuma pensijas saņēmēj</w:t>
      </w:r>
      <w:r>
        <w:rPr>
          <w:rFonts w:ascii="Times New Roman" w:hAnsi="Times New Roman" w:cs="Times New Roman"/>
          <w:sz w:val="24"/>
          <w:szCs w:val="24"/>
          <w:lang w:eastAsia="lv-LV"/>
        </w:rPr>
        <w:t xml:space="preserve">iem, kuru pensijas vai atlīdzības apmērs ir robežās </w:t>
      </w:r>
      <w:r w:rsidRPr="0097401B">
        <w:rPr>
          <w:rFonts w:ascii="Times New Roman" w:hAnsi="Times New Roman" w:cs="Times New Roman"/>
          <w:b/>
          <w:sz w:val="24"/>
          <w:szCs w:val="24"/>
          <w:lang w:eastAsia="lv-LV"/>
        </w:rPr>
        <w:t xml:space="preserve">no 510 </w:t>
      </w:r>
      <w:r w:rsidRPr="00B734DB">
        <w:rPr>
          <w:rFonts w:ascii="Times New Roman" w:hAnsi="Times New Roman" w:cs="Times New Roman"/>
          <w:b/>
          <w:i/>
          <w:sz w:val="24"/>
          <w:szCs w:val="24"/>
          <w:lang w:eastAsia="lv-LV"/>
        </w:rPr>
        <w:t>euro</w:t>
      </w:r>
      <w:r w:rsidRPr="0097401B">
        <w:rPr>
          <w:rFonts w:ascii="Times New Roman" w:hAnsi="Times New Roman" w:cs="Times New Roman"/>
          <w:b/>
          <w:sz w:val="24"/>
          <w:szCs w:val="24"/>
          <w:lang w:eastAsia="lv-LV"/>
        </w:rPr>
        <w:t xml:space="preserve"> līdz 603</w:t>
      </w:r>
      <w:r w:rsidR="0097401B" w:rsidRPr="0097401B">
        <w:rPr>
          <w:rStyle w:val="FootnoteReference"/>
          <w:rFonts w:ascii="Times New Roman" w:hAnsi="Times New Roman"/>
          <w:b/>
          <w:sz w:val="24"/>
          <w:szCs w:val="24"/>
          <w:lang w:eastAsia="lv-LV"/>
        </w:rPr>
        <w:footnoteReference w:id="39"/>
      </w:r>
      <w:r w:rsidRPr="0097401B">
        <w:rPr>
          <w:rFonts w:ascii="Times New Roman" w:hAnsi="Times New Roman" w:cs="Times New Roman"/>
          <w:b/>
          <w:sz w:val="24"/>
          <w:szCs w:val="24"/>
          <w:lang w:eastAsia="lv-LV"/>
        </w:rPr>
        <w:t xml:space="preserve"> </w:t>
      </w:r>
      <w:r w:rsidRPr="00B734DB">
        <w:rPr>
          <w:rFonts w:ascii="Times New Roman" w:hAnsi="Times New Roman" w:cs="Times New Roman"/>
          <w:b/>
          <w:i/>
          <w:sz w:val="24"/>
          <w:szCs w:val="24"/>
          <w:lang w:eastAsia="lv-LV"/>
        </w:rPr>
        <w:t>euro</w:t>
      </w:r>
      <w:r w:rsidRPr="0097401B">
        <w:rPr>
          <w:rFonts w:ascii="Times New Roman" w:hAnsi="Times New Roman" w:cs="Times New Roman"/>
          <w:b/>
          <w:sz w:val="24"/>
          <w:szCs w:val="24"/>
          <w:lang w:eastAsia="lv-LV"/>
        </w:rPr>
        <w:t xml:space="preserve"> mēnesī</w:t>
      </w:r>
      <w:r>
        <w:rPr>
          <w:rFonts w:ascii="Times New Roman" w:hAnsi="Times New Roman" w:cs="Times New Roman"/>
          <w:sz w:val="24"/>
          <w:szCs w:val="24"/>
          <w:lang w:eastAsia="lv-LV"/>
        </w:rPr>
        <w:t>.</w:t>
      </w:r>
    </w:p>
    <w:p w14:paraId="136396FA" w14:textId="77777777" w:rsidR="00C774B1" w:rsidRDefault="00C774B1" w:rsidP="005D7635">
      <w:pPr>
        <w:spacing w:after="0" w:line="240" w:lineRule="auto"/>
        <w:ind w:firstLine="720"/>
        <w:jc w:val="both"/>
        <w:rPr>
          <w:rFonts w:ascii="Times New Roman" w:hAnsi="Times New Roman" w:cs="Times New Roman"/>
          <w:sz w:val="24"/>
          <w:szCs w:val="24"/>
        </w:rPr>
      </w:pPr>
    </w:p>
    <w:p w14:paraId="2301FACE" w14:textId="54B6BB06" w:rsidR="00274F5E" w:rsidRDefault="005D7635" w:rsidP="005D7635">
      <w:pPr>
        <w:spacing w:after="0" w:line="240" w:lineRule="auto"/>
        <w:ind w:firstLine="72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Šis atbalsts piešķirams tai </w:t>
      </w:r>
      <w:r w:rsidR="00274F5E" w:rsidRPr="003260A2">
        <w:rPr>
          <w:rFonts w:ascii="Times New Roman" w:hAnsi="Times New Roman" w:cs="Times New Roman"/>
          <w:sz w:val="24"/>
          <w:szCs w:val="24"/>
        </w:rPr>
        <w:t>Latvijā dzīvojošai personai, kura atbalsta izmaksas periodā ir</w:t>
      </w:r>
      <w:r w:rsidR="00274F5E" w:rsidRPr="003260A2">
        <w:rPr>
          <w:rFonts w:ascii="Times New Roman" w:eastAsia="Times New Roman" w:hAnsi="Times New Roman" w:cs="Times New Roman"/>
          <w:sz w:val="24"/>
          <w:szCs w:val="24"/>
          <w:lang w:eastAsia="lv-LV"/>
        </w:rPr>
        <w:t xml:space="preserve"> </w:t>
      </w:r>
      <w:r w:rsidRPr="005908B2">
        <w:rPr>
          <w:rFonts w:ascii="Times New Roman" w:hAnsi="Times New Roman" w:cs="Times New Roman"/>
          <w:sz w:val="24"/>
          <w:szCs w:val="24"/>
          <w:lang w:eastAsia="lv-LV"/>
        </w:rPr>
        <w:t xml:space="preserve">Latvijas Republikā piešķirtās vecuma, invaliditātes vai apgādnieka zaudējuma pensijas saņēmēja, tostarp priekšlaicīgi un avansā piešķirtās pensijas saņēmēja, speciālās valsts pensijas saņēmēja, izdienas pensijas saņēmēja, kura sasniegusi vecuma pensijas piešķiršanai nepieciešamo vecumu, bet kurai vecuma pensija nav piešķirta, izdienas pensijas saņēmēja, kura nav sasniegusi vecuma pensijas piešķiršanai nepieciešamo vecumu un kurai ir noteikta invaliditāte, kā arī atlīdzības par darbspēju zaudējumu vai atlīdzības par apgādnieka zaudējumu saņēmēja, </w:t>
      </w:r>
      <w:r w:rsidRPr="005908B2">
        <w:rPr>
          <w:rFonts w:ascii="Times New Roman" w:hAnsi="Times New Roman" w:cs="Times New Roman"/>
          <w:sz w:val="24"/>
          <w:szCs w:val="24"/>
        </w:rPr>
        <w:t>valsts sociālā nodrošinājuma pabalsta saņēmējas (gan senioriem, gan invaliditātes gadījumā, gan apgādnieka zaudējuma gadījumā)</w:t>
      </w:r>
      <w:r>
        <w:rPr>
          <w:rFonts w:ascii="Times New Roman" w:eastAsia="Times New Roman" w:hAnsi="Times New Roman" w:cs="Times New Roman"/>
          <w:sz w:val="24"/>
          <w:szCs w:val="24"/>
          <w:lang w:eastAsia="lv-LV"/>
        </w:rPr>
        <w:t>.</w:t>
      </w:r>
    </w:p>
    <w:p w14:paraId="00D9D4BC" w14:textId="3C18FBE3" w:rsidR="007D11FF" w:rsidRPr="007D11FF" w:rsidRDefault="005D7635" w:rsidP="000C5E35">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Apkures sezonai paredzētais ikmēneša atbalst</w:t>
      </w:r>
      <w:r w:rsidR="0097401B">
        <w:rPr>
          <w:rFonts w:ascii="Times New Roman" w:eastAsia="Times New Roman" w:hAnsi="Times New Roman" w:cs="Times New Roman"/>
          <w:sz w:val="24"/>
          <w:szCs w:val="24"/>
          <w:lang w:eastAsia="lv-LV"/>
        </w:rPr>
        <w:t xml:space="preserve">a piešķiršanu nodrošina Valsts sociālās apdrošināšanas aģentūra. </w:t>
      </w:r>
      <w:r w:rsidR="007D11FF" w:rsidRPr="007D11FF">
        <w:rPr>
          <w:rFonts w:ascii="Times New Roman" w:hAnsi="Times New Roman" w:cs="Times New Roman"/>
          <w:sz w:val="24"/>
          <w:szCs w:val="24"/>
        </w:rPr>
        <w:t xml:space="preserve">VSAA pabalsta ieviešanai nepieciešami 2 mēneši. Provizoriskais darbietilpības novērtējums ārpakalpojumu darbiem (sistēmanalīze, programmēšana, testēšana), lai ieviestu jaunu pakalpojuma veidu, noteiktu saņēmēju grupu un izstrādātu periodu izveidošanu un pakalpojumu apmēru vērtēšanu, veido 80 cilvēkdienas, kam nepieciešami izdevumi </w:t>
      </w:r>
      <w:r w:rsidR="007D11FF" w:rsidRPr="007D11FF">
        <w:rPr>
          <w:rFonts w:ascii="Times New Roman" w:hAnsi="Times New Roman" w:cs="Times New Roman"/>
          <w:b/>
          <w:sz w:val="24"/>
          <w:szCs w:val="24"/>
        </w:rPr>
        <w:t>37 752</w:t>
      </w:r>
      <w:r w:rsidR="007D11FF" w:rsidRPr="007D11FF">
        <w:rPr>
          <w:rFonts w:ascii="Times New Roman" w:hAnsi="Times New Roman" w:cs="Times New Roman"/>
          <w:sz w:val="24"/>
          <w:szCs w:val="24"/>
        </w:rPr>
        <w:t xml:space="preserve"> </w:t>
      </w:r>
      <w:r w:rsidR="00521087">
        <w:rPr>
          <w:rFonts w:ascii="Times New Roman" w:hAnsi="Times New Roman" w:cs="Times New Roman"/>
          <w:sz w:val="24"/>
          <w:szCs w:val="24"/>
        </w:rPr>
        <w:t xml:space="preserve">euro </w:t>
      </w:r>
      <w:r w:rsidR="007D11FF" w:rsidRPr="007D11FF">
        <w:rPr>
          <w:rFonts w:ascii="Times New Roman" w:hAnsi="Times New Roman" w:cs="Times New Roman"/>
          <w:sz w:val="24"/>
          <w:szCs w:val="24"/>
        </w:rPr>
        <w:t>(471,90*80) apmērā.</w:t>
      </w:r>
    </w:p>
    <w:p w14:paraId="0131B372" w14:textId="11EB58E8" w:rsidR="005D7635" w:rsidRDefault="0097401B" w:rsidP="005D7635">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Atbalsta saņemšanai nepieciešamais pensijas un atlīdzības apmērs katram saņēmējam tiek vērtēts tikai vienu reizi pirms pirmā atbalsta maksājuma veikšanas, ņemot vērā šo ienākumu apmēra stabilitāti un iespēju novērtēt pensiju indeksācijas ietekmi uz apmēra izmaiņām atbilstoši g</w:t>
      </w:r>
      <w:r>
        <w:rPr>
          <w:rFonts w:ascii="Times New Roman" w:hAnsi="Times New Roman"/>
          <w:sz w:val="24"/>
          <w:szCs w:val="24"/>
          <w:shd w:val="clear" w:color="auto" w:fill="FFFFFF"/>
        </w:rPr>
        <w:t>rozījumiem likumā “Par valsts pensijām”, kas paredz ātrākā pensiju indeksācijas uzsākšanu 2022.gadā.</w:t>
      </w:r>
    </w:p>
    <w:p w14:paraId="3D09A796" w14:textId="3C27312B" w:rsidR="00274F5E" w:rsidRDefault="009F09A2" w:rsidP="007D11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Šī atbalsta nodrošināšanai papildu </w:t>
      </w:r>
      <w:r w:rsidRPr="007D11FF">
        <w:rPr>
          <w:rFonts w:ascii="Times New Roman" w:hAnsi="Times New Roman" w:cs="Times New Roman"/>
          <w:sz w:val="24"/>
          <w:szCs w:val="24"/>
        </w:rPr>
        <w:t xml:space="preserve">nepieciešamais finansējums ir </w:t>
      </w:r>
      <w:r w:rsidR="007D11FF" w:rsidRPr="007D11FF">
        <w:rPr>
          <w:rFonts w:ascii="Times New Roman" w:hAnsi="Times New Roman" w:cs="Times New Roman"/>
          <w:sz w:val="24"/>
          <w:szCs w:val="24"/>
        </w:rPr>
        <w:t>81,2 milj.</w:t>
      </w:r>
      <w:r w:rsidRPr="007D11FF">
        <w:rPr>
          <w:rFonts w:ascii="Times New Roman" w:hAnsi="Times New Roman" w:cs="Times New Roman"/>
          <w:i/>
          <w:sz w:val="24"/>
          <w:szCs w:val="24"/>
        </w:rPr>
        <w:t>euro</w:t>
      </w:r>
      <w:r w:rsidRPr="007D11FF">
        <w:rPr>
          <w:rFonts w:ascii="Times New Roman" w:hAnsi="Times New Roman" w:cs="Times New Roman"/>
          <w:sz w:val="24"/>
          <w:szCs w:val="24"/>
        </w:rPr>
        <w:t xml:space="preserve"> visā atbalsta sniegšanas periodā, tai skaitā, 2022.gadā </w:t>
      </w:r>
      <w:r w:rsidR="007D11FF" w:rsidRPr="007D11FF">
        <w:rPr>
          <w:rFonts w:ascii="Times New Roman" w:hAnsi="Times New Roman" w:cs="Times New Roman"/>
          <w:sz w:val="24"/>
          <w:szCs w:val="24"/>
        </w:rPr>
        <w:t>–</w:t>
      </w:r>
      <w:r w:rsidRPr="007D11FF">
        <w:rPr>
          <w:rFonts w:ascii="Times New Roman" w:hAnsi="Times New Roman" w:cs="Times New Roman"/>
          <w:sz w:val="24"/>
          <w:szCs w:val="24"/>
        </w:rPr>
        <w:t xml:space="preserve"> </w:t>
      </w:r>
      <w:r w:rsidR="007D11FF" w:rsidRPr="007D11FF">
        <w:rPr>
          <w:rFonts w:ascii="Times New Roman" w:hAnsi="Times New Roman" w:cs="Times New Roman"/>
          <w:sz w:val="24"/>
          <w:szCs w:val="24"/>
        </w:rPr>
        <w:t xml:space="preserve">23,2 milj. </w:t>
      </w:r>
      <w:r w:rsidRPr="000C5E35">
        <w:rPr>
          <w:rFonts w:ascii="Times New Roman" w:hAnsi="Times New Roman" w:cs="Times New Roman"/>
          <w:i/>
          <w:sz w:val="24"/>
          <w:szCs w:val="24"/>
        </w:rPr>
        <w:t>euro</w:t>
      </w:r>
      <w:r w:rsidR="005751B6">
        <w:rPr>
          <w:rFonts w:ascii="Times New Roman" w:hAnsi="Times New Roman" w:cs="Times New Roman"/>
          <w:sz w:val="24"/>
          <w:szCs w:val="24"/>
        </w:rPr>
        <w:t xml:space="preserve"> atbalstam un </w:t>
      </w:r>
      <w:r w:rsidR="005751B6">
        <w:rPr>
          <w:rFonts w:ascii="Times New Roman" w:hAnsi="Times New Roman" w:cs="Times New Roman"/>
          <w:sz w:val="24"/>
          <w:szCs w:val="24"/>
        </w:rPr>
        <w:lastRenderedPageBreak/>
        <w:t xml:space="preserve">37,7 tūkst. </w:t>
      </w:r>
      <w:r w:rsidR="005751B6" w:rsidRPr="000C5E35">
        <w:rPr>
          <w:rFonts w:ascii="Times New Roman" w:hAnsi="Times New Roman" w:cs="Times New Roman"/>
          <w:i/>
          <w:sz w:val="24"/>
          <w:szCs w:val="24"/>
        </w:rPr>
        <w:t>euro</w:t>
      </w:r>
      <w:r w:rsidR="005751B6">
        <w:rPr>
          <w:rFonts w:ascii="Times New Roman" w:hAnsi="Times New Roman" w:cs="Times New Roman"/>
          <w:sz w:val="24"/>
          <w:szCs w:val="24"/>
        </w:rPr>
        <w:t xml:space="preserve"> administrēšanai</w:t>
      </w:r>
      <w:r w:rsidRPr="007D11FF">
        <w:rPr>
          <w:rFonts w:ascii="Times New Roman" w:hAnsi="Times New Roman" w:cs="Times New Roman"/>
          <w:sz w:val="24"/>
          <w:szCs w:val="24"/>
        </w:rPr>
        <w:t xml:space="preserve">, 2023.gadā </w:t>
      </w:r>
      <w:r w:rsidR="007D11FF" w:rsidRPr="007D11FF">
        <w:rPr>
          <w:rFonts w:ascii="Times New Roman" w:hAnsi="Times New Roman" w:cs="Times New Roman"/>
          <w:sz w:val="24"/>
          <w:szCs w:val="24"/>
        </w:rPr>
        <w:t>–</w:t>
      </w:r>
      <w:r w:rsidRPr="007D11FF">
        <w:rPr>
          <w:rFonts w:ascii="Times New Roman" w:hAnsi="Times New Roman" w:cs="Times New Roman"/>
          <w:sz w:val="24"/>
          <w:szCs w:val="24"/>
        </w:rPr>
        <w:t xml:space="preserve"> </w:t>
      </w:r>
      <w:r w:rsidR="007D11FF" w:rsidRPr="007D11FF">
        <w:rPr>
          <w:rFonts w:ascii="Times New Roman" w:hAnsi="Times New Roman" w:cs="Times New Roman"/>
          <w:sz w:val="24"/>
          <w:szCs w:val="24"/>
        </w:rPr>
        <w:t xml:space="preserve">58 milj. </w:t>
      </w:r>
      <w:r w:rsidRPr="000C5E35">
        <w:rPr>
          <w:rFonts w:ascii="Times New Roman" w:hAnsi="Times New Roman" w:cs="Times New Roman"/>
          <w:i/>
          <w:sz w:val="24"/>
          <w:szCs w:val="24"/>
        </w:rPr>
        <w:t>euro</w:t>
      </w:r>
      <w:r w:rsidR="005751B6">
        <w:rPr>
          <w:rFonts w:ascii="Times New Roman" w:hAnsi="Times New Roman" w:cs="Times New Roman"/>
          <w:sz w:val="24"/>
          <w:szCs w:val="24"/>
        </w:rPr>
        <w:t xml:space="preserve"> atbalstam</w:t>
      </w:r>
      <w:r w:rsidRPr="007D11FF">
        <w:rPr>
          <w:rFonts w:ascii="Times New Roman" w:hAnsi="Times New Roman" w:cs="Times New Roman"/>
          <w:sz w:val="24"/>
          <w:szCs w:val="24"/>
        </w:rPr>
        <w:t>.</w:t>
      </w:r>
      <w:r w:rsidR="007D11FF">
        <w:rPr>
          <w:rFonts w:ascii="Times New Roman" w:hAnsi="Times New Roman" w:cs="Times New Roman"/>
          <w:sz w:val="24"/>
          <w:szCs w:val="24"/>
        </w:rPr>
        <w:t xml:space="preserve"> Informāciju par prognozēto atbalsta saņēmēju skaitu skat. zemāk:</w:t>
      </w:r>
    </w:p>
    <w:p w14:paraId="62555D6F" w14:textId="7FEE5C63" w:rsidR="00464148" w:rsidRDefault="00464148" w:rsidP="008C08C4">
      <w:pPr>
        <w:spacing w:after="0" w:line="240" w:lineRule="auto"/>
        <w:ind w:firstLine="360"/>
        <w:jc w:val="both"/>
        <w:rPr>
          <w:rFonts w:ascii="Times New Roman" w:hAnsi="Times New Roman" w:cs="Times New Roman"/>
          <w:sz w:val="24"/>
          <w:szCs w:val="24"/>
        </w:rPr>
      </w:pPr>
    </w:p>
    <w:p w14:paraId="5E56DC7A" w14:textId="3962159C" w:rsidR="00464148" w:rsidRPr="005751B6" w:rsidRDefault="00B15931" w:rsidP="00464148">
      <w:pPr>
        <w:spacing w:after="0" w:line="240" w:lineRule="auto"/>
        <w:jc w:val="both"/>
        <w:rPr>
          <w:rFonts w:ascii="Times New Roman" w:hAnsi="Times New Roman" w:cs="Times New Roman"/>
          <w:sz w:val="24"/>
          <w:szCs w:val="24"/>
        </w:rPr>
      </w:pPr>
      <w:r w:rsidRPr="000C5E35">
        <w:rPr>
          <w:rFonts w:ascii="Times New Roman" w:hAnsi="Times New Roman" w:cs="Times New Roman"/>
          <w:sz w:val="24"/>
          <w:szCs w:val="24"/>
        </w:rPr>
        <w:t>7.t</w:t>
      </w:r>
      <w:r w:rsidR="00C774B1" w:rsidRPr="00F96409">
        <w:rPr>
          <w:rFonts w:ascii="Times New Roman" w:hAnsi="Times New Roman" w:cs="Times New Roman"/>
          <w:sz w:val="24"/>
          <w:szCs w:val="24"/>
        </w:rPr>
        <w:t>abula.</w:t>
      </w:r>
    </w:p>
    <w:tbl>
      <w:tblPr>
        <w:tblStyle w:val="TableGrid"/>
        <w:tblW w:w="0" w:type="auto"/>
        <w:tblLook w:val="04A0" w:firstRow="1" w:lastRow="0" w:firstColumn="1" w:lastColumn="0" w:noHBand="0" w:noVBand="1"/>
      </w:tblPr>
      <w:tblGrid>
        <w:gridCol w:w="1375"/>
        <w:gridCol w:w="1464"/>
        <w:gridCol w:w="1843"/>
        <w:gridCol w:w="1922"/>
        <w:gridCol w:w="1692"/>
      </w:tblGrid>
      <w:tr w:rsidR="00464148" w:rsidRPr="005751B6" w14:paraId="51E0E809" w14:textId="77777777" w:rsidTr="000C5E35">
        <w:tc>
          <w:tcPr>
            <w:tcW w:w="1477" w:type="dxa"/>
            <w:vMerge w:val="restart"/>
            <w:vAlign w:val="center"/>
          </w:tcPr>
          <w:p w14:paraId="45551474" w14:textId="02E3DBF7" w:rsidR="00464148" w:rsidRPr="005751B6" w:rsidRDefault="00C774B1" w:rsidP="000C5E35">
            <w:pPr>
              <w:jc w:val="center"/>
              <w:rPr>
                <w:rFonts w:ascii="Times New Roman" w:hAnsi="Times New Roman"/>
                <w:sz w:val="20"/>
                <w:szCs w:val="20"/>
              </w:rPr>
            </w:pPr>
            <w:bookmarkStart w:id="3" w:name="_Hlk106373728"/>
            <w:r>
              <w:rPr>
                <w:rFonts w:ascii="Times New Roman" w:hAnsi="Times New Roman"/>
                <w:sz w:val="20"/>
                <w:szCs w:val="20"/>
              </w:rPr>
              <w:t>P</w:t>
            </w:r>
            <w:r w:rsidR="00464148" w:rsidRPr="005751B6">
              <w:rPr>
                <w:rFonts w:ascii="Times New Roman" w:hAnsi="Times New Roman"/>
                <w:sz w:val="20"/>
                <w:szCs w:val="20"/>
              </w:rPr>
              <w:t xml:space="preserve">abalsts, </w:t>
            </w:r>
            <w:r w:rsidR="00464148" w:rsidRPr="005751B6">
              <w:rPr>
                <w:rFonts w:ascii="Times New Roman" w:hAnsi="Times New Roman"/>
                <w:i/>
                <w:sz w:val="20"/>
                <w:szCs w:val="20"/>
              </w:rPr>
              <w:t>euro</w:t>
            </w:r>
            <w:r w:rsidR="00464148" w:rsidRPr="005751B6">
              <w:rPr>
                <w:rFonts w:ascii="Times New Roman" w:hAnsi="Times New Roman"/>
                <w:sz w:val="20"/>
                <w:szCs w:val="20"/>
              </w:rPr>
              <w:t xml:space="preserve"> mēnesī</w:t>
            </w:r>
          </w:p>
        </w:tc>
        <w:tc>
          <w:tcPr>
            <w:tcW w:w="1601" w:type="dxa"/>
            <w:vMerge w:val="restart"/>
            <w:vAlign w:val="center"/>
          </w:tcPr>
          <w:p w14:paraId="6BFE81B3" w14:textId="77777777" w:rsidR="00464148" w:rsidRPr="005751B6" w:rsidRDefault="00464148" w:rsidP="000C5E35">
            <w:pPr>
              <w:jc w:val="center"/>
              <w:rPr>
                <w:rFonts w:ascii="Times New Roman" w:hAnsi="Times New Roman"/>
                <w:sz w:val="20"/>
                <w:szCs w:val="20"/>
              </w:rPr>
            </w:pPr>
            <w:r w:rsidRPr="005751B6">
              <w:rPr>
                <w:rFonts w:ascii="Times New Roman" w:hAnsi="Times New Roman"/>
                <w:sz w:val="20"/>
                <w:szCs w:val="20"/>
              </w:rPr>
              <w:t>Personu skaits</w:t>
            </w:r>
          </w:p>
        </w:tc>
        <w:tc>
          <w:tcPr>
            <w:tcW w:w="4126" w:type="dxa"/>
            <w:gridSpan w:val="2"/>
            <w:vAlign w:val="center"/>
          </w:tcPr>
          <w:p w14:paraId="1DC2AEE2" w14:textId="77777777" w:rsidR="00464148" w:rsidRPr="005751B6" w:rsidRDefault="00464148" w:rsidP="00E40EAD">
            <w:pPr>
              <w:jc w:val="center"/>
              <w:rPr>
                <w:rFonts w:ascii="Times New Roman" w:hAnsi="Times New Roman"/>
                <w:sz w:val="20"/>
                <w:szCs w:val="20"/>
              </w:rPr>
            </w:pPr>
            <w:r w:rsidRPr="005751B6">
              <w:rPr>
                <w:rFonts w:ascii="Times New Roman" w:hAnsi="Times New Roman"/>
                <w:sz w:val="20"/>
                <w:szCs w:val="20"/>
              </w:rPr>
              <w:t>Izdevumi (</w:t>
            </w:r>
            <w:r w:rsidRPr="005751B6">
              <w:rPr>
                <w:rFonts w:ascii="Times New Roman" w:hAnsi="Times New Roman"/>
                <w:i/>
                <w:sz w:val="20"/>
                <w:szCs w:val="20"/>
              </w:rPr>
              <w:t>euro</w:t>
            </w:r>
            <w:r w:rsidRPr="005751B6">
              <w:rPr>
                <w:rFonts w:ascii="Times New Roman" w:hAnsi="Times New Roman"/>
                <w:sz w:val="20"/>
                <w:szCs w:val="20"/>
              </w:rPr>
              <w:t>)</w:t>
            </w:r>
          </w:p>
        </w:tc>
        <w:tc>
          <w:tcPr>
            <w:tcW w:w="1857" w:type="dxa"/>
            <w:vMerge w:val="restart"/>
            <w:vAlign w:val="center"/>
          </w:tcPr>
          <w:p w14:paraId="50BBDB82" w14:textId="77777777" w:rsidR="00464148" w:rsidRPr="005751B6" w:rsidRDefault="00464148" w:rsidP="000C5E35">
            <w:pPr>
              <w:jc w:val="center"/>
              <w:rPr>
                <w:rFonts w:ascii="Times New Roman" w:hAnsi="Times New Roman"/>
                <w:sz w:val="20"/>
                <w:szCs w:val="20"/>
              </w:rPr>
            </w:pPr>
            <w:r w:rsidRPr="005751B6">
              <w:rPr>
                <w:rFonts w:ascii="Times New Roman" w:hAnsi="Times New Roman"/>
                <w:sz w:val="20"/>
                <w:szCs w:val="20"/>
              </w:rPr>
              <w:t>Kopā izdevumi (</w:t>
            </w:r>
            <w:r w:rsidRPr="005751B6">
              <w:rPr>
                <w:rFonts w:ascii="Times New Roman" w:hAnsi="Times New Roman"/>
                <w:i/>
                <w:sz w:val="20"/>
                <w:szCs w:val="20"/>
              </w:rPr>
              <w:t>euro</w:t>
            </w:r>
            <w:r w:rsidRPr="005751B6">
              <w:rPr>
                <w:rFonts w:ascii="Times New Roman" w:hAnsi="Times New Roman"/>
                <w:sz w:val="20"/>
                <w:szCs w:val="20"/>
              </w:rPr>
              <w:t>)</w:t>
            </w:r>
          </w:p>
        </w:tc>
      </w:tr>
      <w:tr w:rsidR="00464148" w:rsidRPr="005751B6" w14:paraId="567E4FFB" w14:textId="77777777" w:rsidTr="000C5E35">
        <w:tc>
          <w:tcPr>
            <w:tcW w:w="1477" w:type="dxa"/>
            <w:vMerge/>
          </w:tcPr>
          <w:p w14:paraId="3C328AFE" w14:textId="77777777" w:rsidR="00464148" w:rsidRPr="000C5E35" w:rsidRDefault="00464148" w:rsidP="00521087">
            <w:pPr>
              <w:rPr>
                <w:rFonts w:ascii="Times New Roman" w:hAnsi="Times New Roman"/>
                <w:sz w:val="20"/>
                <w:szCs w:val="20"/>
              </w:rPr>
            </w:pPr>
          </w:p>
        </w:tc>
        <w:tc>
          <w:tcPr>
            <w:tcW w:w="1601" w:type="dxa"/>
            <w:vMerge/>
          </w:tcPr>
          <w:p w14:paraId="7A0B176C" w14:textId="77777777" w:rsidR="00464148" w:rsidRPr="000C5E35" w:rsidRDefault="00464148" w:rsidP="00521087">
            <w:pPr>
              <w:rPr>
                <w:rFonts w:ascii="Times New Roman" w:hAnsi="Times New Roman"/>
                <w:sz w:val="20"/>
                <w:szCs w:val="20"/>
              </w:rPr>
            </w:pPr>
          </w:p>
        </w:tc>
        <w:tc>
          <w:tcPr>
            <w:tcW w:w="2005" w:type="dxa"/>
            <w:vAlign w:val="center"/>
          </w:tcPr>
          <w:p w14:paraId="168E92AF" w14:textId="77777777" w:rsidR="00464148" w:rsidRPr="000C5E35" w:rsidRDefault="00464148" w:rsidP="000C5E35">
            <w:pPr>
              <w:jc w:val="center"/>
              <w:rPr>
                <w:rFonts w:ascii="Times New Roman" w:hAnsi="Times New Roman"/>
                <w:sz w:val="20"/>
                <w:szCs w:val="20"/>
              </w:rPr>
            </w:pPr>
            <w:r w:rsidRPr="000C5E35">
              <w:rPr>
                <w:rFonts w:ascii="Times New Roman" w:hAnsi="Times New Roman"/>
                <w:sz w:val="20"/>
                <w:szCs w:val="20"/>
              </w:rPr>
              <w:t>2022 gada novembris-decembris</w:t>
            </w:r>
          </w:p>
        </w:tc>
        <w:tc>
          <w:tcPr>
            <w:tcW w:w="2121" w:type="dxa"/>
            <w:vAlign w:val="center"/>
          </w:tcPr>
          <w:p w14:paraId="769DEE35" w14:textId="77777777" w:rsidR="00464148" w:rsidRPr="000C5E35" w:rsidRDefault="00464148" w:rsidP="000C5E35">
            <w:pPr>
              <w:jc w:val="center"/>
              <w:rPr>
                <w:rFonts w:ascii="Times New Roman" w:hAnsi="Times New Roman"/>
                <w:sz w:val="20"/>
                <w:szCs w:val="20"/>
              </w:rPr>
            </w:pPr>
            <w:r w:rsidRPr="000C5E35">
              <w:rPr>
                <w:rFonts w:ascii="Times New Roman" w:hAnsi="Times New Roman"/>
                <w:sz w:val="20"/>
                <w:szCs w:val="20"/>
              </w:rPr>
              <w:t>2023.gada janvāris-maijs</w:t>
            </w:r>
          </w:p>
        </w:tc>
        <w:tc>
          <w:tcPr>
            <w:tcW w:w="1857" w:type="dxa"/>
            <w:vMerge/>
          </w:tcPr>
          <w:p w14:paraId="23C84EA8" w14:textId="77777777" w:rsidR="00464148" w:rsidRPr="000C5E35" w:rsidRDefault="00464148" w:rsidP="00521087">
            <w:pPr>
              <w:rPr>
                <w:rFonts w:ascii="Times New Roman" w:hAnsi="Times New Roman"/>
                <w:sz w:val="20"/>
                <w:szCs w:val="20"/>
              </w:rPr>
            </w:pPr>
          </w:p>
        </w:tc>
      </w:tr>
      <w:tr w:rsidR="00464148" w:rsidRPr="005751B6" w14:paraId="0B892F76" w14:textId="77777777" w:rsidTr="00521087">
        <w:tc>
          <w:tcPr>
            <w:tcW w:w="1477" w:type="dxa"/>
          </w:tcPr>
          <w:p w14:paraId="46CF3EED" w14:textId="77777777" w:rsidR="00464148" w:rsidRPr="005751B6" w:rsidRDefault="00464148" w:rsidP="00521087">
            <w:pPr>
              <w:jc w:val="center"/>
              <w:rPr>
                <w:rFonts w:ascii="Times New Roman" w:hAnsi="Times New Roman"/>
                <w:b/>
                <w:sz w:val="20"/>
                <w:szCs w:val="20"/>
              </w:rPr>
            </w:pPr>
            <w:r w:rsidRPr="005751B6">
              <w:rPr>
                <w:rFonts w:ascii="Times New Roman" w:hAnsi="Times New Roman"/>
                <w:b/>
                <w:sz w:val="20"/>
                <w:szCs w:val="20"/>
              </w:rPr>
              <w:t>30</w:t>
            </w:r>
          </w:p>
        </w:tc>
        <w:tc>
          <w:tcPr>
            <w:tcW w:w="1601" w:type="dxa"/>
          </w:tcPr>
          <w:p w14:paraId="17ADF5C6"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203 281</w:t>
            </w:r>
          </w:p>
        </w:tc>
        <w:tc>
          <w:tcPr>
            <w:tcW w:w="2005" w:type="dxa"/>
          </w:tcPr>
          <w:p w14:paraId="07BA6115"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12 196 860</w:t>
            </w:r>
          </w:p>
        </w:tc>
        <w:tc>
          <w:tcPr>
            <w:tcW w:w="2121" w:type="dxa"/>
          </w:tcPr>
          <w:p w14:paraId="142B264B"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30 492 150</w:t>
            </w:r>
          </w:p>
        </w:tc>
        <w:tc>
          <w:tcPr>
            <w:tcW w:w="1857" w:type="dxa"/>
          </w:tcPr>
          <w:p w14:paraId="5668BF8C"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42 689 010</w:t>
            </w:r>
          </w:p>
        </w:tc>
      </w:tr>
      <w:tr w:rsidR="00464148" w:rsidRPr="005751B6" w14:paraId="7A8F57BC" w14:textId="77777777" w:rsidTr="00521087">
        <w:tc>
          <w:tcPr>
            <w:tcW w:w="1477" w:type="dxa"/>
          </w:tcPr>
          <w:p w14:paraId="28EE6DED" w14:textId="77777777" w:rsidR="00464148" w:rsidRPr="005751B6" w:rsidRDefault="00464148" w:rsidP="00521087">
            <w:pPr>
              <w:jc w:val="center"/>
              <w:rPr>
                <w:rFonts w:ascii="Times New Roman" w:hAnsi="Times New Roman"/>
                <w:b/>
                <w:sz w:val="20"/>
                <w:szCs w:val="20"/>
              </w:rPr>
            </w:pPr>
            <w:r w:rsidRPr="005751B6">
              <w:rPr>
                <w:rFonts w:ascii="Times New Roman" w:hAnsi="Times New Roman"/>
                <w:b/>
                <w:sz w:val="20"/>
                <w:szCs w:val="20"/>
              </w:rPr>
              <w:t>20</w:t>
            </w:r>
          </w:p>
        </w:tc>
        <w:tc>
          <w:tcPr>
            <w:tcW w:w="1601" w:type="dxa"/>
          </w:tcPr>
          <w:p w14:paraId="5DFBEF71"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255 593</w:t>
            </w:r>
          </w:p>
        </w:tc>
        <w:tc>
          <w:tcPr>
            <w:tcW w:w="2005" w:type="dxa"/>
          </w:tcPr>
          <w:p w14:paraId="251DB3CB"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10 223 720</w:t>
            </w:r>
          </w:p>
        </w:tc>
        <w:tc>
          <w:tcPr>
            <w:tcW w:w="2121" w:type="dxa"/>
          </w:tcPr>
          <w:p w14:paraId="7F87423E"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25 559 300</w:t>
            </w:r>
          </w:p>
        </w:tc>
        <w:tc>
          <w:tcPr>
            <w:tcW w:w="1857" w:type="dxa"/>
          </w:tcPr>
          <w:p w14:paraId="03053A04"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35 783 020</w:t>
            </w:r>
          </w:p>
        </w:tc>
      </w:tr>
      <w:tr w:rsidR="00464148" w:rsidRPr="005751B6" w14:paraId="6C55BC4F" w14:textId="77777777" w:rsidTr="00521087">
        <w:tc>
          <w:tcPr>
            <w:tcW w:w="1477" w:type="dxa"/>
          </w:tcPr>
          <w:p w14:paraId="6825AE8C" w14:textId="77777777" w:rsidR="00464148" w:rsidRPr="005751B6" w:rsidRDefault="00464148" w:rsidP="00521087">
            <w:pPr>
              <w:jc w:val="center"/>
              <w:rPr>
                <w:rFonts w:ascii="Times New Roman" w:hAnsi="Times New Roman"/>
                <w:b/>
                <w:sz w:val="20"/>
                <w:szCs w:val="20"/>
              </w:rPr>
            </w:pPr>
            <w:r w:rsidRPr="005751B6">
              <w:rPr>
                <w:rFonts w:ascii="Times New Roman" w:hAnsi="Times New Roman"/>
                <w:b/>
                <w:sz w:val="20"/>
                <w:szCs w:val="20"/>
              </w:rPr>
              <w:t>10</w:t>
            </w:r>
          </w:p>
        </w:tc>
        <w:tc>
          <w:tcPr>
            <w:tcW w:w="1601" w:type="dxa"/>
          </w:tcPr>
          <w:p w14:paraId="08A62D52"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39 166</w:t>
            </w:r>
          </w:p>
        </w:tc>
        <w:tc>
          <w:tcPr>
            <w:tcW w:w="2005" w:type="dxa"/>
          </w:tcPr>
          <w:p w14:paraId="6A254AF3"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783 320</w:t>
            </w:r>
          </w:p>
        </w:tc>
        <w:tc>
          <w:tcPr>
            <w:tcW w:w="2121" w:type="dxa"/>
          </w:tcPr>
          <w:p w14:paraId="33B933E7"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1 958 300</w:t>
            </w:r>
          </w:p>
        </w:tc>
        <w:tc>
          <w:tcPr>
            <w:tcW w:w="1857" w:type="dxa"/>
          </w:tcPr>
          <w:p w14:paraId="630906C6"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2 741 620</w:t>
            </w:r>
          </w:p>
        </w:tc>
      </w:tr>
      <w:tr w:rsidR="00464148" w:rsidRPr="005751B6" w14:paraId="0B27D9B9" w14:textId="77777777" w:rsidTr="00521087">
        <w:tc>
          <w:tcPr>
            <w:tcW w:w="3078" w:type="dxa"/>
            <w:gridSpan w:val="2"/>
          </w:tcPr>
          <w:p w14:paraId="30260F7F" w14:textId="77777777" w:rsidR="00464148" w:rsidRPr="005751B6" w:rsidRDefault="00464148" w:rsidP="00521087">
            <w:pPr>
              <w:jc w:val="right"/>
              <w:rPr>
                <w:rFonts w:ascii="Times New Roman" w:hAnsi="Times New Roman"/>
                <w:sz w:val="20"/>
                <w:szCs w:val="20"/>
              </w:rPr>
            </w:pPr>
            <w:r w:rsidRPr="005751B6">
              <w:rPr>
                <w:rFonts w:ascii="Times New Roman" w:hAnsi="Times New Roman"/>
                <w:sz w:val="20"/>
                <w:szCs w:val="20"/>
              </w:rPr>
              <w:t>Kopā izdevumi (</w:t>
            </w:r>
            <w:r w:rsidRPr="005751B6">
              <w:rPr>
                <w:rFonts w:ascii="Times New Roman" w:hAnsi="Times New Roman"/>
                <w:i/>
                <w:sz w:val="20"/>
                <w:szCs w:val="20"/>
              </w:rPr>
              <w:t>euro</w:t>
            </w:r>
            <w:r w:rsidRPr="005751B6">
              <w:rPr>
                <w:rFonts w:ascii="Times New Roman" w:hAnsi="Times New Roman"/>
                <w:sz w:val="20"/>
                <w:szCs w:val="20"/>
              </w:rPr>
              <w:t>)</w:t>
            </w:r>
          </w:p>
        </w:tc>
        <w:tc>
          <w:tcPr>
            <w:tcW w:w="2005" w:type="dxa"/>
          </w:tcPr>
          <w:p w14:paraId="3F2D4B16"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23 203 900</w:t>
            </w:r>
          </w:p>
        </w:tc>
        <w:tc>
          <w:tcPr>
            <w:tcW w:w="2121" w:type="dxa"/>
          </w:tcPr>
          <w:p w14:paraId="47A65D90" w14:textId="77777777" w:rsidR="00464148" w:rsidRPr="005751B6" w:rsidRDefault="00464148" w:rsidP="00521087">
            <w:pPr>
              <w:jc w:val="center"/>
              <w:rPr>
                <w:rFonts w:ascii="Times New Roman" w:hAnsi="Times New Roman"/>
                <w:sz w:val="20"/>
                <w:szCs w:val="20"/>
              </w:rPr>
            </w:pPr>
            <w:r w:rsidRPr="005751B6">
              <w:rPr>
                <w:rFonts w:ascii="Times New Roman" w:hAnsi="Times New Roman"/>
                <w:sz w:val="20"/>
                <w:szCs w:val="20"/>
              </w:rPr>
              <w:t>58 009 750</w:t>
            </w:r>
          </w:p>
        </w:tc>
        <w:tc>
          <w:tcPr>
            <w:tcW w:w="1857" w:type="dxa"/>
          </w:tcPr>
          <w:p w14:paraId="54603D98" w14:textId="77777777" w:rsidR="00464148" w:rsidRPr="005751B6" w:rsidRDefault="00464148" w:rsidP="00521087">
            <w:pPr>
              <w:jc w:val="center"/>
              <w:rPr>
                <w:rFonts w:ascii="Times New Roman" w:hAnsi="Times New Roman"/>
                <w:b/>
                <w:sz w:val="20"/>
                <w:szCs w:val="20"/>
              </w:rPr>
            </w:pPr>
            <w:r w:rsidRPr="005751B6">
              <w:rPr>
                <w:rFonts w:ascii="Times New Roman" w:hAnsi="Times New Roman"/>
                <w:b/>
                <w:sz w:val="20"/>
                <w:szCs w:val="20"/>
              </w:rPr>
              <w:t>81 213 650</w:t>
            </w:r>
          </w:p>
        </w:tc>
      </w:tr>
    </w:tbl>
    <w:bookmarkEnd w:id="3"/>
    <w:p w14:paraId="12D83818" w14:textId="77777777" w:rsidR="00464148" w:rsidRPr="005751B6" w:rsidRDefault="00464148" w:rsidP="00464148">
      <w:pPr>
        <w:spacing w:after="0" w:line="240" w:lineRule="auto"/>
        <w:jc w:val="both"/>
        <w:rPr>
          <w:rFonts w:ascii="Times New Roman" w:hAnsi="Times New Roman" w:cs="Times New Roman"/>
          <w:sz w:val="20"/>
          <w:szCs w:val="20"/>
        </w:rPr>
      </w:pPr>
      <w:r w:rsidRPr="005751B6">
        <w:rPr>
          <w:rFonts w:ascii="Times New Roman" w:hAnsi="Times New Roman" w:cs="Times New Roman"/>
          <w:sz w:val="20"/>
          <w:szCs w:val="20"/>
        </w:rPr>
        <w:t>Aprēķins atbilstoši VSAA datiem 2022.gada aprīlī (pirms indeksācijas).</w:t>
      </w:r>
    </w:p>
    <w:p w14:paraId="0BECB8CE" w14:textId="77777777" w:rsidR="00464148" w:rsidRPr="005751B6" w:rsidRDefault="00464148" w:rsidP="00464148">
      <w:pPr>
        <w:jc w:val="both"/>
        <w:rPr>
          <w:rFonts w:ascii="Times New Roman" w:hAnsi="Times New Roman" w:cs="Times New Roman"/>
          <w:sz w:val="24"/>
          <w:szCs w:val="24"/>
        </w:rPr>
      </w:pPr>
    </w:p>
    <w:p w14:paraId="3D0E6571" w14:textId="7CF283AA" w:rsidR="00487991" w:rsidRPr="000C5E35" w:rsidRDefault="008E5B0D" w:rsidP="000C5E35">
      <w:pPr>
        <w:spacing w:after="0" w:line="240" w:lineRule="auto"/>
        <w:jc w:val="both"/>
        <w:rPr>
          <w:rFonts w:ascii="Times New Roman" w:hAnsi="Times New Roman" w:cs="Times New Roman"/>
          <w:sz w:val="24"/>
          <w:szCs w:val="24"/>
        </w:rPr>
      </w:pPr>
      <w:r w:rsidRPr="000C5E35">
        <w:rPr>
          <w:rFonts w:ascii="Times New Roman" w:hAnsi="Times New Roman" w:cs="Times New Roman"/>
          <w:sz w:val="24"/>
          <w:szCs w:val="24"/>
        </w:rPr>
        <w:t xml:space="preserve">(2) </w:t>
      </w:r>
      <w:r w:rsidR="0013660C" w:rsidRPr="000C5E35">
        <w:rPr>
          <w:rFonts w:ascii="Times New Roman" w:hAnsi="Times New Roman" w:cs="Times New Roman"/>
          <w:b/>
          <w:sz w:val="24"/>
          <w:szCs w:val="24"/>
        </w:rPr>
        <w:t>No 2022. gada novembra līdz 2023.gada maijam</w:t>
      </w:r>
      <w:r w:rsidR="0013660C" w:rsidRPr="000C5E35">
        <w:rPr>
          <w:rFonts w:ascii="Times New Roman" w:hAnsi="Times New Roman" w:cs="Times New Roman"/>
          <w:sz w:val="24"/>
          <w:szCs w:val="24"/>
        </w:rPr>
        <w:t xml:space="preserve"> (</w:t>
      </w:r>
      <w:r w:rsidRPr="00F676D6">
        <w:rPr>
          <w:rFonts w:ascii="Times New Roman" w:hAnsi="Times New Roman" w:cs="Times New Roman"/>
          <w:b/>
          <w:sz w:val="24"/>
          <w:szCs w:val="24"/>
        </w:rPr>
        <w:t>kopējais atbalsta periods – 7 mēneši)</w:t>
      </w:r>
      <w:r w:rsidR="0013660C" w:rsidRPr="000C5E35">
        <w:rPr>
          <w:rFonts w:ascii="Times New Roman" w:hAnsi="Times New Roman" w:cs="Times New Roman"/>
          <w:sz w:val="24"/>
          <w:szCs w:val="24"/>
        </w:rPr>
        <w:t xml:space="preserve"> tiek izmaksāts pabalsts 30 </w:t>
      </w:r>
      <w:r w:rsidR="0013660C" w:rsidRPr="000C5E35">
        <w:rPr>
          <w:rFonts w:ascii="Times New Roman" w:hAnsi="Times New Roman" w:cs="Times New Roman"/>
          <w:i/>
          <w:sz w:val="24"/>
          <w:szCs w:val="24"/>
        </w:rPr>
        <w:t>euro</w:t>
      </w:r>
      <w:r w:rsidR="0013660C" w:rsidRPr="000C5E35">
        <w:rPr>
          <w:rFonts w:ascii="Times New Roman" w:hAnsi="Times New Roman" w:cs="Times New Roman"/>
          <w:sz w:val="24"/>
          <w:szCs w:val="24"/>
        </w:rPr>
        <w:t xml:space="preserve"> mēnesī Latvijā dzīvojošām</w:t>
      </w:r>
      <w:r w:rsidR="0013660C" w:rsidRPr="000C5E35">
        <w:rPr>
          <w:rFonts w:ascii="Times New Roman" w:hAnsi="Times New Roman" w:cs="Times New Roman"/>
          <w:sz w:val="24"/>
          <w:szCs w:val="24"/>
          <w:u w:val="single"/>
        </w:rPr>
        <w:t xml:space="preserve"> personām, kuras saņem </w:t>
      </w:r>
      <w:r w:rsidR="0013660C" w:rsidRPr="000C5E35">
        <w:rPr>
          <w:rFonts w:ascii="Times New Roman" w:hAnsi="Times New Roman" w:cs="Times New Roman"/>
          <w:sz w:val="24"/>
          <w:szCs w:val="24"/>
          <w:lang w:eastAsia="lv-LV"/>
        </w:rPr>
        <w:t xml:space="preserve">Latvijā piešķirto </w:t>
      </w:r>
      <w:r w:rsidR="0013660C" w:rsidRPr="000C5E35">
        <w:rPr>
          <w:rFonts w:ascii="Times New Roman" w:hAnsi="Times New Roman" w:cs="Times New Roman"/>
          <w:sz w:val="24"/>
          <w:szCs w:val="24"/>
          <w:u w:val="single"/>
        </w:rPr>
        <w:t>piemaksu pie ģimenes valsts pabalsta par bērnu ar invaliditāti,</w:t>
      </w:r>
      <w:r w:rsidR="0013660C" w:rsidRPr="000C5E35">
        <w:rPr>
          <w:rFonts w:ascii="Times New Roman" w:hAnsi="Times New Roman" w:cs="Times New Roman"/>
          <w:sz w:val="24"/>
          <w:szCs w:val="24"/>
        </w:rPr>
        <w:t xml:space="preserve"> nevērtējot saņemtā pakalpojuma apmēru</w:t>
      </w:r>
      <w:r w:rsidR="00487991" w:rsidRPr="000C5E35">
        <w:rPr>
          <w:rFonts w:ascii="Times New Roman" w:hAnsi="Times New Roman" w:cs="Times New Roman"/>
          <w:sz w:val="24"/>
          <w:szCs w:val="24"/>
        </w:rPr>
        <w:t xml:space="preserve">. </w:t>
      </w:r>
    </w:p>
    <w:p w14:paraId="0243C976" w14:textId="77777777" w:rsidR="008E5B0D" w:rsidRPr="000C5E35" w:rsidRDefault="008E5B0D" w:rsidP="000C5E35">
      <w:pPr>
        <w:spacing w:after="0" w:line="240" w:lineRule="auto"/>
        <w:jc w:val="both"/>
        <w:rPr>
          <w:rFonts w:ascii="Times New Roman" w:hAnsi="Times New Roman" w:cs="Times New Roman"/>
          <w:sz w:val="24"/>
          <w:szCs w:val="24"/>
        </w:rPr>
      </w:pPr>
    </w:p>
    <w:p w14:paraId="3A8A01EF" w14:textId="7EB2184D" w:rsidR="00C92635" w:rsidRPr="00E40EAD" w:rsidRDefault="0003052A" w:rsidP="000C5E35">
      <w:pPr>
        <w:spacing w:after="0" w:line="240" w:lineRule="auto"/>
        <w:jc w:val="both"/>
        <w:rPr>
          <w:rFonts w:ascii="Times New Roman" w:hAnsi="Times New Roman" w:cs="Times New Roman"/>
          <w:sz w:val="24"/>
          <w:szCs w:val="24"/>
        </w:rPr>
      </w:pPr>
      <w:r w:rsidRPr="00DA2AF1">
        <w:rPr>
          <w:rFonts w:ascii="Times New Roman" w:hAnsi="Times New Roman" w:cs="Times New Roman"/>
          <w:sz w:val="24"/>
          <w:szCs w:val="24"/>
        </w:rPr>
        <w:t>2022.gada aprīlī atbilstoši VSAA datiem</w:t>
      </w:r>
      <w:r>
        <w:rPr>
          <w:rFonts w:ascii="Times New Roman" w:hAnsi="Times New Roman" w:cs="Times New Roman"/>
          <w:sz w:val="24"/>
          <w:szCs w:val="24"/>
        </w:rPr>
        <w:t xml:space="preserve"> bērnu skaits, par kuriem izmaksāta</w:t>
      </w:r>
      <w:r w:rsidRPr="00DA2AF1">
        <w:rPr>
          <w:rFonts w:ascii="Times New Roman" w:hAnsi="Times New Roman" w:cs="Times New Roman"/>
          <w:sz w:val="24"/>
          <w:szCs w:val="24"/>
        </w:rPr>
        <w:t xml:space="preserve"> piemaks</w:t>
      </w:r>
      <w:r>
        <w:rPr>
          <w:rFonts w:ascii="Times New Roman" w:hAnsi="Times New Roman" w:cs="Times New Roman"/>
          <w:sz w:val="24"/>
          <w:szCs w:val="24"/>
        </w:rPr>
        <w:t xml:space="preserve">a </w:t>
      </w:r>
      <w:r w:rsidRPr="00DA2AF1">
        <w:rPr>
          <w:rFonts w:ascii="Times New Roman" w:hAnsi="Times New Roman" w:cs="Times New Roman"/>
          <w:sz w:val="24"/>
          <w:szCs w:val="24"/>
        </w:rPr>
        <w:t xml:space="preserve">pie ģimenes valsts pabalsta </w:t>
      </w:r>
      <w:r w:rsidRPr="00961E57">
        <w:rPr>
          <w:rFonts w:ascii="Times New Roman" w:hAnsi="Times New Roman" w:cs="Times New Roman"/>
          <w:sz w:val="24"/>
          <w:szCs w:val="24"/>
        </w:rPr>
        <w:t>par bērnu ar invaliditāti</w:t>
      </w:r>
      <w:r>
        <w:rPr>
          <w:rFonts w:ascii="Times New Roman" w:hAnsi="Times New Roman" w:cs="Times New Roman"/>
          <w:sz w:val="24"/>
          <w:szCs w:val="24"/>
        </w:rPr>
        <w:t>,</w:t>
      </w:r>
      <w:r w:rsidRPr="00961E57">
        <w:rPr>
          <w:rFonts w:ascii="Times New Roman" w:hAnsi="Times New Roman" w:cs="Times New Roman"/>
          <w:sz w:val="24"/>
          <w:szCs w:val="24"/>
        </w:rPr>
        <w:t xml:space="preserve"> </w:t>
      </w:r>
      <w:r>
        <w:rPr>
          <w:rFonts w:ascii="Times New Roman" w:hAnsi="Times New Roman" w:cs="Times New Roman"/>
          <w:sz w:val="24"/>
          <w:szCs w:val="24"/>
        </w:rPr>
        <w:t>8372</w:t>
      </w:r>
      <w:r w:rsidRPr="00DA2AF1">
        <w:rPr>
          <w:rFonts w:ascii="Times New Roman" w:hAnsi="Times New Roman" w:cs="Times New Roman"/>
          <w:sz w:val="24"/>
          <w:szCs w:val="24"/>
        </w:rPr>
        <w:t xml:space="preserve"> </w:t>
      </w:r>
      <w:r>
        <w:rPr>
          <w:rFonts w:ascii="Times New Roman" w:hAnsi="Times New Roman" w:cs="Times New Roman"/>
          <w:sz w:val="24"/>
          <w:szCs w:val="24"/>
        </w:rPr>
        <w:t xml:space="preserve">bērni. </w:t>
      </w:r>
      <w:r w:rsidR="00C92635" w:rsidRPr="00C92635">
        <w:rPr>
          <w:rFonts w:ascii="Times New Roman" w:hAnsi="Times New Roman" w:cs="Times New Roman"/>
          <w:sz w:val="24"/>
          <w:szCs w:val="24"/>
        </w:rPr>
        <w:t xml:space="preserve">Izmaksājot pabalstu 30 </w:t>
      </w:r>
      <w:r w:rsidR="00C92635" w:rsidRPr="00C92635">
        <w:rPr>
          <w:rFonts w:ascii="Times New Roman" w:hAnsi="Times New Roman" w:cs="Times New Roman"/>
          <w:i/>
          <w:sz w:val="24"/>
          <w:szCs w:val="24"/>
        </w:rPr>
        <w:t>euro</w:t>
      </w:r>
      <w:r w:rsidR="00C92635" w:rsidRPr="00C92635">
        <w:rPr>
          <w:rFonts w:ascii="Times New Roman" w:hAnsi="Times New Roman" w:cs="Times New Roman"/>
          <w:sz w:val="24"/>
          <w:szCs w:val="24"/>
        </w:rPr>
        <w:t xml:space="preserve"> apmērā, nepieciešams  </w:t>
      </w:r>
      <w:r w:rsidR="00C92635" w:rsidRPr="000C5E35">
        <w:rPr>
          <w:rFonts w:ascii="Times New Roman" w:hAnsi="Times New Roman" w:cs="Times New Roman"/>
          <w:sz w:val="24"/>
          <w:szCs w:val="24"/>
        </w:rPr>
        <w:t xml:space="preserve">1 758 120 </w:t>
      </w:r>
      <w:r w:rsidR="00C92635" w:rsidRPr="000C5E35">
        <w:rPr>
          <w:rFonts w:ascii="Times New Roman" w:hAnsi="Times New Roman" w:cs="Times New Roman"/>
          <w:i/>
          <w:sz w:val="24"/>
          <w:szCs w:val="24"/>
        </w:rPr>
        <w:t>euro</w:t>
      </w:r>
      <w:r w:rsidR="00C92635" w:rsidRPr="00E40EAD">
        <w:rPr>
          <w:rFonts w:ascii="Times New Roman" w:hAnsi="Times New Roman" w:cs="Times New Roman"/>
          <w:sz w:val="24"/>
          <w:szCs w:val="24"/>
        </w:rPr>
        <w:t>.</w:t>
      </w:r>
      <w:r w:rsidR="00C92635" w:rsidRPr="00C92635">
        <w:rPr>
          <w:rFonts w:ascii="Times New Roman" w:hAnsi="Times New Roman" w:cs="Times New Roman"/>
          <w:sz w:val="24"/>
          <w:szCs w:val="24"/>
        </w:rPr>
        <w:t xml:space="preserve">  VSAA pabalsta ieviešanai nepieciešami 2 mēneši. Savukārt VSAA programmatūras izstrādei (sistēmanalīze, programmēšana, testēšana), lai ieviestu jaunu pakalpojuma veidu, noteiktu saņēmēju grupu un izstrādātu periodu izveidošanu, veido 35 cilvēkdienas, kam nepieciešami izdevumi </w:t>
      </w:r>
      <w:r w:rsidR="00C92635" w:rsidRPr="000C5E35">
        <w:rPr>
          <w:rFonts w:ascii="Times New Roman" w:hAnsi="Times New Roman" w:cs="Times New Roman"/>
          <w:sz w:val="24"/>
          <w:szCs w:val="24"/>
        </w:rPr>
        <w:t>16 516,50 euro</w:t>
      </w:r>
      <w:r w:rsidR="00C92635" w:rsidRPr="00E40EAD">
        <w:rPr>
          <w:rFonts w:ascii="Times New Roman" w:hAnsi="Times New Roman" w:cs="Times New Roman"/>
          <w:sz w:val="24"/>
          <w:szCs w:val="24"/>
        </w:rPr>
        <w:t xml:space="preserve"> (471,90*35) apmērā.</w:t>
      </w:r>
    </w:p>
    <w:p w14:paraId="2BBA0C0A" w14:textId="2C122BE9" w:rsidR="00487991" w:rsidRPr="00365151" w:rsidRDefault="00487991" w:rsidP="00E40EAD">
      <w:pPr>
        <w:spacing w:after="0" w:line="240" w:lineRule="auto"/>
        <w:jc w:val="both"/>
        <w:rPr>
          <w:rFonts w:ascii="Times New Roman" w:hAnsi="Times New Roman" w:cs="Times New Roman"/>
          <w:sz w:val="24"/>
          <w:szCs w:val="24"/>
        </w:rPr>
      </w:pPr>
    </w:p>
    <w:p w14:paraId="3FB98D13" w14:textId="7B706DEE" w:rsidR="00DA2AF1" w:rsidRDefault="008E5B0D" w:rsidP="000C5E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A2AF1" w:rsidRPr="000C5E35">
        <w:rPr>
          <w:rFonts w:ascii="Times New Roman" w:hAnsi="Times New Roman" w:cs="Times New Roman"/>
          <w:sz w:val="24"/>
          <w:szCs w:val="24"/>
        </w:rPr>
        <w:t>lai sniegtu papildu finansiālo atbalstu personām ar invaliditāti, kurām ir smagi gaitas un kustību traucējumi, kuri būtiski ietekmē personas mobilitāti un nereti arī pārvietošanos sabiedriskajā transportā,</w:t>
      </w:r>
      <w:r w:rsidR="001F1149" w:rsidRPr="000C5E35">
        <w:rPr>
          <w:rFonts w:ascii="Times New Roman" w:hAnsi="Times New Roman" w:cs="Times New Roman"/>
          <w:sz w:val="24"/>
          <w:szCs w:val="24"/>
        </w:rPr>
        <w:t xml:space="preserve"> </w:t>
      </w:r>
      <w:r w:rsidR="001F1149" w:rsidRPr="000C5E35">
        <w:rPr>
          <w:rFonts w:ascii="Times New Roman" w:hAnsi="Times New Roman" w:cs="Times New Roman"/>
          <w:b/>
          <w:sz w:val="24"/>
          <w:szCs w:val="24"/>
        </w:rPr>
        <w:t>no 2023. gada 1. janvāra</w:t>
      </w:r>
      <w:r w:rsidR="00DA2AF1" w:rsidRPr="000C5E35">
        <w:rPr>
          <w:rFonts w:ascii="Times New Roman" w:hAnsi="Times New Roman" w:cs="Times New Roman"/>
          <w:sz w:val="24"/>
          <w:szCs w:val="24"/>
        </w:rPr>
        <w:t xml:space="preserve"> </w:t>
      </w:r>
      <w:r w:rsidR="00DA2AF1" w:rsidRPr="000C5E35">
        <w:rPr>
          <w:rFonts w:ascii="Times New Roman" w:hAnsi="Times New Roman" w:cs="Times New Roman"/>
          <w:sz w:val="24"/>
          <w:szCs w:val="24"/>
          <w:u w:val="single"/>
        </w:rPr>
        <w:t xml:space="preserve">palielināt pabalsta </w:t>
      </w:r>
      <w:r w:rsidR="00C12F0A" w:rsidRPr="000C5E35">
        <w:rPr>
          <w:rFonts w:ascii="Times New Roman" w:hAnsi="Times New Roman" w:cs="Times New Roman"/>
          <w:sz w:val="24"/>
          <w:szCs w:val="24"/>
          <w:u w:val="single"/>
        </w:rPr>
        <w:t>transporta izdevumu kompensēšanai personām ar invaliditāti</w:t>
      </w:r>
      <w:r w:rsidR="00C12F0A" w:rsidRPr="000C5E35">
        <w:rPr>
          <w:rFonts w:ascii="Times New Roman" w:hAnsi="Times New Roman" w:cs="Times New Roman"/>
          <w:sz w:val="24"/>
          <w:szCs w:val="24"/>
        </w:rPr>
        <w:t xml:space="preserve">, kurām ir apgrūtināta pārvietošanās, </w:t>
      </w:r>
      <w:r w:rsidR="00DA2AF1" w:rsidRPr="000C5E35">
        <w:rPr>
          <w:rFonts w:ascii="Times New Roman" w:hAnsi="Times New Roman" w:cs="Times New Roman"/>
          <w:sz w:val="24"/>
          <w:szCs w:val="24"/>
        </w:rPr>
        <w:t xml:space="preserve">apmēru no 79,68 euro līdz 105 euro par 6 mēnešu periodu. </w:t>
      </w:r>
    </w:p>
    <w:p w14:paraId="04C5D67F" w14:textId="77777777" w:rsidR="008E5B0D" w:rsidRPr="000C5E35" w:rsidRDefault="008E5B0D" w:rsidP="000C5E35">
      <w:pPr>
        <w:spacing w:after="0" w:line="240" w:lineRule="auto"/>
        <w:jc w:val="both"/>
        <w:rPr>
          <w:rFonts w:ascii="Times New Roman" w:hAnsi="Times New Roman" w:cs="Times New Roman"/>
          <w:sz w:val="24"/>
          <w:szCs w:val="24"/>
        </w:rPr>
      </w:pPr>
    </w:p>
    <w:p w14:paraId="711FA15F" w14:textId="63C11BE6" w:rsidR="00DA2AF1" w:rsidRDefault="00DA2AF1" w:rsidP="000C5E35">
      <w:pPr>
        <w:spacing w:after="0" w:line="240" w:lineRule="auto"/>
        <w:jc w:val="both"/>
        <w:rPr>
          <w:rFonts w:ascii="Times New Roman" w:hAnsi="Times New Roman" w:cs="Times New Roman"/>
          <w:sz w:val="24"/>
          <w:szCs w:val="24"/>
        </w:rPr>
      </w:pPr>
      <w:r w:rsidRPr="00DA2AF1">
        <w:rPr>
          <w:rFonts w:ascii="Times New Roman" w:hAnsi="Times New Roman" w:cs="Times New Roman"/>
          <w:sz w:val="24"/>
          <w:szCs w:val="24"/>
        </w:rPr>
        <w:t>Indikatīvā transporta pabalsta saņēmēju mērķa grupa, balstoties uz VSAA prognozi par pabalst</w:t>
      </w:r>
      <w:r w:rsidR="00914431">
        <w:rPr>
          <w:rFonts w:ascii="Times New Roman" w:hAnsi="Times New Roman" w:cs="Times New Roman"/>
          <w:sz w:val="24"/>
          <w:szCs w:val="24"/>
        </w:rPr>
        <w:t>a</w:t>
      </w:r>
      <w:r w:rsidRPr="00DA2AF1">
        <w:rPr>
          <w:rFonts w:ascii="Times New Roman" w:hAnsi="Times New Roman" w:cs="Times New Roman"/>
          <w:sz w:val="24"/>
          <w:szCs w:val="24"/>
        </w:rPr>
        <w:t xml:space="preserve"> saņēmēju skaitu, 2023.gadam ir apmēram 36 000 personas. Attiecīgi indikatīvais papildu nepieciešamais finansējums 2023. gada finansējums ir </w:t>
      </w:r>
      <w:r w:rsidR="0061154A">
        <w:rPr>
          <w:rFonts w:ascii="Times New Roman" w:hAnsi="Times New Roman" w:cs="Times New Roman"/>
          <w:sz w:val="24"/>
          <w:szCs w:val="24"/>
        </w:rPr>
        <w:t>1 862 210</w:t>
      </w:r>
      <w:r w:rsidRPr="00DA2AF1">
        <w:rPr>
          <w:rFonts w:ascii="Times New Roman" w:hAnsi="Times New Roman" w:cs="Times New Roman"/>
          <w:sz w:val="24"/>
          <w:szCs w:val="24"/>
        </w:rPr>
        <w:t xml:space="preserve"> eu</w:t>
      </w:r>
      <w:r w:rsidR="001F1149">
        <w:rPr>
          <w:rFonts w:ascii="Times New Roman" w:hAnsi="Times New Roman" w:cs="Times New Roman"/>
          <w:sz w:val="24"/>
          <w:szCs w:val="24"/>
        </w:rPr>
        <w:t xml:space="preserve">ro, plus papildu finansējums VSAA </w:t>
      </w:r>
      <w:r w:rsidRPr="00DA2AF1">
        <w:rPr>
          <w:rFonts w:ascii="Times New Roman" w:hAnsi="Times New Roman" w:cs="Times New Roman"/>
          <w:sz w:val="24"/>
          <w:szCs w:val="24"/>
        </w:rPr>
        <w:t>informācijas sistēmas pielāgošanai, kas sastādītu</w:t>
      </w:r>
      <w:r w:rsidRPr="00061470">
        <w:t xml:space="preserve"> </w:t>
      </w:r>
      <w:r w:rsidRPr="00DA2AF1">
        <w:rPr>
          <w:rFonts w:ascii="Times New Roman" w:hAnsi="Times New Roman" w:cs="Times New Roman"/>
          <w:sz w:val="24"/>
          <w:szCs w:val="24"/>
        </w:rPr>
        <w:t xml:space="preserve">27 150 euro, savukārt 2024 gadam un 2025. gadam, pieņemot, ka pieaugs transporta pabalsta saņēmēju skaits, attiecīgi – </w:t>
      </w:r>
      <w:r w:rsidR="0061154A">
        <w:rPr>
          <w:rFonts w:ascii="Times New Roman" w:hAnsi="Times New Roman" w:cs="Times New Roman"/>
          <w:sz w:val="24"/>
          <w:szCs w:val="24"/>
        </w:rPr>
        <w:t>1 955 210 euro</w:t>
      </w:r>
      <w:r w:rsidRPr="00DA2AF1">
        <w:rPr>
          <w:rFonts w:ascii="Times New Roman" w:hAnsi="Times New Roman" w:cs="Times New Roman"/>
          <w:sz w:val="24"/>
          <w:szCs w:val="24"/>
        </w:rPr>
        <w:t xml:space="preserve"> un </w:t>
      </w:r>
      <w:r w:rsidR="0061154A">
        <w:rPr>
          <w:rFonts w:ascii="Times New Roman" w:hAnsi="Times New Roman" w:cs="Times New Roman"/>
          <w:sz w:val="24"/>
          <w:szCs w:val="24"/>
        </w:rPr>
        <w:t>2 052 996</w:t>
      </w:r>
      <w:r w:rsidR="0061154A" w:rsidRPr="00DA2AF1">
        <w:rPr>
          <w:rFonts w:ascii="Times New Roman" w:hAnsi="Times New Roman" w:cs="Times New Roman"/>
          <w:sz w:val="24"/>
          <w:szCs w:val="24"/>
        </w:rPr>
        <w:t xml:space="preserve"> </w:t>
      </w:r>
      <w:r w:rsidRPr="00DA2AF1">
        <w:rPr>
          <w:rFonts w:ascii="Times New Roman" w:hAnsi="Times New Roman" w:cs="Times New Roman"/>
          <w:sz w:val="24"/>
          <w:szCs w:val="24"/>
        </w:rPr>
        <w:t xml:space="preserve">euro. </w:t>
      </w:r>
      <w:r w:rsidR="00EB142F">
        <w:rPr>
          <w:rFonts w:ascii="Times New Roman" w:hAnsi="Times New Roman" w:cs="Times New Roman"/>
          <w:sz w:val="24"/>
          <w:szCs w:val="24"/>
        </w:rPr>
        <w:t xml:space="preserve"> Ņemot vērā, ka šī atbalsta ieviešana nav saistīta ar sezonalitāti (apkures sezonas esamību) un esošajam degvielas cenu kāpumam ir būtiska negatīva ietekme uz personu ar invaliditāti mobilitātes iespējām, pabalsta paaugstinājums ir jāievieš kā pastāvīgs pasākums, paredzot tā īstenošanai nepieciešamo finansējumu Labklājības ministrijas valsts budžeta bāzes izdevumos.</w:t>
      </w:r>
    </w:p>
    <w:p w14:paraId="48C3B93D" w14:textId="77777777" w:rsidR="008E5B0D" w:rsidRPr="00DA2AF1" w:rsidRDefault="008E5B0D" w:rsidP="000C5E35">
      <w:pPr>
        <w:spacing w:after="0" w:line="240" w:lineRule="auto"/>
        <w:jc w:val="both"/>
        <w:rPr>
          <w:rFonts w:ascii="Times New Roman" w:hAnsi="Times New Roman" w:cs="Times New Roman"/>
          <w:sz w:val="24"/>
          <w:szCs w:val="24"/>
        </w:rPr>
      </w:pPr>
    </w:p>
    <w:p w14:paraId="2FF37B1C" w14:textId="77BD0BCE" w:rsidR="005908B2" w:rsidRDefault="005908B2" w:rsidP="00365151">
      <w:pPr>
        <w:shd w:val="clear" w:color="auto" w:fill="FFFFFF" w:themeFill="background1"/>
        <w:spacing w:after="0" w:line="240" w:lineRule="auto"/>
        <w:jc w:val="both"/>
        <w:rPr>
          <w:rFonts w:ascii="Times New Roman" w:hAnsi="Times New Roman"/>
          <w:sz w:val="24"/>
          <w:szCs w:val="24"/>
        </w:rPr>
      </w:pPr>
      <w:r w:rsidRPr="005601B5">
        <w:rPr>
          <w:rFonts w:ascii="Times New Roman" w:hAnsi="Times New Roman"/>
          <w:sz w:val="24"/>
          <w:szCs w:val="24"/>
        </w:rPr>
        <w:t>Kopējais indikatīvi nepieciešamais finansējums piedāvātajiem</w:t>
      </w:r>
      <w:r w:rsidR="00251DD3" w:rsidRPr="000C5E35">
        <w:rPr>
          <w:rFonts w:ascii="Times New Roman" w:hAnsi="Times New Roman"/>
          <w:sz w:val="24"/>
          <w:szCs w:val="24"/>
        </w:rPr>
        <w:t xml:space="preserve"> valsts sociālajiem</w:t>
      </w:r>
      <w:r w:rsidRPr="000C5E35">
        <w:rPr>
          <w:rFonts w:ascii="Times New Roman" w:hAnsi="Times New Roman"/>
          <w:sz w:val="24"/>
          <w:szCs w:val="24"/>
        </w:rPr>
        <w:t xml:space="preserve"> pabalstiem 2022.gadā - </w:t>
      </w:r>
      <w:r w:rsidR="00F95BAB" w:rsidRPr="000C5E35">
        <w:rPr>
          <w:rFonts w:ascii="Times New Roman" w:hAnsi="Times New Roman"/>
          <w:sz w:val="24"/>
          <w:szCs w:val="24"/>
        </w:rPr>
        <w:t>50</w:t>
      </w:r>
      <w:r w:rsidRPr="005601B5">
        <w:rPr>
          <w:rFonts w:ascii="Times New Roman" w:hAnsi="Times New Roman"/>
          <w:sz w:val="24"/>
          <w:szCs w:val="24"/>
        </w:rPr>
        <w:t xml:space="preserve"> milj.</w:t>
      </w:r>
      <w:r w:rsidRPr="000C5E35">
        <w:rPr>
          <w:rFonts w:ascii="Times New Roman" w:hAnsi="Times New Roman"/>
          <w:i/>
          <w:sz w:val="24"/>
          <w:szCs w:val="24"/>
        </w:rPr>
        <w:t>euro</w:t>
      </w:r>
      <w:r w:rsidRPr="005601B5">
        <w:rPr>
          <w:rFonts w:ascii="Times New Roman" w:hAnsi="Times New Roman"/>
          <w:sz w:val="24"/>
          <w:szCs w:val="24"/>
        </w:rPr>
        <w:t xml:space="preserve">, 2023.gadā - </w:t>
      </w:r>
      <w:r w:rsidR="00F95BAB" w:rsidRPr="000C5E35">
        <w:rPr>
          <w:rFonts w:ascii="Times New Roman" w:hAnsi="Times New Roman"/>
          <w:sz w:val="24"/>
          <w:szCs w:val="24"/>
        </w:rPr>
        <w:t>61</w:t>
      </w:r>
      <w:r w:rsidRPr="005601B5">
        <w:rPr>
          <w:rFonts w:ascii="Times New Roman" w:hAnsi="Times New Roman"/>
          <w:sz w:val="24"/>
          <w:szCs w:val="24"/>
        </w:rPr>
        <w:t xml:space="preserve"> milj.</w:t>
      </w:r>
      <w:r w:rsidRPr="000C5E35">
        <w:rPr>
          <w:rFonts w:ascii="Times New Roman" w:hAnsi="Times New Roman"/>
          <w:i/>
          <w:sz w:val="24"/>
          <w:szCs w:val="24"/>
        </w:rPr>
        <w:t>euro</w:t>
      </w:r>
      <w:r w:rsidRPr="000C5E35">
        <w:rPr>
          <w:rFonts w:ascii="Times New Roman" w:hAnsi="Times New Roman"/>
          <w:sz w:val="24"/>
          <w:szCs w:val="24"/>
        </w:rPr>
        <w:t>.</w:t>
      </w:r>
    </w:p>
    <w:p w14:paraId="16FE0EBF" w14:textId="77777777" w:rsidR="00282153" w:rsidRDefault="00282153" w:rsidP="0021237B">
      <w:pPr>
        <w:spacing w:after="0" w:line="240" w:lineRule="auto"/>
        <w:rPr>
          <w:rFonts w:ascii="Times New Roman" w:hAnsi="Times New Roman"/>
          <w:sz w:val="24"/>
          <w:szCs w:val="24"/>
        </w:rPr>
      </w:pPr>
    </w:p>
    <w:p w14:paraId="0084F181" w14:textId="310B507E" w:rsidR="00797663" w:rsidRDefault="001F1149" w:rsidP="0021237B">
      <w:pPr>
        <w:spacing w:after="0" w:line="240" w:lineRule="auto"/>
        <w:rPr>
          <w:rFonts w:ascii="Times New Roman" w:hAnsi="Times New Roman"/>
          <w:sz w:val="24"/>
          <w:szCs w:val="24"/>
        </w:rPr>
      </w:pPr>
      <w:r>
        <w:rPr>
          <w:rFonts w:ascii="Times New Roman" w:hAnsi="Times New Roman"/>
          <w:sz w:val="24"/>
          <w:szCs w:val="24"/>
        </w:rPr>
        <w:t xml:space="preserve">Piedāvāto pabalstu identificētās priekšrocības un trūkumi. </w:t>
      </w:r>
    </w:p>
    <w:p w14:paraId="7A9BF744" w14:textId="77777777" w:rsidR="001F1149" w:rsidRDefault="001F1149" w:rsidP="00E40EAD">
      <w:pPr>
        <w:spacing w:after="0" w:line="240" w:lineRule="auto"/>
        <w:rPr>
          <w:rFonts w:ascii="Times New Roman" w:hAnsi="Times New Roman"/>
          <w:sz w:val="24"/>
          <w:szCs w:val="24"/>
        </w:rPr>
      </w:pPr>
    </w:p>
    <w:p w14:paraId="0C6154B2" w14:textId="46C3F423" w:rsidR="00DA2AF1" w:rsidRDefault="003212A1" w:rsidP="00E40EAD">
      <w:pPr>
        <w:spacing w:after="0" w:line="240" w:lineRule="auto"/>
        <w:rPr>
          <w:rFonts w:ascii="Times New Roman" w:hAnsi="Times New Roman"/>
          <w:sz w:val="24"/>
          <w:szCs w:val="24"/>
        </w:rPr>
      </w:pPr>
      <w:r w:rsidRPr="00365151">
        <w:rPr>
          <w:rFonts w:ascii="Times New Roman" w:hAnsi="Times New Roman"/>
          <w:sz w:val="24"/>
          <w:szCs w:val="24"/>
          <w:u w:val="single"/>
        </w:rPr>
        <w:t>Priekšrocības</w:t>
      </w:r>
      <w:r>
        <w:rPr>
          <w:rFonts w:ascii="Times New Roman" w:hAnsi="Times New Roman"/>
          <w:sz w:val="24"/>
          <w:szCs w:val="24"/>
        </w:rPr>
        <w:t>:</w:t>
      </w:r>
    </w:p>
    <w:p w14:paraId="25A05A84" w14:textId="62D3D6C7" w:rsidR="003212A1" w:rsidRPr="003212A1" w:rsidRDefault="003212A1" w:rsidP="000C5E35">
      <w:pPr>
        <w:pStyle w:val="ListParagraph"/>
        <w:numPr>
          <w:ilvl w:val="0"/>
          <w:numId w:val="19"/>
        </w:numPr>
        <w:spacing w:after="0" w:line="240" w:lineRule="auto"/>
        <w:ind w:left="709"/>
        <w:jc w:val="both"/>
        <w:rPr>
          <w:rFonts w:ascii="Times New Roman" w:hAnsi="Times New Roman"/>
          <w:sz w:val="24"/>
          <w:szCs w:val="24"/>
        </w:rPr>
      </w:pPr>
      <w:r>
        <w:rPr>
          <w:rFonts w:ascii="Times New Roman" w:hAnsi="Times New Roman"/>
          <w:sz w:val="24"/>
          <w:szCs w:val="24"/>
        </w:rPr>
        <w:t>a</w:t>
      </w:r>
      <w:r w:rsidRPr="003212A1">
        <w:rPr>
          <w:rFonts w:ascii="Times New Roman" w:hAnsi="Times New Roman"/>
          <w:sz w:val="24"/>
          <w:szCs w:val="24"/>
        </w:rPr>
        <w:t xml:space="preserve">tbalstu saņems iedzīvotāju </w:t>
      </w:r>
      <w:r w:rsidR="0021237B">
        <w:rPr>
          <w:rFonts w:ascii="Times New Roman" w:hAnsi="Times New Roman"/>
          <w:sz w:val="24"/>
          <w:szCs w:val="24"/>
        </w:rPr>
        <w:t>grupas, kuru ienākumi</w:t>
      </w:r>
      <w:r w:rsidRPr="003212A1">
        <w:rPr>
          <w:rFonts w:ascii="Times New Roman" w:hAnsi="Times New Roman"/>
          <w:sz w:val="24"/>
          <w:szCs w:val="24"/>
        </w:rPr>
        <w:t xml:space="preserve"> galvenokārt koncentrējās 1.-3.kvintilē</w:t>
      </w:r>
      <w:r w:rsidR="0068582B">
        <w:rPr>
          <w:rFonts w:ascii="Times New Roman" w:hAnsi="Times New Roman"/>
          <w:sz w:val="24"/>
          <w:szCs w:val="24"/>
        </w:rPr>
        <w:t>, kas ir atbilstoši MP rezolūcijai par atbalstu noteiktām sociālām grupām</w:t>
      </w:r>
      <w:r w:rsidR="0021237B">
        <w:rPr>
          <w:rFonts w:ascii="Times New Roman" w:hAnsi="Times New Roman"/>
          <w:sz w:val="24"/>
          <w:szCs w:val="24"/>
        </w:rPr>
        <w:t>;</w:t>
      </w:r>
    </w:p>
    <w:p w14:paraId="210AA56F" w14:textId="29A62004" w:rsidR="00797663" w:rsidRPr="007800E6" w:rsidRDefault="00797663" w:rsidP="000C5E35">
      <w:pPr>
        <w:pStyle w:val="ListParagraph"/>
        <w:numPr>
          <w:ilvl w:val="0"/>
          <w:numId w:val="19"/>
        </w:numPr>
        <w:spacing w:after="0" w:line="240" w:lineRule="auto"/>
        <w:ind w:left="709"/>
        <w:jc w:val="both"/>
        <w:rPr>
          <w:rFonts w:ascii="Times New Roman" w:hAnsi="Times New Roman"/>
          <w:sz w:val="24"/>
          <w:szCs w:val="24"/>
        </w:rPr>
      </w:pPr>
      <w:r w:rsidRPr="00797663">
        <w:rPr>
          <w:rFonts w:ascii="Times New Roman" w:hAnsi="Times New Roman" w:cs="Times New Roman"/>
          <w:sz w:val="24"/>
          <w:szCs w:val="24"/>
        </w:rPr>
        <w:t>ieviešams esošā institucionālā mehānisma ietvaros;</w:t>
      </w:r>
    </w:p>
    <w:p w14:paraId="6527002F" w14:textId="027A2A20" w:rsidR="007800E6" w:rsidRPr="00797663" w:rsidRDefault="007800E6" w:rsidP="000C5E35">
      <w:pPr>
        <w:pStyle w:val="ListParagraph"/>
        <w:numPr>
          <w:ilvl w:val="0"/>
          <w:numId w:val="19"/>
        </w:numPr>
        <w:spacing w:after="0" w:line="240" w:lineRule="auto"/>
        <w:ind w:left="709"/>
        <w:jc w:val="both"/>
        <w:rPr>
          <w:rFonts w:ascii="Times New Roman" w:hAnsi="Times New Roman"/>
          <w:sz w:val="24"/>
          <w:szCs w:val="24"/>
        </w:rPr>
      </w:pPr>
      <w:r>
        <w:rPr>
          <w:rFonts w:ascii="Times New Roman" w:hAnsi="Times New Roman"/>
          <w:sz w:val="24"/>
          <w:szCs w:val="24"/>
        </w:rPr>
        <w:t>ikmēneša atbalsta sniegšana visā apkures periodā nodrošina tūlītēju un līdzsvarotu atbalstu komunālo maksājumu pieauguma segšanai un samazina potenciālo nepieciešamību vērsties pēc papildu palīdzības pašvaldības sociālajā dienestā;</w:t>
      </w:r>
    </w:p>
    <w:p w14:paraId="392ED2F1" w14:textId="6350171A" w:rsidR="0021237B" w:rsidRPr="0021237B" w:rsidRDefault="0021237B" w:rsidP="000C5E35">
      <w:pPr>
        <w:pStyle w:val="ListParagraph"/>
        <w:numPr>
          <w:ilvl w:val="0"/>
          <w:numId w:val="19"/>
        </w:numPr>
        <w:spacing w:after="0" w:line="240" w:lineRule="auto"/>
        <w:ind w:left="709"/>
        <w:jc w:val="both"/>
        <w:rPr>
          <w:rFonts w:ascii="Times New Roman" w:hAnsi="Times New Roman"/>
          <w:sz w:val="24"/>
          <w:szCs w:val="24"/>
        </w:rPr>
      </w:pPr>
      <w:r>
        <w:rPr>
          <w:rFonts w:ascii="Times New Roman" w:hAnsi="Times New Roman"/>
          <w:sz w:val="24"/>
          <w:szCs w:val="24"/>
        </w:rPr>
        <w:t>iedzīvotājiem neradīs administratīvo slogu, jo atbalsts tiks izmaksāts automātiski bez personas iesnieguma</w:t>
      </w:r>
      <w:r w:rsidR="00914431">
        <w:rPr>
          <w:rFonts w:ascii="Times New Roman" w:hAnsi="Times New Roman"/>
          <w:sz w:val="24"/>
          <w:szCs w:val="24"/>
        </w:rPr>
        <w:t>.</w:t>
      </w:r>
    </w:p>
    <w:p w14:paraId="7436FDD7" w14:textId="77777777" w:rsidR="008E5B0D" w:rsidRDefault="008E5B0D" w:rsidP="00E40EAD">
      <w:pPr>
        <w:spacing w:after="0" w:line="240" w:lineRule="auto"/>
        <w:rPr>
          <w:rFonts w:ascii="Times New Roman" w:hAnsi="Times New Roman"/>
          <w:sz w:val="24"/>
          <w:szCs w:val="24"/>
          <w:u w:val="single"/>
        </w:rPr>
      </w:pPr>
    </w:p>
    <w:p w14:paraId="43D033A6" w14:textId="77777777" w:rsidR="00B15931" w:rsidRDefault="00B15931" w:rsidP="00E40EAD">
      <w:pPr>
        <w:spacing w:after="0" w:line="240" w:lineRule="auto"/>
        <w:rPr>
          <w:rFonts w:ascii="Times New Roman" w:hAnsi="Times New Roman"/>
          <w:sz w:val="24"/>
          <w:szCs w:val="24"/>
          <w:u w:val="single"/>
        </w:rPr>
      </w:pPr>
    </w:p>
    <w:p w14:paraId="1FCC6E7A" w14:textId="77777777" w:rsidR="005601B5" w:rsidRDefault="005601B5" w:rsidP="00E40EAD">
      <w:pPr>
        <w:spacing w:after="0" w:line="240" w:lineRule="auto"/>
        <w:rPr>
          <w:rFonts w:ascii="Times New Roman" w:hAnsi="Times New Roman"/>
          <w:sz w:val="24"/>
          <w:szCs w:val="24"/>
          <w:u w:val="single"/>
        </w:rPr>
      </w:pPr>
    </w:p>
    <w:p w14:paraId="3B52203F" w14:textId="45CCB330" w:rsidR="008470B8" w:rsidRDefault="003212A1">
      <w:pPr>
        <w:spacing w:after="0" w:line="240" w:lineRule="auto"/>
        <w:rPr>
          <w:rFonts w:ascii="Times New Roman" w:hAnsi="Times New Roman"/>
          <w:sz w:val="24"/>
          <w:szCs w:val="24"/>
        </w:rPr>
      </w:pPr>
      <w:r w:rsidRPr="00365151">
        <w:rPr>
          <w:rFonts w:ascii="Times New Roman" w:hAnsi="Times New Roman"/>
          <w:sz w:val="24"/>
          <w:szCs w:val="24"/>
          <w:u w:val="single"/>
        </w:rPr>
        <w:t>Trūkumi</w:t>
      </w:r>
      <w:r>
        <w:rPr>
          <w:rFonts w:ascii="Times New Roman" w:hAnsi="Times New Roman"/>
          <w:sz w:val="24"/>
          <w:szCs w:val="24"/>
        </w:rPr>
        <w:t>:</w:t>
      </w:r>
    </w:p>
    <w:p w14:paraId="5616C5EF" w14:textId="0CF65462" w:rsidR="00E25F8A" w:rsidRPr="0060012D" w:rsidRDefault="00E25F8A" w:rsidP="000C5E35">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palielināts</w:t>
      </w:r>
      <w:r w:rsidRPr="00E25F8A">
        <w:rPr>
          <w:rFonts w:ascii="Times New Roman" w:hAnsi="Times New Roman" w:cs="Times New Roman"/>
          <w:sz w:val="24"/>
          <w:szCs w:val="24"/>
        </w:rPr>
        <w:t xml:space="preserve"> a</w:t>
      </w:r>
      <w:r>
        <w:rPr>
          <w:rFonts w:ascii="Times New Roman" w:hAnsi="Times New Roman" w:cs="Times New Roman"/>
          <w:sz w:val="24"/>
          <w:szCs w:val="24"/>
        </w:rPr>
        <w:t>dministratīvais slogs</w:t>
      </w:r>
      <w:r w:rsidRPr="00E25F8A">
        <w:rPr>
          <w:rFonts w:ascii="Times New Roman" w:hAnsi="Times New Roman" w:cs="Times New Roman"/>
          <w:sz w:val="24"/>
          <w:szCs w:val="24"/>
        </w:rPr>
        <w:t xml:space="preserve"> VSAA</w:t>
      </w:r>
      <w:r>
        <w:rPr>
          <w:rFonts w:ascii="Times New Roman" w:hAnsi="Times New Roman" w:cs="Times New Roman"/>
          <w:sz w:val="24"/>
          <w:szCs w:val="24"/>
        </w:rPr>
        <w:t>;</w:t>
      </w:r>
    </w:p>
    <w:p w14:paraId="431F8E3B" w14:textId="20F17A0E" w:rsidR="003212A1" w:rsidRPr="0021237B" w:rsidRDefault="003212A1" w:rsidP="000C5E35">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sz w:val="24"/>
          <w:szCs w:val="24"/>
        </w:rPr>
        <w:t>tā kā netiek vērtēta mājsaimniecīb</w:t>
      </w:r>
      <w:r w:rsidR="0021237B">
        <w:rPr>
          <w:rFonts w:ascii="Times New Roman" w:hAnsi="Times New Roman"/>
          <w:sz w:val="24"/>
          <w:szCs w:val="24"/>
        </w:rPr>
        <w:t>a, kurā dzīvo atbalsta saņēmējs</w:t>
      </w:r>
      <w:r>
        <w:rPr>
          <w:rFonts w:ascii="Times New Roman" w:hAnsi="Times New Roman"/>
          <w:sz w:val="24"/>
          <w:szCs w:val="24"/>
        </w:rPr>
        <w:t>, pastāv iespēja, ka persona dzīvo</w:t>
      </w:r>
      <w:r w:rsidR="00914431">
        <w:rPr>
          <w:rFonts w:ascii="Times New Roman" w:hAnsi="Times New Roman"/>
          <w:sz w:val="24"/>
          <w:szCs w:val="24"/>
        </w:rPr>
        <w:t xml:space="preserve"> kopā</w:t>
      </w:r>
      <w:r>
        <w:rPr>
          <w:rFonts w:ascii="Times New Roman" w:hAnsi="Times New Roman"/>
          <w:sz w:val="24"/>
          <w:szCs w:val="24"/>
        </w:rPr>
        <w:t xml:space="preserve"> ar citiem mājsaimniecību locekļiem, kuru ienākumi klasificējās 4.-5.kvintilē</w:t>
      </w:r>
      <w:r w:rsidR="0021237B">
        <w:rPr>
          <w:rFonts w:ascii="Times New Roman" w:hAnsi="Times New Roman"/>
          <w:sz w:val="24"/>
          <w:szCs w:val="24"/>
        </w:rPr>
        <w:t>;</w:t>
      </w:r>
    </w:p>
    <w:p w14:paraId="534DF444" w14:textId="11A1CB44" w:rsidR="0021237B" w:rsidRPr="003212A1" w:rsidRDefault="005C3D04" w:rsidP="000C5E35">
      <w:pPr>
        <w:pStyle w:val="ListParagraph"/>
        <w:numPr>
          <w:ilvl w:val="0"/>
          <w:numId w:val="14"/>
        </w:numPr>
        <w:spacing w:after="0" w:line="240" w:lineRule="auto"/>
        <w:jc w:val="both"/>
        <w:rPr>
          <w:rFonts w:ascii="Times New Roman" w:hAnsi="Times New Roman" w:cs="Times New Roman"/>
          <w:sz w:val="24"/>
          <w:szCs w:val="24"/>
        </w:rPr>
      </w:pPr>
      <w:r w:rsidRPr="005C3D04">
        <w:rPr>
          <w:rFonts w:ascii="Times New Roman" w:hAnsi="Times New Roman" w:cs="Times New Roman"/>
          <w:sz w:val="24"/>
          <w:szCs w:val="24"/>
        </w:rPr>
        <w:t xml:space="preserve">pabalsta izmaksas gadījumā, kur noteikta pensijas, pabalsta vai atlīdzības robeža, vērtējot pakalpojuma apmēru, jāņem vērā, ka persona bez Latvijas pensijas var saņemt arī  </w:t>
      </w:r>
      <w:r w:rsidRPr="005C3D04">
        <w:rPr>
          <w:rFonts w:ascii="Times New Roman" w:eastAsia="Times New Roman" w:hAnsi="Times New Roman" w:cs="Times New Roman"/>
          <w:sz w:val="24"/>
          <w:szCs w:val="24"/>
        </w:rPr>
        <w:t xml:space="preserve">citas valsts pensiju (kas visbiežāk nav VSAA rīcībā), kā arī personai var būt ienākumi no darba, tādējādi pastāv iespēja, ka personas kopējie ienākumi ir salīdzinoši augsti un atbalstu saņems personas, kuru ienākumi </w:t>
      </w:r>
      <w:r w:rsidRPr="005C3D04">
        <w:rPr>
          <w:rFonts w:ascii="Times New Roman" w:hAnsi="Times New Roman"/>
          <w:sz w:val="24"/>
          <w:szCs w:val="24"/>
        </w:rPr>
        <w:t>atbilst 4.-5.kvintilei</w:t>
      </w:r>
      <w:r w:rsidR="0068582B">
        <w:rPr>
          <w:rFonts w:ascii="Times New Roman" w:eastAsia="Times New Roman" w:hAnsi="Times New Roman" w:cs="Times New Roman"/>
          <w:sz w:val="24"/>
          <w:szCs w:val="24"/>
        </w:rPr>
        <w:t>.</w:t>
      </w:r>
    </w:p>
    <w:p w14:paraId="5628673D" w14:textId="77777777" w:rsidR="00F51744" w:rsidRDefault="00F51744" w:rsidP="002959D4">
      <w:pPr>
        <w:rPr>
          <w:rFonts w:ascii="Times New Roman" w:hAnsi="Times New Roman" w:cs="Times New Roman"/>
          <w:b/>
          <w:sz w:val="24"/>
          <w:szCs w:val="24"/>
        </w:rPr>
      </w:pPr>
    </w:p>
    <w:p w14:paraId="1D2F8B89" w14:textId="6FA20A06" w:rsidR="002959D4" w:rsidRPr="00114009" w:rsidRDefault="00412AE7" w:rsidP="002959D4">
      <w:pPr>
        <w:rPr>
          <w:rFonts w:ascii="Times New Roman" w:hAnsi="Times New Roman" w:cs="Times New Roman"/>
          <w:b/>
          <w:sz w:val="20"/>
          <w:szCs w:val="24"/>
        </w:rPr>
      </w:pPr>
      <w:r>
        <w:rPr>
          <w:rFonts w:ascii="Times New Roman" w:hAnsi="Times New Roman" w:cs="Times New Roman"/>
          <w:b/>
          <w:sz w:val="20"/>
          <w:szCs w:val="24"/>
        </w:rPr>
        <w:t xml:space="preserve">3.1.3. </w:t>
      </w:r>
      <w:r w:rsidR="002959D4" w:rsidRPr="00114009">
        <w:rPr>
          <w:rFonts w:ascii="Times New Roman" w:hAnsi="Times New Roman" w:cs="Times New Roman"/>
          <w:b/>
          <w:sz w:val="20"/>
          <w:szCs w:val="24"/>
        </w:rPr>
        <w:t>AUTOMĀTISK</w:t>
      </w:r>
      <w:r w:rsidR="00AE63A6">
        <w:rPr>
          <w:rFonts w:ascii="Times New Roman" w:hAnsi="Times New Roman" w:cs="Times New Roman"/>
          <w:b/>
          <w:sz w:val="20"/>
          <w:szCs w:val="24"/>
        </w:rPr>
        <w:t>S</w:t>
      </w:r>
      <w:r w:rsidR="002959D4" w:rsidRPr="00114009">
        <w:rPr>
          <w:rFonts w:ascii="Times New Roman" w:hAnsi="Times New Roman" w:cs="Times New Roman"/>
          <w:b/>
          <w:sz w:val="20"/>
          <w:szCs w:val="24"/>
        </w:rPr>
        <w:t xml:space="preserve"> </w:t>
      </w:r>
      <w:r w:rsidR="00AE63A6" w:rsidRPr="00114009">
        <w:rPr>
          <w:rFonts w:ascii="Times New Roman" w:hAnsi="Times New Roman" w:cs="Times New Roman"/>
          <w:b/>
          <w:sz w:val="20"/>
          <w:szCs w:val="24"/>
        </w:rPr>
        <w:t>MAKSĀJUM</w:t>
      </w:r>
      <w:r w:rsidR="00AE63A6">
        <w:rPr>
          <w:rFonts w:ascii="Times New Roman" w:hAnsi="Times New Roman" w:cs="Times New Roman"/>
          <w:b/>
          <w:sz w:val="20"/>
          <w:szCs w:val="24"/>
        </w:rPr>
        <w:t>S MĀJSAIMNIECĪBAI</w:t>
      </w:r>
    </w:p>
    <w:p w14:paraId="70705BBA" w14:textId="67C2E86E" w:rsidR="00514212" w:rsidRDefault="00514212" w:rsidP="005142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Pasākums paredz </w:t>
      </w:r>
      <w:r w:rsidRPr="00365151">
        <w:rPr>
          <w:rFonts w:ascii="Times New Roman" w:hAnsi="Times New Roman" w:cs="Times New Roman"/>
          <w:b/>
          <w:sz w:val="24"/>
          <w:szCs w:val="24"/>
        </w:rPr>
        <w:t>jauna atbalsta veida ieviešanu</w:t>
      </w:r>
      <w:r>
        <w:rPr>
          <w:rFonts w:ascii="Times New Roman" w:hAnsi="Times New Roman" w:cs="Times New Roman"/>
          <w:sz w:val="24"/>
          <w:szCs w:val="24"/>
        </w:rPr>
        <w:t xml:space="preserve"> </w:t>
      </w:r>
      <w:r w:rsidR="00266B63">
        <w:rPr>
          <w:rFonts w:ascii="Times New Roman" w:hAnsi="Times New Roman" w:cs="Times New Roman"/>
          <w:sz w:val="24"/>
          <w:szCs w:val="24"/>
        </w:rPr>
        <w:t>–</w:t>
      </w:r>
      <w:r>
        <w:rPr>
          <w:rFonts w:ascii="Times New Roman" w:hAnsi="Times New Roman" w:cs="Times New Roman"/>
          <w:sz w:val="24"/>
          <w:szCs w:val="24"/>
        </w:rPr>
        <w:t xml:space="preserve"> automātiska</w:t>
      </w:r>
      <w:r w:rsidR="00266B63">
        <w:rPr>
          <w:rFonts w:ascii="Times New Roman" w:hAnsi="Times New Roman" w:cs="Times New Roman"/>
          <w:sz w:val="24"/>
          <w:szCs w:val="24"/>
        </w:rPr>
        <w:t xml:space="preserve"> </w:t>
      </w:r>
      <w:r>
        <w:rPr>
          <w:rFonts w:ascii="Times New Roman" w:hAnsi="Times New Roman" w:cs="Times New Roman"/>
          <w:sz w:val="24"/>
          <w:szCs w:val="24"/>
        </w:rPr>
        <w:t>atbalsta piešķiršanu mājsaimniecībai, balstoties uz valsts reģistros un valsts informācijas sistēmās esošo informāciju par vienā mājoklī (</w:t>
      </w:r>
      <w:r w:rsidR="00585297" w:rsidRPr="00585297">
        <w:rPr>
          <w:rFonts w:ascii="Times New Roman" w:hAnsi="Times New Roman" w:cs="Times New Roman"/>
          <w:sz w:val="24"/>
          <w:szCs w:val="24"/>
        </w:rPr>
        <w:t xml:space="preserve">atbilstoši Fizisko personu reģistra datiem </w:t>
      </w:r>
      <w:r w:rsidR="00585297" w:rsidRPr="00585297">
        <w:rPr>
          <w:rFonts w:ascii="Times New Roman" w:hAnsi="Times New Roman" w:cs="Times New Roman"/>
          <w:sz w:val="24"/>
          <w:szCs w:val="24"/>
        </w:rPr>
        <w:lastRenderedPageBreak/>
        <w:t>par personas adresi</w:t>
      </w:r>
      <w:r>
        <w:rPr>
          <w:rFonts w:ascii="Times New Roman" w:hAnsi="Times New Roman" w:cs="Times New Roman"/>
          <w:sz w:val="24"/>
          <w:szCs w:val="24"/>
        </w:rPr>
        <w:t>) dzīvojoš</w:t>
      </w:r>
      <w:r w:rsidR="00E237FE">
        <w:rPr>
          <w:rFonts w:ascii="Times New Roman" w:hAnsi="Times New Roman" w:cs="Times New Roman"/>
          <w:sz w:val="24"/>
          <w:szCs w:val="24"/>
        </w:rPr>
        <w:t>ajām</w:t>
      </w:r>
      <w:r>
        <w:rPr>
          <w:rFonts w:ascii="Times New Roman" w:hAnsi="Times New Roman" w:cs="Times New Roman"/>
          <w:sz w:val="24"/>
          <w:szCs w:val="24"/>
        </w:rPr>
        <w:t xml:space="preserve"> person</w:t>
      </w:r>
      <w:r w:rsidR="00E237FE">
        <w:rPr>
          <w:rFonts w:ascii="Times New Roman" w:hAnsi="Times New Roman" w:cs="Times New Roman"/>
          <w:sz w:val="24"/>
          <w:szCs w:val="24"/>
        </w:rPr>
        <w:t>ām to</w:t>
      </w:r>
      <w:r>
        <w:rPr>
          <w:rFonts w:ascii="Times New Roman" w:hAnsi="Times New Roman" w:cs="Times New Roman"/>
          <w:sz w:val="24"/>
          <w:szCs w:val="24"/>
        </w:rPr>
        <w:t xml:space="preserve"> ienākumiem</w:t>
      </w:r>
      <w:r w:rsidR="00C03BF9" w:rsidRPr="00C03BF9">
        <w:rPr>
          <w:rFonts w:ascii="Times New Roman" w:hAnsi="Times New Roman" w:cs="Times New Roman"/>
          <w:sz w:val="24"/>
          <w:szCs w:val="24"/>
        </w:rPr>
        <w:t xml:space="preserve"> </w:t>
      </w:r>
      <w:r w:rsidR="00C03BF9">
        <w:rPr>
          <w:rFonts w:ascii="Times New Roman" w:hAnsi="Times New Roman" w:cs="Times New Roman"/>
          <w:sz w:val="24"/>
          <w:szCs w:val="24"/>
        </w:rPr>
        <w:t xml:space="preserve">līdz noteiktam </w:t>
      </w:r>
      <w:r w:rsidR="00E237FE">
        <w:rPr>
          <w:rFonts w:ascii="Times New Roman" w:hAnsi="Times New Roman" w:cs="Times New Roman"/>
          <w:sz w:val="24"/>
          <w:szCs w:val="24"/>
        </w:rPr>
        <w:t>ienākumu slieksnim</w:t>
      </w:r>
      <w:r>
        <w:rPr>
          <w:rFonts w:ascii="Times New Roman" w:hAnsi="Times New Roman" w:cs="Times New Roman"/>
          <w:sz w:val="24"/>
          <w:szCs w:val="24"/>
        </w:rPr>
        <w:t xml:space="preserve">. </w:t>
      </w:r>
    </w:p>
    <w:p w14:paraId="217BE662" w14:textId="60F3055C" w:rsidR="00514212" w:rsidRDefault="00514212" w:rsidP="005142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Plānotais atbalsta sniegšanas periods </w:t>
      </w:r>
      <w:r w:rsidR="00CE510F">
        <w:rPr>
          <w:rFonts w:ascii="Times New Roman" w:hAnsi="Times New Roman" w:cs="Times New Roman"/>
          <w:sz w:val="24"/>
          <w:szCs w:val="24"/>
        </w:rPr>
        <w:t>ir</w:t>
      </w:r>
      <w:r>
        <w:rPr>
          <w:rFonts w:ascii="Times New Roman" w:hAnsi="Times New Roman" w:cs="Times New Roman"/>
          <w:sz w:val="24"/>
          <w:szCs w:val="24"/>
        </w:rPr>
        <w:t xml:space="preserve"> 202</w:t>
      </w:r>
      <w:r w:rsidR="00735866">
        <w:rPr>
          <w:rFonts w:ascii="Times New Roman" w:hAnsi="Times New Roman" w:cs="Times New Roman"/>
          <w:sz w:val="24"/>
          <w:szCs w:val="24"/>
        </w:rPr>
        <w:t>3</w:t>
      </w:r>
      <w:r>
        <w:rPr>
          <w:rFonts w:ascii="Times New Roman" w:hAnsi="Times New Roman" w:cs="Times New Roman"/>
          <w:sz w:val="24"/>
          <w:szCs w:val="24"/>
        </w:rPr>
        <w:t>.gada oktobris līdz 202</w:t>
      </w:r>
      <w:r w:rsidR="00735866">
        <w:rPr>
          <w:rFonts w:ascii="Times New Roman" w:hAnsi="Times New Roman" w:cs="Times New Roman"/>
          <w:sz w:val="24"/>
          <w:szCs w:val="24"/>
        </w:rPr>
        <w:t>4</w:t>
      </w:r>
      <w:r>
        <w:rPr>
          <w:rFonts w:ascii="Times New Roman" w:hAnsi="Times New Roman" w:cs="Times New Roman"/>
          <w:sz w:val="24"/>
          <w:szCs w:val="24"/>
        </w:rPr>
        <w:t>.gada aprīlis</w:t>
      </w:r>
      <w:r w:rsidR="00735866">
        <w:rPr>
          <w:rFonts w:ascii="Times New Roman" w:hAnsi="Times New Roman" w:cs="Times New Roman"/>
          <w:sz w:val="24"/>
          <w:szCs w:val="24"/>
        </w:rPr>
        <w:t>, ņemot vērā virkni identificēto trūkumu, kuru risināšanai un novēršanai ir nepieciešams ilgāks laika periods</w:t>
      </w:r>
      <w:r>
        <w:rPr>
          <w:rFonts w:ascii="Times New Roman" w:hAnsi="Times New Roman" w:cs="Times New Roman"/>
          <w:sz w:val="24"/>
          <w:szCs w:val="24"/>
        </w:rPr>
        <w:t>.</w:t>
      </w:r>
    </w:p>
    <w:p w14:paraId="2942022A" w14:textId="6621936E" w:rsidR="00514212" w:rsidRDefault="00514212" w:rsidP="005142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Kā atbalsta saņēmēji tiek noteiktas mājsaimniecības atbilstoši šī informatīvā ziņojuma </w:t>
      </w:r>
      <w:r w:rsidR="00735866">
        <w:rPr>
          <w:rFonts w:ascii="Times New Roman" w:hAnsi="Times New Roman" w:cs="Times New Roman"/>
          <w:sz w:val="24"/>
          <w:szCs w:val="24"/>
        </w:rPr>
        <w:t>3</w:t>
      </w:r>
      <w:r>
        <w:rPr>
          <w:rFonts w:ascii="Times New Roman" w:hAnsi="Times New Roman" w:cs="Times New Roman"/>
          <w:sz w:val="24"/>
          <w:szCs w:val="24"/>
        </w:rPr>
        <w:t>.sadaļā sniegtajam skaidrojumam.</w:t>
      </w:r>
      <w:r w:rsidRPr="0099477E">
        <w:rPr>
          <w:rFonts w:ascii="Times New Roman" w:hAnsi="Times New Roman" w:cs="Times New Roman"/>
          <w:sz w:val="24"/>
          <w:szCs w:val="24"/>
        </w:rPr>
        <w:t> </w:t>
      </w:r>
    </w:p>
    <w:p w14:paraId="6459C073" w14:textId="26F50E86" w:rsidR="00514212" w:rsidRDefault="00585297" w:rsidP="005142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Automātiska atbalsta saņemšanai </w:t>
      </w:r>
      <w:r w:rsidR="00514212">
        <w:rPr>
          <w:rFonts w:ascii="Times New Roman" w:hAnsi="Times New Roman" w:cs="Times New Roman"/>
          <w:sz w:val="24"/>
          <w:szCs w:val="24"/>
        </w:rPr>
        <w:t xml:space="preserve">mājsaimniecībā esošajām personām, par kuru deklarēto adresi ir ziņas PMLP </w:t>
      </w:r>
      <w:r w:rsidR="00AC0379">
        <w:rPr>
          <w:rFonts w:ascii="Times New Roman" w:hAnsi="Times New Roman" w:cs="Times New Roman"/>
          <w:sz w:val="24"/>
          <w:szCs w:val="24"/>
        </w:rPr>
        <w:t xml:space="preserve">pārziņā esošajā </w:t>
      </w:r>
      <w:r w:rsidR="00514212">
        <w:rPr>
          <w:rFonts w:ascii="Times New Roman" w:hAnsi="Times New Roman" w:cs="Times New Roman"/>
          <w:sz w:val="24"/>
          <w:szCs w:val="24"/>
        </w:rPr>
        <w:t xml:space="preserve">Fizisko personu reģistrā un par kuru gūtajiem ienākumiem ir ziņas VID un VSAA administrētajās valsts informācijas sistēmās,  nav jāsniedz iesniegums nevienai no valsts vai pašvaldību institūcijām, lai pieteiktos uz atbalsta saņemšanu, kā arī nav jāsniedz komunālo izmaksu apmēra/ pieauguma un piederības vienai mājsaimniecībai pierādījuma dokumenti. </w:t>
      </w:r>
    </w:p>
    <w:p w14:paraId="4AE8FC28" w14:textId="31897FB4" w:rsidR="00514212" w:rsidRPr="00BE2F39" w:rsidRDefault="00514212" w:rsidP="00365151">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Mājsaimniecības ienākumu </w:t>
      </w:r>
      <w:r w:rsidR="00CE510F">
        <w:rPr>
          <w:rFonts w:ascii="Times New Roman" w:hAnsi="Times New Roman" w:cs="Times New Roman"/>
          <w:sz w:val="24"/>
          <w:szCs w:val="24"/>
        </w:rPr>
        <w:t>no</w:t>
      </w:r>
      <w:r>
        <w:rPr>
          <w:rFonts w:ascii="Times New Roman" w:hAnsi="Times New Roman" w:cs="Times New Roman"/>
          <w:sz w:val="24"/>
          <w:szCs w:val="24"/>
        </w:rPr>
        <w:t>vērtēšanā</w:t>
      </w:r>
      <w:r w:rsidR="00CE510F">
        <w:rPr>
          <w:rFonts w:ascii="Times New Roman" w:hAnsi="Times New Roman" w:cs="Times New Roman"/>
          <w:sz w:val="24"/>
          <w:szCs w:val="24"/>
        </w:rPr>
        <w:t xml:space="preserve"> </w:t>
      </w:r>
      <w:r w:rsidR="007D26BE">
        <w:rPr>
          <w:rFonts w:ascii="Times New Roman" w:hAnsi="Times New Roman" w:cs="Times New Roman"/>
          <w:sz w:val="24"/>
          <w:szCs w:val="24"/>
        </w:rPr>
        <w:t>i</w:t>
      </w:r>
      <w:r w:rsidR="00CE510F">
        <w:rPr>
          <w:rFonts w:ascii="Times New Roman" w:hAnsi="Times New Roman" w:cs="Times New Roman"/>
          <w:sz w:val="24"/>
          <w:szCs w:val="24"/>
        </w:rPr>
        <w:t>ek</w:t>
      </w:r>
      <w:r w:rsidR="007D26BE">
        <w:rPr>
          <w:rFonts w:ascii="Times New Roman" w:hAnsi="Times New Roman" w:cs="Times New Roman"/>
          <w:sz w:val="24"/>
          <w:szCs w:val="24"/>
        </w:rPr>
        <w:t>ļaujamie</w:t>
      </w:r>
      <w:r w:rsidR="00CE510F">
        <w:rPr>
          <w:rFonts w:ascii="Times New Roman" w:hAnsi="Times New Roman" w:cs="Times New Roman"/>
          <w:sz w:val="24"/>
          <w:szCs w:val="24"/>
        </w:rPr>
        <w:t xml:space="preserve"> ienākumu veidi tiks </w:t>
      </w:r>
      <w:r w:rsidR="007D26BE">
        <w:rPr>
          <w:rFonts w:ascii="Times New Roman" w:hAnsi="Times New Roman" w:cs="Times New Roman"/>
          <w:sz w:val="24"/>
          <w:szCs w:val="24"/>
        </w:rPr>
        <w:t>noteikti</w:t>
      </w:r>
      <w:r w:rsidR="00CE510F">
        <w:rPr>
          <w:rFonts w:ascii="Times New Roman" w:hAnsi="Times New Roman" w:cs="Times New Roman"/>
          <w:sz w:val="24"/>
          <w:szCs w:val="24"/>
        </w:rPr>
        <w:t xml:space="preserve"> atbilstoši protokollēmuma </w:t>
      </w:r>
      <w:r w:rsidR="0043551A">
        <w:rPr>
          <w:rFonts w:ascii="Times New Roman" w:hAnsi="Times New Roman" w:cs="Times New Roman"/>
          <w:sz w:val="24"/>
          <w:szCs w:val="24"/>
        </w:rPr>
        <w:t>4.7</w:t>
      </w:r>
      <w:r w:rsidR="00CE510F">
        <w:rPr>
          <w:rFonts w:ascii="Times New Roman" w:hAnsi="Times New Roman" w:cs="Times New Roman"/>
          <w:sz w:val="24"/>
          <w:szCs w:val="24"/>
        </w:rPr>
        <w:t>.punktam, ņemot vēr</w:t>
      </w:r>
      <w:r w:rsidR="007D26BE">
        <w:rPr>
          <w:rFonts w:ascii="Times New Roman" w:hAnsi="Times New Roman" w:cs="Times New Roman"/>
          <w:sz w:val="24"/>
          <w:szCs w:val="24"/>
        </w:rPr>
        <w:t>ā ierobežoto laika termiņu šī ziņojuma izstrādei.</w:t>
      </w:r>
    </w:p>
    <w:p w14:paraId="1502F66B" w14:textId="06FFBBE9" w:rsidR="00514212" w:rsidRDefault="00514212" w:rsidP="005142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Ienākumu līmenis, līdz kuram mājsaimniecība kvalificējas atbalstam –</w:t>
      </w:r>
      <w:r w:rsidR="0090540C">
        <w:rPr>
          <w:rFonts w:ascii="Times New Roman" w:hAnsi="Times New Roman" w:cs="Times New Roman"/>
          <w:sz w:val="24"/>
          <w:szCs w:val="24"/>
        </w:rPr>
        <w:t xml:space="preserve"> līdz </w:t>
      </w:r>
      <w:r w:rsidR="0090540C" w:rsidRPr="008556ED">
        <w:rPr>
          <w:rFonts w:ascii="Times New Roman" w:hAnsi="Times New Roman" w:cs="Times New Roman"/>
          <w:sz w:val="24"/>
          <w:szCs w:val="24"/>
        </w:rPr>
        <w:t xml:space="preserve">743 </w:t>
      </w:r>
      <w:r w:rsidR="0090540C" w:rsidRPr="008556ED">
        <w:rPr>
          <w:rFonts w:ascii="Times New Roman" w:hAnsi="Times New Roman" w:cs="Times New Roman"/>
          <w:i/>
          <w:sz w:val="24"/>
          <w:szCs w:val="24"/>
        </w:rPr>
        <w:t>euro</w:t>
      </w:r>
      <w:r w:rsidR="0090540C" w:rsidRPr="008556ED">
        <w:rPr>
          <w:rFonts w:ascii="Times New Roman" w:hAnsi="Times New Roman" w:cs="Times New Roman"/>
          <w:sz w:val="24"/>
          <w:szCs w:val="24"/>
        </w:rPr>
        <w:t xml:space="preserve"> pirmajai vai vienīgajai personai mājsaimniecībā un 520 </w:t>
      </w:r>
      <w:r w:rsidR="0090540C" w:rsidRPr="008556ED">
        <w:rPr>
          <w:rFonts w:ascii="Times New Roman" w:hAnsi="Times New Roman" w:cs="Times New Roman"/>
          <w:i/>
          <w:sz w:val="24"/>
          <w:szCs w:val="24"/>
        </w:rPr>
        <w:t>euro</w:t>
      </w:r>
      <w:r w:rsidR="0090540C" w:rsidRPr="008556ED">
        <w:rPr>
          <w:rFonts w:ascii="Times New Roman" w:hAnsi="Times New Roman" w:cs="Times New Roman"/>
          <w:sz w:val="24"/>
          <w:szCs w:val="24"/>
        </w:rPr>
        <w:t xml:space="preserve"> pārējām personām mājsaimniecībā</w:t>
      </w:r>
      <w:r w:rsidR="0090540C">
        <w:rPr>
          <w:rStyle w:val="FootnoteReference"/>
          <w:rFonts w:ascii="Times New Roman" w:hAnsi="Times New Roman"/>
          <w:sz w:val="24"/>
          <w:szCs w:val="24"/>
        </w:rPr>
        <w:footnoteReference w:id="40"/>
      </w:r>
      <w:r>
        <w:rPr>
          <w:rFonts w:ascii="Times New Roman" w:hAnsi="Times New Roman" w:cs="Times New Roman"/>
          <w:sz w:val="24"/>
          <w:szCs w:val="24"/>
        </w:rPr>
        <w:t xml:space="preserve">. Tā kā VID rīcībā ir informācija tikai par personas bruto ienākumiem, nevis </w:t>
      </w:r>
      <w:r w:rsidR="0043551A">
        <w:rPr>
          <w:rFonts w:ascii="Times New Roman" w:hAnsi="Times New Roman" w:cs="Times New Roman"/>
          <w:sz w:val="24"/>
          <w:szCs w:val="24"/>
        </w:rPr>
        <w:t xml:space="preserve">atbilstoši </w:t>
      </w:r>
      <w:r>
        <w:rPr>
          <w:rFonts w:ascii="Times New Roman" w:hAnsi="Times New Roman" w:cs="Times New Roman"/>
          <w:sz w:val="24"/>
          <w:szCs w:val="24"/>
        </w:rPr>
        <w:t>MP rezolūcijas uzdevumam par atbilstošo neto ienākumu līmeni, atbalsta saņemšanas ienākumu sliekšņa noteikšanai tiek piemērota vispārējā nodokļu režīmā strādājošā darba ņēmēja valsts sociālās apdrošināšanas iemaksu likme 34,09% apmērā</w:t>
      </w:r>
      <w:r w:rsidR="001F5B58">
        <w:rPr>
          <w:rFonts w:ascii="Times New Roman" w:hAnsi="Times New Roman" w:cs="Times New Roman"/>
          <w:sz w:val="24"/>
          <w:szCs w:val="24"/>
        </w:rPr>
        <w:t xml:space="preserve"> (skatīt </w:t>
      </w:r>
      <w:r w:rsidR="00B15931">
        <w:rPr>
          <w:rFonts w:ascii="Times New Roman" w:hAnsi="Times New Roman" w:cs="Times New Roman"/>
          <w:sz w:val="24"/>
          <w:szCs w:val="24"/>
        </w:rPr>
        <w:t>8</w:t>
      </w:r>
      <w:r w:rsidR="0090540C">
        <w:rPr>
          <w:rFonts w:ascii="Times New Roman" w:hAnsi="Times New Roman" w:cs="Times New Roman"/>
          <w:sz w:val="24"/>
          <w:szCs w:val="24"/>
        </w:rPr>
        <w:t>.tabulu)</w:t>
      </w:r>
      <w:r w:rsidR="00C03BF9">
        <w:rPr>
          <w:rFonts w:ascii="Times New Roman" w:hAnsi="Times New Roman" w:cs="Times New Roman"/>
          <w:sz w:val="24"/>
          <w:szCs w:val="24"/>
        </w:rPr>
        <w:t>. Tādējādi šis pasākums neparedz sniegt atbalstu mājsaimniecībām ar ievērojami augstākiem ienākumiem</w:t>
      </w:r>
      <w:r w:rsidR="00B15931">
        <w:rPr>
          <w:rFonts w:ascii="Times New Roman" w:hAnsi="Times New Roman" w:cs="Times New Roman"/>
          <w:sz w:val="24"/>
          <w:szCs w:val="24"/>
        </w:rPr>
        <w:t>,</w:t>
      </w:r>
      <w:r w:rsidR="00C03BF9">
        <w:rPr>
          <w:rFonts w:ascii="Times New Roman" w:hAnsi="Times New Roman" w:cs="Times New Roman"/>
          <w:sz w:val="24"/>
          <w:szCs w:val="24"/>
        </w:rPr>
        <w:t xml:space="preserve"> nekā MP rezolūcijā norādīts, bet gan tikai ļauj identificēt mājsaimniecības atbalsta piešķiršanai pēc tās bruto ienākumiem</w:t>
      </w:r>
      <w:r>
        <w:rPr>
          <w:rFonts w:ascii="Times New Roman" w:hAnsi="Times New Roman" w:cs="Times New Roman"/>
          <w:sz w:val="24"/>
          <w:szCs w:val="24"/>
        </w:rPr>
        <w:t>:</w:t>
      </w:r>
    </w:p>
    <w:p w14:paraId="4350C759" w14:textId="77777777" w:rsidR="00B15931" w:rsidRDefault="00B15931" w:rsidP="00514212">
      <w:pPr>
        <w:spacing w:after="0" w:line="240" w:lineRule="auto"/>
        <w:ind w:firstLine="720"/>
        <w:jc w:val="both"/>
        <w:rPr>
          <w:rFonts w:ascii="Times New Roman" w:hAnsi="Times New Roman" w:cs="Times New Roman"/>
          <w:sz w:val="24"/>
          <w:szCs w:val="24"/>
        </w:rPr>
      </w:pPr>
    </w:p>
    <w:p w14:paraId="0CFC69DE" w14:textId="77777777" w:rsidR="00B15931" w:rsidRDefault="00B15931" w:rsidP="00514212">
      <w:pPr>
        <w:spacing w:after="0" w:line="240" w:lineRule="auto"/>
        <w:ind w:firstLine="720"/>
        <w:jc w:val="both"/>
        <w:rPr>
          <w:rFonts w:ascii="Times New Roman" w:hAnsi="Times New Roman" w:cs="Times New Roman"/>
          <w:sz w:val="24"/>
          <w:szCs w:val="24"/>
        </w:rPr>
      </w:pPr>
    </w:p>
    <w:p w14:paraId="4A761688" w14:textId="77777777" w:rsidR="00B15931" w:rsidRDefault="00B15931" w:rsidP="00514212">
      <w:pPr>
        <w:spacing w:after="0" w:line="240" w:lineRule="auto"/>
        <w:ind w:firstLine="720"/>
        <w:jc w:val="both"/>
        <w:rPr>
          <w:rFonts w:ascii="Times New Roman" w:hAnsi="Times New Roman" w:cs="Times New Roman"/>
          <w:sz w:val="24"/>
          <w:szCs w:val="24"/>
        </w:rPr>
      </w:pPr>
    </w:p>
    <w:p w14:paraId="57BD55F0" w14:textId="1BD882B5" w:rsidR="00514212" w:rsidRDefault="00B15931" w:rsidP="005142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514212">
        <w:rPr>
          <w:rFonts w:ascii="Times New Roman" w:hAnsi="Times New Roman" w:cs="Times New Roman"/>
          <w:sz w:val="24"/>
          <w:szCs w:val="24"/>
        </w:rPr>
        <w:t>.tabula.</w:t>
      </w:r>
    </w:p>
    <w:tbl>
      <w:tblPr>
        <w:tblStyle w:val="TableGrid"/>
        <w:tblW w:w="0" w:type="auto"/>
        <w:tblLook w:val="04A0" w:firstRow="1" w:lastRow="0" w:firstColumn="1" w:lastColumn="0" w:noHBand="0" w:noVBand="1"/>
      </w:tblPr>
      <w:tblGrid>
        <w:gridCol w:w="988"/>
        <w:gridCol w:w="1984"/>
        <w:gridCol w:w="1418"/>
        <w:gridCol w:w="1984"/>
        <w:gridCol w:w="1922"/>
      </w:tblGrid>
      <w:tr w:rsidR="00514212" w:rsidRPr="00004CA5" w14:paraId="220705FC" w14:textId="77777777" w:rsidTr="00514212">
        <w:tc>
          <w:tcPr>
            <w:tcW w:w="988" w:type="dxa"/>
          </w:tcPr>
          <w:p w14:paraId="2DB42284" w14:textId="77777777" w:rsidR="00514212" w:rsidRPr="00004CA5" w:rsidRDefault="00514212" w:rsidP="00514212">
            <w:pPr>
              <w:jc w:val="both"/>
              <w:rPr>
                <w:rFonts w:ascii="Times New Roman" w:hAnsi="Times New Roman"/>
                <w:sz w:val="20"/>
                <w:szCs w:val="20"/>
              </w:rPr>
            </w:pPr>
            <w:r w:rsidRPr="00004CA5">
              <w:rPr>
                <w:rFonts w:ascii="Times New Roman" w:hAnsi="Times New Roman"/>
                <w:sz w:val="20"/>
                <w:szCs w:val="20"/>
              </w:rPr>
              <w:t>Gads</w:t>
            </w:r>
          </w:p>
        </w:tc>
        <w:tc>
          <w:tcPr>
            <w:tcW w:w="1984" w:type="dxa"/>
          </w:tcPr>
          <w:p w14:paraId="729CEBE8" w14:textId="38E9BE8A" w:rsidR="00514212" w:rsidRPr="00004CA5" w:rsidRDefault="00514212" w:rsidP="0060012D">
            <w:pPr>
              <w:jc w:val="center"/>
              <w:rPr>
                <w:rFonts w:ascii="Times New Roman" w:hAnsi="Times New Roman"/>
                <w:sz w:val="20"/>
                <w:szCs w:val="20"/>
              </w:rPr>
            </w:pPr>
            <w:r w:rsidRPr="00004CA5">
              <w:rPr>
                <w:rFonts w:ascii="Times New Roman" w:hAnsi="Times New Roman"/>
                <w:sz w:val="20"/>
                <w:szCs w:val="20"/>
              </w:rPr>
              <w:t>M</w:t>
            </w:r>
            <w:r w:rsidR="0043551A">
              <w:rPr>
                <w:rFonts w:ascii="Times New Roman" w:hAnsi="Times New Roman"/>
                <w:sz w:val="20"/>
                <w:szCs w:val="20"/>
              </w:rPr>
              <w:t>inimālā ienākuma</w:t>
            </w:r>
            <w:r w:rsidRPr="00004CA5">
              <w:rPr>
                <w:rFonts w:ascii="Times New Roman" w:hAnsi="Times New Roman"/>
                <w:sz w:val="20"/>
                <w:szCs w:val="20"/>
              </w:rPr>
              <w:t xml:space="preserve"> mediānas</w:t>
            </w:r>
            <w:r w:rsidR="00A6219F">
              <w:rPr>
                <w:rFonts w:ascii="Times New Roman" w:hAnsi="Times New Roman"/>
                <w:sz w:val="20"/>
                <w:szCs w:val="20"/>
              </w:rPr>
              <w:t xml:space="preserve"> </w:t>
            </w:r>
            <w:r w:rsidRPr="00004CA5">
              <w:rPr>
                <w:rFonts w:ascii="Times New Roman" w:hAnsi="Times New Roman"/>
                <w:sz w:val="20"/>
                <w:szCs w:val="20"/>
              </w:rPr>
              <w:t>prognoze, aprēķināta ar darba samaksas pieauguma %</w:t>
            </w:r>
            <w:r w:rsidR="00A6219F">
              <w:rPr>
                <w:rStyle w:val="FootnoteReference"/>
                <w:rFonts w:ascii="Times New Roman" w:hAnsi="Times New Roman"/>
                <w:sz w:val="20"/>
                <w:szCs w:val="20"/>
              </w:rPr>
              <w:footnoteReference w:id="41"/>
            </w:r>
            <w:r w:rsidR="00A6219F" w:rsidRPr="00004CA5">
              <w:rPr>
                <w:rFonts w:ascii="Times New Roman" w:hAnsi="Times New Roman"/>
                <w:sz w:val="20"/>
                <w:szCs w:val="20"/>
              </w:rPr>
              <w:t xml:space="preserve"> </w:t>
            </w:r>
          </w:p>
        </w:tc>
        <w:tc>
          <w:tcPr>
            <w:tcW w:w="1418" w:type="dxa"/>
          </w:tcPr>
          <w:p w14:paraId="091307D7" w14:textId="77777777" w:rsidR="00514212" w:rsidRPr="00004CA5" w:rsidRDefault="00514212" w:rsidP="00514212">
            <w:pPr>
              <w:jc w:val="center"/>
              <w:rPr>
                <w:rFonts w:ascii="Times New Roman" w:hAnsi="Times New Roman"/>
                <w:sz w:val="20"/>
                <w:szCs w:val="20"/>
              </w:rPr>
            </w:pPr>
            <w:r>
              <w:rPr>
                <w:rFonts w:ascii="Times New Roman" w:hAnsi="Times New Roman"/>
                <w:sz w:val="20"/>
                <w:szCs w:val="20"/>
              </w:rPr>
              <w:t>VSAOI likme, 34.09%</w:t>
            </w:r>
          </w:p>
        </w:tc>
        <w:tc>
          <w:tcPr>
            <w:tcW w:w="1984" w:type="dxa"/>
          </w:tcPr>
          <w:p w14:paraId="3A206D97" w14:textId="0BDCE9C7" w:rsidR="00514212" w:rsidRPr="00004CA5" w:rsidRDefault="00514212" w:rsidP="00514212">
            <w:pPr>
              <w:jc w:val="center"/>
              <w:rPr>
                <w:rFonts w:ascii="Times New Roman" w:hAnsi="Times New Roman"/>
                <w:sz w:val="20"/>
                <w:szCs w:val="20"/>
              </w:rPr>
            </w:pPr>
            <w:r>
              <w:rPr>
                <w:rFonts w:ascii="Times New Roman" w:hAnsi="Times New Roman"/>
                <w:sz w:val="20"/>
                <w:szCs w:val="20"/>
              </w:rPr>
              <w:t>Bruto ienākumu slieksnis m</w:t>
            </w:r>
            <w:r w:rsidR="00A6219F">
              <w:rPr>
                <w:rFonts w:ascii="Times New Roman" w:hAnsi="Times New Roman"/>
                <w:sz w:val="20"/>
                <w:szCs w:val="20"/>
              </w:rPr>
              <w:t>ājsaimniecības</w:t>
            </w:r>
            <w:r>
              <w:rPr>
                <w:rFonts w:ascii="Times New Roman" w:hAnsi="Times New Roman"/>
                <w:sz w:val="20"/>
                <w:szCs w:val="20"/>
              </w:rPr>
              <w:t xml:space="preserve"> 1.personai (noapaļots)*</w:t>
            </w:r>
          </w:p>
        </w:tc>
        <w:tc>
          <w:tcPr>
            <w:tcW w:w="1922" w:type="dxa"/>
          </w:tcPr>
          <w:p w14:paraId="09191353" w14:textId="0B36DDB2" w:rsidR="00514212" w:rsidRPr="00004CA5" w:rsidRDefault="00514212" w:rsidP="0060012D">
            <w:pPr>
              <w:jc w:val="center"/>
              <w:rPr>
                <w:rFonts w:ascii="Times New Roman" w:hAnsi="Times New Roman"/>
                <w:sz w:val="20"/>
                <w:szCs w:val="20"/>
              </w:rPr>
            </w:pPr>
            <w:r>
              <w:rPr>
                <w:rFonts w:ascii="Times New Roman" w:hAnsi="Times New Roman"/>
                <w:sz w:val="20"/>
                <w:szCs w:val="20"/>
              </w:rPr>
              <w:t xml:space="preserve">Bruto ienākumu slieksnis </w:t>
            </w:r>
            <w:r w:rsidR="00A6219F">
              <w:rPr>
                <w:rFonts w:ascii="Times New Roman" w:hAnsi="Times New Roman"/>
                <w:sz w:val="20"/>
                <w:szCs w:val="20"/>
              </w:rPr>
              <w:t xml:space="preserve">pārējām personām mājsaimniecībā </w:t>
            </w:r>
            <w:r>
              <w:rPr>
                <w:rFonts w:ascii="Times New Roman" w:hAnsi="Times New Roman"/>
                <w:sz w:val="20"/>
                <w:szCs w:val="20"/>
              </w:rPr>
              <w:t xml:space="preserve"> personai (noapaļots)</w:t>
            </w:r>
          </w:p>
        </w:tc>
      </w:tr>
      <w:tr w:rsidR="00514212" w:rsidRPr="00004CA5" w14:paraId="78356BD3" w14:textId="77777777" w:rsidTr="00514212">
        <w:tc>
          <w:tcPr>
            <w:tcW w:w="988" w:type="dxa"/>
          </w:tcPr>
          <w:p w14:paraId="027D5C2F" w14:textId="77777777" w:rsidR="00514212" w:rsidRPr="00004CA5" w:rsidRDefault="00514212" w:rsidP="00514212">
            <w:pPr>
              <w:jc w:val="both"/>
              <w:rPr>
                <w:rFonts w:ascii="Times New Roman" w:hAnsi="Times New Roman"/>
                <w:sz w:val="20"/>
                <w:szCs w:val="20"/>
              </w:rPr>
            </w:pPr>
            <w:r w:rsidRPr="00004CA5">
              <w:rPr>
                <w:rFonts w:ascii="Times New Roman" w:hAnsi="Times New Roman"/>
                <w:sz w:val="20"/>
                <w:szCs w:val="20"/>
              </w:rPr>
              <w:t>2021</w:t>
            </w:r>
          </w:p>
        </w:tc>
        <w:tc>
          <w:tcPr>
            <w:tcW w:w="1984" w:type="dxa"/>
          </w:tcPr>
          <w:p w14:paraId="1E461D11" w14:textId="77777777" w:rsidR="00514212" w:rsidRPr="00004CA5" w:rsidRDefault="00514212" w:rsidP="00514212">
            <w:pPr>
              <w:jc w:val="center"/>
              <w:rPr>
                <w:rFonts w:ascii="Times New Roman" w:hAnsi="Times New Roman"/>
                <w:sz w:val="20"/>
                <w:szCs w:val="20"/>
              </w:rPr>
            </w:pPr>
            <w:r>
              <w:rPr>
                <w:rFonts w:ascii="Times New Roman" w:hAnsi="Times New Roman"/>
                <w:sz w:val="20"/>
                <w:szCs w:val="20"/>
              </w:rPr>
              <w:t>700</w:t>
            </w:r>
          </w:p>
        </w:tc>
        <w:tc>
          <w:tcPr>
            <w:tcW w:w="1418" w:type="dxa"/>
          </w:tcPr>
          <w:p w14:paraId="02D5CC2E" w14:textId="77777777" w:rsidR="00514212" w:rsidRPr="00004CA5" w:rsidRDefault="00514212" w:rsidP="00514212">
            <w:pPr>
              <w:jc w:val="center"/>
              <w:rPr>
                <w:rFonts w:ascii="Times New Roman" w:hAnsi="Times New Roman"/>
                <w:sz w:val="20"/>
                <w:szCs w:val="20"/>
              </w:rPr>
            </w:pPr>
            <w:r>
              <w:rPr>
                <w:rFonts w:ascii="Times New Roman" w:hAnsi="Times New Roman"/>
                <w:sz w:val="20"/>
                <w:szCs w:val="20"/>
              </w:rPr>
              <w:t>238.63</w:t>
            </w:r>
          </w:p>
        </w:tc>
        <w:tc>
          <w:tcPr>
            <w:tcW w:w="1984" w:type="dxa"/>
          </w:tcPr>
          <w:p w14:paraId="5F06B143" w14:textId="77777777" w:rsidR="00514212" w:rsidRPr="00004CA5" w:rsidRDefault="00514212" w:rsidP="00514212">
            <w:pPr>
              <w:jc w:val="center"/>
              <w:rPr>
                <w:rFonts w:ascii="Times New Roman" w:hAnsi="Times New Roman"/>
                <w:sz w:val="20"/>
                <w:szCs w:val="20"/>
              </w:rPr>
            </w:pPr>
            <w:r>
              <w:rPr>
                <w:rFonts w:ascii="Times New Roman" w:hAnsi="Times New Roman"/>
                <w:sz w:val="20"/>
                <w:szCs w:val="20"/>
              </w:rPr>
              <w:t>940</w:t>
            </w:r>
          </w:p>
        </w:tc>
        <w:tc>
          <w:tcPr>
            <w:tcW w:w="1922" w:type="dxa"/>
          </w:tcPr>
          <w:p w14:paraId="1ECB4C28" w14:textId="77777777" w:rsidR="00514212" w:rsidRPr="00004CA5" w:rsidRDefault="00514212" w:rsidP="00514212">
            <w:pPr>
              <w:jc w:val="center"/>
              <w:rPr>
                <w:rFonts w:ascii="Times New Roman" w:hAnsi="Times New Roman"/>
                <w:sz w:val="20"/>
                <w:szCs w:val="20"/>
              </w:rPr>
            </w:pPr>
            <w:r>
              <w:rPr>
                <w:rFonts w:ascii="Times New Roman" w:hAnsi="Times New Roman"/>
                <w:sz w:val="20"/>
                <w:szCs w:val="20"/>
              </w:rPr>
              <w:t>658</w:t>
            </w:r>
          </w:p>
        </w:tc>
      </w:tr>
      <w:tr w:rsidR="00514212" w:rsidRPr="00004CA5" w14:paraId="31B603EA" w14:textId="77777777" w:rsidTr="00514212">
        <w:tc>
          <w:tcPr>
            <w:tcW w:w="988" w:type="dxa"/>
          </w:tcPr>
          <w:p w14:paraId="347680EE" w14:textId="77777777" w:rsidR="00514212" w:rsidRPr="00004CA5" w:rsidRDefault="00514212" w:rsidP="00514212">
            <w:pPr>
              <w:jc w:val="both"/>
              <w:rPr>
                <w:rFonts w:ascii="Times New Roman" w:hAnsi="Times New Roman"/>
                <w:sz w:val="20"/>
                <w:szCs w:val="20"/>
              </w:rPr>
            </w:pPr>
            <w:r w:rsidRPr="00004CA5">
              <w:rPr>
                <w:rFonts w:ascii="Times New Roman" w:hAnsi="Times New Roman"/>
                <w:sz w:val="20"/>
                <w:szCs w:val="20"/>
              </w:rPr>
              <w:t>2022</w:t>
            </w:r>
          </w:p>
        </w:tc>
        <w:tc>
          <w:tcPr>
            <w:tcW w:w="1984" w:type="dxa"/>
          </w:tcPr>
          <w:p w14:paraId="413CE6EE" w14:textId="77777777" w:rsidR="00514212" w:rsidRPr="00004CA5" w:rsidRDefault="00514212" w:rsidP="00514212">
            <w:pPr>
              <w:jc w:val="center"/>
              <w:rPr>
                <w:rFonts w:ascii="Times New Roman" w:hAnsi="Times New Roman"/>
                <w:sz w:val="20"/>
                <w:szCs w:val="20"/>
              </w:rPr>
            </w:pPr>
            <w:r>
              <w:rPr>
                <w:rFonts w:ascii="Times New Roman" w:hAnsi="Times New Roman"/>
                <w:sz w:val="20"/>
                <w:szCs w:val="20"/>
              </w:rPr>
              <w:t>743</w:t>
            </w:r>
          </w:p>
        </w:tc>
        <w:tc>
          <w:tcPr>
            <w:tcW w:w="1418" w:type="dxa"/>
          </w:tcPr>
          <w:p w14:paraId="58740257" w14:textId="77777777" w:rsidR="00514212" w:rsidRPr="00004CA5" w:rsidRDefault="00514212" w:rsidP="00514212">
            <w:pPr>
              <w:jc w:val="center"/>
              <w:rPr>
                <w:rFonts w:ascii="Times New Roman" w:hAnsi="Times New Roman"/>
                <w:sz w:val="20"/>
                <w:szCs w:val="20"/>
              </w:rPr>
            </w:pPr>
            <w:r>
              <w:rPr>
                <w:rFonts w:ascii="Times New Roman" w:hAnsi="Times New Roman"/>
                <w:sz w:val="20"/>
                <w:szCs w:val="20"/>
              </w:rPr>
              <w:t>253.29</w:t>
            </w:r>
          </w:p>
        </w:tc>
        <w:tc>
          <w:tcPr>
            <w:tcW w:w="1984" w:type="dxa"/>
          </w:tcPr>
          <w:p w14:paraId="758AA130" w14:textId="77777777" w:rsidR="00514212" w:rsidRPr="00004CA5" w:rsidRDefault="00514212" w:rsidP="00514212">
            <w:pPr>
              <w:jc w:val="center"/>
              <w:rPr>
                <w:rFonts w:ascii="Times New Roman" w:hAnsi="Times New Roman"/>
                <w:sz w:val="20"/>
                <w:szCs w:val="20"/>
              </w:rPr>
            </w:pPr>
            <w:r>
              <w:rPr>
                <w:rFonts w:ascii="Times New Roman" w:hAnsi="Times New Roman"/>
                <w:sz w:val="20"/>
                <w:szCs w:val="20"/>
              </w:rPr>
              <w:t>996</w:t>
            </w:r>
          </w:p>
        </w:tc>
        <w:tc>
          <w:tcPr>
            <w:tcW w:w="1922" w:type="dxa"/>
          </w:tcPr>
          <w:p w14:paraId="6256A99E" w14:textId="77777777" w:rsidR="00514212" w:rsidRPr="00004CA5" w:rsidRDefault="00514212" w:rsidP="00514212">
            <w:pPr>
              <w:jc w:val="center"/>
              <w:rPr>
                <w:rFonts w:ascii="Times New Roman" w:hAnsi="Times New Roman"/>
                <w:sz w:val="20"/>
                <w:szCs w:val="20"/>
              </w:rPr>
            </w:pPr>
            <w:r>
              <w:rPr>
                <w:rFonts w:ascii="Times New Roman" w:hAnsi="Times New Roman"/>
                <w:sz w:val="20"/>
                <w:szCs w:val="20"/>
              </w:rPr>
              <w:t>697</w:t>
            </w:r>
          </w:p>
        </w:tc>
      </w:tr>
    </w:tbl>
    <w:p w14:paraId="2EC108F7" w14:textId="1ED4E475" w:rsidR="00514212" w:rsidRPr="00514212" w:rsidRDefault="00514212" w:rsidP="00514212">
      <w:pPr>
        <w:spacing w:after="0" w:line="240" w:lineRule="auto"/>
        <w:jc w:val="both"/>
        <w:rPr>
          <w:rFonts w:ascii="Times New Roman" w:hAnsi="Times New Roman" w:cs="Times New Roman"/>
          <w:sz w:val="20"/>
          <w:szCs w:val="20"/>
        </w:rPr>
      </w:pPr>
      <w:r w:rsidRPr="00514212">
        <w:rPr>
          <w:rFonts w:ascii="Times New Roman" w:hAnsi="Times New Roman" w:cs="Times New Roman"/>
          <w:sz w:val="20"/>
          <w:szCs w:val="20"/>
        </w:rPr>
        <w:t xml:space="preserve">* </w:t>
      </w:r>
      <w:r w:rsidR="007D26BE">
        <w:rPr>
          <w:rFonts w:ascii="Times New Roman" w:hAnsi="Times New Roman" w:cs="Times New Roman"/>
          <w:sz w:val="20"/>
          <w:szCs w:val="20"/>
        </w:rPr>
        <w:t>I</w:t>
      </w:r>
      <w:r w:rsidRPr="00514212">
        <w:rPr>
          <w:rFonts w:ascii="Times New Roman" w:hAnsi="Times New Roman" w:cs="Times New Roman"/>
          <w:sz w:val="20"/>
          <w:szCs w:val="20"/>
        </w:rPr>
        <w:t xml:space="preserve">enākumu </w:t>
      </w:r>
      <w:r w:rsidR="007D26BE">
        <w:rPr>
          <w:rFonts w:ascii="Times New Roman" w:hAnsi="Times New Roman" w:cs="Times New Roman"/>
          <w:sz w:val="20"/>
          <w:szCs w:val="20"/>
        </w:rPr>
        <w:t>sliekšņa</w:t>
      </w:r>
      <w:r w:rsidR="007D26BE" w:rsidRPr="00514212">
        <w:rPr>
          <w:rFonts w:ascii="Times New Roman" w:hAnsi="Times New Roman" w:cs="Times New Roman"/>
          <w:sz w:val="20"/>
          <w:szCs w:val="20"/>
        </w:rPr>
        <w:t xml:space="preserve"> </w:t>
      </w:r>
      <w:r w:rsidRPr="00514212">
        <w:rPr>
          <w:rFonts w:ascii="Times New Roman" w:hAnsi="Times New Roman" w:cs="Times New Roman"/>
          <w:sz w:val="20"/>
          <w:szCs w:val="20"/>
        </w:rPr>
        <w:t>noteikšanai tiek izmantota ekvivalences skala 1 un 0.7.</w:t>
      </w:r>
    </w:p>
    <w:p w14:paraId="3E81C738" w14:textId="77777777" w:rsidR="00514212" w:rsidRDefault="00514212" w:rsidP="00514212">
      <w:pPr>
        <w:spacing w:after="0" w:line="240" w:lineRule="auto"/>
        <w:jc w:val="both"/>
        <w:rPr>
          <w:rFonts w:ascii="Times New Roman" w:hAnsi="Times New Roman" w:cs="Times New Roman"/>
          <w:sz w:val="24"/>
          <w:szCs w:val="24"/>
        </w:rPr>
      </w:pPr>
    </w:p>
    <w:p w14:paraId="13C480DE" w14:textId="30DF5345" w:rsidR="00514212" w:rsidRDefault="00514212" w:rsidP="0036515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Tā kā dažādos nodokļu režīmos strādājošiem darba ņēmējiem atšķiras valsts sociālās apdrošināšanas obligātās iemaksu likmes lielums (pārējām grupām tas ir zemāks nekā 34,09%), tad augstākās likmes piemērošana rada labvēlīgākus nosacījumus atbalsta saņēmējiem un nodrošina atbilstošu mērķa grupas pārklājumu.</w:t>
      </w:r>
    </w:p>
    <w:p w14:paraId="74909019" w14:textId="3B7AE15F" w:rsidR="00514212" w:rsidRPr="0060012D" w:rsidRDefault="00266B63" w:rsidP="00C03BF9">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A</w:t>
      </w:r>
      <w:r w:rsidR="00514212" w:rsidRPr="007D26BE">
        <w:rPr>
          <w:rFonts w:ascii="Times New Roman" w:hAnsi="Times New Roman" w:cs="Times New Roman"/>
          <w:sz w:val="24"/>
          <w:szCs w:val="24"/>
        </w:rPr>
        <w:t xml:space="preserve">tbalsta apmērs tiek noteikts kā </w:t>
      </w:r>
      <w:r w:rsidR="004C09C1" w:rsidRPr="007D26BE">
        <w:rPr>
          <w:rFonts w:ascii="Times New Roman" w:hAnsi="Times New Roman" w:cs="Times New Roman"/>
          <w:sz w:val="24"/>
          <w:szCs w:val="24"/>
        </w:rPr>
        <w:t>kompensācija par sadārdzinājumu, kas aprēķināta</w:t>
      </w:r>
      <w:r>
        <w:rPr>
          <w:rFonts w:ascii="Times New Roman" w:hAnsi="Times New Roman" w:cs="Times New Roman"/>
          <w:sz w:val="24"/>
          <w:szCs w:val="24"/>
        </w:rPr>
        <w:t xml:space="preserve"> kā</w:t>
      </w:r>
      <w:r w:rsidR="004C09C1" w:rsidRPr="007D26BE">
        <w:rPr>
          <w:rFonts w:ascii="Times New Roman" w:hAnsi="Times New Roman" w:cs="Times New Roman"/>
          <w:sz w:val="24"/>
          <w:szCs w:val="24"/>
        </w:rPr>
        <w:t xml:space="preserve"> </w:t>
      </w:r>
      <w:r w:rsidR="00514212" w:rsidRPr="007D26BE">
        <w:rPr>
          <w:rFonts w:ascii="Times New Roman" w:hAnsi="Times New Roman" w:cs="Times New Roman"/>
          <w:sz w:val="24"/>
          <w:szCs w:val="24"/>
        </w:rPr>
        <w:t xml:space="preserve">starpība starp 2021.gada novembra </w:t>
      </w:r>
      <w:r w:rsidRPr="007D26BE">
        <w:rPr>
          <w:rFonts w:ascii="Times New Roman" w:eastAsia="Times New Roman" w:hAnsi="Times New Roman" w:cs="Times New Roman"/>
          <w:sz w:val="24"/>
          <w:szCs w:val="24"/>
        </w:rPr>
        <w:t xml:space="preserve">cenu </w:t>
      </w:r>
      <w:r w:rsidR="0043551A">
        <w:rPr>
          <w:rFonts w:ascii="Times New Roman" w:eastAsia="Times New Roman" w:hAnsi="Times New Roman" w:cs="Times New Roman"/>
          <w:sz w:val="24"/>
          <w:szCs w:val="24"/>
        </w:rPr>
        <w:t xml:space="preserve">par </w:t>
      </w:r>
      <w:r w:rsidR="00514212" w:rsidRPr="007D26BE">
        <w:rPr>
          <w:rFonts w:ascii="Times New Roman" w:eastAsia="Times New Roman" w:hAnsi="Times New Roman" w:cs="Times New Roman"/>
          <w:sz w:val="24"/>
          <w:szCs w:val="24"/>
        </w:rPr>
        <w:t xml:space="preserve">kwh un konkrētā atbalsta sniegšanas perioda mēneša </w:t>
      </w:r>
      <w:r w:rsidRPr="007D26BE">
        <w:rPr>
          <w:rFonts w:ascii="Times New Roman" w:eastAsia="Times New Roman" w:hAnsi="Times New Roman" w:cs="Times New Roman"/>
          <w:sz w:val="24"/>
          <w:szCs w:val="24"/>
        </w:rPr>
        <w:t xml:space="preserve">cenu </w:t>
      </w:r>
      <w:r w:rsidRPr="00266B63">
        <w:rPr>
          <w:rFonts w:ascii="Times New Roman" w:eastAsia="Times New Roman" w:hAnsi="Times New Roman" w:cs="Times New Roman"/>
          <w:sz w:val="24"/>
          <w:szCs w:val="24"/>
        </w:rPr>
        <w:t xml:space="preserve">par </w:t>
      </w:r>
      <w:r w:rsidR="0043551A" w:rsidRPr="007D26BE">
        <w:rPr>
          <w:rFonts w:ascii="Times New Roman" w:eastAsia="Times New Roman" w:hAnsi="Times New Roman" w:cs="Times New Roman"/>
          <w:sz w:val="24"/>
          <w:szCs w:val="24"/>
        </w:rPr>
        <w:t>kwh</w:t>
      </w:r>
      <w:r w:rsidRPr="00266B63">
        <w:rPr>
          <w:rFonts w:ascii="Times New Roman" w:eastAsia="Times New Roman" w:hAnsi="Times New Roman" w:cs="Times New Roman"/>
          <w:sz w:val="24"/>
          <w:szCs w:val="24"/>
        </w:rPr>
        <w:t xml:space="preserve"> </w:t>
      </w:r>
      <w:r w:rsidR="004C09C1" w:rsidRPr="00365151">
        <w:rPr>
          <w:rFonts w:ascii="Times New Roman" w:eastAsia="Times New Roman" w:hAnsi="Times New Roman" w:cs="Times New Roman"/>
          <w:sz w:val="24"/>
          <w:szCs w:val="24"/>
        </w:rPr>
        <w:t xml:space="preserve">atbilstoši vidējam patēriņa apjomam uz vienu cilvēku. </w:t>
      </w:r>
      <w:r w:rsidR="00514212" w:rsidRPr="00266B63">
        <w:rPr>
          <w:rFonts w:ascii="Times New Roman" w:eastAsia="Times New Roman" w:hAnsi="Times New Roman" w:cs="Times New Roman"/>
          <w:sz w:val="24"/>
          <w:szCs w:val="24"/>
        </w:rPr>
        <w:t>Nodrošinot vienotu, atbilstoši</w:t>
      </w:r>
      <w:r w:rsidR="00514212" w:rsidRPr="0060012D">
        <w:rPr>
          <w:rFonts w:ascii="Times New Roman" w:eastAsia="Times New Roman" w:hAnsi="Times New Roman" w:cs="Times New Roman"/>
          <w:sz w:val="24"/>
          <w:szCs w:val="24"/>
        </w:rPr>
        <w:t xml:space="preserve"> kwh cenas izmaiņām noteiktu atbalsta maksājumu, tiktu adekvāti kompensēta energoresursu cenas pieauguma negatīvā ietekme </w:t>
      </w:r>
      <w:r w:rsidR="00514212" w:rsidRPr="007D26BE">
        <w:rPr>
          <w:rFonts w:ascii="Times New Roman" w:eastAsia="Times New Roman" w:hAnsi="Times New Roman" w:cs="Times New Roman"/>
          <w:sz w:val="24"/>
          <w:szCs w:val="24"/>
        </w:rPr>
        <w:t>uz iedzīvotāju ienākumiem un maksātspēju.</w:t>
      </w:r>
      <w:r w:rsidR="00626292">
        <w:rPr>
          <w:rFonts w:ascii="Times New Roman" w:eastAsia="Times New Roman" w:hAnsi="Times New Roman" w:cs="Times New Roman"/>
          <w:sz w:val="24"/>
          <w:szCs w:val="24"/>
        </w:rPr>
        <w:t xml:space="preserve"> Konkrēta atbalsta apmērs tiks precizēts pēc prot</w:t>
      </w:r>
      <w:r w:rsidR="00943E84">
        <w:rPr>
          <w:rFonts w:ascii="Times New Roman" w:eastAsia="Times New Roman" w:hAnsi="Times New Roman" w:cs="Times New Roman"/>
          <w:sz w:val="24"/>
          <w:szCs w:val="24"/>
        </w:rPr>
        <w:t>o</w:t>
      </w:r>
      <w:r w:rsidR="0043551A">
        <w:rPr>
          <w:rFonts w:ascii="Times New Roman" w:eastAsia="Times New Roman" w:hAnsi="Times New Roman" w:cs="Times New Roman"/>
          <w:sz w:val="24"/>
          <w:szCs w:val="24"/>
        </w:rPr>
        <w:t>kollēmuma 4</w:t>
      </w:r>
      <w:r w:rsidR="00626292">
        <w:rPr>
          <w:rFonts w:ascii="Times New Roman" w:eastAsia="Times New Roman" w:hAnsi="Times New Roman" w:cs="Times New Roman"/>
          <w:sz w:val="24"/>
          <w:szCs w:val="24"/>
        </w:rPr>
        <w:t>.punkta izpildes.</w:t>
      </w:r>
    </w:p>
    <w:p w14:paraId="68F50BE9" w14:textId="4DFCFC62" w:rsidR="00514212" w:rsidRDefault="00514212" w:rsidP="0051421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Atbalsta saņēmēja noteikšana </w:t>
      </w:r>
      <w:r w:rsidR="004C09C1">
        <w:rPr>
          <w:rFonts w:ascii="Times New Roman" w:eastAsia="Times New Roman" w:hAnsi="Times New Roman" w:cs="Times New Roman"/>
          <w:sz w:val="24"/>
          <w:szCs w:val="24"/>
        </w:rPr>
        <w:t xml:space="preserve">konkrētās </w:t>
      </w:r>
      <w:r>
        <w:rPr>
          <w:rFonts w:ascii="Times New Roman" w:eastAsia="Times New Roman" w:hAnsi="Times New Roman" w:cs="Times New Roman"/>
          <w:sz w:val="24"/>
          <w:szCs w:val="24"/>
        </w:rPr>
        <w:t>mājsaimniecīb</w:t>
      </w:r>
      <w:r w:rsidR="004C09C1">
        <w:rPr>
          <w:rFonts w:ascii="Times New Roman" w:eastAsia="Times New Roman" w:hAnsi="Times New Roman" w:cs="Times New Roman"/>
          <w:sz w:val="24"/>
          <w:szCs w:val="24"/>
        </w:rPr>
        <w:t>as ietvaros</w:t>
      </w:r>
      <w:r>
        <w:rPr>
          <w:rFonts w:ascii="Times New Roman" w:eastAsia="Times New Roman" w:hAnsi="Times New Roman" w:cs="Times New Roman"/>
          <w:sz w:val="24"/>
          <w:szCs w:val="24"/>
        </w:rPr>
        <w:t xml:space="preserve"> (piedāvātais algoritms):</w:t>
      </w:r>
    </w:p>
    <w:p w14:paraId="1BD6DB2A" w14:textId="6092FD66" w:rsidR="00514212" w:rsidRDefault="00A46091" w:rsidP="005817AF">
      <w:pPr>
        <w:pStyle w:val="ListParagraph"/>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14212">
        <w:rPr>
          <w:rFonts w:ascii="Times New Roman" w:eastAsia="Times New Roman" w:hAnsi="Times New Roman" w:cs="Times New Roman"/>
          <w:sz w:val="24"/>
          <w:szCs w:val="24"/>
        </w:rPr>
        <w:t>ienas personas mājsaimniecībā atbalstu pārskaita uz šīs personas VID reģistrēto kontu;</w:t>
      </w:r>
    </w:p>
    <w:p w14:paraId="1CA294DB" w14:textId="3F65622E" w:rsidR="00514212" w:rsidRDefault="00A46091" w:rsidP="005817AF">
      <w:pPr>
        <w:pStyle w:val="ListParagraph"/>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14212">
        <w:rPr>
          <w:rFonts w:ascii="Times New Roman" w:eastAsia="Times New Roman" w:hAnsi="Times New Roman" w:cs="Times New Roman"/>
          <w:sz w:val="24"/>
          <w:szCs w:val="24"/>
        </w:rPr>
        <w:t>airāku darbspējīgo personu mājsaimniecībā atbalstu pārskaita uz tā mājsaimniecības locekļa VID reģistrēto kontu, kura īpašumā atrodas mājoklis vai kurš ir noslēdzis īres līgumu;</w:t>
      </w:r>
    </w:p>
    <w:p w14:paraId="24354AAF" w14:textId="7D6B0EB2" w:rsidR="00514212" w:rsidRDefault="00A46091" w:rsidP="005817AF">
      <w:pPr>
        <w:pStyle w:val="ListParagraph"/>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514212">
        <w:rPr>
          <w:rFonts w:ascii="Times New Roman" w:eastAsia="Times New Roman" w:hAnsi="Times New Roman" w:cs="Times New Roman"/>
          <w:sz w:val="24"/>
          <w:szCs w:val="24"/>
        </w:rPr>
        <w:t>ājsaimniecībā ar apgādībā esošiem bērniem atbalstu pārskaita uz tās personas VID reģistrēto kontu, kuras apgādībā ir bērns/</w:t>
      </w:r>
      <w:r w:rsidR="00CF53E7">
        <w:rPr>
          <w:rFonts w:ascii="Times New Roman" w:eastAsia="Times New Roman" w:hAnsi="Times New Roman" w:cs="Times New Roman"/>
          <w:sz w:val="24"/>
          <w:szCs w:val="24"/>
        </w:rPr>
        <w:t>-i</w:t>
      </w:r>
      <w:r w:rsidR="00514212">
        <w:rPr>
          <w:rFonts w:ascii="Times New Roman" w:eastAsia="Times New Roman" w:hAnsi="Times New Roman" w:cs="Times New Roman"/>
          <w:sz w:val="24"/>
          <w:szCs w:val="24"/>
        </w:rPr>
        <w:t xml:space="preserve"> . Ja apgādība par bērniem ir noteikta vairākiem darbspējas vecuma mājsaimniecības locekļiem, tad atbalstu piešķir tai personai, kuras apgādībā ir vairāk bērnu, bet vienāda apgādībā esošo bērnu </w:t>
      </w:r>
      <w:r w:rsidR="004C09C1">
        <w:rPr>
          <w:rFonts w:ascii="Times New Roman" w:eastAsia="Times New Roman" w:hAnsi="Times New Roman" w:cs="Times New Roman"/>
          <w:sz w:val="24"/>
          <w:szCs w:val="24"/>
        </w:rPr>
        <w:t xml:space="preserve">skaita </w:t>
      </w:r>
      <w:r w:rsidR="00514212">
        <w:rPr>
          <w:rFonts w:ascii="Times New Roman" w:eastAsia="Times New Roman" w:hAnsi="Times New Roman" w:cs="Times New Roman"/>
          <w:sz w:val="24"/>
          <w:szCs w:val="24"/>
        </w:rPr>
        <w:t>gadījumā – personai, kuras apgādībā ir gados jaunākais bērns. Analogs algoritms varētu tikt izmantots, ja lēmuma pieņemšana par atbalsta piešķiršanu balstītos uz ģimenes valsts pabalsta saņemšanas faktu.</w:t>
      </w:r>
    </w:p>
    <w:p w14:paraId="2B7EED19" w14:textId="77777777" w:rsidR="00514212" w:rsidRDefault="00514212" w:rsidP="00514212">
      <w:pPr>
        <w:spacing w:after="0" w:line="240" w:lineRule="auto"/>
        <w:ind w:firstLine="720"/>
        <w:jc w:val="both"/>
        <w:rPr>
          <w:rFonts w:ascii="Times New Roman" w:eastAsia="Times New Roman" w:hAnsi="Times New Roman" w:cs="Times New Roman"/>
          <w:sz w:val="24"/>
          <w:szCs w:val="24"/>
          <w:highlight w:val="yellow"/>
        </w:rPr>
      </w:pPr>
    </w:p>
    <w:p w14:paraId="2A3AEE48" w14:textId="77777777" w:rsidR="00514212" w:rsidRPr="00350075" w:rsidRDefault="00514212" w:rsidP="00514212">
      <w:pPr>
        <w:spacing w:after="0" w:line="240" w:lineRule="auto"/>
        <w:ind w:firstLine="720"/>
        <w:jc w:val="both"/>
        <w:rPr>
          <w:rFonts w:ascii="Times New Roman" w:eastAsia="Times New Roman" w:hAnsi="Times New Roman" w:cs="Times New Roman"/>
          <w:sz w:val="24"/>
          <w:szCs w:val="24"/>
          <w:u w:val="single"/>
        </w:rPr>
      </w:pPr>
      <w:r w:rsidRPr="00350075">
        <w:rPr>
          <w:rFonts w:ascii="Times New Roman" w:eastAsia="Times New Roman" w:hAnsi="Times New Roman" w:cs="Times New Roman"/>
          <w:sz w:val="24"/>
          <w:szCs w:val="24"/>
          <w:u w:val="single"/>
        </w:rPr>
        <w:t>Atbalsta administrēšana:</w:t>
      </w:r>
    </w:p>
    <w:p w14:paraId="31D3FD86" w14:textId="2D276EA3" w:rsidR="00514212" w:rsidRDefault="00514212" w:rsidP="005142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Piedāvātā atbalsta veida administrēšana paredz personas datu apstrādi. Atbilstoši Fizisko personu datu apstrādes likuma nosacījumiem personas </w:t>
      </w:r>
      <w:r w:rsidRPr="00C50655">
        <w:rPr>
          <w:rFonts w:ascii="Times New Roman" w:hAnsi="Times New Roman" w:cs="Times New Roman"/>
          <w:sz w:val="24"/>
          <w:szCs w:val="24"/>
        </w:rPr>
        <w:t>dati iegūstami konkrētos, skaidros un leģitīmos nolūkos un tikai tādā apmērā, kāds nepieciešams datu apstrādes nolūku sasniegšanai. Tā kā nevienai no institūcijām, kuras būtu iesaistītas atbalsta sniegšanai nepieciešamo datu apmaiņā</w:t>
      </w:r>
      <w:r w:rsidR="00B368D7">
        <w:rPr>
          <w:rFonts w:ascii="Times New Roman" w:hAnsi="Times New Roman" w:cs="Times New Roman"/>
          <w:sz w:val="24"/>
          <w:szCs w:val="24"/>
        </w:rPr>
        <w:t>,</w:t>
      </w:r>
      <w:r w:rsidRPr="00C50655">
        <w:rPr>
          <w:rFonts w:ascii="Times New Roman" w:hAnsi="Times New Roman" w:cs="Times New Roman"/>
          <w:sz w:val="24"/>
          <w:szCs w:val="24"/>
        </w:rPr>
        <w:t xml:space="preserve"> funkciju veikšanai un ārējos normatīvajos aktos noteiktajam deleģējumam nav paredzēta šī atbalsta administrēšanai nepieciešamo pilna apmēra personas datu apstrāde un to izmantošana, a</w:t>
      </w:r>
      <w:r>
        <w:rPr>
          <w:rFonts w:ascii="Times New Roman" w:hAnsi="Times New Roman" w:cs="Times New Roman"/>
          <w:sz w:val="24"/>
          <w:szCs w:val="24"/>
        </w:rPr>
        <w:t>tbalsta ieviešanas gadījumā ir nepieciešams jauns likuma deleģējums administrējošai iestādei un datu sniegšanā iesaistītajām institūcijām par tiesībām saņemt</w:t>
      </w:r>
      <w:r w:rsidR="00053F97">
        <w:rPr>
          <w:rFonts w:ascii="Times New Roman" w:hAnsi="Times New Roman" w:cs="Times New Roman"/>
          <w:sz w:val="24"/>
          <w:szCs w:val="24"/>
        </w:rPr>
        <w:t>, apstrādāt</w:t>
      </w:r>
      <w:r>
        <w:rPr>
          <w:rFonts w:ascii="Times New Roman" w:hAnsi="Times New Roman" w:cs="Times New Roman"/>
          <w:sz w:val="24"/>
          <w:szCs w:val="24"/>
        </w:rPr>
        <w:t xml:space="preserve"> un nodot personas datus konkrētā atbalsta sniegšanas nodrošināšanai. </w:t>
      </w:r>
    </w:p>
    <w:p w14:paraId="65269EF7" w14:textId="40489457" w:rsidR="00AC0379" w:rsidRPr="001D1BBD" w:rsidRDefault="00AC0379" w:rsidP="00AC0379">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Dati par personu deklarēto vai reģistrēto adresi (turpmāk – pamata adrese) tiek fiksēti uz atbalsta piešķiršanas </w:t>
      </w:r>
      <w:r w:rsidR="00626292">
        <w:rPr>
          <w:rFonts w:ascii="Times New Roman" w:hAnsi="Times New Roman" w:cs="Times New Roman"/>
          <w:sz w:val="24"/>
          <w:szCs w:val="24"/>
        </w:rPr>
        <w:t>jeb datu atlases brīdi</w:t>
      </w:r>
      <w:r>
        <w:rPr>
          <w:rFonts w:ascii="Times New Roman" w:hAnsi="Times New Roman" w:cs="Times New Roman"/>
          <w:sz w:val="24"/>
          <w:szCs w:val="24"/>
        </w:rPr>
        <w:t>.</w:t>
      </w:r>
    </w:p>
    <w:p w14:paraId="3C4A0AA3" w14:textId="4EFF7B74" w:rsidR="00514212" w:rsidRDefault="00514212" w:rsidP="00A4609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90237C" w:rsidRPr="0090237C">
        <w:rPr>
          <w:rFonts w:ascii="Times New Roman" w:hAnsi="Times New Roman" w:cs="Times New Roman"/>
          <w:sz w:val="24"/>
          <w:szCs w:val="24"/>
        </w:rPr>
        <w:t xml:space="preserve">ienākumu aprēķinā izmantojamos datus un to pieejamības regularitāti </w:t>
      </w:r>
      <w:r w:rsidR="0090237C" w:rsidRPr="00626292">
        <w:rPr>
          <w:rFonts w:ascii="Times New Roman" w:hAnsi="Times New Roman" w:cs="Times New Roman"/>
          <w:sz w:val="24"/>
          <w:szCs w:val="24"/>
        </w:rPr>
        <w:t>(</w:t>
      </w:r>
      <w:r w:rsidR="0090237C" w:rsidRPr="00365151">
        <w:rPr>
          <w:rFonts w:ascii="Times New Roman" w:hAnsi="Times New Roman" w:cs="Times New Roman"/>
          <w:sz w:val="24"/>
          <w:szCs w:val="24"/>
        </w:rPr>
        <w:t>skat. 2. pielikumu</w:t>
      </w:r>
      <w:r w:rsidR="0090237C" w:rsidRPr="00626292">
        <w:rPr>
          <w:rFonts w:ascii="Times New Roman" w:hAnsi="Times New Roman" w:cs="Times New Roman"/>
          <w:sz w:val="24"/>
          <w:szCs w:val="24"/>
        </w:rPr>
        <w:t xml:space="preserve">), </w:t>
      </w:r>
      <w:r w:rsidR="0090237C" w:rsidRPr="0090237C">
        <w:rPr>
          <w:rFonts w:ascii="Times New Roman" w:hAnsi="Times New Roman" w:cs="Times New Roman"/>
          <w:sz w:val="24"/>
          <w:szCs w:val="24"/>
        </w:rPr>
        <w:t>ir jāvienojas par aprēķinā izmantojamo ienākumu gūšanas periodu</w:t>
      </w:r>
      <w:r w:rsidR="0090237C">
        <w:rPr>
          <w:rFonts w:ascii="Times New Roman" w:hAnsi="Times New Roman" w:cs="Times New Roman"/>
          <w:sz w:val="24"/>
          <w:szCs w:val="24"/>
        </w:rPr>
        <w:t xml:space="preserve"> </w:t>
      </w:r>
      <w:r>
        <w:rPr>
          <w:rFonts w:ascii="Times New Roman" w:hAnsi="Times New Roman" w:cs="Times New Roman"/>
          <w:sz w:val="24"/>
          <w:szCs w:val="24"/>
        </w:rPr>
        <w:t xml:space="preserve">nobīdes </w:t>
      </w:r>
      <w:r w:rsidR="0090237C">
        <w:rPr>
          <w:rFonts w:ascii="Times New Roman" w:hAnsi="Times New Roman" w:cs="Times New Roman"/>
          <w:sz w:val="24"/>
          <w:szCs w:val="24"/>
        </w:rPr>
        <w:t>mājsaimniecībā.</w:t>
      </w:r>
    </w:p>
    <w:p w14:paraId="759370A9" w14:textId="6E81839B" w:rsidR="00514212" w:rsidRDefault="00514212" w:rsidP="00A4609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Administrējošā iestāde veic nepieciešamo personas datu analīzi, lai nodrošinātu pamata adresē dzīvojošo personu, proti, mājsaimniecības, identificēšanu, katras mājsaimniecības ienākumu novērtēšanu par klasificēšanos atbalstam, personas noteikšanu mājsaimniecībā, kurai būtu pārskaitāms atbalsts.</w:t>
      </w:r>
    </w:p>
    <w:p w14:paraId="6CB2E4B6" w14:textId="4D714941" w:rsidR="00514212" w:rsidRDefault="00514212" w:rsidP="005142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identificēto risku par VID un VSAA rīcībā esošajiem datiem par personu ienākumiem un identificēto risku par </w:t>
      </w:r>
      <w:r w:rsidR="00AC0379">
        <w:rPr>
          <w:rFonts w:ascii="Times New Roman" w:hAnsi="Times New Roman" w:cs="Times New Roman"/>
          <w:sz w:val="24"/>
          <w:szCs w:val="24"/>
        </w:rPr>
        <w:t xml:space="preserve">deklarētās vai reģistrētās </w:t>
      </w:r>
      <w:r>
        <w:rPr>
          <w:rFonts w:ascii="Times New Roman" w:hAnsi="Times New Roman" w:cs="Times New Roman"/>
          <w:sz w:val="24"/>
          <w:szCs w:val="24"/>
        </w:rPr>
        <w:t xml:space="preserve">adreses neesamību daļai Latvijas iedzīvotāju, ļoti indikatīvi var pieņemt, ka </w:t>
      </w:r>
      <w:r w:rsidR="00266B63">
        <w:rPr>
          <w:rFonts w:ascii="Times New Roman" w:hAnsi="Times New Roman" w:cs="Times New Roman"/>
          <w:sz w:val="24"/>
          <w:szCs w:val="24"/>
        </w:rPr>
        <w:t>noteiktai daļai</w:t>
      </w:r>
      <w:r>
        <w:rPr>
          <w:rFonts w:ascii="Times New Roman" w:hAnsi="Times New Roman" w:cs="Times New Roman"/>
          <w:sz w:val="24"/>
          <w:szCs w:val="24"/>
        </w:rPr>
        <w:t xml:space="preserve"> Latvijas iedzīvotājiem nebūs iespējams nodrošināt automātisku atbalsta maksājuma veikšanu. Lai novērstu nevienlīdzīgu attieksmi pret iespējamiem atbalsta saņēmējiem un to izslēgšanu no mērķa grupas, būtu nepieciešams līdztekus automātiskajam maksājumam paredzēt iespēju nesasniegtajām mājsaimniecībām pieprasīt atbalstu, iesniedzot iesniegumu administrējošā iestādē. Tā kā šīs iestādes rīcībā, ņemot vērā </w:t>
      </w:r>
      <w:r>
        <w:rPr>
          <w:rFonts w:ascii="Times New Roman" w:hAnsi="Times New Roman" w:cs="Times New Roman"/>
          <w:sz w:val="24"/>
          <w:szCs w:val="24"/>
        </w:rPr>
        <w:lastRenderedPageBreak/>
        <w:t xml:space="preserve">iepriekš norādītos iemeslus, var nebūt dati par iesnieguma iesniedzēja mājsaimniecības sastāvu un nav dati par tā gūtajiem ienākumiem, jāveido pašdeklarēšanās sistēma (skat. </w:t>
      </w:r>
      <w:r w:rsidR="0043551A">
        <w:rPr>
          <w:rFonts w:ascii="Times New Roman" w:hAnsi="Times New Roman" w:cs="Times New Roman"/>
          <w:sz w:val="24"/>
          <w:szCs w:val="24"/>
        </w:rPr>
        <w:t>4.sadaļu</w:t>
      </w:r>
      <w:r>
        <w:rPr>
          <w:rFonts w:ascii="Times New Roman" w:hAnsi="Times New Roman" w:cs="Times New Roman"/>
          <w:sz w:val="24"/>
          <w:szCs w:val="24"/>
        </w:rPr>
        <w:t>).</w:t>
      </w:r>
    </w:p>
    <w:p w14:paraId="4755E0B4" w14:textId="23913BC5" w:rsidR="00514212" w:rsidRPr="008A12F4" w:rsidRDefault="008A12F4" w:rsidP="003651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Lēmumu par š</w:t>
      </w:r>
      <w:r w:rsidRPr="008A12F4">
        <w:rPr>
          <w:rFonts w:ascii="Times New Roman" w:eastAsia="Times New Roman" w:hAnsi="Times New Roman" w:cs="Times New Roman"/>
          <w:sz w:val="24"/>
          <w:szCs w:val="24"/>
        </w:rPr>
        <w:t xml:space="preserve">ī atbalsta </w:t>
      </w:r>
      <w:r>
        <w:rPr>
          <w:rFonts w:ascii="Times New Roman" w:eastAsia="Times New Roman" w:hAnsi="Times New Roman" w:cs="Times New Roman"/>
          <w:sz w:val="24"/>
          <w:szCs w:val="24"/>
        </w:rPr>
        <w:t xml:space="preserve">administrējošo iestādi var pieņemt pēc protokollēmuma </w:t>
      </w:r>
      <w:r w:rsidR="00E41F0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.punkta izpildes, ņemot vērā identificētos trūkumus saistībā ar valsts reģistros uzkrāto datu pieejamību un kvalitāti, nepieciešamo laiku </w:t>
      </w:r>
      <w:r w:rsidR="00730AF3">
        <w:rPr>
          <w:rFonts w:ascii="Times New Roman" w:eastAsia="Times New Roman" w:hAnsi="Times New Roman" w:cs="Times New Roman"/>
          <w:sz w:val="24"/>
          <w:szCs w:val="24"/>
        </w:rPr>
        <w:t xml:space="preserve">to novēršanai vai mazināšanai, kā arī </w:t>
      </w:r>
      <w:r>
        <w:rPr>
          <w:rFonts w:ascii="Times New Roman" w:eastAsia="Times New Roman" w:hAnsi="Times New Roman" w:cs="Times New Roman"/>
          <w:sz w:val="24"/>
          <w:szCs w:val="24"/>
        </w:rPr>
        <w:t>dažādu reģistru savieto</w:t>
      </w:r>
      <w:r w:rsidR="00730AF3">
        <w:rPr>
          <w:rFonts w:ascii="Times New Roman" w:eastAsia="Times New Roman" w:hAnsi="Times New Roman" w:cs="Times New Roman"/>
          <w:sz w:val="24"/>
          <w:szCs w:val="24"/>
        </w:rPr>
        <w:t xml:space="preserve">šanai. </w:t>
      </w:r>
    </w:p>
    <w:p w14:paraId="18297156" w14:textId="77777777" w:rsidR="00797F2D" w:rsidRDefault="00797F2D" w:rsidP="00514212">
      <w:pPr>
        <w:spacing w:after="0" w:line="240" w:lineRule="auto"/>
        <w:rPr>
          <w:rFonts w:ascii="Times New Roman" w:eastAsia="Times New Roman" w:hAnsi="Times New Roman" w:cs="Times New Roman"/>
          <w:sz w:val="24"/>
          <w:szCs w:val="24"/>
        </w:rPr>
      </w:pPr>
    </w:p>
    <w:p w14:paraId="74531E2F" w14:textId="3571A202" w:rsidR="00A46091" w:rsidRDefault="00797F2D" w:rsidP="00514212">
      <w:pPr>
        <w:spacing w:after="0" w:line="240" w:lineRule="auto"/>
        <w:rPr>
          <w:rFonts w:ascii="Times New Roman" w:eastAsia="Times New Roman" w:hAnsi="Times New Roman" w:cs="Times New Roman"/>
          <w:sz w:val="24"/>
          <w:szCs w:val="24"/>
        </w:rPr>
      </w:pPr>
      <w:r w:rsidRPr="00365151">
        <w:rPr>
          <w:rFonts w:ascii="Times New Roman" w:eastAsia="Times New Roman" w:hAnsi="Times New Roman" w:cs="Times New Roman"/>
          <w:sz w:val="24"/>
          <w:szCs w:val="24"/>
          <w:u w:val="single"/>
        </w:rPr>
        <w:t>Priekšrocības</w:t>
      </w:r>
      <w:r>
        <w:rPr>
          <w:rFonts w:ascii="Times New Roman" w:eastAsia="Times New Roman" w:hAnsi="Times New Roman" w:cs="Times New Roman"/>
          <w:sz w:val="24"/>
          <w:szCs w:val="24"/>
        </w:rPr>
        <w:t>:</w:t>
      </w:r>
    </w:p>
    <w:p w14:paraId="4EAA03F8" w14:textId="704FB429" w:rsidR="00DD3FED" w:rsidRDefault="00DD3FED" w:rsidP="005817AF">
      <w:pPr>
        <w:pStyle w:val="ListParagraph"/>
        <w:numPr>
          <w:ilvl w:val="0"/>
          <w:numId w:val="4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vienoti atbalsta saņemšanas nosacījumi visiem iedzīvotājiem, kuri kvalificējas atbalstam;</w:t>
      </w:r>
    </w:p>
    <w:p w14:paraId="6360EB22" w14:textId="4096D534" w:rsidR="00797F2D" w:rsidRDefault="00DD3FED" w:rsidP="005817AF">
      <w:pPr>
        <w:pStyle w:val="ListParagraph"/>
        <w:numPr>
          <w:ilvl w:val="0"/>
          <w:numId w:val="4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 nodrošināta atbalsta sniegšana mērķēti pēc ienākumiem atbilstoši MP rezolūcijā noteiktajam;</w:t>
      </w:r>
    </w:p>
    <w:p w14:paraId="40B02561" w14:textId="6F5F0C97" w:rsidR="00DD3FED" w:rsidRDefault="00DD3FED" w:rsidP="005817AF">
      <w:pPr>
        <w:pStyle w:val="ListParagraph"/>
        <w:numPr>
          <w:ilvl w:val="0"/>
          <w:numId w:val="4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samazināts </w:t>
      </w:r>
      <w:r w:rsidR="00B12C09">
        <w:rPr>
          <w:rFonts w:ascii="Times New Roman" w:eastAsia="Times New Roman" w:hAnsi="Times New Roman" w:cs="Times New Roman"/>
          <w:sz w:val="24"/>
          <w:szCs w:val="24"/>
        </w:rPr>
        <w:t xml:space="preserve">pašvaldībām </w:t>
      </w:r>
      <w:r>
        <w:rPr>
          <w:rFonts w:ascii="Times New Roman" w:eastAsia="Times New Roman" w:hAnsi="Times New Roman" w:cs="Times New Roman"/>
          <w:sz w:val="24"/>
          <w:szCs w:val="24"/>
        </w:rPr>
        <w:t xml:space="preserve">administratīvais slogs </w:t>
      </w:r>
      <w:r w:rsidR="00B12C09">
        <w:rPr>
          <w:rFonts w:ascii="Times New Roman" w:eastAsia="Times New Roman" w:hAnsi="Times New Roman" w:cs="Times New Roman"/>
          <w:sz w:val="24"/>
          <w:szCs w:val="24"/>
        </w:rPr>
        <w:t>un papildu finanšu izdevumi mājokļa pabalstam</w:t>
      </w:r>
      <w:r w:rsidR="009C5F83">
        <w:rPr>
          <w:rFonts w:ascii="Times New Roman" w:eastAsia="Times New Roman" w:hAnsi="Times New Roman" w:cs="Times New Roman"/>
          <w:sz w:val="24"/>
          <w:szCs w:val="24"/>
        </w:rPr>
        <w:t>.</w:t>
      </w:r>
      <w:r w:rsidR="00B12C09">
        <w:rPr>
          <w:rFonts w:ascii="Times New Roman" w:eastAsia="Times New Roman" w:hAnsi="Times New Roman" w:cs="Times New Roman"/>
          <w:sz w:val="24"/>
          <w:szCs w:val="24"/>
        </w:rPr>
        <w:t xml:space="preserve"> </w:t>
      </w:r>
    </w:p>
    <w:p w14:paraId="21EF90A6" w14:textId="77777777" w:rsidR="00DD3FED" w:rsidRPr="00365151" w:rsidRDefault="00DD3FED" w:rsidP="00365151">
      <w:pPr>
        <w:pStyle w:val="ListParagraph"/>
        <w:spacing w:after="0" w:line="240" w:lineRule="auto"/>
        <w:jc w:val="both"/>
        <w:rPr>
          <w:rFonts w:ascii="Times New Roman" w:eastAsia="Times New Roman" w:hAnsi="Times New Roman" w:cs="Times New Roman"/>
          <w:sz w:val="24"/>
          <w:szCs w:val="24"/>
        </w:rPr>
      </w:pPr>
    </w:p>
    <w:p w14:paraId="513FC558" w14:textId="77777777" w:rsidR="00585476" w:rsidRDefault="00585476" w:rsidP="00A46091">
      <w:pPr>
        <w:spacing w:after="0" w:line="240" w:lineRule="auto"/>
        <w:rPr>
          <w:rFonts w:ascii="Times New Roman" w:eastAsia="Times New Roman" w:hAnsi="Times New Roman" w:cs="Times New Roman"/>
          <w:sz w:val="24"/>
          <w:szCs w:val="24"/>
          <w:u w:val="single"/>
        </w:rPr>
      </w:pPr>
    </w:p>
    <w:p w14:paraId="6AEFD693" w14:textId="77777777" w:rsidR="00A46091" w:rsidRDefault="00A46091" w:rsidP="00A46091">
      <w:pPr>
        <w:spacing w:after="0" w:line="240" w:lineRule="auto"/>
        <w:rPr>
          <w:rFonts w:ascii="Times New Roman" w:eastAsia="Times New Roman" w:hAnsi="Times New Roman" w:cs="Times New Roman"/>
          <w:sz w:val="24"/>
          <w:szCs w:val="24"/>
        </w:rPr>
      </w:pPr>
      <w:r w:rsidRPr="00365151">
        <w:rPr>
          <w:rFonts w:ascii="Times New Roman" w:eastAsia="Times New Roman" w:hAnsi="Times New Roman" w:cs="Times New Roman"/>
          <w:sz w:val="24"/>
          <w:szCs w:val="24"/>
          <w:u w:val="single"/>
        </w:rPr>
        <w:t>Trūkumi</w:t>
      </w:r>
      <w:r>
        <w:rPr>
          <w:rFonts w:ascii="Times New Roman" w:eastAsia="Times New Roman" w:hAnsi="Times New Roman" w:cs="Times New Roman"/>
          <w:sz w:val="24"/>
          <w:szCs w:val="24"/>
        </w:rPr>
        <w:t>:</w:t>
      </w:r>
    </w:p>
    <w:p w14:paraId="67E32016" w14:textId="07A976AE" w:rsidR="00730AF3" w:rsidRDefault="00730AF3" w:rsidP="005817AF">
      <w:pPr>
        <w:pStyle w:val="ListParagraph"/>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9F0787">
        <w:rPr>
          <w:rFonts w:ascii="Times New Roman" w:eastAsia="Times New Roman" w:hAnsi="Times New Roman" w:cs="Times New Roman"/>
          <w:sz w:val="24"/>
          <w:szCs w:val="24"/>
        </w:rPr>
        <w:t>r fizisko personu datu apstrādes nosacījumu ievērošanu saistītie riski</w:t>
      </w:r>
      <w:r w:rsidR="00585297">
        <w:rPr>
          <w:rFonts w:ascii="Times New Roman" w:eastAsia="Times New Roman" w:hAnsi="Times New Roman" w:cs="Times New Roman"/>
          <w:sz w:val="24"/>
          <w:szCs w:val="24"/>
        </w:rPr>
        <w:t>, kā arī</w:t>
      </w:r>
      <w:r w:rsidRPr="009F0787">
        <w:rPr>
          <w:rFonts w:ascii="Times New Roman" w:eastAsia="Times New Roman" w:hAnsi="Times New Roman" w:cs="Times New Roman"/>
          <w:sz w:val="24"/>
          <w:szCs w:val="24"/>
        </w:rPr>
        <w:t xml:space="preserve"> smagnējs un garš normatīvā regulējuma saskaņošanas process ar Datu valsts inspekciju</w:t>
      </w:r>
      <w:r>
        <w:rPr>
          <w:rFonts w:ascii="Times New Roman" w:eastAsia="Times New Roman" w:hAnsi="Times New Roman" w:cs="Times New Roman"/>
          <w:sz w:val="24"/>
          <w:szCs w:val="24"/>
        </w:rPr>
        <w:t>;</w:t>
      </w:r>
    </w:p>
    <w:p w14:paraId="4F0790F4" w14:textId="6AA4E651" w:rsidR="00ED736C" w:rsidRPr="00ED736C" w:rsidRDefault="00E41F0F" w:rsidP="005817AF">
      <w:pPr>
        <w:pStyle w:val="ListParagraph"/>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ED736C">
        <w:rPr>
          <w:rFonts w:ascii="Times New Roman" w:eastAsia="Times New Roman" w:hAnsi="Times New Roman" w:cs="Times New Roman"/>
          <w:sz w:val="24"/>
          <w:szCs w:val="24"/>
        </w:rPr>
        <w:t>idējo energoresursu cenu noteikšana konkrēti katram mēnesim praktiski nav iespējama. Elektroenerģijas, siltumenerģijas un dabasgāzes tirgus darbojas uz brīvā tirgus principiem. Patērētāju līgumi ir indivuduāli un statistiski vidējo cenu aprēķināšana neparādīs patieso problemātiku konkrētās mājsaimniecībās</w:t>
      </w:r>
      <w:r w:rsidR="00585297">
        <w:rPr>
          <w:rFonts w:ascii="Times New Roman" w:eastAsia="Times New Roman" w:hAnsi="Times New Roman" w:cs="Times New Roman"/>
          <w:sz w:val="24"/>
          <w:szCs w:val="24"/>
        </w:rPr>
        <w:t>;</w:t>
      </w:r>
    </w:p>
    <w:p w14:paraId="373EFCBA" w14:textId="52AC5F7A" w:rsidR="00730AF3" w:rsidRDefault="00730AF3" w:rsidP="005817AF">
      <w:pPr>
        <w:pStyle w:val="ListParagraph"/>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VSAA un VID datu reģistros </w:t>
      </w:r>
      <w:r w:rsidR="00296B8B">
        <w:rPr>
          <w:rFonts w:ascii="Times New Roman" w:eastAsia="Times New Roman" w:hAnsi="Times New Roman" w:cs="Times New Roman"/>
          <w:sz w:val="24"/>
          <w:szCs w:val="24"/>
        </w:rPr>
        <w:t>nav informācijas par visām iedzīvotāju grupām</w:t>
      </w:r>
      <w:r w:rsidR="00797F2D">
        <w:rPr>
          <w:rFonts w:ascii="Times New Roman" w:eastAsia="Times New Roman" w:hAnsi="Times New Roman" w:cs="Times New Roman"/>
          <w:sz w:val="24"/>
          <w:szCs w:val="24"/>
        </w:rPr>
        <w:t xml:space="preserve"> (piemēram, citas valsts pensiju saņēmēji)</w:t>
      </w:r>
      <w:r w:rsidR="00296B8B">
        <w:rPr>
          <w:rFonts w:ascii="Times New Roman" w:eastAsia="Times New Roman" w:hAnsi="Times New Roman" w:cs="Times New Roman"/>
          <w:sz w:val="24"/>
          <w:szCs w:val="24"/>
        </w:rPr>
        <w:t>, tāpēc</w:t>
      </w:r>
      <w:r>
        <w:rPr>
          <w:rFonts w:ascii="Times New Roman" w:eastAsia="Times New Roman" w:hAnsi="Times New Roman" w:cs="Times New Roman"/>
          <w:sz w:val="24"/>
          <w:szCs w:val="24"/>
        </w:rPr>
        <w:t xml:space="preserve"> </w:t>
      </w:r>
      <w:r w:rsidR="00296B8B">
        <w:rPr>
          <w:rFonts w:ascii="Times New Roman" w:eastAsia="Times New Roman" w:hAnsi="Times New Roman" w:cs="Times New Roman"/>
          <w:sz w:val="24"/>
          <w:szCs w:val="24"/>
        </w:rPr>
        <w:t>līdztekus</w:t>
      </w:r>
      <w:r>
        <w:rPr>
          <w:rFonts w:ascii="Times New Roman" w:eastAsia="Times New Roman" w:hAnsi="Times New Roman" w:cs="Times New Roman"/>
          <w:sz w:val="24"/>
          <w:szCs w:val="24"/>
        </w:rPr>
        <w:t xml:space="preserve"> automātisk</w:t>
      </w:r>
      <w:r w:rsidR="00296B8B">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atbalsta piešķiršana</w:t>
      </w:r>
      <w:r w:rsidR="00296B8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296B8B">
        <w:rPr>
          <w:rFonts w:ascii="Times New Roman" w:eastAsia="Times New Roman" w:hAnsi="Times New Roman" w:cs="Times New Roman"/>
          <w:sz w:val="24"/>
          <w:szCs w:val="24"/>
        </w:rPr>
        <w:t>ir nepieciešams ieviest pašdeklarēšanās sistēmu</w:t>
      </w:r>
      <w:r>
        <w:rPr>
          <w:rFonts w:ascii="Times New Roman" w:eastAsia="Times New Roman" w:hAnsi="Times New Roman" w:cs="Times New Roman"/>
          <w:sz w:val="24"/>
          <w:szCs w:val="24"/>
        </w:rPr>
        <w:t>;</w:t>
      </w:r>
    </w:p>
    <w:p w14:paraId="313A38CE" w14:textId="1F3D1541" w:rsidR="00730AF3" w:rsidRDefault="00730AF3" w:rsidP="005817AF">
      <w:pPr>
        <w:pStyle w:val="ListParagraph"/>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VSAA</w:t>
      </w:r>
      <w:r w:rsidRPr="00730A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rīcībā n</w:t>
      </w:r>
      <w:r w:rsidRPr="002C13C1">
        <w:rPr>
          <w:rFonts w:ascii="Times New Roman" w:eastAsia="Times New Roman" w:hAnsi="Times New Roman" w:cs="Times New Roman"/>
          <w:sz w:val="24"/>
          <w:szCs w:val="24"/>
        </w:rPr>
        <w:t>av pieejama lielākā daļa no atbalsta sniegšanai nepieciešamajiem datiem</w:t>
      </w:r>
      <w:r>
        <w:rPr>
          <w:rFonts w:ascii="Times New Roman" w:eastAsia="Times New Roman" w:hAnsi="Times New Roman" w:cs="Times New Roman"/>
          <w:sz w:val="24"/>
          <w:szCs w:val="24"/>
        </w:rPr>
        <w:t>, tādēļ n</w:t>
      </w:r>
      <w:r w:rsidRPr="002C13C1">
        <w:rPr>
          <w:rFonts w:ascii="Times New Roman" w:eastAsia="Times New Roman" w:hAnsi="Times New Roman" w:cs="Times New Roman"/>
          <w:sz w:val="24"/>
          <w:szCs w:val="24"/>
        </w:rPr>
        <w:t>epieciešams izveidot komplicētas, jaunas datu apmaiņas ar vairākiem datu avotiem</w:t>
      </w:r>
      <w:r>
        <w:rPr>
          <w:rFonts w:ascii="Times New Roman" w:eastAsia="Times New Roman" w:hAnsi="Times New Roman" w:cs="Times New Roman"/>
          <w:sz w:val="24"/>
          <w:szCs w:val="24"/>
        </w:rPr>
        <w:t>;</w:t>
      </w:r>
    </w:p>
    <w:p w14:paraId="70253622" w14:textId="77777777" w:rsidR="00730AF3" w:rsidRDefault="00730AF3" w:rsidP="005817AF">
      <w:pPr>
        <w:pStyle w:val="ListParagraph"/>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VSAA rīcībā </w:t>
      </w:r>
      <w:r w:rsidR="002C4DA4">
        <w:rPr>
          <w:rFonts w:ascii="Times New Roman" w:eastAsia="Times New Roman" w:hAnsi="Times New Roman" w:cs="Times New Roman"/>
          <w:sz w:val="24"/>
          <w:szCs w:val="24"/>
        </w:rPr>
        <w:t>nav iespējama pilnībā automatizēta atbalsta izmaksa, jo nav pieejama informācija par visu iedzīvotāju kontiem;</w:t>
      </w:r>
      <w:r>
        <w:rPr>
          <w:rFonts w:ascii="Times New Roman" w:eastAsia="Times New Roman" w:hAnsi="Times New Roman" w:cs="Times New Roman"/>
          <w:sz w:val="24"/>
          <w:szCs w:val="24"/>
        </w:rPr>
        <w:t xml:space="preserve"> </w:t>
      </w:r>
    </w:p>
    <w:p w14:paraId="3BC02BF0" w14:textId="77DAA1E6" w:rsidR="002C4DA4" w:rsidRDefault="00730AF3" w:rsidP="005817AF">
      <w:pPr>
        <w:pStyle w:val="ListParagraph"/>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F28D2">
        <w:rPr>
          <w:rFonts w:ascii="Times New Roman" w:eastAsia="Times New Roman" w:hAnsi="Times New Roman" w:cs="Times New Roman"/>
          <w:sz w:val="24"/>
          <w:szCs w:val="24"/>
        </w:rPr>
        <w:t>erobežojumus automātiskā atbalsta pārskaitīšanai uz personas VID reģistrēto kontu rada tas, ka daļai Latvijā dzīvojošo personu nav izveidots bankas konts</w:t>
      </w:r>
      <w:r w:rsidR="00CE4D37">
        <w:rPr>
          <w:rFonts w:ascii="Times New Roman" w:eastAsia="Times New Roman" w:hAnsi="Times New Roman" w:cs="Times New Roman"/>
          <w:sz w:val="24"/>
          <w:szCs w:val="24"/>
        </w:rPr>
        <w:t xml:space="preserve"> vai ir reģistrēti vairāki konti un nav informācijas uz kuru kontu pārskaitīt pabalstu, kā arī nav informācijas par atvērtā konta valūtas veidu</w:t>
      </w:r>
      <w:r>
        <w:rPr>
          <w:rFonts w:ascii="Times New Roman" w:eastAsia="Times New Roman" w:hAnsi="Times New Roman" w:cs="Times New Roman"/>
          <w:sz w:val="24"/>
          <w:szCs w:val="24"/>
        </w:rPr>
        <w:t>;</w:t>
      </w:r>
    </w:p>
    <w:p w14:paraId="566257D3" w14:textId="342EEEEF" w:rsidR="002C4DA4" w:rsidRPr="00021B7E" w:rsidRDefault="002C4DA4" w:rsidP="0020174E">
      <w:pPr>
        <w:pStyle w:val="ListParagraph"/>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pietiekama kapacitāte ikmēneša maksājumu apjoma pieauguma apstrādei VSAA un Valsts kasē</w:t>
      </w:r>
      <w:r w:rsidR="0020174E">
        <w:rPr>
          <w:rFonts w:ascii="Times New Roman" w:eastAsia="Times New Roman" w:hAnsi="Times New Roman" w:cs="Times New Roman"/>
          <w:sz w:val="24"/>
          <w:szCs w:val="24"/>
        </w:rPr>
        <w:t xml:space="preserve">. </w:t>
      </w:r>
      <w:r w:rsidR="0020174E" w:rsidRPr="0020174E">
        <w:rPr>
          <w:rFonts w:ascii="Times New Roman" w:eastAsia="Times New Roman" w:hAnsi="Times New Roman" w:cs="Times New Roman"/>
          <w:sz w:val="24"/>
          <w:szCs w:val="24"/>
        </w:rPr>
        <w:t>Vienas maksājumu datnes pieļaujamais izmērs ir ierobežots</w:t>
      </w:r>
      <w:r w:rsidR="0020174E">
        <w:rPr>
          <w:rFonts w:ascii="Times New Roman" w:eastAsia="Times New Roman" w:hAnsi="Times New Roman" w:cs="Times New Roman"/>
          <w:sz w:val="24"/>
          <w:szCs w:val="24"/>
        </w:rPr>
        <w:t>;</w:t>
      </w:r>
      <w:r w:rsidR="0020174E" w:rsidRPr="0020174E">
        <w:rPr>
          <w:rFonts w:ascii="Times New Roman" w:eastAsia="Times New Roman" w:hAnsi="Times New Roman" w:cs="Times New Roman"/>
          <w:sz w:val="24"/>
          <w:szCs w:val="24"/>
        </w:rPr>
        <w:t xml:space="preserve"> </w:t>
      </w:r>
    </w:p>
    <w:p w14:paraId="6B3512AF" w14:textId="0BB31B1E" w:rsidR="002C4DA4" w:rsidRDefault="002C4DA4" w:rsidP="005817AF">
      <w:pPr>
        <w:pStyle w:val="ListParagraph"/>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jāveido jaunas datu apmaiņas ar pašvaldībām, lai pašvaldības savu pakalpojumu piešķiršanai ņemtu vērā jaunā veida atbalstu;</w:t>
      </w:r>
    </w:p>
    <w:p w14:paraId="6E1AB23E" w14:textId="4C3DFB48" w:rsidR="002C4DA4" w:rsidRDefault="002C4DA4" w:rsidP="005817AF">
      <w:pPr>
        <w:pStyle w:val="ListParagraph"/>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problēmas ar kontu informācijas aktualitāti VID kontu reģistrā, ja maksājumi tiks atgriezti un būs jāapstrādā manuāli katram klientam</w:t>
      </w:r>
      <w:r w:rsidR="00210DF3">
        <w:rPr>
          <w:rFonts w:ascii="Times New Roman" w:eastAsia="Times New Roman" w:hAnsi="Times New Roman" w:cs="Times New Roman"/>
          <w:sz w:val="24"/>
          <w:szCs w:val="24"/>
        </w:rPr>
        <w:t>;</w:t>
      </w:r>
    </w:p>
    <w:p w14:paraId="451B7F60" w14:textId="5324AF14" w:rsidR="009C5F83" w:rsidRPr="009C5F83" w:rsidRDefault="009C5F83" w:rsidP="005817AF">
      <w:pPr>
        <w:pStyle w:val="ListParagraph"/>
        <w:numPr>
          <w:ilvl w:val="0"/>
          <w:numId w:val="39"/>
        </w:numPr>
        <w:jc w:val="both"/>
        <w:rPr>
          <w:rFonts w:ascii="Times New Roman" w:hAnsi="Times New Roman" w:cs="Times New Roman"/>
          <w:color w:val="000000"/>
          <w:sz w:val="24"/>
          <w:szCs w:val="24"/>
        </w:rPr>
      </w:pPr>
      <w:r>
        <w:rPr>
          <w:rFonts w:ascii="Times New Roman" w:hAnsi="Times New Roman" w:cs="Times New Roman"/>
          <w:color w:val="000000"/>
          <w:sz w:val="24"/>
          <w:szCs w:val="24"/>
        </w:rPr>
        <w:t>trūkumi saistībā ar</w:t>
      </w:r>
      <w:r w:rsidRPr="009C5F83">
        <w:rPr>
          <w:rFonts w:ascii="Times New Roman" w:hAnsi="Times New Roman" w:cs="Times New Roman"/>
          <w:color w:val="000000"/>
          <w:sz w:val="24"/>
          <w:szCs w:val="24"/>
        </w:rPr>
        <w:t xml:space="preserve"> datu savietošanu, jo dažādos reģistros tiek lietoti dažādi klasifikatori vai dati vākti konkrētam uzdevumam, ignorējot nozares vai vairāku nozaru vajadzības – netiek vākta informācija par fiziskas vai juridiskas personas ID, netiek lietotas starptautiskās vai nacionālās klasifikācijas sistēmas, netiek ievadīta visa vāktā informācija digitāli apstrādājamā veidā (piemēram</w:t>
      </w:r>
      <w:r w:rsidR="00E41F0F">
        <w:rPr>
          <w:rFonts w:ascii="Times New Roman" w:hAnsi="Times New Roman" w:cs="Times New Roman"/>
          <w:color w:val="000000"/>
          <w:sz w:val="24"/>
          <w:szCs w:val="24"/>
        </w:rPr>
        <w:t>,</w:t>
      </w:r>
      <w:r w:rsidRPr="009C5F83">
        <w:rPr>
          <w:rFonts w:ascii="Times New Roman" w:hAnsi="Times New Roman" w:cs="Times New Roman"/>
          <w:color w:val="000000"/>
          <w:sz w:val="24"/>
          <w:szCs w:val="24"/>
        </w:rPr>
        <w:t xml:space="preserve"> </w:t>
      </w:r>
      <w:r w:rsidRPr="009C5F83">
        <w:rPr>
          <w:rFonts w:ascii="Times New Roman" w:hAnsi="Times New Roman" w:cs="Times New Roman"/>
          <w:color w:val="000000"/>
          <w:sz w:val="24"/>
          <w:szCs w:val="24"/>
        </w:rPr>
        <w:lastRenderedPageBreak/>
        <w:t>adresācijas kods, kas ļauj datus apstrādāt un apvienot, bet tiek ievadīts teksta lauks – adrese, kas rada lielu risku kļūdīties)</w:t>
      </w:r>
      <w:r>
        <w:rPr>
          <w:rFonts w:ascii="Times New Roman" w:hAnsi="Times New Roman" w:cs="Times New Roman"/>
          <w:color w:val="000000"/>
          <w:sz w:val="24"/>
          <w:szCs w:val="24"/>
        </w:rPr>
        <w:t>;</w:t>
      </w:r>
    </w:p>
    <w:p w14:paraId="70F06603" w14:textId="77777777" w:rsidR="00FE4337" w:rsidRDefault="00FE4337" w:rsidP="00FE4337">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1F6869">
        <w:rPr>
          <w:rFonts w:ascii="Times New Roman" w:hAnsi="Times New Roman" w:cs="Times New Roman"/>
          <w:sz w:val="24"/>
          <w:szCs w:val="24"/>
        </w:rPr>
        <w:t>epilniem 3% jeb 5</w:t>
      </w:r>
      <w:r>
        <w:rPr>
          <w:rFonts w:ascii="Times New Roman" w:hAnsi="Times New Roman" w:cs="Times New Roman"/>
          <w:sz w:val="24"/>
          <w:szCs w:val="24"/>
        </w:rPr>
        <w:t>9</w:t>
      </w:r>
      <w:r w:rsidRPr="001F6869">
        <w:rPr>
          <w:rFonts w:ascii="Times New Roman" w:hAnsi="Times New Roman" w:cs="Times New Roman"/>
          <w:sz w:val="24"/>
          <w:szCs w:val="24"/>
        </w:rPr>
        <w:t> </w:t>
      </w:r>
      <w:r>
        <w:rPr>
          <w:rFonts w:ascii="Times New Roman" w:hAnsi="Times New Roman" w:cs="Times New Roman"/>
          <w:sz w:val="24"/>
          <w:szCs w:val="24"/>
        </w:rPr>
        <w:t>773</w:t>
      </w:r>
      <w:r w:rsidRPr="001F6869">
        <w:rPr>
          <w:rFonts w:ascii="Times New Roman" w:hAnsi="Times New Roman" w:cs="Times New Roman"/>
          <w:sz w:val="24"/>
          <w:szCs w:val="24"/>
        </w:rPr>
        <w:t xml:space="preserve"> personām</w:t>
      </w:r>
      <w:r>
        <w:rPr>
          <w:rFonts w:ascii="Times New Roman" w:hAnsi="Times New Roman" w:cs="Times New Roman"/>
          <w:sz w:val="24"/>
          <w:szCs w:val="24"/>
        </w:rPr>
        <w:t xml:space="preserve"> Fizisko personu reģistrā nav ziņu par deklarētās dzīvesvietas adresi vai vispār nav norādīta dzīvesvietas adrese, un daļa no šīm personām var būt atbalsta saņemšanas mērķauditorija;</w:t>
      </w:r>
    </w:p>
    <w:p w14:paraId="5186783A" w14:textId="77777777" w:rsidR="00FE4337" w:rsidRDefault="00FE4337" w:rsidP="00FE4337">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lai PMLP izpildītu uzdevumu atbalsta pasākuma personu kopas atlasei Fizisko personu reģistrā, kompetentai iestādei nepieciešams definēt datu atlases kritērijus (subjektu loks un datu apjoms atbilstoši Fizisko personu reģistra likuma 4. un 11.pantā noteiktajam);</w:t>
      </w:r>
    </w:p>
    <w:p w14:paraId="1FB3E3E7" w14:textId="056542D6" w:rsidR="00AE63A6" w:rsidRPr="00FE4337" w:rsidRDefault="00FE4337" w:rsidP="00FE4337">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lai PMLP izpildītu uzdevumu atbalsta pasākuma personu kopas (datu fails) atlasei un nodotu datus par atbalsta administrēšanu atbildīgajai iestādei, PMLP ir jāizstrādā atbilstošs tehniskais risinājums</w:t>
      </w:r>
      <w:r w:rsidR="00AE63A6" w:rsidRPr="00FE4337">
        <w:rPr>
          <w:rFonts w:ascii="Times New Roman" w:hAnsi="Times New Roman" w:cs="Times New Roman"/>
          <w:sz w:val="24"/>
          <w:szCs w:val="24"/>
        </w:rPr>
        <w:t>;</w:t>
      </w:r>
    </w:p>
    <w:p w14:paraId="3B728BF8" w14:textId="1CE5524D" w:rsidR="00AC0379" w:rsidRDefault="00AE63A6" w:rsidP="005817AF">
      <w:pPr>
        <w:pStyle w:val="ListParagraph"/>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C0379">
        <w:rPr>
          <w:rFonts w:ascii="Times New Roman" w:eastAsia="Times New Roman" w:hAnsi="Times New Roman" w:cs="Times New Roman"/>
          <w:sz w:val="24"/>
          <w:szCs w:val="24"/>
        </w:rPr>
        <w:t>tbilstoši PMLP datiem nav viennozīmīgi identificējamas institucionālā aprūpē esošas personas, ja tām ir deklarētā dzīvesvietas adrese</w:t>
      </w:r>
      <w:r w:rsidR="00AC0379" w:rsidRPr="00B56366">
        <w:rPr>
          <w:rFonts w:ascii="Times New Roman" w:eastAsia="Times New Roman" w:hAnsi="Times New Roman" w:cs="Times New Roman"/>
          <w:sz w:val="24"/>
          <w:szCs w:val="24"/>
        </w:rPr>
        <w:t xml:space="preserve"> </w:t>
      </w:r>
      <w:r w:rsidR="00AC0379">
        <w:rPr>
          <w:rFonts w:ascii="Times New Roman" w:eastAsia="Times New Roman" w:hAnsi="Times New Roman" w:cs="Times New Roman"/>
          <w:sz w:val="24"/>
          <w:szCs w:val="24"/>
        </w:rPr>
        <w:t xml:space="preserve">un </w:t>
      </w:r>
      <w:r w:rsidR="00152E3D">
        <w:rPr>
          <w:rFonts w:ascii="Times New Roman" w:eastAsia="Times New Roman" w:hAnsi="Times New Roman" w:cs="Times New Roman"/>
          <w:sz w:val="24"/>
          <w:szCs w:val="24"/>
        </w:rPr>
        <w:t>norādīta papildu adrese iestādē</w:t>
      </w:r>
      <w:r w:rsidR="00875374">
        <w:rPr>
          <w:rFonts w:ascii="Times New Roman" w:eastAsia="Times New Roman" w:hAnsi="Times New Roman" w:cs="Times New Roman"/>
          <w:sz w:val="24"/>
          <w:szCs w:val="24"/>
        </w:rPr>
        <w:t>;</w:t>
      </w:r>
    </w:p>
    <w:p w14:paraId="6C4B3962" w14:textId="2801E1E5" w:rsidR="00875374" w:rsidRPr="00875374" w:rsidRDefault="00875374" w:rsidP="00875374">
      <w:pPr>
        <w:pStyle w:val="ListParagraph"/>
        <w:numPr>
          <w:ilvl w:val="0"/>
          <w:numId w:val="33"/>
        </w:numPr>
        <w:rPr>
          <w:rFonts w:ascii="Verdana" w:hAnsi="Verdana"/>
          <w:sz w:val="20"/>
        </w:rPr>
      </w:pPr>
      <w:r w:rsidRPr="00E00762">
        <w:rPr>
          <w:rFonts w:ascii="Times New Roman" w:eastAsia="Times New Roman" w:hAnsi="Times New Roman" w:cs="Times New Roman"/>
          <w:sz w:val="24"/>
          <w:szCs w:val="24"/>
        </w:rPr>
        <w:t>nav informācijas par atbalsta saņēmēju mājsaimniecībām, kuras dzīvo īrētās dzīvojamās telpās un nav reģistrēts īres līgums</w:t>
      </w:r>
      <w:r>
        <w:rPr>
          <w:rFonts w:ascii="Times New Roman" w:eastAsia="Times New Roman" w:hAnsi="Times New Roman" w:cs="Times New Roman"/>
          <w:sz w:val="24"/>
          <w:szCs w:val="24"/>
        </w:rPr>
        <w:t>.</w:t>
      </w:r>
    </w:p>
    <w:p w14:paraId="05E68A13" w14:textId="76CAA7D6" w:rsidR="007F28D2" w:rsidRPr="00365151" w:rsidRDefault="007F28D2" w:rsidP="00365151">
      <w:pPr>
        <w:pStyle w:val="ListParagraph"/>
        <w:spacing w:after="0" w:line="240" w:lineRule="auto"/>
        <w:jc w:val="both"/>
        <w:rPr>
          <w:rFonts w:ascii="Times New Roman" w:eastAsia="Times New Roman" w:hAnsi="Times New Roman" w:cs="Times New Roman"/>
          <w:sz w:val="24"/>
          <w:szCs w:val="24"/>
        </w:rPr>
      </w:pPr>
    </w:p>
    <w:p w14:paraId="3776B6FE" w14:textId="364E402A" w:rsidR="00514212" w:rsidRPr="00A46091" w:rsidRDefault="00A46091" w:rsidP="00514212">
      <w:pPr>
        <w:jc w:val="both"/>
        <w:rPr>
          <w:rFonts w:ascii="Times New Roman" w:hAnsi="Times New Roman" w:cs="Times New Roman"/>
          <w:sz w:val="24"/>
          <w:szCs w:val="24"/>
          <w:u w:val="single"/>
        </w:rPr>
      </w:pPr>
      <w:r w:rsidRPr="00A46091">
        <w:rPr>
          <w:rFonts w:ascii="Times New Roman" w:hAnsi="Times New Roman" w:cs="Times New Roman"/>
          <w:sz w:val="24"/>
          <w:szCs w:val="24"/>
          <w:u w:val="single"/>
        </w:rPr>
        <w:t>S</w:t>
      </w:r>
      <w:r w:rsidR="00514212" w:rsidRPr="00A46091">
        <w:rPr>
          <w:rFonts w:ascii="Times New Roman" w:hAnsi="Times New Roman" w:cs="Times New Roman"/>
          <w:sz w:val="24"/>
          <w:szCs w:val="24"/>
          <w:u w:val="single"/>
        </w:rPr>
        <w:t>ecinājumi:</w:t>
      </w:r>
    </w:p>
    <w:p w14:paraId="6A1785F8" w14:textId="77777777" w:rsidR="00AE63A6" w:rsidRDefault="00AE63A6" w:rsidP="005817AF">
      <w:pPr>
        <w:pStyle w:val="ListParagraph"/>
        <w:numPr>
          <w:ilvl w:val="0"/>
          <w:numId w:val="43"/>
        </w:numPr>
        <w:spacing w:after="0" w:line="240" w:lineRule="auto"/>
        <w:ind w:left="777" w:hanging="357"/>
        <w:jc w:val="both"/>
        <w:rPr>
          <w:rFonts w:ascii="Times New Roman" w:hAnsi="Times New Roman" w:cs="Times New Roman"/>
          <w:sz w:val="24"/>
          <w:szCs w:val="24"/>
        </w:rPr>
      </w:pPr>
      <w:r>
        <w:rPr>
          <w:rFonts w:ascii="Times New Roman" w:hAnsi="Times New Roman" w:cs="Times New Roman"/>
          <w:sz w:val="24"/>
          <w:szCs w:val="24"/>
        </w:rPr>
        <w:t>priekšrocības un trūkumi ir visiem trīs piedāvātajiem atbalsta virzieniem, tomēr trūkumu apjoms automātiskajam maksājumam mājsaimniecībām ir ievērojami lielāks un to novēršanai ir nepieciešams ilgāks laika periods, tāpēc šī atbalsta ieviešana tiek piedāvāta 2023.gada apkures sezonas periodā;</w:t>
      </w:r>
    </w:p>
    <w:p w14:paraId="35351A25" w14:textId="243AD4DA" w:rsidR="00AE63A6" w:rsidRDefault="00AE63A6" w:rsidP="005817AF">
      <w:pPr>
        <w:pStyle w:val="ListParagraph"/>
        <w:numPr>
          <w:ilvl w:val="0"/>
          <w:numId w:val="43"/>
        </w:numPr>
        <w:spacing w:after="0" w:line="240" w:lineRule="auto"/>
        <w:ind w:left="777" w:hanging="357"/>
        <w:jc w:val="both"/>
        <w:rPr>
          <w:rFonts w:ascii="Times New Roman" w:hAnsi="Times New Roman" w:cs="Times New Roman"/>
          <w:sz w:val="24"/>
          <w:szCs w:val="24"/>
        </w:rPr>
      </w:pPr>
      <w:r>
        <w:rPr>
          <w:rFonts w:ascii="Times New Roman" w:hAnsi="Times New Roman" w:cs="Times New Roman"/>
          <w:sz w:val="24"/>
          <w:szCs w:val="24"/>
        </w:rPr>
        <w:t xml:space="preserve">no mērķētības prizmas vērtējot katram atbalsta virzienam ir noteikti trūkumi – mājokļa pabalsts neaptver iedzīvotājus, kuru ienākumi ietilpst 3.kvintiles robežās; valsts sociālie pabalsti ietver risku, ka atbalsts var tikt novirzīts arī </w:t>
      </w:r>
      <w:r w:rsidR="00152E3D">
        <w:rPr>
          <w:rFonts w:ascii="Times New Roman" w:hAnsi="Times New Roman" w:cs="Times New Roman"/>
          <w:sz w:val="24"/>
          <w:szCs w:val="24"/>
        </w:rPr>
        <w:t xml:space="preserve">tiem, kuru kopējie ienākumi vai mājsaimniecības </w:t>
      </w:r>
      <w:r w:rsidR="00E41F0F">
        <w:rPr>
          <w:rFonts w:ascii="Times New Roman" w:hAnsi="Times New Roman" w:cs="Times New Roman"/>
          <w:sz w:val="24"/>
          <w:szCs w:val="24"/>
        </w:rPr>
        <w:t>locekļu, ar kuriem vienā mājoklī</w:t>
      </w:r>
      <w:r w:rsidR="00152E3D">
        <w:rPr>
          <w:rFonts w:ascii="Times New Roman" w:hAnsi="Times New Roman" w:cs="Times New Roman"/>
          <w:sz w:val="24"/>
          <w:szCs w:val="24"/>
        </w:rPr>
        <w:t xml:space="preserve"> dzīvo atbalsta saņēmējs, var sasniegt 4.-5.kvintili; automātiskā maksājuma mājsaimniecībām gadījumā pastāv risks, ka atbildīgo iestāžu rīcībā nav visa informācija par visu mājsaimniecības locekļu ienākumiem;</w:t>
      </w:r>
    </w:p>
    <w:p w14:paraId="45A6FD0B" w14:textId="7B1AA8F8" w:rsidR="00152E3D" w:rsidRDefault="00152E3D" w:rsidP="005817AF">
      <w:pPr>
        <w:pStyle w:val="ListParagraph"/>
        <w:numPr>
          <w:ilvl w:val="0"/>
          <w:numId w:val="43"/>
        </w:numPr>
        <w:spacing w:after="0" w:line="240" w:lineRule="auto"/>
        <w:ind w:left="777" w:hanging="357"/>
        <w:jc w:val="both"/>
        <w:rPr>
          <w:rFonts w:ascii="Times New Roman" w:hAnsi="Times New Roman" w:cs="Times New Roman"/>
          <w:sz w:val="24"/>
          <w:szCs w:val="24"/>
        </w:rPr>
      </w:pPr>
      <w:r>
        <w:rPr>
          <w:rFonts w:ascii="Times New Roman" w:hAnsi="Times New Roman" w:cs="Times New Roman"/>
          <w:sz w:val="24"/>
          <w:szCs w:val="24"/>
        </w:rPr>
        <w:t>no administratīvā sloga prizmas vērtējot, visiem atbalsta virzieniem šāda atbalsta nodrošināšana radīs papildu slogu, tomēr automātiskā maksājuma mājsaimniecībām gadījumā šis slogs ir vairākām iestādēm vienlaikus;</w:t>
      </w:r>
    </w:p>
    <w:p w14:paraId="3C692BF0" w14:textId="295BC5DC" w:rsidR="00514212" w:rsidRPr="00365151" w:rsidRDefault="00514212" w:rsidP="005817AF">
      <w:pPr>
        <w:pStyle w:val="ListParagraph"/>
        <w:numPr>
          <w:ilvl w:val="0"/>
          <w:numId w:val="43"/>
        </w:numPr>
        <w:spacing w:after="0" w:line="240" w:lineRule="auto"/>
        <w:ind w:left="777" w:hanging="357"/>
        <w:jc w:val="both"/>
        <w:rPr>
          <w:rFonts w:ascii="Times New Roman" w:hAnsi="Times New Roman" w:cs="Times New Roman"/>
          <w:sz w:val="24"/>
          <w:szCs w:val="24"/>
        </w:rPr>
      </w:pPr>
      <w:r>
        <w:rPr>
          <w:rFonts w:ascii="Times New Roman" w:hAnsi="Times New Roman" w:cs="Times New Roman"/>
          <w:sz w:val="24"/>
          <w:szCs w:val="24"/>
        </w:rPr>
        <w:t>mērķa grupas nesniegšanas risk</w:t>
      </w:r>
      <w:r w:rsidR="00152E3D">
        <w:rPr>
          <w:rFonts w:ascii="Times New Roman" w:hAnsi="Times New Roman" w:cs="Times New Roman"/>
          <w:sz w:val="24"/>
          <w:szCs w:val="24"/>
        </w:rPr>
        <w:t>s ir automātiskā maksājuma mājsaimniecībām gadījumā</w:t>
      </w:r>
      <w:r>
        <w:rPr>
          <w:rFonts w:ascii="Times New Roman" w:hAnsi="Times New Roman" w:cs="Times New Roman"/>
          <w:sz w:val="24"/>
          <w:szCs w:val="24"/>
        </w:rPr>
        <w:t xml:space="preserve">, </w:t>
      </w:r>
      <w:r w:rsidR="00152E3D">
        <w:rPr>
          <w:rFonts w:ascii="Times New Roman" w:hAnsi="Times New Roman" w:cs="Times New Roman"/>
          <w:sz w:val="24"/>
          <w:szCs w:val="24"/>
        </w:rPr>
        <w:t xml:space="preserve">tāpēc </w:t>
      </w:r>
      <w:r>
        <w:rPr>
          <w:rFonts w:ascii="Times New Roman" w:hAnsi="Times New Roman" w:cs="Times New Roman"/>
          <w:sz w:val="24"/>
          <w:szCs w:val="24"/>
        </w:rPr>
        <w:t xml:space="preserve">līdztekus </w:t>
      </w:r>
      <w:r w:rsidR="00152E3D">
        <w:rPr>
          <w:rFonts w:ascii="Times New Roman" w:hAnsi="Times New Roman" w:cs="Times New Roman"/>
          <w:sz w:val="24"/>
          <w:szCs w:val="24"/>
        </w:rPr>
        <w:t>šim atbalsta sniegšanas veidam</w:t>
      </w:r>
      <w:r>
        <w:rPr>
          <w:rFonts w:ascii="Times New Roman" w:hAnsi="Times New Roman" w:cs="Times New Roman"/>
          <w:sz w:val="24"/>
          <w:szCs w:val="24"/>
        </w:rPr>
        <w:t xml:space="preserve"> ir jāveido </w:t>
      </w:r>
      <w:r w:rsidR="00152E3D">
        <w:rPr>
          <w:rFonts w:ascii="Times New Roman" w:hAnsi="Times New Roman" w:cs="Times New Roman"/>
          <w:sz w:val="24"/>
          <w:szCs w:val="24"/>
        </w:rPr>
        <w:t xml:space="preserve">arī </w:t>
      </w:r>
      <w:r>
        <w:rPr>
          <w:rFonts w:ascii="Times New Roman" w:hAnsi="Times New Roman" w:cs="Times New Roman"/>
          <w:sz w:val="24"/>
          <w:szCs w:val="24"/>
        </w:rPr>
        <w:t>pašdeklarēšanās sistēma</w:t>
      </w:r>
      <w:r w:rsidRPr="00365151">
        <w:rPr>
          <w:rFonts w:ascii="Times New Roman" w:hAnsi="Times New Roman" w:cs="Times New Roman"/>
          <w:sz w:val="24"/>
          <w:szCs w:val="24"/>
        </w:rPr>
        <w:t>.</w:t>
      </w:r>
    </w:p>
    <w:p w14:paraId="656FB10D" w14:textId="77777777" w:rsidR="00114009" w:rsidRDefault="00114009" w:rsidP="00E5132C">
      <w:pPr>
        <w:jc w:val="both"/>
        <w:rPr>
          <w:rFonts w:ascii="Times New Roman" w:hAnsi="Times New Roman" w:cs="Times New Roman"/>
          <w:b/>
          <w:i/>
          <w:sz w:val="24"/>
          <w:szCs w:val="24"/>
        </w:rPr>
      </w:pPr>
    </w:p>
    <w:p w14:paraId="09926A13" w14:textId="5703AE81" w:rsidR="0035193C" w:rsidRPr="00E5132C" w:rsidRDefault="0035193C" w:rsidP="00E5132C">
      <w:pPr>
        <w:jc w:val="both"/>
        <w:rPr>
          <w:rFonts w:ascii="Times New Roman" w:hAnsi="Times New Roman" w:cs="Times New Roman"/>
          <w:i/>
          <w:sz w:val="24"/>
          <w:szCs w:val="24"/>
        </w:rPr>
      </w:pPr>
      <w:r w:rsidRPr="00365151">
        <w:rPr>
          <w:rFonts w:ascii="Times New Roman" w:hAnsi="Times New Roman" w:cs="Times New Roman"/>
          <w:b/>
          <w:sz w:val="24"/>
          <w:szCs w:val="24"/>
        </w:rPr>
        <w:t>3.2.</w:t>
      </w:r>
      <w:r w:rsidR="005D4476" w:rsidRPr="00365151">
        <w:rPr>
          <w:rFonts w:ascii="Times New Roman" w:hAnsi="Times New Roman" w:cs="Times New Roman"/>
          <w:b/>
          <w:sz w:val="24"/>
          <w:szCs w:val="24"/>
        </w:rPr>
        <w:t xml:space="preserve"> </w:t>
      </w:r>
      <w:r w:rsidRPr="00365151">
        <w:rPr>
          <w:rFonts w:ascii="Times New Roman" w:hAnsi="Times New Roman" w:cs="Times New Roman"/>
          <w:b/>
          <w:sz w:val="24"/>
          <w:szCs w:val="24"/>
        </w:rPr>
        <w:t>otrais MP rezolūcijas uzdevums</w:t>
      </w:r>
      <w:r w:rsidR="007A65F4" w:rsidRPr="00E5132C">
        <w:rPr>
          <w:rFonts w:ascii="Times New Roman" w:hAnsi="Times New Roman" w:cs="Times New Roman"/>
          <w:i/>
          <w:sz w:val="24"/>
          <w:szCs w:val="24"/>
        </w:rPr>
        <w:t xml:space="preserve">: </w:t>
      </w:r>
      <w:r w:rsidR="0088014E">
        <w:rPr>
          <w:rFonts w:ascii="Times New Roman" w:hAnsi="Times New Roman" w:cs="Times New Roman"/>
          <w:i/>
          <w:sz w:val="24"/>
          <w:szCs w:val="24"/>
        </w:rPr>
        <w:t>“</w:t>
      </w:r>
      <w:r w:rsidR="007A65F4" w:rsidRPr="00E5132C">
        <w:rPr>
          <w:rFonts w:ascii="Times New Roman" w:hAnsi="Times New Roman"/>
          <w:sz w:val="24"/>
          <w:szCs w:val="24"/>
        </w:rPr>
        <w:t>Atbalsta pasākumi, lai kompensētu netipiski augstos cenu līmeņus energoresursu piegādēm nākamās apkures sezonas laikā</w:t>
      </w:r>
      <w:r w:rsidR="0088014E">
        <w:rPr>
          <w:rFonts w:ascii="Times New Roman" w:hAnsi="Times New Roman"/>
          <w:sz w:val="24"/>
          <w:szCs w:val="24"/>
        </w:rPr>
        <w:t>”.</w:t>
      </w:r>
    </w:p>
    <w:p w14:paraId="1AC825D9" w14:textId="77777777" w:rsidR="005D4476" w:rsidRPr="005D4476" w:rsidRDefault="005D4476" w:rsidP="005D4476">
      <w:pPr>
        <w:spacing w:after="0" w:line="240" w:lineRule="auto"/>
        <w:ind w:firstLine="720"/>
        <w:jc w:val="both"/>
        <w:rPr>
          <w:rFonts w:ascii="Times New Roman" w:hAnsi="Times New Roman" w:cs="Times New Roman"/>
          <w:sz w:val="24"/>
          <w:szCs w:val="24"/>
        </w:rPr>
      </w:pPr>
      <w:r w:rsidRPr="005D4476">
        <w:rPr>
          <w:rFonts w:ascii="Times New Roman" w:hAnsi="Times New Roman" w:cs="Times New Roman"/>
          <w:sz w:val="24"/>
          <w:szCs w:val="24"/>
        </w:rPr>
        <w:t xml:space="preserve">Saskaņā ar Ekonomikas ministrijas aplēsēm elektroenerģijai, dabasgāzei, siltumenerģijai un cietajam kurināmajam kopā 2022.gadā cenas Latvijā varētu pieaugt par aptuveni 39%, kas </w:t>
      </w:r>
      <w:bookmarkStart w:id="4" w:name="_Hlk104895620"/>
      <w:r w:rsidRPr="005D4476">
        <w:rPr>
          <w:rFonts w:ascii="Times New Roman" w:hAnsi="Times New Roman" w:cs="Times New Roman"/>
          <w:sz w:val="24"/>
          <w:szCs w:val="24"/>
        </w:rPr>
        <w:t>kopējo patēriņa cenu līmeni ietekmēs par 3,8 procentpunktiem</w:t>
      </w:r>
      <w:bookmarkEnd w:id="4"/>
      <w:r w:rsidRPr="005D4476">
        <w:rPr>
          <w:rFonts w:ascii="Times New Roman" w:hAnsi="Times New Roman" w:cs="Times New Roman"/>
          <w:sz w:val="24"/>
          <w:szCs w:val="24"/>
        </w:rPr>
        <w:t xml:space="preserve">, savukārt degvielas cenu kāpums kopumā 2022.gadā varētu pieaugt par 40%, kas kopējo patēriņa cenu līmeni ietekmēs par 2,7 procentpunktiem.  </w:t>
      </w:r>
    </w:p>
    <w:p w14:paraId="0B60B394" w14:textId="77777777" w:rsidR="005D4476" w:rsidRPr="005D4476" w:rsidRDefault="005D4476" w:rsidP="005D4476">
      <w:pPr>
        <w:spacing w:after="0" w:line="240" w:lineRule="auto"/>
        <w:ind w:firstLine="720"/>
        <w:jc w:val="both"/>
        <w:rPr>
          <w:rFonts w:ascii="Times New Roman" w:hAnsi="Times New Roman" w:cs="Times New Roman"/>
          <w:sz w:val="24"/>
          <w:szCs w:val="24"/>
        </w:rPr>
      </w:pPr>
      <w:r w:rsidRPr="005D4476">
        <w:rPr>
          <w:rFonts w:ascii="Times New Roman" w:hAnsi="Times New Roman" w:cs="Times New Roman"/>
          <w:sz w:val="24"/>
          <w:szCs w:val="24"/>
        </w:rPr>
        <w:t xml:space="preserve">Ņemot vērā CSP 2022.gada patēriņa cenu indeksa grozā noteikto mājokļa grupā ietverto energoresursu īpatsvaru – 9,8% un transporta grupā ietverto degvielas īpatsvaru – 6,7%, patēriņa cenas mājokļa grupā pieaugs par aptuveni 25%, bet transporta grupā - </w:t>
      </w:r>
      <w:r w:rsidRPr="005D4476">
        <w:rPr>
          <w:rFonts w:ascii="Times New Roman" w:hAnsi="Times New Roman" w:cs="Times New Roman"/>
          <w:sz w:val="24"/>
          <w:szCs w:val="24"/>
        </w:rPr>
        <w:lastRenderedPageBreak/>
        <w:t>par aptuveni 23%, līdz ar to izdevumu izmaiņas mājokļa un transporta grupās palielinātos līdz:</w:t>
      </w:r>
    </w:p>
    <w:p w14:paraId="0E61C0EE" w14:textId="77777777" w:rsidR="00A22F18" w:rsidRDefault="00A22F18" w:rsidP="005D4476">
      <w:pPr>
        <w:spacing w:after="0" w:line="240" w:lineRule="auto"/>
        <w:jc w:val="center"/>
        <w:rPr>
          <w:rFonts w:ascii="Times New Roman" w:hAnsi="Times New Roman" w:cs="Times New Roman"/>
          <w:bCs/>
          <w:sz w:val="24"/>
          <w:szCs w:val="24"/>
        </w:rPr>
      </w:pPr>
    </w:p>
    <w:p w14:paraId="025879ED" w14:textId="07911D12" w:rsidR="005D4476" w:rsidRPr="005D4476" w:rsidRDefault="00B15931" w:rsidP="005D447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r w:rsidR="005D4476" w:rsidRPr="005D4476">
        <w:rPr>
          <w:rFonts w:ascii="Times New Roman" w:hAnsi="Times New Roman" w:cs="Times New Roman"/>
          <w:bCs/>
          <w:sz w:val="24"/>
          <w:szCs w:val="24"/>
        </w:rPr>
        <w:t>.tabula. Patēriņa izdevumu sastāvs vidēji uz vienu mājsaimniecības locekli mēnesī</w:t>
      </w:r>
    </w:p>
    <w:p w14:paraId="174A2DED" w14:textId="77777777" w:rsidR="005D4476" w:rsidRPr="005D4476" w:rsidRDefault="005D4476" w:rsidP="005D4476">
      <w:pPr>
        <w:spacing w:after="0" w:line="240" w:lineRule="auto"/>
        <w:jc w:val="center"/>
        <w:rPr>
          <w:rFonts w:ascii="Times New Roman" w:hAnsi="Times New Roman" w:cs="Times New Roman"/>
          <w:i/>
          <w:iCs/>
          <w:sz w:val="24"/>
          <w:szCs w:val="24"/>
        </w:rPr>
      </w:pPr>
      <w:bookmarkStart w:id="5" w:name="_Hlk105485406"/>
      <w:r w:rsidRPr="005D4476">
        <w:rPr>
          <w:rFonts w:ascii="Times New Roman" w:hAnsi="Times New Roman" w:cs="Times New Roman"/>
          <w:i/>
          <w:iCs/>
          <w:sz w:val="24"/>
          <w:szCs w:val="24"/>
        </w:rPr>
        <w:t>2022.gadā, eiro</w:t>
      </w:r>
    </w:p>
    <w:tbl>
      <w:tblPr>
        <w:tblStyle w:val="PlainTable5"/>
        <w:tblW w:w="8399" w:type="dxa"/>
        <w:jc w:val="center"/>
        <w:tblLook w:val="04A0" w:firstRow="1" w:lastRow="0" w:firstColumn="1" w:lastColumn="0" w:noHBand="0" w:noVBand="1"/>
      </w:tblPr>
      <w:tblGrid>
        <w:gridCol w:w="2884"/>
        <w:gridCol w:w="1103"/>
        <w:gridCol w:w="1103"/>
        <w:gridCol w:w="1103"/>
        <w:gridCol w:w="1103"/>
        <w:gridCol w:w="1103"/>
      </w:tblGrid>
      <w:tr w:rsidR="005D4476" w:rsidRPr="005D4476" w14:paraId="1503975C" w14:textId="77777777" w:rsidTr="00514212">
        <w:trPr>
          <w:cnfStyle w:val="100000000000" w:firstRow="1" w:lastRow="0" w:firstColumn="0" w:lastColumn="0" w:oddVBand="0" w:evenVBand="0" w:oddHBand="0" w:evenHBand="0" w:firstRowFirstColumn="0" w:firstRowLastColumn="0" w:lastRowFirstColumn="0" w:lastRowLastColumn="0"/>
          <w:trHeight w:val="496"/>
          <w:jc w:val="center"/>
        </w:trPr>
        <w:tc>
          <w:tcPr>
            <w:cnfStyle w:val="001000000100" w:firstRow="0" w:lastRow="0" w:firstColumn="1" w:lastColumn="0" w:oddVBand="0" w:evenVBand="0" w:oddHBand="0" w:evenHBand="0" w:firstRowFirstColumn="1" w:firstRowLastColumn="0" w:lastRowFirstColumn="0" w:lastRowLastColumn="0"/>
            <w:tcW w:w="4284" w:type="dxa"/>
            <w:shd w:val="clear" w:color="auto" w:fill="BDD6EE" w:themeFill="accent5" w:themeFillTint="66"/>
          </w:tcPr>
          <w:p w14:paraId="13D092C0" w14:textId="77777777" w:rsidR="005D4476" w:rsidRPr="005D4476" w:rsidRDefault="005D4476" w:rsidP="005D4476">
            <w:pPr>
              <w:jc w:val="both"/>
              <w:rPr>
                <w:rFonts w:ascii="Times New Roman" w:hAnsi="Times New Roman" w:cs="Times New Roman"/>
                <w:sz w:val="24"/>
                <w:szCs w:val="24"/>
              </w:rPr>
            </w:pPr>
          </w:p>
        </w:tc>
        <w:tc>
          <w:tcPr>
            <w:tcW w:w="823" w:type="dxa"/>
            <w:shd w:val="clear" w:color="auto" w:fill="BDD6EE" w:themeFill="accent5" w:themeFillTint="66"/>
          </w:tcPr>
          <w:p w14:paraId="439A9C54" w14:textId="77777777" w:rsidR="005D4476" w:rsidRPr="005D4476" w:rsidRDefault="005D4476" w:rsidP="005D44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1.kvintile</w:t>
            </w:r>
          </w:p>
        </w:tc>
        <w:tc>
          <w:tcPr>
            <w:tcW w:w="823" w:type="dxa"/>
            <w:shd w:val="clear" w:color="auto" w:fill="BDD6EE" w:themeFill="accent5" w:themeFillTint="66"/>
          </w:tcPr>
          <w:p w14:paraId="1D6C0E6C" w14:textId="77777777" w:rsidR="005D4476" w:rsidRPr="005D4476" w:rsidRDefault="005D4476" w:rsidP="005D44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2.kvintile</w:t>
            </w:r>
          </w:p>
        </w:tc>
        <w:tc>
          <w:tcPr>
            <w:tcW w:w="823" w:type="dxa"/>
            <w:shd w:val="clear" w:color="auto" w:fill="BDD6EE" w:themeFill="accent5" w:themeFillTint="66"/>
          </w:tcPr>
          <w:p w14:paraId="5571F8C9" w14:textId="77777777" w:rsidR="005D4476" w:rsidRPr="005D4476" w:rsidRDefault="005D4476" w:rsidP="005D44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3.kvintile</w:t>
            </w:r>
          </w:p>
        </w:tc>
        <w:tc>
          <w:tcPr>
            <w:tcW w:w="823" w:type="dxa"/>
            <w:shd w:val="clear" w:color="auto" w:fill="BDD6EE" w:themeFill="accent5" w:themeFillTint="66"/>
          </w:tcPr>
          <w:p w14:paraId="10620FAA" w14:textId="77777777" w:rsidR="005D4476" w:rsidRPr="005D4476" w:rsidRDefault="005D4476" w:rsidP="005D44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4.kvintile</w:t>
            </w:r>
          </w:p>
        </w:tc>
        <w:tc>
          <w:tcPr>
            <w:tcW w:w="823" w:type="dxa"/>
            <w:shd w:val="clear" w:color="auto" w:fill="BDD6EE" w:themeFill="accent5" w:themeFillTint="66"/>
          </w:tcPr>
          <w:p w14:paraId="1CFF9BAA" w14:textId="77777777" w:rsidR="005D4476" w:rsidRPr="005D4476" w:rsidRDefault="005D4476" w:rsidP="005D44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5.kvintile</w:t>
            </w:r>
          </w:p>
        </w:tc>
      </w:tr>
      <w:tr w:rsidR="005D4476" w:rsidRPr="005D4476" w14:paraId="04BA6892" w14:textId="77777777" w:rsidTr="00514212">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45D26CA7" w14:textId="77777777" w:rsidR="005D4476" w:rsidRPr="005D4476" w:rsidRDefault="005D4476" w:rsidP="005D4476">
            <w:pPr>
              <w:jc w:val="both"/>
              <w:rPr>
                <w:rFonts w:ascii="Times New Roman" w:hAnsi="Times New Roman" w:cs="Times New Roman"/>
                <w:i w:val="0"/>
                <w:iCs w:val="0"/>
                <w:sz w:val="24"/>
                <w:szCs w:val="24"/>
              </w:rPr>
            </w:pPr>
            <w:r w:rsidRPr="005D4476">
              <w:rPr>
                <w:rFonts w:ascii="Times New Roman" w:hAnsi="Times New Roman" w:cs="Times New Roman"/>
                <w:i w:val="0"/>
                <w:iCs w:val="0"/>
                <w:sz w:val="24"/>
                <w:szCs w:val="24"/>
              </w:rPr>
              <w:t>Mājoklis, ūdens, elektroenerģija, gāze, cits kurināmais un transports</w:t>
            </w:r>
          </w:p>
        </w:tc>
        <w:tc>
          <w:tcPr>
            <w:tcW w:w="823" w:type="dxa"/>
            <w:shd w:val="clear" w:color="auto" w:fill="auto"/>
          </w:tcPr>
          <w:p w14:paraId="349F2067" w14:textId="77777777" w:rsidR="005D4476" w:rsidRPr="005D4476" w:rsidRDefault="005D4476" w:rsidP="005D447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84.32</w:t>
            </w:r>
          </w:p>
        </w:tc>
        <w:tc>
          <w:tcPr>
            <w:tcW w:w="823" w:type="dxa"/>
            <w:shd w:val="clear" w:color="auto" w:fill="auto"/>
          </w:tcPr>
          <w:p w14:paraId="57AAF22C" w14:textId="77777777" w:rsidR="005D4476" w:rsidRPr="005D4476" w:rsidRDefault="005D4476" w:rsidP="005D447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115.97</w:t>
            </w:r>
          </w:p>
        </w:tc>
        <w:tc>
          <w:tcPr>
            <w:tcW w:w="823" w:type="dxa"/>
            <w:shd w:val="clear" w:color="auto" w:fill="auto"/>
          </w:tcPr>
          <w:p w14:paraId="54196B42" w14:textId="77777777" w:rsidR="005D4476" w:rsidRPr="005D4476" w:rsidRDefault="005D4476" w:rsidP="005D447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143.89</w:t>
            </w:r>
          </w:p>
        </w:tc>
        <w:tc>
          <w:tcPr>
            <w:tcW w:w="823" w:type="dxa"/>
            <w:shd w:val="clear" w:color="auto" w:fill="auto"/>
          </w:tcPr>
          <w:p w14:paraId="6E34A4AE" w14:textId="77777777" w:rsidR="005D4476" w:rsidRPr="005D4476" w:rsidRDefault="005D4476" w:rsidP="005D447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180.27</w:t>
            </w:r>
          </w:p>
        </w:tc>
        <w:tc>
          <w:tcPr>
            <w:tcW w:w="823" w:type="dxa"/>
            <w:shd w:val="clear" w:color="auto" w:fill="auto"/>
          </w:tcPr>
          <w:p w14:paraId="749EA204" w14:textId="77777777" w:rsidR="005D4476" w:rsidRPr="005D4476" w:rsidRDefault="005D4476" w:rsidP="005D447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293.93</w:t>
            </w:r>
          </w:p>
        </w:tc>
      </w:tr>
    </w:tbl>
    <w:p w14:paraId="7E4A58EA" w14:textId="77777777" w:rsidR="005D4476" w:rsidRPr="005D4476" w:rsidRDefault="005D4476" w:rsidP="005D4476">
      <w:pPr>
        <w:spacing w:after="0" w:line="240" w:lineRule="auto"/>
        <w:jc w:val="center"/>
        <w:rPr>
          <w:rFonts w:ascii="Times New Roman" w:hAnsi="Times New Roman" w:cs="Times New Roman"/>
          <w:i/>
          <w:iCs/>
          <w:sz w:val="24"/>
          <w:szCs w:val="24"/>
        </w:rPr>
      </w:pPr>
      <w:bookmarkStart w:id="6" w:name="_Hlk105485440"/>
      <w:bookmarkEnd w:id="5"/>
      <w:r w:rsidRPr="005D4476">
        <w:rPr>
          <w:rFonts w:ascii="Times New Roman" w:hAnsi="Times New Roman" w:cs="Times New Roman"/>
          <w:i/>
          <w:iCs/>
          <w:sz w:val="24"/>
          <w:szCs w:val="24"/>
        </w:rPr>
        <w:t>2022-2021, eiro</w:t>
      </w:r>
    </w:p>
    <w:tbl>
      <w:tblPr>
        <w:tblStyle w:val="PlainTable5"/>
        <w:tblW w:w="8410" w:type="dxa"/>
        <w:jc w:val="center"/>
        <w:tblLook w:val="04A0" w:firstRow="1" w:lastRow="0" w:firstColumn="1" w:lastColumn="0" w:noHBand="0" w:noVBand="1"/>
      </w:tblPr>
      <w:tblGrid>
        <w:gridCol w:w="2895"/>
        <w:gridCol w:w="1103"/>
        <w:gridCol w:w="1103"/>
        <w:gridCol w:w="1103"/>
        <w:gridCol w:w="1103"/>
        <w:gridCol w:w="1103"/>
      </w:tblGrid>
      <w:tr w:rsidR="005D4476" w:rsidRPr="005D4476" w14:paraId="0C7299BE" w14:textId="77777777" w:rsidTr="00514212">
        <w:trPr>
          <w:cnfStyle w:val="100000000000" w:firstRow="1" w:lastRow="0" w:firstColumn="0" w:lastColumn="0" w:oddVBand="0" w:evenVBand="0" w:oddHBand="0" w:evenHBand="0" w:firstRowFirstColumn="0" w:firstRowLastColumn="0" w:lastRowFirstColumn="0" w:lastRowLastColumn="0"/>
          <w:trHeight w:val="404"/>
          <w:jc w:val="center"/>
        </w:trPr>
        <w:tc>
          <w:tcPr>
            <w:cnfStyle w:val="001000000100" w:firstRow="0" w:lastRow="0" w:firstColumn="1" w:lastColumn="0" w:oddVBand="0" w:evenVBand="0" w:oddHBand="0" w:evenHBand="0" w:firstRowFirstColumn="1" w:firstRowLastColumn="0" w:lastRowFirstColumn="0" w:lastRowLastColumn="0"/>
            <w:tcW w:w="4320" w:type="dxa"/>
            <w:shd w:val="clear" w:color="auto" w:fill="BDD6EE" w:themeFill="accent5" w:themeFillTint="66"/>
          </w:tcPr>
          <w:p w14:paraId="05420BD6" w14:textId="77777777" w:rsidR="005D4476" w:rsidRPr="005D4476" w:rsidRDefault="005D4476" w:rsidP="005D4476">
            <w:pPr>
              <w:jc w:val="both"/>
              <w:rPr>
                <w:rFonts w:ascii="Times New Roman" w:hAnsi="Times New Roman" w:cs="Times New Roman"/>
                <w:sz w:val="24"/>
                <w:szCs w:val="24"/>
              </w:rPr>
            </w:pPr>
          </w:p>
        </w:tc>
        <w:tc>
          <w:tcPr>
            <w:tcW w:w="818" w:type="dxa"/>
            <w:shd w:val="clear" w:color="auto" w:fill="BDD6EE" w:themeFill="accent5" w:themeFillTint="66"/>
          </w:tcPr>
          <w:p w14:paraId="51CCC9E9" w14:textId="77777777" w:rsidR="005D4476" w:rsidRPr="005D4476" w:rsidRDefault="005D4476" w:rsidP="005D44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1.kvintile</w:t>
            </w:r>
          </w:p>
        </w:tc>
        <w:tc>
          <w:tcPr>
            <w:tcW w:w="818" w:type="dxa"/>
            <w:shd w:val="clear" w:color="auto" w:fill="BDD6EE" w:themeFill="accent5" w:themeFillTint="66"/>
          </w:tcPr>
          <w:p w14:paraId="386AE030" w14:textId="77777777" w:rsidR="005D4476" w:rsidRPr="005D4476" w:rsidRDefault="005D4476" w:rsidP="005D44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2.kvintile</w:t>
            </w:r>
          </w:p>
        </w:tc>
        <w:tc>
          <w:tcPr>
            <w:tcW w:w="818" w:type="dxa"/>
            <w:shd w:val="clear" w:color="auto" w:fill="BDD6EE" w:themeFill="accent5" w:themeFillTint="66"/>
          </w:tcPr>
          <w:p w14:paraId="77276488" w14:textId="77777777" w:rsidR="005D4476" w:rsidRPr="005D4476" w:rsidRDefault="005D4476" w:rsidP="005D44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3.kvintile</w:t>
            </w:r>
          </w:p>
        </w:tc>
        <w:tc>
          <w:tcPr>
            <w:tcW w:w="818" w:type="dxa"/>
            <w:shd w:val="clear" w:color="auto" w:fill="BDD6EE" w:themeFill="accent5" w:themeFillTint="66"/>
          </w:tcPr>
          <w:p w14:paraId="3D48A01B" w14:textId="77777777" w:rsidR="005D4476" w:rsidRPr="005D4476" w:rsidRDefault="005D4476" w:rsidP="005D44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4.kvintile</w:t>
            </w:r>
          </w:p>
        </w:tc>
        <w:tc>
          <w:tcPr>
            <w:tcW w:w="818" w:type="dxa"/>
            <w:shd w:val="clear" w:color="auto" w:fill="BDD6EE" w:themeFill="accent5" w:themeFillTint="66"/>
          </w:tcPr>
          <w:p w14:paraId="2632F876" w14:textId="77777777" w:rsidR="005D4476" w:rsidRPr="005D4476" w:rsidRDefault="005D4476" w:rsidP="005D44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5.kvintile</w:t>
            </w:r>
          </w:p>
        </w:tc>
      </w:tr>
      <w:tr w:rsidR="005D4476" w:rsidRPr="005D4476" w14:paraId="69E8130E" w14:textId="77777777" w:rsidTr="00514212">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14:paraId="2380BD75" w14:textId="77777777" w:rsidR="005D4476" w:rsidRPr="005D4476" w:rsidRDefault="005D4476" w:rsidP="005D4476">
            <w:pPr>
              <w:jc w:val="both"/>
              <w:rPr>
                <w:rFonts w:ascii="Times New Roman" w:hAnsi="Times New Roman" w:cs="Times New Roman"/>
                <w:sz w:val="24"/>
                <w:szCs w:val="24"/>
              </w:rPr>
            </w:pPr>
            <w:r w:rsidRPr="005D4476">
              <w:rPr>
                <w:rFonts w:ascii="Times New Roman" w:hAnsi="Times New Roman" w:cs="Times New Roman"/>
                <w:i w:val="0"/>
                <w:iCs w:val="0"/>
                <w:sz w:val="24"/>
                <w:szCs w:val="24"/>
              </w:rPr>
              <w:t>Mājoklis, ūdens, elektroenerģija, gāze, cits kurināmais un transports</w:t>
            </w:r>
          </w:p>
          <w:p w14:paraId="1CF0E428" w14:textId="77777777" w:rsidR="005D4476" w:rsidRPr="005D4476" w:rsidRDefault="005D4476" w:rsidP="005D4476">
            <w:pPr>
              <w:jc w:val="both"/>
              <w:rPr>
                <w:rFonts w:ascii="Times New Roman" w:hAnsi="Times New Roman" w:cs="Times New Roman"/>
                <w:i w:val="0"/>
                <w:iCs w:val="0"/>
                <w:sz w:val="24"/>
                <w:szCs w:val="24"/>
              </w:rPr>
            </w:pPr>
          </w:p>
        </w:tc>
        <w:tc>
          <w:tcPr>
            <w:tcW w:w="818" w:type="dxa"/>
            <w:shd w:val="clear" w:color="auto" w:fill="auto"/>
          </w:tcPr>
          <w:p w14:paraId="606DA447" w14:textId="77777777" w:rsidR="005D4476" w:rsidRPr="005D4476" w:rsidRDefault="005D4476" w:rsidP="005D447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16.48</w:t>
            </w:r>
          </w:p>
        </w:tc>
        <w:tc>
          <w:tcPr>
            <w:tcW w:w="818" w:type="dxa"/>
            <w:shd w:val="clear" w:color="auto" w:fill="auto"/>
          </w:tcPr>
          <w:p w14:paraId="69441826" w14:textId="77777777" w:rsidR="005D4476" w:rsidRPr="005D4476" w:rsidRDefault="005D4476" w:rsidP="005D447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22.61</w:t>
            </w:r>
          </w:p>
        </w:tc>
        <w:tc>
          <w:tcPr>
            <w:tcW w:w="818" w:type="dxa"/>
            <w:shd w:val="clear" w:color="auto" w:fill="auto"/>
          </w:tcPr>
          <w:p w14:paraId="745F5A45" w14:textId="77777777" w:rsidR="005D4476" w:rsidRPr="005D4476" w:rsidRDefault="005D4476" w:rsidP="005D447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27.90</w:t>
            </w:r>
          </w:p>
        </w:tc>
        <w:tc>
          <w:tcPr>
            <w:tcW w:w="818" w:type="dxa"/>
            <w:shd w:val="clear" w:color="auto" w:fill="auto"/>
          </w:tcPr>
          <w:p w14:paraId="0916FB8F" w14:textId="77777777" w:rsidR="005D4476" w:rsidRPr="005D4476" w:rsidRDefault="005D4476" w:rsidP="005D447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34.77</w:t>
            </w:r>
          </w:p>
        </w:tc>
        <w:tc>
          <w:tcPr>
            <w:tcW w:w="818" w:type="dxa"/>
            <w:shd w:val="clear" w:color="auto" w:fill="auto"/>
          </w:tcPr>
          <w:p w14:paraId="51BD6567" w14:textId="77777777" w:rsidR="005D4476" w:rsidRPr="005D4476" w:rsidRDefault="005D4476" w:rsidP="005D447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476">
              <w:rPr>
                <w:rFonts w:ascii="Times New Roman" w:hAnsi="Times New Roman" w:cs="Times New Roman"/>
                <w:sz w:val="24"/>
                <w:szCs w:val="24"/>
              </w:rPr>
              <w:t>56.56</w:t>
            </w:r>
          </w:p>
        </w:tc>
      </w:tr>
      <w:bookmarkEnd w:id="6"/>
    </w:tbl>
    <w:p w14:paraId="310D50A3" w14:textId="77777777" w:rsidR="005D4476" w:rsidRDefault="005D4476" w:rsidP="005D4476">
      <w:pPr>
        <w:spacing w:after="0" w:line="240" w:lineRule="auto"/>
        <w:ind w:firstLine="720"/>
        <w:jc w:val="both"/>
        <w:rPr>
          <w:rFonts w:ascii="Times New Roman" w:hAnsi="Times New Roman" w:cs="Times New Roman"/>
          <w:sz w:val="24"/>
          <w:szCs w:val="24"/>
        </w:rPr>
      </w:pPr>
    </w:p>
    <w:p w14:paraId="2E95E002" w14:textId="4F6EB1F8" w:rsidR="00374245" w:rsidRDefault="00BF4385" w:rsidP="00365151">
      <w:pPr>
        <w:spacing w:after="0" w:line="240" w:lineRule="auto"/>
        <w:ind w:firstLine="720"/>
        <w:jc w:val="both"/>
        <w:rPr>
          <w:rFonts w:ascii="Times New Roman" w:hAnsi="Times New Roman" w:cs="Times New Roman"/>
          <w:b/>
          <w:i/>
          <w:sz w:val="24"/>
          <w:szCs w:val="24"/>
        </w:rPr>
      </w:pPr>
      <w:r>
        <w:rPr>
          <w:rFonts w:ascii="Times New Roman" w:hAnsi="Times New Roman" w:cs="Times New Roman"/>
          <w:sz w:val="24"/>
          <w:szCs w:val="24"/>
        </w:rPr>
        <w:t>I</w:t>
      </w:r>
      <w:r w:rsidR="005D4476" w:rsidRPr="005D4476">
        <w:rPr>
          <w:rFonts w:ascii="Times New Roman" w:hAnsi="Times New Roman" w:cs="Times New Roman"/>
          <w:sz w:val="24"/>
          <w:szCs w:val="24"/>
        </w:rPr>
        <w:t>eviešot atbalsta pasākumus</w:t>
      </w:r>
      <w:r w:rsidR="005D4476">
        <w:rPr>
          <w:rFonts w:ascii="Times New Roman" w:hAnsi="Times New Roman" w:cs="Times New Roman"/>
          <w:sz w:val="24"/>
          <w:szCs w:val="24"/>
        </w:rPr>
        <w:t>,</w:t>
      </w:r>
      <w:r w:rsidR="005D4476" w:rsidRPr="005D4476">
        <w:rPr>
          <w:rFonts w:ascii="Times New Roman" w:hAnsi="Times New Roman" w:cs="Times New Roman"/>
          <w:sz w:val="24"/>
          <w:szCs w:val="24"/>
        </w:rPr>
        <w:t xml:space="preserve"> nekādā veidā nevajadzētu ietekmēt tirgus darbību. Primārais fokuss jāvērš uz atbalsta pasākumiem iedzīvotājiem, rodot iespēju mērķēta atbalsta īstenošanai, savukārt paralēla atbalsta pasākumu izvēršana, kas orientēta caur pakalpojumu sniedzējiem</w:t>
      </w:r>
      <w:r w:rsidR="005D4476">
        <w:rPr>
          <w:rFonts w:ascii="Times New Roman" w:hAnsi="Times New Roman" w:cs="Times New Roman"/>
          <w:sz w:val="24"/>
          <w:szCs w:val="24"/>
        </w:rPr>
        <w:t>,</w:t>
      </w:r>
      <w:r w:rsidR="005D4476" w:rsidRPr="005D4476">
        <w:rPr>
          <w:rFonts w:ascii="Times New Roman" w:hAnsi="Times New Roman" w:cs="Times New Roman"/>
          <w:sz w:val="24"/>
          <w:szCs w:val="24"/>
        </w:rPr>
        <w:t xml:space="preserve"> šobrīd nav iespējama formātā – mērķēts atbalsts, jo pakalpojuma sniedzējiem nav datu un rī</w:t>
      </w:r>
      <w:r w:rsidR="005D4476">
        <w:rPr>
          <w:rFonts w:ascii="Times New Roman" w:hAnsi="Times New Roman" w:cs="Times New Roman"/>
          <w:sz w:val="24"/>
          <w:szCs w:val="24"/>
        </w:rPr>
        <w:t>ku šādas pieejas realizēšanai, kā</w:t>
      </w:r>
      <w:r w:rsidR="005D4476" w:rsidRPr="005D4476">
        <w:rPr>
          <w:rFonts w:ascii="Times New Roman" w:hAnsi="Times New Roman" w:cs="Times New Roman"/>
          <w:sz w:val="24"/>
          <w:szCs w:val="24"/>
        </w:rPr>
        <w:t xml:space="preserve"> arī</w:t>
      </w:r>
      <w:r w:rsidR="005D4476">
        <w:rPr>
          <w:rFonts w:ascii="Times New Roman" w:hAnsi="Times New Roman" w:cs="Times New Roman"/>
          <w:sz w:val="24"/>
          <w:szCs w:val="24"/>
        </w:rPr>
        <w:t xml:space="preserve"> šādas divas pieejas ir</w:t>
      </w:r>
      <w:r w:rsidR="005D4476" w:rsidRPr="005D4476">
        <w:rPr>
          <w:rFonts w:ascii="Times New Roman" w:hAnsi="Times New Roman" w:cs="Times New Roman"/>
          <w:sz w:val="24"/>
          <w:szCs w:val="24"/>
        </w:rPr>
        <w:t xml:space="preserve"> pretrunā viena ar otru no mērķēta atbalsta pieejas idejas izvirzīšanas perspektīvas.</w:t>
      </w:r>
    </w:p>
    <w:p w14:paraId="1A55B3D4" w14:textId="6F86D999" w:rsidR="00374245" w:rsidRDefault="00374245" w:rsidP="0036515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Vienlaikus pašlaik definētais mērķētais atbalsts varētu nebūt pietiekams, ņemot vērā energoresursu cenu prognožu tendences, tāpēc būtu vērtējami arī horizontālie diferencētie atbalsta instrumenti elektroenerģijas, dabasgāzes un siltumenerģijas izmaksu pieauguma daļējai kompensācijai. </w:t>
      </w:r>
    </w:p>
    <w:p w14:paraId="64E09D9C" w14:textId="77777777" w:rsidR="00374245" w:rsidRDefault="00374245" w:rsidP="00374245">
      <w:pPr>
        <w:spacing w:after="0" w:line="240" w:lineRule="auto"/>
        <w:jc w:val="both"/>
        <w:rPr>
          <w:rFonts w:ascii="Times New Roman" w:hAnsi="Times New Roman" w:cs="Times New Roman"/>
          <w:b/>
          <w:bCs/>
          <w:sz w:val="24"/>
          <w:szCs w:val="24"/>
        </w:rPr>
      </w:pPr>
    </w:p>
    <w:p w14:paraId="0ED15295" w14:textId="6586D093" w:rsidR="00CA2F96" w:rsidRDefault="00374245" w:rsidP="000C5E3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r>
    </w:p>
    <w:p w14:paraId="7CD796E7" w14:textId="1BA93F67" w:rsidR="00CA2F96" w:rsidRPr="000C5E35" w:rsidRDefault="00CA2F96" w:rsidP="000C5E35">
      <w:pPr>
        <w:jc w:val="both"/>
        <w:rPr>
          <w:rFonts w:ascii="Times New Roman" w:hAnsi="Times New Roman" w:cs="Times New Roman"/>
          <w:b/>
          <w:bCs/>
          <w:sz w:val="24"/>
          <w:szCs w:val="24"/>
        </w:rPr>
      </w:pPr>
      <w:r w:rsidRPr="000C5E35">
        <w:rPr>
          <w:rFonts w:ascii="Times New Roman" w:hAnsi="Times New Roman" w:cs="Times New Roman"/>
          <w:b/>
          <w:bCs/>
          <w:sz w:val="24"/>
          <w:szCs w:val="24"/>
        </w:rPr>
        <w:t>Elektroenerģijas izmaksu pieauguma kompensācija mājsaimniecībām, k</w:t>
      </w:r>
      <w:r w:rsidR="00451092">
        <w:rPr>
          <w:rFonts w:ascii="Times New Roman" w:hAnsi="Times New Roman" w:cs="Times New Roman"/>
          <w:b/>
          <w:bCs/>
          <w:sz w:val="24"/>
          <w:szCs w:val="24"/>
        </w:rPr>
        <w:t>ur</w:t>
      </w:r>
      <w:r w:rsidRPr="000C5E35">
        <w:rPr>
          <w:rFonts w:ascii="Times New Roman" w:hAnsi="Times New Roman" w:cs="Times New Roman"/>
          <w:b/>
          <w:bCs/>
          <w:sz w:val="24"/>
          <w:szCs w:val="24"/>
        </w:rPr>
        <w:t>as apkurei izmanto elektroenerģiju</w:t>
      </w:r>
      <w:r>
        <w:rPr>
          <w:rFonts w:ascii="Times New Roman" w:hAnsi="Times New Roman" w:cs="Times New Roman"/>
          <w:b/>
          <w:bCs/>
          <w:sz w:val="24"/>
          <w:szCs w:val="24"/>
        </w:rPr>
        <w:t>.</w:t>
      </w:r>
    </w:p>
    <w:p w14:paraId="47CF4807" w14:textId="77777777" w:rsidR="003F3168" w:rsidRDefault="00CA2F96" w:rsidP="003F3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F3168">
        <w:rPr>
          <w:rFonts w:ascii="Times New Roman" w:hAnsi="Times New Roman" w:cs="Times New Roman"/>
          <w:sz w:val="24"/>
          <w:szCs w:val="24"/>
        </w:rPr>
        <w:t xml:space="preserve">Tirgotāju mājsaimniecību elektroenerģijas piedāvājumos jau pašreizējā elektroenerģija cena var pārsniegt 0,100 EUR/kWh. Aplēses liecina, ka šī tendence apkures sezonā visticamāk pieaugs. Tāpēc būtu nosakāmi elektroenerģijas cenas griesti, virs kuriem mājsaimniecībām tiktu 50% apmērā kompensētas izmaksas par elektroenerģiju. Elektroenerģijas cenu griesti būtu nosakāmi 0,160 EUR/kWh, proti, valsts kompensē 50% no elektroenerģijas cenas, kas pārsniedz 0,160 EUR/kWh, bet ne vairāk kā 0,100 EUR/kWh.  Atbalsts elektroenerģijas izmaksu segšanā tiktu vērsts uz tām mājsaimniecībās, kas elektroenerģiju izmanto apkurē. Šādās mājsaimniecībās elektroenerģijas patēriņš mēnesī pārsniedz 500 kWh. Tādējādi jebkurai mājsaimniecībai pirmās 500 kWh būs jāapmaksā atbilstoši elektroenerģijas tirgotāja tarifam, bet atbilstoši iepriekš minētajam mehānismam tiktu kompensēts patēriņš, kas pārsniedz šo slieksni. Tā kā Latvijā nav jāveic siltumsūkņu vai citu uz elektroenerģiju balstītu apkures iekārtu reģistrācija, Ekonomikas ministrija piedāvā noteikt prasību mājsaimniecības lietotājam iesniegt pašvaldībā apkures iekārtu apliecinošu dokumentu un elektroenerģijas rēķinu, lai nodrošinātu, ka atbalsts ir mērķēts tieši uz izmaksu par </w:t>
      </w:r>
      <w:r w:rsidR="003F3168">
        <w:rPr>
          <w:rFonts w:ascii="Times New Roman" w:hAnsi="Times New Roman" w:cs="Times New Roman"/>
          <w:sz w:val="24"/>
          <w:szCs w:val="24"/>
        </w:rPr>
        <w:lastRenderedPageBreak/>
        <w:t xml:space="preserve">apkuri samazināšanu. Lēmumu par kompensācijas izmaksāšanu pieņemtu pašvaldība. </w:t>
      </w:r>
      <w:r w:rsidR="003F3168" w:rsidRPr="003D0F5D">
        <w:rPr>
          <w:rFonts w:ascii="Times New Roman" w:hAnsi="Times New Roman" w:cs="Times New Roman"/>
          <w:sz w:val="24"/>
          <w:szCs w:val="24"/>
        </w:rPr>
        <w:t>Savukārt valsts sekojoši atmaksā šo kompensāciju pašvaldībai.</w:t>
      </w:r>
    </w:p>
    <w:p w14:paraId="760B022A" w14:textId="77777777" w:rsidR="003F3168" w:rsidRDefault="003F3168" w:rsidP="003F3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Ja mājsaimniecības kopējais patēriņš būtu 1,5 MWh un elektroenerģijas cena konkrētajā mēnesī būtu sasniegusi 0,250 EUR/kWh līmeni, tad bez kompensācijas elektroenerģijas izmaksas būtu 370 EUR apmērā. Ar kompensāciju elektroenerģijas izmaksas būtu 325 EUR apmērā (pirmās 500 kWh tiktu apmaksātas bez kompensācijas un sastādītu 120 EUR no kopējās 325 EUR rēķina).</w:t>
      </w:r>
    </w:p>
    <w:p w14:paraId="0B800838" w14:textId="2C8A1188" w:rsidR="003F3168" w:rsidRDefault="003F3168" w:rsidP="003F3168">
      <w:pPr>
        <w:spacing w:after="0" w:line="240" w:lineRule="auto"/>
        <w:jc w:val="both"/>
        <w:rPr>
          <w:rFonts w:ascii="Times New Roman" w:hAnsi="Times New Roman" w:cs="Times New Roman"/>
          <w:sz w:val="24"/>
          <w:szCs w:val="24"/>
        </w:rPr>
      </w:pPr>
    </w:p>
    <w:p w14:paraId="1F5F0C5B" w14:textId="77777777" w:rsidR="003F3168" w:rsidRDefault="003F3168" w:rsidP="003F3168">
      <w:pPr>
        <w:spacing w:after="0" w:line="240" w:lineRule="auto"/>
        <w:jc w:val="both"/>
        <w:rPr>
          <w:rFonts w:ascii="Times New Roman" w:hAnsi="Times New Roman" w:cs="Times New Roman"/>
          <w:sz w:val="24"/>
          <w:szCs w:val="24"/>
        </w:rPr>
      </w:pPr>
    </w:p>
    <w:p w14:paraId="4CDC5BEF" w14:textId="7FFC8338" w:rsidR="003F3168" w:rsidRDefault="00B15931" w:rsidP="003F3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3F3168">
        <w:rPr>
          <w:rFonts w:ascii="Times New Roman" w:hAnsi="Times New Roman" w:cs="Times New Roman"/>
          <w:sz w:val="24"/>
          <w:szCs w:val="24"/>
        </w:rPr>
        <w:t>.tabula. Mājsaimniecību skaits</w:t>
      </w:r>
      <w:r w:rsidR="003F3168" w:rsidRPr="00BE5AA5">
        <w:rPr>
          <w:rFonts w:ascii="Times New Roman" w:hAnsi="Times New Roman" w:cs="Times New Roman"/>
          <w:sz w:val="24"/>
          <w:szCs w:val="24"/>
        </w:rPr>
        <w:t xml:space="preserve"> un to patēriņ</w:t>
      </w:r>
      <w:r w:rsidR="003F3168">
        <w:rPr>
          <w:rFonts w:ascii="Times New Roman" w:hAnsi="Times New Roman" w:cs="Times New Roman"/>
          <w:sz w:val="24"/>
          <w:szCs w:val="24"/>
        </w:rPr>
        <w:t>a apjomi</w:t>
      </w:r>
    </w:p>
    <w:p w14:paraId="3CBFBC49" w14:textId="77777777" w:rsidR="003F3168" w:rsidRPr="00EF4201" w:rsidRDefault="003F3168" w:rsidP="003F3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4950" w:type="dxa"/>
        <w:tblInd w:w="1550" w:type="dxa"/>
        <w:tblCellMar>
          <w:left w:w="0" w:type="dxa"/>
          <w:right w:w="0" w:type="dxa"/>
        </w:tblCellMar>
        <w:tblLook w:val="04A0" w:firstRow="1" w:lastRow="0" w:firstColumn="1" w:lastColumn="0" w:noHBand="0" w:noVBand="1"/>
      </w:tblPr>
      <w:tblGrid>
        <w:gridCol w:w="2409"/>
        <w:gridCol w:w="1581"/>
        <w:gridCol w:w="960"/>
      </w:tblGrid>
      <w:tr w:rsidR="003F3168" w14:paraId="3ECBBA7A" w14:textId="77777777" w:rsidTr="002B567D">
        <w:trPr>
          <w:trHeight w:val="80"/>
        </w:trPr>
        <w:tc>
          <w:tcPr>
            <w:tcW w:w="24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22A71BE8" w14:textId="77777777" w:rsidR="003F3168" w:rsidRPr="00BE5AA5" w:rsidRDefault="003F3168" w:rsidP="002B567D">
            <w:pPr>
              <w:jc w:val="center"/>
              <w:rPr>
                <w:rFonts w:ascii="Times New Roman" w:hAnsi="Times New Roman" w:cs="Times New Roman"/>
                <w:sz w:val="24"/>
                <w:szCs w:val="24"/>
              </w:rPr>
            </w:pPr>
            <w:r w:rsidRPr="00BE5AA5">
              <w:rPr>
                <w:rFonts w:ascii="Times New Roman" w:hAnsi="Times New Roman" w:cs="Times New Roman"/>
                <w:sz w:val="24"/>
                <w:szCs w:val="24"/>
              </w:rPr>
              <w:t>Vidēji kWh mēnesī</w:t>
            </w:r>
          </w:p>
        </w:tc>
        <w:tc>
          <w:tcPr>
            <w:tcW w:w="1581"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7FE64F85" w14:textId="77777777" w:rsidR="003F3168" w:rsidRPr="00BE5AA5" w:rsidRDefault="003F3168" w:rsidP="002B567D">
            <w:pPr>
              <w:jc w:val="center"/>
              <w:rPr>
                <w:rFonts w:ascii="Times New Roman" w:hAnsi="Times New Roman" w:cs="Times New Roman"/>
                <w:sz w:val="24"/>
                <w:szCs w:val="24"/>
              </w:rPr>
            </w:pPr>
            <w:r>
              <w:rPr>
                <w:rFonts w:ascii="Times New Roman" w:hAnsi="Times New Roman" w:cs="Times New Roman"/>
                <w:sz w:val="24"/>
                <w:szCs w:val="24"/>
              </w:rPr>
              <w:t>O</w:t>
            </w:r>
            <w:r w:rsidRPr="00BE5AA5">
              <w:rPr>
                <w:rFonts w:ascii="Times New Roman" w:hAnsi="Times New Roman" w:cs="Times New Roman"/>
                <w:sz w:val="24"/>
                <w:szCs w:val="24"/>
              </w:rPr>
              <w:t>bjektu skaits</w:t>
            </w:r>
          </w:p>
        </w:tc>
        <w:tc>
          <w:tcPr>
            <w:tcW w:w="960"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4185A304" w14:textId="77777777" w:rsidR="003F3168" w:rsidRPr="00BE5AA5" w:rsidRDefault="003F3168" w:rsidP="002B567D">
            <w:pPr>
              <w:jc w:val="center"/>
              <w:rPr>
                <w:rFonts w:ascii="Times New Roman" w:hAnsi="Times New Roman" w:cs="Times New Roman"/>
                <w:sz w:val="24"/>
                <w:szCs w:val="24"/>
              </w:rPr>
            </w:pPr>
            <w:r w:rsidRPr="00BE5AA5">
              <w:rPr>
                <w:rFonts w:ascii="Times New Roman" w:hAnsi="Times New Roman" w:cs="Times New Roman"/>
                <w:sz w:val="24"/>
                <w:szCs w:val="24"/>
              </w:rPr>
              <w:t>%</w:t>
            </w:r>
          </w:p>
        </w:tc>
      </w:tr>
      <w:tr w:rsidR="003F3168" w14:paraId="64B43AA1" w14:textId="77777777" w:rsidTr="002B567D">
        <w:trPr>
          <w:trHeight w:val="80"/>
        </w:trPr>
        <w:tc>
          <w:tcPr>
            <w:tcW w:w="2409" w:type="dxa"/>
            <w:tcBorders>
              <w:top w:val="nil"/>
              <w:left w:val="single" w:sz="8" w:space="0" w:color="000000"/>
              <w:bottom w:val="single" w:sz="8" w:space="0" w:color="000000"/>
              <w:right w:val="single" w:sz="8" w:space="0" w:color="000000"/>
            </w:tcBorders>
            <w:vAlign w:val="center"/>
            <w:hideMark/>
          </w:tcPr>
          <w:p w14:paraId="28BDB4FC"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0-10</w:t>
            </w:r>
          </w:p>
        </w:tc>
        <w:tc>
          <w:tcPr>
            <w:tcW w:w="1581" w:type="dxa"/>
            <w:tcBorders>
              <w:top w:val="nil"/>
              <w:left w:val="nil"/>
              <w:bottom w:val="single" w:sz="8" w:space="0" w:color="000000"/>
              <w:right w:val="single" w:sz="8" w:space="0" w:color="000000"/>
            </w:tcBorders>
            <w:vAlign w:val="center"/>
            <w:hideMark/>
          </w:tcPr>
          <w:p w14:paraId="10D4F926"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89 224</w:t>
            </w:r>
          </w:p>
        </w:tc>
        <w:tc>
          <w:tcPr>
            <w:tcW w:w="960" w:type="dxa"/>
            <w:tcBorders>
              <w:top w:val="nil"/>
              <w:left w:val="nil"/>
              <w:bottom w:val="single" w:sz="8" w:space="0" w:color="000000"/>
              <w:right w:val="single" w:sz="8" w:space="0" w:color="000000"/>
            </w:tcBorders>
            <w:vAlign w:val="center"/>
            <w:hideMark/>
          </w:tcPr>
          <w:p w14:paraId="5566D2DD"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10%</w:t>
            </w:r>
          </w:p>
        </w:tc>
      </w:tr>
      <w:tr w:rsidR="003F3168" w14:paraId="1B47E9CC" w14:textId="77777777" w:rsidTr="002B567D">
        <w:trPr>
          <w:trHeight w:val="80"/>
        </w:trPr>
        <w:tc>
          <w:tcPr>
            <w:tcW w:w="2409" w:type="dxa"/>
            <w:tcBorders>
              <w:top w:val="nil"/>
              <w:left w:val="single" w:sz="8" w:space="0" w:color="000000"/>
              <w:bottom w:val="single" w:sz="8" w:space="0" w:color="000000"/>
              <w:right w:val="single" w:sz="8" w:space="0" w:color="000000"/>
            </w:tcBorders>
            <w:vAlign w:val="center"/>
            <w:hideMark/>
          </w:tcPr>
          <w:p w14:paraId="713A243A"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11-50</w:t>
            </w:r>
          </w:p>
        </w:tc>
        <w:tc>
          <w:tcPr>
            <w:tcW w:w="1581" w:type="dxa"/>
            <w:tcBorders>
              <w:top w:val="nil"/>
              <w:left w:val="nil"/>
              <w:bottom w:val="single" w:sz="8" w:space="0" w:color="000000"/>
              <w:right w:val="single" w:sz="8" w:space="0" w:color="000000"/>
            </w:tcBorders>
            <w:vAlign w:val="center"/>
            <w:hideMark/>
          </w:tcPr>
          <w:p w14:paraId="5E8CBAEE"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137 644</w:t>
            </w:r>
          </w:p>
        </w:tc>
        <w:tc>
          <w:tcPr>
            <w:tcW w:w="960" w:type="dxa"/>
            <w:tcBorders>
              <w:top w:val="nil"/>
              <w:left w:val="nil"/>
              <w:bottom w:val="single" w:sz="8" w:space="0" w:color="000000"/>
              <w:right w:val="single" w:sz="8" w:space="0" w:color="000000"/>
            </w:tcBorders>
            <w:vAlign w:val="center"/>
            <w:hideMark/>
          </w:tcPr>
          <w:p w14:paraId="57EC3206"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15%</w:t>
            </w:r>
          </w:p>
        </w:tc>
      </w:tr>
      <w:tr w:rsidR="003F3168" w14:paraId="7C6FD9AB" w14:textId="77777777" w:rsidTr="002B567D">
        <w:trPr>
          <w:trHeight w:val="80"/>
        </w:trPr>
        <w:tc>
          <w:tcPr>
            <w:tcW w:w="2409" w:type="dxa"/>
            <w:tcBorders>
              <w:top w:val="nil"/>
              <w:left w:val="single" w:sz="8" w:space="0" w:color="000000"/>
              <w:bottom w:val="single" w:sz="8" w:space="0" w:color="000000"/>
              <w:right w:val="single" w:sz="8" w:space="0" w:color="000000"/>
            </w:tcBorders>
            <w:vAlign w:val="center"/>
            <w:hideMark/>
          </w:tcPr>
          <w:p w14:paraId="30E0F3E1"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51-150</w:t>
            </w:r>
          </w:p>
        </w:tc>
        <w:tc>
          <w:tcPr>
            <w:tcW w:w="1581" w:type="dxa"/>
            <w:tcBorders>
              <w:top w:val="nil"/>
              <w:left w:val="nil"/>
              <w:bottom w:val="single" w:sz="8" w:space="0" w:color="000000"/>
              <w:right w:val="single" w:sz="8" w:space="0" w:color="000000"/>
            </w:tcBorders>
            <w:vAlign w:val="center"/>
            <w:hideMark/>
          </w:tcPr>
          <w:p w14:paraId="40F8BE21"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400 645</w:t>
            </w:r>
          </w:p>
        </w:tc>
        <w:tc>
          <w:tcPr>
            <w:tcW w:w="960" w:type="dxa"/>
            <w:tcBorders>
              <w:top w:val="nil"/>
              <w:left w:val="nil"/>
              <w:bottom w:val="single" w:sz="8" w:space="0" w:color="000000"/>
              <w:right w:val="single" w:sz="8" w:space="0" w:color="000000"/>
            </w:tcBorders>
            <w:vAlign w:val="center"/>
            <w:hideMark/>
          </w:tcPr>
          <w:p w14:paraId="21A2C517"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44%</w:t>
            </w:r>
          </w:p>
        </w:tc>
      </w:tr>
      <w:tr w:rsidR="003F3168" w14:paraId="5FA5E210" w14:textId="77777777" w:rsidTr="002B567D">
        <w:trPr>
          <w:trHeight w:val="80"/>
        </w:trPr>
        <w:tc>
          <w:tcPr>
            <w:tcW w:w="2409" w:type="dxa"/>
            <w:tcBorders>
              <w:top w:val="nil"/>
              <w:left w:val="single" w:sz="8" w:space="0" w:color="000000"/>
              <w:bottom w:val="single" w:sz="8" w:space="0" w:color="000000"/>
              <w:right w:val="single" w:sz="8" w:space="0" w:color="000000"/>
            </w:tcBorders>
            <w:vAlign w:val="center"/>
            <w:hideMark/>
          </w:tcPr>
          <w:p w14:paraId="69FE7EE9"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151-300</w:t>
            </w:r>
          </w:p>
        </w:tc>
        <w:tc>
          <w:tcPr>
            <w:tcW w:w="1581" w:type="dxa"/>
            <w:tcBorders>
              <w:top w:val="nil"/>
              <w:left w:val="nil"/>
              <w:bottom w:val="single" w:sz="8" w:space="0" w:color="000000"/>
              <w:right w:val="single" w:sz="8" w:space="0" w:color="000000"/>
            </w:tcBorders>
            <w:vAlign w:val="center"/>
            <w:hideMark/>
          </w:tcPr>
          <w:p w14:paraId="6357B258"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183 765</w:t>
            </w:r>
          </w:p>
        </w:tc>
        <w:tc>
          <w:tcPr>
            <w:tcW w:w="960" w:type="dxa"/>
            <w:tcBorders>
              <w:top w:val="nil"/>
              <w:left w:val="nil"/>
              <w:bottom w:val="single" w:sz="8" w:space="0" w:color="000000"/>
              <w:right w:val="single" w:sz="8" w:space="0" w:color="000000"/>
            </w:tcBorders>
            <w:vAlign w:val="center"/>
            <w:hideMark/>
          </w:tcPr>
          <w:p w14:paraId="3661C3EB"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20%</w:t>
            </w:r>
          </w:p>
        </w:tc>
      </w:tr>
      <w:tr w:rsidR="003F3168" w14:paraId="09728067" w14:textId="77777777" w:rsidTr="002B567D">
        <w:trPr>
          <w:trHeight w:val="80"/>
        </w:trPr>
        <w:tc>
          <w:tcPr>
            <w:tcW w:w="2409" w:type="dxa"/>
            <w:tcBorders>
              <w:top w:val="nil"/>
              <w:left w:val="single" w:sz="8" w:space="0" w:color="000000"/>
              <w:bottom w:val="single" w:sz="8" w:space="0" w:color="000000"/>
              <w:right w:val="single" w:sz="8" w:space="0" w:color="000000"/>
            </w:tcBorders>
            <w:vAlign w:val="center"/>
            <w:hideMark/>
          </w:tcPr>
          <w:p w14:paraId="79DE7BE4"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lielāks par 300</w:t>
            </w:r>
          </w:p>
        </w:tc>
        <w:tc>
          <w:tcPr>
            <w:tcW w:w="1581" w:type="dxa"/>
            <w:tcBorders>
              <w:top w:val="nil"/>
              <w:left w:val="nil"/>
              <w:bottom w:val="single" w:sz="8" w:space="0" w:color="000000"/>
              <w:right w:val="single" w:sz="8" w:space="0" w:color="000000"/>
            </w:tcBorders>
            <w:vAlign w:val="center"/>
            <w:hideMark/>
          </w:tcPr>
          <w:p w14:paraId="6743D23C"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97 429</w:t>
            </w:r>
          </w:p>
        </w:tc>
        <w:tc>
          <w:tcPr>
            <w:tcW w:w="960" w:type="dxa"/>
            <w:tcBorders>
              <w:top w:val="nil"/>
              <w:left w:val="nil"/>
              <w:bottom w:val="single" w:sz="8" w:space="0" w:color="000000"/>
              <w:right w:val="single" w:sz="8" w:space="0" w:color="000000"/>
            </w:tcBorders>
            <w:vAlign w:val="center"/>
            <w:hideMark/>
          </w:tcPr>
          <w:p w14:paraId="2FE5441B"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11%</w:t>
            </w:r>
          </w:p>
        </w:tc>
      </w:tr>
      <w:tr w:rsidR="003F3168" w14:paraId="50BA05DE" w14:textId="77777777" w:rsidTr="002B567D">
        <w:trPr>
          <w:trHeight w:val="80"/>
        </w:trPr>
        <w:tc>
          <w:tcPr>
            <w:tcW w:w="2409" w:type="dxa"/>
            <w:tcBorders>
              <w:top w:val="nil"/>
              <w:left w:val="single" w:sz="8" w:space="0" w:color="000000"/>
              <w:bottom w:val="single" w:sz="8" w:space="0" w:color="000000"/>
              <w:right w:val="single" w:sz="8" w:space="0" w:color="000000"/>
            </w:tcBorders>
            <w:vAlign w:val="center"/>
            <w:hideMark/>
          </w:tcPr>
          <w:p w14:paraId="08B49290"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Kopā</w:t>
            </w:r>
          </w:p>
        </w:tc>
        <w:tc>
          <w:tcPr>
            <w:tcW w:w="1581" w:type="dxa"/>
            <w:tcBorders>
              <w:top w:val="nil"/>
              <w:left w:val="nil"/>
              <w:bottom w:val="single" w:sz="8" w:space="0" w:color="000000"/>
              <w:right w:val="single" w:sz="8" w:space="0" w:color="000000"/>
            </w:tcBorders>
            <w:vAlign w:val="center"/>
            <w:hideMark/>
          </w:tcPr>
          <w:p w14:paraId="1267590F"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908 707</w:t>
            </w:r>
          </w:p>
        </w:tc>
        <w:tc>
          <w:tcPr>
            <w:tcW w:w="960" w:type="dxa"/>
            <w:tcBorders>
              <w:top w:val="nil"/>
              <w:left w:val="nil"/>
              <w:bottom w:val="single" w:sz="8" w:space="0" w:color="000000"/>
              <w:right w:val="single" w:sz="8" w:space="0" w:color="000000"/>
            </w:tcBorders>
            <w:vAlign w:val="center"/>
            <w:hideMark/>
          </w:tcPr>
          <w:p w14:paraId="21D05783" w14:textId="77777777" w:rsidR="003F3168" w:rsidRPr="00ED736C" w:rsidRDefault="003F3168" w:rsidP="002B567D">
            <w:pPr>
              <w:jc w:val="center"/>
              <w:rPr>
                <w:rFonts w:ascii="Times New Roman" w:hAnsi="Times New Roman" w:cs="Times New Roman"/>
                <w:sz w:val="24"/>
                <w:szCs w:val="24"/>
              </w:rPr>
            </w:pPr>
            <w:r w:rsidRPr="00ED736C">
              <w:rPr>
                <w:rFonts w:ascii="Times New Roman" w:hAnsi="Times New Roman" w:cs="Times New Roman"/>
                <w:sz w:val="24"/>
                <w:szCs w:val="24"/>
              </w:rPr>
              <w:t>100%</w:t>
            </w:r>
          </w:p>
        </w:tc>
      </w:tr>
    </w:tbl>
    <w:p w14:paraId="1A5E0A10" w14:textId="77777777" w:rsidR="00CA2F96" w:rsidRDefault="00CA2F96" w:rsidP="00CA2F96">
      <w:pPr>
        <w:spacing w:after="0" w:line="240" w:lineRule="auto"/>
        <w:jc w:val="both"/>
        <w:rPr>
          <w:rFonts w:ascii="Times New Roman" w:hAnsi="Times New Roman" w:cs="Times New Roman"/>
          <w:sz w:val="24"/>
          <w:szCs w:val="24"/>
        </w:rPr>
      </w:pPr>
    </w:p>
    <w:p w14:paraId="24B4D597" w14:textId="16881AD6" w:rsidR="00CA2F96" w:rsidRDefault="00B15931" w:rsidP="000C5E3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Ņemot vērā 10</w:t>
      </w:r>
      <w:r w:rsidR="00CA2F96">
        <w:rPr>
          <w:rFonts w:ascii="Times New Roman" w:hAnsi="Times New Roman" w:cs="Times New Roman"/>
          <w:bCs/>
          <w:iCs/>
          <w:sz w:val="24"/>
          <w:szCs w:val="24"/>
        </w:rPr>
        <w:t>.tabulā sniegtos datus par mājsaimniecību skaitu un to vidējo patēriņu, kopējās budžeta izmaksas, lai īstenotu šo atbalsta instrumentu uz visu apkures sezonu (oktobris – aprīlis</w:t>
      </w:r>
      <w:r w:rsidR="005F4F12">
        <w:rPr>
          <w:rFonts w:ascii="Times New Roman" w:hAnsi="Times New Roman" w:cs="Times New Roman"/>
          <w:bCs/>
          <w:iCs/>
          <w:sz w:val="24"/>
          <w:szCs w:val="24"/>
        </w:rPr>
        <w:t>)</w:t>
      </w:r>
      <w:r w:rsidR="003F3168">
        <w:rPr>
          <w:rFonts w:ascii="Times New Roman" w:hAnsi="Times New Roman" w:cs="Times New Roman"/>
          <w:bCs/>
          <w:iCs/>
          <w:sz w:val="24"/>
          <w:szCs w:val="24"/>
        </w:rPr>
        <w:t>,</w:t>
      </w:r>
      <w:r w:rsidR="00CA2F96">
        <w:rPr>
          <w:rFonts w:ascii="Times New Roman" w:hAnsi="Times New Roman" w:cs="Times New Roman"/>
          <w:bCs/>
          <w:iCs/>
          <w:sz w:val="24"/>
          <w:szCs w:val="24"/>
        </w:rPr>
        <w:t xml:space="preserve"> sasniegtu aptuveni 15 milj. </w:t>
      </w:r>
      <w:r w:rsidR="00CA2F96" w:rsidRPr="00365151">
        <w:rPr>
          <w:rFonts w:ascii="Times New Roman" w:hAnsi="Times New Roman" w:cs="Times New Roman"/>
          <w:bCs/>
          <w:i/>
          <w:iCs/>
          <w:sz w:val="24"/>
          <w:szCs w:val="24"/>
        </w:rPr>
        <w:t>euro</w:t>
      </w:r>
      <w:r w:rsidR="00CA2F96">
        <w:rPr>
          <w:rFonts w:ascii="Times New Roman" w:hAnsi="Times New Roman" w:cs="Times New Roman"/>
          <w:bCs/>
          <w:iCs/>
          <w:sz w:val="24"/>
          <w:szCs w:val="24"/>
        </w:rPr>
        <w:t>.</w:t>
      </w:r>
    </w:p>
    <w:p w14:paraId="2D5A50B9" w14:textId="77777777" w:rsidR="00CA2F96" w:rsidRDefault="00CA2F96" w:rsidP="00374245">
      <w:pPr>
        <w:spacing w:after="0" w:line="240" w:lineRule="auto"/>
        <w:jc w:val="both"/>
        <w:rPr>
          <w:rFonts w:ascii="Times New Roman" w:hAnsi="Times New Roman" w:cs="Times New Roman"/>
          <w:b/>
          <w:bCs/>
          <w:sz w:val="24"/>
          <w:szCs w:val="24"/>
        </w:rPr>
      </w:pPr>
    </w:p>
    <w:p w14:paraId="7411FC71" w14:textId="77777777" w:rsidR="00374245" w:rsidRPr="008A3D66" w:rsidRDefault="00374245" w:rsidP="00374245">
      <w:pPr>
        <w:spacing w:after="0" w:line="240" w:lineRule="auto"/>
        <w:jc w:val="both"/>
        <w:rPr>
          <w:rFonts w:ascii="Times New Roman" w:hAnsi="Times New Roman" w:cs="Times New Roman"/>
          <w:b/>
          <w:bCs/>
          <w:sz w:val="24"/>
          <w:szCs w:val="24"/>
        </w:rPr>
      </w:pPr>
      <w:r w:rsidRPr="008A3D66">
        <w:rPr>
          <w:rFonts w:ascii="Times New Roman" w:hAnsi="Times New Roman" w:cs="Times New Roman"/>
          <w:b/>
          <w:bCs/>
          <w:sz w:val="24"/>
          <w:szCs w:val="24"/>
        </w:rPr>
        <w:t>Dabasgāzes izmaksu pieauguma kompensācija mājsaimniecībām</w:t>
      </w:r>
    </w:p>
    <w:p w14:paraId="52D21732" w14:textId="77777777" w:rsidR="00CA2F96" w:rsidRPr="000C5E35" w:rsidRDefault="00374245" w:rsidP="00CA2F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Aplēses liecina, ka dabasgāzes cena mājsaimniecībām nākamajā apkures sezonā varētu būt apmēram 140 EUR/MWh. Ekonomikas ministrija piedāvā, ka valsts </w:t>
      </w:r>
      <w:r w:rsidRPr="00F96409">
        <w:rPr>
          <w:rFonts w:ascii="Times New Roman" w:hAnsi="Times New Roman" w:cs="Times New Roman"/>
          <w:sz w:val="24"/>
          <w:szCs w:val="24"/>
        </w:rPr>
        <w:t xml:space="preserve">kompensācijas apmērs dabasgāzes izmaksu pieauguma segšanai varētu tikt aprēķināts, balstoties uz starpību starp nākamās apkures sezonas dabasgāzes cenu un pagājušās apkures sezonas dabasgāzes cenu 68 EUR/MWh. </w:t>
      </w:r>
      <w:r w:rsidR="00CA2F96" w:rsidRPr="00F96409">
        <w:rPr>
          <w:rFonts w:ascii="Times New Roman" w:hAnsi="Times New Roman" w:cs="Times New Roman"/>
          <w:sz w:val="24"/>
          <w:szCs w:val="24"/>
        </w:rPr>
        <w:t xml:space="preserve">Aptuvenā cenu atšķirība ir 70 EUR/MWh, no kurām valsts segtu 50%. </w:t>
      </w:r>
    </w:p>
    <w:p w14:paraId="47B50B7E" w14:textId="5A85B882" w:rsidR="00374245" w:rsidRPr="000C5E35" w:rsidRDefault="00CA2F96" w:rsidP="00CA2F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74245" w:rsidRPr="000C5E35">
        <w:rPr>
          <w:rFonts w:ascii="Times New Roman" w:hAnsi="Times New Roman" w:cs="Times New Roman"/>
          <w:sz w:val="24"/>
          <w:szCs w:val="24"/>
        </w:rPr>
        <w:t xml:space="preserve">Kopējais mājsaimniecību dabasgāzes patēriņš ziemā ir aptuveni 1 TWh, tādējādi maksimālais atbalsta apmērs no valsts budžeta apkures sezonā nepārsniegtu 35 milj. </w:t>
      </w:r>
      <w:r w:rsidR="00374245" w:rsidRPr="000C5E35">
        <w:rPr>
          <w:rFonts w:ascii="Times New Roman" w:hAnsi="Times New Roman" w:cs="Times New Roman"/>
          <w:bCs/>
          <w:i/>
          <w:iCs/>
          <w:sz w:val="24"/>
          <w:szCs w:val="24"/>
        </w:rPr>
        <w:t>euro</w:t>
      </w:r>
      <w:r w:rsidR="00374245" w:rsidRPr="000C5E35">
        <w:rPr>
          <w:rFonts w:ascii="Times New Roman" w:hAnsi="Times New Roman" w:cs="Times New Roman"/>
          <w:sz w:val="24"/>
          <w:szCs w:val="24"/>
        </w:rPr>
        <w:t>.</w:t>
      </w:r>
    </w:p>
    <w:p w14:paraId="60D0C1C3" w14:textId="77777777" w:rsidR="00CA2F96" w:rsidRDefault="00CA2F96" w:rsidP="00CA2F96">
      <w:pPr>
        <w:spacing w:after="0" w:line="240" w:lineRule="auto"/>
        <w:jc w:val="both"/>
      </w:pPr>
    </w:p>
    <w:p w14:paraId="0786BF69" w14:textId="77777777" w:rsidR="00374245" w:rsidRPr="008A3D66" w:rsidRDefault="00374245" w:rsidP="00374245">
      <w:pPr>
        <w:spacing w:after="0" w:line="240" w:lineRule="auto"/>
        <w:jc w:val="both"/>
        <w:rPr>
          <w:rFonts w:ascii="Times New Roman" w:hAnsi="Times New Roman" w:cs="Times New Roman"/>
          <w:b/>
          <w:bCs/>
          <w:sz w:val="24"/>
          <w:szCs w:val="24"/>
        </w:rPr>
      </w:pPr>
      <w:r w:rsidRPr="008A3D66">
        <w:rPr>
          <w:rFonts w:ascii="Times New Roman" w:hAnsi="Times New Roman" w:cs="Times New Roman"/>
          <w:b/>
          <w:bCs/>
          <w:sz w:val="24"/>
          <w:szCs w:val="24"/>
        </w:rPr>
        <w:t>Siltumenerģijas izmaksu pieauguma kompensācija mājsaimniecībām</w:t>
      </w:r>
    </w:p>
    <w:p w14:paraId="5769E26E" w14:textId="77777777" w:rsidR="00374245" w:rsidRDefault="00374245" w:rsidP="00365151">
      <w:pPr>
        <w:pStyle w:val="tv213"/>
        <w:spacing w:before="0" w:beforeAutospacing="0" w:after="0" w:afterAutospacing="0"/>
        <w:jc w:val="both"/>
      </w:pPr>
      <w:r>
        <w:lastRenderedPageBreak/>
        <w:tab/>
        <w:t>Aplēses liecina, ka vidējais siltumenerģijas tarifs mājsaimniecībām nākamajā apkures sezonā varētu būtu 150 EUR/MWh robežās. Ekonomikas ministrija piedāvā noteikt, ka kompensācijas apmērs siltumenerģijas izmaksu pieauguma segšanai varētu tikt noteikts 50% apmērā no starpības starp nākamās apkures sezonas siltumenerģijas tarifu un iepriekšējā apkure sezonā noteikto siltumenerģijas tarifa mediānu 68 EUR/MWh.</w:t>
      </w:r>
    </w:p>
    <w:p w14:paraId="14207426" w14:textId="6CA54C1A" w:rsidR="00374245" w:rsidRDefault="00374245" w:rsidP="00365151">
      <w:pPr>
        <w:pStyle w:val="tv213"/>
        <w:spacing w:before="0" w:beforeAutospacing="0" w:after="0" w:afterAutospacing="0"/>
        <w:jc w:val="both"/>
      </w:pPr>
      <w:r>
        <w:tab/>
        <w:t xml:space="preserve">Tādējādi, ja pašvaldības siltumenerģijas tarifs nākamajā apkures sezonā būs 198 EUR/MWh. Tad kompensācijas apmērs būs (198 – 68) / 2 = 65 EUR/MWh. Līdz ar to konkrētajā pašvaldībā mājsaimniecībā rēķins tiktu piestādīts pēc tarifa 133 EUR/MWh. Pieņemot, ka vidējais Latvijas siltumenerģijas tarifs varētu būt 150 EUR/MWh robežās, kopējās kompensācijas izmaksas visai apkures sezonai no valsts budžeta varētu sasniegt 150 milj. </w:t>
      </w:r>
      <w:r w:rsidRPr="001F6869">
        <w:rPr>
          <w:bCs/>
          <w:i/>
          <w:iCs/>
        </w:rPr>
        <w:t>euro</w:t>
      </w:r>
      <w:r>
        <w:rPr>
          <w:bCs/>
          <w:iCs/>
        </w:rPr>
        <w:t>.</w:t>
      </w:r>
    </w:p>
    <w:p w14:paraId="7DD50D89" w14:textId="77777777" w:rsidR="000D1907" w:rsidRDefault="000D1907" w:rsidP="00F96409">
      <w:pPr>
        <w:pStyle w:val="tv213"/>
        <w:spacing w:before="0" w:beforeAutospacing="0" w:after="0" w:afterAutospacing="0"/>
        <w:ind w:firstLine="720"/>
        <w:jc w:val="both"/>
      </w:pPr>
    </w:p>
    <w:p w14:paraId="2AC2ED03" w14:textId="099D8A5B" w:rsidR="000D1907" w:rsidRDefault="000D1907" w:rsidP="00F96409">
      <w:pPr>
        <w:pStyle w:val="tv213"/>
        <w:spacing w:before="0" w:beforeAutospacing="0" w:after="0" w:afterAutospacing="0"/>
        <w:ind w:firstLine="720"/>
        <w:jc w:val="both"/>
      </w:pPr>
      <w:r>
        <w:t>Papildus, lai vidējā termiņā veicinātu energoefektivitātes pasākumus, būtu nepieciešams veikt grozījumus Dzīvokļa īpašuma likumā, tostarp arī pārskatīt lēmumu pieņemšanai par energoefektivitātes pasākumu veikšanu nepieciešamo balsu skaitu, lai nodrošinātu dzīvokļu īpašnieku mazākuma aizsardzību pret vairākuma bezdarbību</w:t>
      </w:r>
      <w:r w:rsidR="005F4F12">
        <w:t>.</w:t>
      </w:r>
    </w:p>
    <w:p w14:paraId="130B63FC" w14:textId="77777777" w:rsidR="000D1907" w:rsidRDefault="000D1907" w:rsidP="000D1907">
      <w:pPr>
        <w:rPr>
          <w:rFonts w:ascii="Times New Roman" w:hAnsi="Times New Roman" w:cs="Times New Roman"/>
          <w:b/>
          <w:iCs/>
          <w:sz w:val="24"/>
          <w:szCs w:val="24"/>
        </w:rPr>
      </w:pPr>
    </w:p>
    <w:p w14:paraId="3707707F" w14:textId="77777777" w:rsidR="000D1907" w:rsidRDefault="000D1907" w:rsidP="000D1907">
      <w:pPr>
        <w:rPr>
          <w:rFonts w:ascii="Times New Roman" w:hAnsi="Times New Roman" w:cs="Times New Roman"/>
          <w:b/>
          <w:iCs/>
          <w:sz w:val="24"/>
          <w:szCs w:val="24"/>
        </w:rPr>
      </w:pPr>
      <w:r>
        <w:rPr>
          <w:rFonts w:ascii="Times New Roman" w:hAnsi="Times New Roman" w:cs="Times New Roman"/>
          <w:b/>
          <w:iCs/>
          <w:sz w:val="24"/>
          <w:szCs w:val="24"/>
        </w:rPr>
        <w:t>Granulu izmaksu pieauguma kompensācija mājsaimniecībām</w:t>
      </w:r>
    </w:p>
    <w:p w14:paraId="33738996" w14:textId="77777777" w:rsidR="000D1907" w:rsidRDefault="000D1907" w:rsidP="000C5E3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Ņemot vērā arī būtisko granulu izmaksu pieaugumu un granulu patēriņa īpatsvaru individuālajā mājsaimniecību apkurē, Ekonomikas ministrija piedāvā noteikt granulu cenu griestus 300 EUR/tonnu. Šāds slieksnis būtu pietuvināts centralizētajā siltumapgādē iepriekšējā apkures sezonā noteiktajai mediānai un 1 MWh izmaksātu aptuveni 70 EUR. Līdzvērtīgi kā pārējos atbalsta veidos arī granulu izmaksu pieaugums tiktu kompensēts 50% apmērā (ja izmaksas pārsniedz 300 EUR/tonnu), bet ne vairāk kā 100 EUR/tonnu apmērā.</w:t>
      </w:r>
    </w:p>
    <w:p w14:paraId="727203F9" w14:textId="77777777" w:rsidR="000D1907" w:rsidRDefault="000D1907" w:rsidP="000C5E3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 xml:space="preserve">Tādējādi, ja granulas izmaksās 450 EUR/tonnu, tad valsts kompensēs 75 EUR un mājsaimniecība samaksās 375 EUR/tonnu. Ja granulas maksās 600 EUR/tonnu, tad mājsaimniecība maksās 500 EUR/tonnu un valsts kompensēs 100 EUR. </w:t>
      </w:r>
    </w:p>
    <w:p w14:paraId="1B0F6869" w14:textId="77777777" w:rsidR="000D1907" w:rsidRDefault="000D1907" w:rsidP="000C5E3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Pr="00011440">
        <w:rPr>
          <w:rFonts w:ascii="Times New Roman" w:hAnsi="Times New Roman" w:cs="Times New Roman"/>
          <w:bCs/>
          <w:iCs/>
          <w:sz w:val="24"/>
          <w:szCs w:val="24"/>
        </w:rPr>
        <w:t xml:space="preserve">Ņemot vērā, ka granulu tirgus ir pilnībā neregulēts un nekontrolēts, bet darbojās absolūtajā atvērtajā tirgū, šāds kompensācijas instruments nav ieviešams caur </w:t>
      </w:r>
      <w:r>
        <w:rPr>
          <w:rFonts w:ascii="Times New Roman" w:hAnsi="Times New Roman" w:cs="Times New Roman"/>
          <w:bCs/>
          <w:iCs/>
          <w:sz w:val="24"/>
          <w:szCs w:val="24"/>
        </w:rPr>
        <w:t xml:space="preserve">granulu </w:t>
      </w:r>
      <w:r w:rsidRPr="00011440">
        <w:rPr>
          <w:rFonts w:ascii="Times New Roman" w:hAnsi="Times New Roman" w:cs="Times New Roman"/>
          <w:bCs/>
          <w:iCs/>
          <w:sz w:val="24"/>
          <w:szCs w:val="24"/>
        </w:rPr>
        <w:t xml:space="preserve">tirgotājiem. Tāpēc </w:t>
      </w:r>
      <w:r>
        <w:rPr>
          <w:rFonts w:ascii="Times New Roman" w:hAnsi="Times New Roman" w:cs="Times New Roman"/>
          <w:bCs/>
          <w:iCs/>
          <w:sz w:val="24"/>
          <w:szCs w:val="24"/>
        </w:rPr>
        <w:t>Ekonomikas ministrija piedāvā mehānismu</w:t>
      </w:r>
      <w:r w:rsidRPr="00011440">
        <w:rPr>
          <w:rFonts w:ascii="Times New Roman" w:hAnsi="Times New Roman" w:cs="Times New Roman"/>
          <w:bCs/>
          <w:iCs/>
          <w:sz w:val="24"/>
          <w:szCs w:val="24"/>
        </w:rPr>
        <w:t>, k</w:t>
      </w:r>
      <w:r>
        <w:rPr>
          <w:rFonts w:ascii="Times New Roman" w:hAnsi="Times New Roman" w:cs="Times New Roman"/>
          <w:bCs/>
          <w:iCs/>
          <w:sz w:val="24"/>
          <w:szCs w:val="24"/>
        </w:rPr>
        <w:t>urā</w:t>
      </w:r>
      <w:r w:rsidRPr="0001144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mājsaimniecības </w:t>
      </w:r>
      <w:r w:rsidRPr="00011440">
        <w:rPr>
          <w:rFonts w:ascii="Times New Roman" w:hAnsi="Times New Roman" w:cs="Times New Roman"/>
          <w:bCs/>
          <w:iCs/>
          <w:sz w:val="24"/>
          <w:szCs w:val="24"/>
        </w:rPr>
        <w:t>granulu lietotājs</w:t>
      </w:r>
      <w:r>
        <w:rPr>
          <w:rFonts w:ascii="Times New Roman" w:hAnsi="Times New Roman" w:cs="Times New Roman"/>
          <w:bCs/>
          <w:iCs/>
          <w:sz w:val="24"/>
          <w:szCs w:val="24"/>
        </w:rPr>
        <w:t>, kurš ir iegādājies granulas,</w:t>
      </w:r>
      <w:r w:rsidRPr="00011440">
        <w:rPr>
          <w:rFonts w:ascii="Times New Roman" w:hAnsi="Times New Roman" w:cs="Times New Roman"/>
          <w:bCs/>
          <w:iCs/>
          <w:sz w:val="24"/>
          <w:szCs w:val="24"/>
        </w:rPr>
        <w:t xml:space="preserve"> ar </w:t>
      </w:r>
      <w:r>
        <w:rPr>
          <w:rFonts w:ascii="Times New Roman" w:hAnsi="Times New Roman" w:cs="Times New Roman"/>
          <w:bCs/>
          <w:iCs/>
          <w:sz w:val="24"/>
          <w:szCs w:val="24"/>
        </w:rPr>
        <w:t xml:space="preserve">maksājumu attaisnojošiem </w:t>
      </w:r>
      <w:r w:rsidRPr="00011440">
        <w:rPr>
          <w:rFonts w:ascii="Times New Roman" w:hAnsi="Times New Roman" w:cs="Times New Roman"/>
          <w:bCs/>
          <w:iCs/>
          <w:sz w:val="24"/>
          <w:szCs w:val="24"/>
        </w:rPr>
        <w:t>dokumentiem vēršas pašvaldībā (līdzīgi kā ar mājokļu pabalstu), kas pieņem lēmumu par kompensācij</w:t>
      </w:r>
      <w:r>
        <w:rPr>
          <w:rFonts w:ascii="Times New Roman" w:hAnsi="Times New Roman" w:cs="Times New Roman"/>
          <w:bCs/>
          <w:iCs/>
          <w:sz w:val="24"/>
          <w:szCs w:val="24"/>
        </w:rPr>
        <w:t>as piešķiršanu</w:t>
      </w:r>
      <w:r w:rsidRPr="00011440">
        <w:rPr>
          <w:rFonts w:ascii="Times New Roman" w:hAnsi="Times New Roman" w:cs="Times New Roman"/>
          <w:bCs/>
          <w:iCs/>
          <w:sz w:val="24"/>
          <w:szCs w:val="24"/>
        </w:rPr>
        <w:t>. Savukārt valsts tad sekojoši atmaksā šo kompensāciju pašvaldībai.</w:t>
      </w:r>
      <w:r>
        <w:rPr>
          <w:rFonts w:ascii="Times New Roman" w:hAnsi="Times New Roman" w:cs="Times New Roman"/>
          <w:bCs/>
          <w:iCs/>
          <w:sz w:val="24"/>
          <w:szCs w:val="24"/>
        </w:rPr>
        <w:t xml:space="preserve"> </w:t>
      </w:r>
    </w:p>
    <w:p w14:paraId="39254ED9" w14:textId="77777777" w:rsidR="000D1907" w:rsidRDefault="000D1907" w:rsidP="000C5E3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Tā kā mājsaimniecības apkures sezonai nepieciešamās granulas iegādājas laikus pirms apkures sezonas sākuma, tad Ekonomikas ministrija rosina, ka granulu kompensācija tiek uzsākta no 2022.gada 1.maija un noslēdzas 2023.gada 31.aprīlī. Aplēses liecina, ka gada ietvaros mājsaimniecību granulu patēriņš būs 200 tūkst. tonnas, kā rezultātā kopējās maksimālās budžeta izmaksas būtu 20 milj. EUR.</w:t>
      </w:r>
    </w:p>
    <w:p w14:paraId="71753DD2" w14:textId="77777777" w:rsidR="000D1907" w:rsidRDefault="000D1907" w:rsidP="00365151">
      <w:pPr>
        <w:pStyle w:val="tv213"/>
        <w:spacing w:before="0" w:beforeAutospacing="0" w:after="0" w:afterAutospacing="0"/>
        <w:ind w:firstLine="720"/>
        <w:jc w:val="both"/>
      </w:pPr>
    </w:p>
    <w:p w14:paraId="674EB857" w14:textId="77777777" w:rsidR="000D1907" w:rsidRDefault="000D1907" w:rsidP="00365151">
      <w:pPr>
        <w:pStyle w:val="tv213"/>
        <w:spacing w:before="0" w:beforeAutospacing="0" w:after="0" w:afterAutospacing="0"/>
        <w:ind w:firstLine="720"/>
        <w:jc w:val="both"/>
      </w:pPr>
    </w:p>
    <w:p w14:paraId="7CBDAB7C" w14:textId="59D98D76" w:rsidR="00374245" w:rsidRDefault="00ED736C" w:rsidP="00365151">
      <w:pPr>
        <w:pStyle w:val="tv213"/>
        <w:spacing w:before="0" w:beforeAutospacing="0" w:after="0" w:afterAutospacing="0"/>
        <w:ind w:firstLine="720"/>
        <w:jc w:val="both"/>
      </w:pPr>
      <w:r>
        <w:t xml:space="preserve">Ja tiktu ieviesti iepriekš minētie piedāvātie </w:t>
      </w:r>
      <w:r w:rsidR="000D1907">
        <w:t>4</w:t>
      </w:r>
      <w:r>
        <w:t xml:space="preserve"> horizontālie atbalsta mehānismi energoresursu izmaksu pieauguma kompensācijai</w:t>
      </w:r>
      <w:r w:rsidR="000D1907">
        <w:t xml:space="preserve"> apkurē</w:t>
      </w:r>
      <w:r>
        <w:t xml:space="preserve">, kopējās pasākumu izmaksas </w:t>
      </w:r>
      <w:r>
        <w:rPr>
          <w:bCs/>
          <w:iCs/>
        </w:rPr>
        <w:t>varētu veidoties ap 2</w:t>
      </w:r>
      <w:r w:rsidR="000D1907">
        <w:rPr>
          <w:bCs/>
          <w:iCs/>
        </w:rPr>
        <w:t>20</w:t>
      </w:r>
      <w:r>
        <w:rPr>
          <w:bCs/>
          <w:iCs/>
        </w:rPr>
        <w:t xml:space="preserve"> milj. </w:t>
      </w:r>
      <w:r w:rsidRPr="001F6869">
        <w:rPr>
          <w:bCs/>
          <w:i/>
          <w:iCs/>
        </w:rPr>
        <w:t>euro</w:t>
      </w:r>
      <w:r>
        <w:rPr>
          <w:bCs/>
          <w:iCs/>
        </w:rPr>
        <w:t xml:space="preserve"> apmērā. </w:t>
      </w:r>
      <w:r w:rsidR="00374245">
        <w:rPr>
          <w:bCs/>
          <w:iCs/>
        </w:rPr>
        <w:t>Vienlaikus būtiski ņemt vērā, ka šādu horizontālu atbalsta instrumentu ieviešana būtu rūpīgi vērtējama kopsakarā ar individuālajiem atbalstiem pabalstu veidā, lai novērstu situācijas, kad kopējās kompensācijas apmērs varētu pārsniegt izmaksu sadārdzinājumu.</w:t>
      </w:r>
    </w:p>
    <w:p w14:paraId="3A19B39E" w14:textId="5D290C9E" w:rsidR="00BF4385" w:rsidRDefault="000D1907" w:rsidP="000C5E35">
      <w:pPr>
        <w:ind w:firstLine="720"/>
        <w:jc w:val="both"/>
        <w:rPr>
          <w:rFonts w:ascii="Times New Roman" w:hAnsi="Times New Roman" w:cs="Times New Roman"/>
          <w:sz w:val="24"/>
          <w:szCs w:val="24"/>
        </w:rPr>
      </w:pPr>
      <w:r>
        <w:rPr>
          <w:rFonts w:ascii="Times New Roman" w:hAnsi="Times New Roman" w:cs="Times New Roman"/>
          <w:bCs/>
          <w:iCs/>
          <w:sz w:val="24"/>
          <w:szCs w:val="24"/>
        </w:rPr>
        <w:lastRenderedPageBreak/>
        <w:t xml:space="preserve">Vienlaikus, jāņem vērā, ka līdztekus augstāk minētajiem atbalsta pasākumiem, </w:t>
      </w:r>
      <w:r>
        <w:rPr>
          <w:rFonts w:ascii="Times New Roman" w:hAnsi="Times New Roman" w:cs="Times New Roman"/>
          <w:sz w:val="24"/>
          <w:szCs w:val="24"/>
        </w:rPr>
        <w:t>šobrīd plānots turpināt arī</w:t>
      </w:r>
      <w:r w:rsidRPr="00DB754D">
        <w:rPr>
          <w:rFonts w:ascii="Times New Roman" w:hAnsi="Times New Roman" w:cs="Times New Roman"/>
          <w:sz w:val="24"/>
          <w:szCs w:val="24"/>
        </w:rPr>
        <w:t xml:space="preserve"> aizsargāto lietotāju palielinātā atbalsta piemērošan</w:t>
      </w:r>
      <w:r>
        <w:rPr>
          <w:rFonts w:ascii="Times New Roman" w:hAnsi="Times New Roman" w:cs="Times New Roman"/>
          <w:sz w:val="24"/>
          <w:szCs w:val="24"/>
        </w:rPr>
        <w:t>u</w:t>
      </w:r>
      <w:r w:rsidRPr="00DB754D">
        <w:rPr>
          <w:rFonts w:ascii="Times New Roman" w:hAnsi="Times New Roman" w:cs="Times New Roman"/>
          <w:sz w:val="24"/>
          <w:szCs w:val="24"/>
        </w:rPr>
        <w:t xml:space="preserve"> 2023.gadā</w:t>
      </w:r>
      <w:r>
        <w:rPr>
          <w:rFonts w:ascii="Times New Roman" w:hAnsi="Times New Roman" w:cs="Times New Roman"/>
          <w:sz w:val="24"/>
          <w:szCs w:val="24"/>
        </w:rPr>
        <w:t xml:space="preserve"> </w:t>
      </w:r>
      <w:r w:rsidRPr="00DB754D">
        <w:rPr>
          <w:rFonts w:ascii="Times New Roman" w:hAnsi="Times New Roman" w:cs="Times New Roman"/>
          <w:sz w:val="24"/>
          <w:szCs w:val="24"/>
        </w:rPr>
        <w:t xml:space="preserve">(jautājums tiks risināts informatīvā ziņojuma “Kompleksi pasākumi obligātā iepirkuma komponentes problemātikas risināšanai un elektroenerģijas tirgus attīstībai” ietvarā) paredzot </w:t>
      </w:r>
      <w:r>
        <w:rPr>
          <w:rFonts w:ascii="Times New Roman" w:hAnsi="Times New Roman" w:cs="Times New Roman"/>
          <w:sz w:val="24"/>
          <w:szCs w:val="24"/>
        </w:rPr>
        <w:t xml:space="preserve">papildus </w:t>
      </w:r>
      <w:r w:rsidRPr="00DB754D">
        <w:rPr>
          <w:rFonts w:ascii="Times New Roman" w:hAnsi="Times New Roman" w:cs="Times New Roman"/>
          <w:sz w:val="24"/>
          <w:szCs w:val="24"/>
        </w:rPr>
        <w:t>19,</w:t>
      </w:r>
      <w:r>
        <w:rPr>
          <w:rFonts w:ascii="Times New Roman" w:hAnsi="Times New Roman" w:cs="Times New Roman"/>
          <w:sz w:val="24"/>
          <w:szCs w:val="24"/>
        </w:rPr>
        <w:t>68</w:t>
      </w:r>
      <w:r w:rsidRPr="00DB754D">
        <w:rPr>
          <w:rFonts w:ascii="Times New Roman" w:hAnsi="Times New Roman" w:cs="Times New Roman"/>
          <w:sz w:val="24"/>
          <w:szCs w:val="24"/>
        </w:rPr>
        <w:t xml:space="preserve"> milj. euro.</w:t>
      </w:r>
      <w:r>
        <w:rPr>
          <w:rFonts w:ascii="Times New Roman" w:hAnsi="Times New Roman" w:cs="Times New Roman"/>
          <w:sz w:val="24"/>
          <w:szCs w:val="24"/>
        </w:rPr>
        <w:t xml:space="preserve"> Pamata aizsargāto lietotāju atbalsts plānots 14,88 milj. euro apmērā, tādējādi kopējais aizsargāto lietotāju atbalsts 2023.gadā veidotu 34,56 milj. euro.</w:t>
      </w:r>
    </w:p>
    <w:p w14:paraId="0AD5EA96" w14:textId="77777777" w:rsidR="000D1907" w:rsidRDefault="000D1907">
      <w:pPr>
        <w:rPr>
          <w:rFonts w:ascii="Times New Roman" w:hAnsi="Times New Roman" w:cs="Times New Roman"/>
          <w:b/>
          <w:i/>
          <w:sz w:val="24"/>
          <w:szCs w:val="24"/>
        </w:rPr>
      </w:pPr>
    </w:p>
    <w:p w14:paraId="606B88AF" w14:textId="598DE66A" w:rsidR="00B91F54" w:rsidRPr="00AC4DDA" w:rsidRDefault="00BF4385" w:rsidP="0036515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F45BCB">
        <w:rPr>
          <w:rFonts w:ascii="Times New Roman" w:eastAsia="Times New Roman" w:hAnsi="Times New Roman" w:cs="Times New Roman"/>
          <w:b/>
          <w:sz w:val="24"/>
          <w:szCs w:val="24"/>
        </w:rPr>
        <w:t>Apvienotais</w:t>
      </w:r>
      <w:r>
        <w:rPr>
          <w:rFonts w:ascii="Times New Roman" w:eastAsia="Times New Roman" w:hAnsi="Times New Roman" w:cs="Times New Roman"/>
          <w:b/>
          <w:sz w:val="24"/>
          <w:szCs w:val="24"/>
        </w:rPr>
        <w:t xml:space="preserve"> </w:t>
      </w:r>
      <w:r w:rsidR="00B91F54">
        <w:rPr>
          <w:rFonts w:ascii="Times New Roman" w:eastAsia="Times New Roman" w:hAnsi="Times New Roman" w:cs="Times New Roman"/>
          <w:b/>
          <w:sz w:val="24"/>
          <w:szCs w:val="24"/>
        </w:rPr>
        <w:t xml:space="preserve">Igaunijas </w:t>
      </w:r>
      <w:r>
        <w:rPr>
          <w:rFonts w:ascii="Times New Roman" w:eastAsia="Times New Roman" w:hAnsi="Times New Roman" w:cs="Times New Roman"/>
          <w:b/>
          <w:sz w:val="24"/>
          <w:szCs w:val="24"/>
        </w:rPr>
        <w:t>atbalsta mehānisma un automātiskā maksājuma mājsaimniecībām atbalsta virziens</w:t>
      </w:r>
      <w:r w:rsidR="00F45BC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14:paraId="186781EF" w14:textId="77777777" w:rsidR="00B91F54" w:rsidRDefault="00B91F54" w:rsidP="00B91F54">
      <w:pPr>
        <w:spacing w:after="0" w:line="240" w:lineRule="auto"/>
        <w:jc w:val="both"/>
        <w:rPr>
          <w:rFonts w:ascii="Times New Roman" w:eastAsia="Times New Roman" w:hAnsi="Times New Roman" w:cs="Times New Roman"/>
          <w:sz w:val="24"/>
          <w:szCs w:val="24"/>
        </w:rPr>
      </w:pPr>
    </w:p>
    <w:p w14:paraId="10685009" w14:textId="3426CA3E" w:rsidR="00BF4385" w:rsidRDefault="004451BE" w:rsidP="004451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Veicot izpēti par </w:t>
      </w:r>
      <w:r w:rsidRPr="004451BE">
        <w:rPr>
          <w:rFonts w:ascii="Times New Roman" w:eastAsia="Times New Roman" w:hAnsi="Times New Roman" w:cs="Times New Roman"/>
          <w:sz w:val="24"/>
          <w:szCs w:val="24"/>
        </w:rPr>
        <w:t>Igaunijā izveidot</w:t>
      </w:r>
      <w:r>
        <w:rPr>
          <w:rFonts w:ascii="Times New Roman" w:eastAsia="Times New Roman" w:hAnsi="Times New Roman" w:cs="Times New Roman"/>
          <w:sz w:val="24"/>
          <w:szCs w:val="24"/>
        </w:rPr>
        <w:t>aj</w:t>
      </w:r>
      <w:r w:rsidRPr="004451BE">
        <w:rPr>
          <w:rFonts w:ascii="Times New Roman" w:eastAsia="Times New Roman" w:hAnsi="Times New Roman" w:cs="Times New Roman"/>
          <w:sz w:val="24"/>
          <w:szCs w:val="24"/>
        </w:rPr>
        <w:t>ie</w:t>
      </w:r>
      <w:r>
        <w:rPr>
          <w:rFonts w:ascii="Times New Roman" w:eastAsia="Times New Roman" w:hAnsi="Times New Roman" w:cs="Times New Roman"/>
          <w:sz w:val="24"/>
          <w:szCs w:val="24"/>
        </w:rPr>
        <w:t>m</w:t>
      </w:r>
      <w:r w:rsidRPr="004451BE">
        <w:rPr>
          <w:rFonts w:ascii="Times New Roman" w:eastAsia="Times New Roman" w:hAnsi="Times New Roman" w:cs="Times New Roman"/>
          <w:sz w:val="24"/>
          <w:szCs w:val="24"/>
        </w:rPr>
        <w:t xml:space="preserve"> atbalsta mehānismi</w:t>
      </w:r>
      <w:r>
        <w:rPr>
          <w:rFonts w:ascii="Times New Roman" w:eastAsia="Times New Roman" w:hAnsi="Times New Roman" w:cs="Times New Roman"/>
          <w:sz w:val="24"/>
          <w:szCs w:val="24"/>
        </w:rPr>
        <w:t xml:space="preserve">em </w:t>
      </w:r>
      <w:r w:rsidRPr="004451BE">
        <w:rPr>
          <w:rFonts w:ascii="Times New Roman" w:eastAsia="Times New Roman" w:hAnsi="Times New Roman" w:cs="Times New Roman"/>
          <w:sz w:val="24"/>
          <w:szCs w:val="24"/>
        </w:rPr>
        <w:t>energoresursu cenu sadārdzinājuma kompensēšanai</w:t>
      </w:r>
      <w:r>
        <w:rPr>
          <w:rFonts w:ascii="Times New Roman" w:eastAsia="Times New Roman" w:hAnsi="Times New Roman" w:cs="Times New Roman"/>
          <w:sz w:val="24"/>
          <w:szCs w:val="24"/>
        </w:rPr>
        <w:t xml:space="preserve"> (skat. 1.pielikumu), </w:t>
      </w:r>
      <w:r w:rsidR="00F45BCB">
        <w:rPr>
          <w:rFonts w:ascii="Times New Roman" w:eastAsia="Times New Roman" w:hAnsi="Times New Roman" w:cs="Times New Roman"/>
          <w:sz w:val="24"/>
          <w:szCs w:val="24"/>
        </w:rPr>
        <w:t>tiek sniegts īss apraksts par tā ieviešanas iespējām Latvijā, aplūkojot divus šī atbalsta īstenošanas variantus:</w:t>
      </w:r>
    </w:p>
    <w:p w14:paraId="20E4C2D9" w14:textId="59CA2D8C" w:rsidR="004451BE" w:rsidRPr="00365151" w:rsidRDefault="00F45BCB" w:rsidP="005817AF">
      <w:pPr>
        <w:pStyle w:val="ListParagraph"/>
        <w:numPr>
          <w:ilvl w:val="1"/>
          <w:numId w:val="44"/>
        </w:numPr>
        <w:autoSpaceDE w:val="0"/>
        <w:autoSpaceDN w:val="0"/>
        <w:adjustRightInd w:val="0"/>
        <w:spacing w:before="120"/>
        <w:ind w:left="357" w:hanging="357"/>
        <w:jc w:val="both"/>
        <w:rPr>
          <w:rFonts w:ascii="Times New Roman" w:eastAsia="Times New Roman" w:hAnsi="Times New Roman" w:cs="Times New Roman"/>
          <w:sz w:val="24"/>
          <w:szCs w:val="24"/>
        </w:rPr>
      </w:pPr>
      <w:r w:rsidRPr="00F45BCB">
        <w:rPr>
          <w:rFonts w:ascii="Times New Roman" w:eastAsia="Times New Roman" w:hAnsi="Times New Roman" w:cs="Times New Roman"/>
          <w:sz w:val="24"/>
          <w:szCs w:val="24"/>
        </w:rPr>
        <w:t>A</w:t>
      </w:r>
      <w:r w:rsidR="004451BE" w:rsidRPr="00365151">
        <w:rPr>
          <w:rFonts w:ascii="Times New Roman" w:eastAsia="Times New Roman" w:hAnsi="Times New Roman" w:cs="Times New Roman"/>
          <w:sz w:val="24"/>
          <w:szCs w:val="24"/>
        </w:rPr>
        <w:t xml:space="preserve">utomātiska rēķina samazināšana mājsaimniecībām </w:t>
      </w:r>
      <w:r w:rsidRPr="00F45BCB">
        <w:rPr>
          <w:rFonts w:ascii="Times New Roman" w:eastAsia="Times New Roman" w:hAnsi="Times New Roman" w:cs="Times New Roman"/>
          <w:sz w:val="24"/>
          <w:szCs w:val="24"/>
        </w:rPr>
        <w:t>līdz</w:t>
      </w:r>
      <w:r w:rsidR="004451BE" w:rsidRPr="00365151">
        <w:rPr>
          <w:rFonts w:ascii="Times New Roman" w:eastAsia="Times New Roman" w:hAnsi="Times New Roman" w:cs="Times New Roman"/>
          <w:sz w:val="24"/>
          <w:szCs w:val="24"/>
        </w:rPr>
        <w:t xml:space="preserve"> noteikta</w:t>
      </w:r>
      <w:r w:rsidRPr="00F45BCB">
        <w:rPr>
          <w:rFonts w:ascii="Times New Roman" w:eastAsia="Times New Roman" w:hAnsi="Times New Roman" w:cs="Times New Roman"/>
          <w:sz w:val="24"/>
          <w:szCs w:val="24"/>
        </w:rPr>
        <w:t>m</w:t>
      </w:r>
      <w:r w:rsidR="004451BE" w:rsidRPr="00365151">
        <w:rPr>
          <w:rFonts w:ascii="Times New Roman" w:eastAsia="Times New Roman" w:hAnsi="Times New Roman" w:cs="Times New Roman"/>
          <w:sz w:val="24"/>
          <w:szCs w:val="24"/>
        </w:rPr>
        <w:t xml:space="preserve"> ienākum</w:t>
      </w:r>
      <w:r>
        <w:rPr>
          <w:rFonts w:ascii="Times New Roman" w:eastAsia="Times New Roman" w:hAnsi="Times New Roman" w:cs="Times New Roman"/>
          <w:sz w:val="24"/>
          <w:szCs w:val="24"/>
        </w:rPr>
        <w:t>u</w:t>
      </w:r>
      <w:r w:rsidR="004451BE" w:rsidRPr="00365151">
        <w:rPr>
          <w:rFonts w:ascii="Times New Roman" w:eastAsia="Times New Roman" w:hAnsi="Times New Roman" w:cs="Times New Roman"/>
          <w:sz w:val="24"/>
          <w:szCs w:val="24"/>
        </w:rPr>
        <w:t xml:space="preserve"> </w:t>
      </w:r>
      <w:r w:rsidRPr="00F45BCB">
        <w:rPr>
          <w:rFonts w:ascii="Times New Roman" w:eastAsia="Times New Roman" w:hAnsi="Times New Roman" w:cs="Times New Roman"/>
          <w:sz w:val="24"/>
          <w:szCs w:val="24"/>
        </w:rPr>
        <w:t>slieksnim.</w:t>
      </w:r>
    </w:p>
    <w:p w14:paraId="1FD451F0" w14:textId="5431C00B" w:rsidR="004451BE" w:rsidRPr="00365151" w:rsidRDefault="002D18AC" w:rsidP="005817AF">
      <w:pPr>
        <w:pStyle w:val="ListParagraph"/>
        <w:numPr>
          <w:ilvl w:val="1"/>
          <w:numId w:val="44"/>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4451BE" w:rsidRPr="00365151">
        <w:rPr>
          <w:rFonts w:ascii="Times New Roman" w:eastAsia="Times New Roman" w:hAnsi="Times New Roman" w:cs="Times New Roman"/>
          <w:sz w:val="24"/>
          <w:szCs w:val="24"/>
        </w:rPr>
        <w:t xml:space="preserve">Atbalsts mājsaimniecībām </w:t>
      </w:r>
      <w:r w:rsidR="00F45BCB" w:rsidRPr="00F45BCB">
        <w:rPr>
          <w:rFonts w:ascii="Times New Roman" w:eastAsia="Times New Roman" w:hAnsi="Times New Roman" w:cs="Times New Roman"/>
          <w:sz w:val="24"/>
          <w:szCs w:val="24"/>
        </w:rPr>
        <w:t>līdz</w:t>
      </w:r>
      <w:r w:rsidR="004451BE" w:rsidRPr="00365151">
        <w:rPr>
          <w:rFonts w:ascii="Times New Roman" w:eastAsia="Times New Roman" w:hAnsi="Times New Roman" w:cs="Times New Roman"/>
          <w:sz w:val="24"/>
          <w:szCs w:val="24"/>
        </w:rPr>
        <w:t xml:space="preserve"> noteikta</w:t>
      </w:r>
      <w:r w:rsidR="00F45BCB" w:rsidRPr="00F45BCB">
        <w:rPr>
          <w:rFonts w:ascii="Times New Roman" w:eastAsia="Times New Roman" w:hAnsi="Times New Roman" w:cs="Times New Roman"/>
          <w:sz w:val="24"/>
          <w:szCs w:val="24"/>
        </w:rPr>
        <w:t>m</w:t>
      </w:r>
      <w:r w:rsidR="003743B7">
        <w:rPr>
          <w:rFonts w:ascii="Times New Roman" w:eastAsia="Times New Roman" w:hAnsi="Times New Roman" w:cs="Times New Roman"/>
          <w:sz w:val="24"/>
          <w:szCs w:val="24"/>
        </w:rPr>
        <w:t xml:space="preserve"> ienākumu</w:t>
      </w:r>
      <w:r w:rsidR="004451BE" w:rsidRPr="00365151">
        <w:rPr>
          <w:rFonts w:ascii="Times New Roman" w:eastAsia="Times New Roman" w:hAnsi="Times New Roman" w:cs="Times New Roman"/>
          <w:sz w:val="24"/>
          <w:szCs w:val="24"/>
        </w:rPr>
        <w:t xml:space="preserve"> </w:t>
      </w:r>
      <w:r w:rsidR="00F45BCB" w:rsidRPr="00F45BCB">
        <w:rPr>
          <w:rFonts w:ascii="Times New Roman" w:eastAsia="Times New Roman" w:hAnsi="Times New Roman" w:cs="Times New Roman"/>
          <w:sz w:val="24"/>
          <w:szCs w:val="24"/>
        </w:rPr>
        <w:t>slieksnim</w:t>
      </w:r>
      <w:r w:rsidR="004451BE" w:rsidRPr="00365151">
        <w:rPr>
          <w:rFonts w:ascii="Times New Roman" w:eastAsia="Times New Roman" w:hAnsi="Times New Roman" w:cs="Times New Roman"/>
          <w:sz w:val="24"/>
          <w:szCs w:val="24"/>
        </w:rPr>
        <w:t>.</w:t>
      </w:r>
    </w:p>
    <w:p w14:paraId="4B92ED99" w14:textId="77777777" w:rsidR="00F45BCB" w:rsidRDefault="00F45BCB" w:rsidP="00F45BCB">
      <w:pPr>
        <w:spacing w:after="0" w:line="240" w:lineRule="auto"/>
        <w:jc w:val="both"/>
        <w:rPr>
          <w:rFonts w:ascii="Times New Roman" w:eastAsia="Times New Roman" w:hAnsi="Times New Roman" w:cs="Times New Roman"/>
          <w:sz w:val="24"/>
          <w:szCs w:val="24"/>
        </w:rPr>
      </w:pPr>
    </w:p>
    <w:p w14:paraId="586733D0" w14:textId="77777777" w:rsidR="005817AF" w:rsidRDefault="005817AF" w:rsidP="00F45BCB">
      <w:pPr>
        <w:spacing w:after="0" w:line="240" w:lineRule="auto"/>
        <w:jc w:val="both"/>
        <w:rPr>
          <w:rFonts w:ascii="Times New Roman" w:eastAsia="Times New Roman" w:hAnsi="Times New Roman" w:cs="Times New Roman"/>
          <w:sz w:val="24"/>
          <w:szCs w:val="24"/>
        </w:rPr>
      </w:pPr>
    </w:p>
    <w:p w14:paraId="5EB1DF72" w14:textId="1961BB18" w:rsidR="00F45BCB" w:rsidRPr="004E5D50" w:rsidRDefault="00F45BCB" w:rsidP="005817AF">
      <w:pPr>
        <w:pStyle w:val="ListParagraph"/>
        <w:numPr>
          <w:ilvl w:val="1"/>
          <w:numId w:val="45"/>
        </w:numPr>
        <w:autoSpaceDE w:val="0"/>
        <w:autoSpaceDN w:val="0"/>
        <w:adjustRightInd w:val="0"/>
        <w:jc w:val="both"/>
        <w:rPr>
          <w:rFonts w:ascii="Times New Roman" w:eastAsia="Times New Roman" w:hAnsi="Times New Roman" w:cs="Times New Roman"/>
          <w:b/>
          <w:sz w:val="24"/>
          <w:szCs w:val="24"/>
        </w:rPr>
      </w:pPr>
      <w:r w:rsidRPr="00365151">
        <w:rPr>
          <w:rFonts w:ascii="Times New Roman" w:eastAsia="Times New Roman" w:hAnsi="Times New Roman" w:cs="Times New Roman"/>
          <w:b/>
          <w:sz w:val="24"/>
          <w:szCs w:val="24"/>
        </w:rPr>
        <w:t xml:space="preserve"> </w:t>
      </w:r>
      <w:r w:rsidRPr="004E5D50">
        <w:rPr>
          <w:rFonts w:ascii="Times New Roman" w:eastAsia="Times New Roman" w:hAnsi="Times New Roman" w:cs="Times New Roman"/>
          <w:b/>
          <w:sz w:val="24"/>
          <w:szCs w:val="24"/>
        </w:rPr>
        <w:t>Automātiska rēķina samazināšana mājsaimniecībām līdz noteiktam ienākumu slieksnim.</w:t>
      </w:r>
    </w:p>
    <w:p w14:paraId="3F0B948E" w14:textId="77777777" w:rsidR="00BE6FC5" w:rsidRDefault="00BE6FC5" w:rsidP="00BE6FC5">
      <w:pPr>
        <w:spacing w:after="0" w:line="240" w:lineRule="auto"/>
        <w:ind w:firstLine="720"/>
        <w:jc w:val="both"/>
        <w:rPr>
          <w:rFonts w:ascii="Times New Roman" w:hAnsi="Times New Roman" w:cs="Times New Roman"/>
          <w:sz w:val="24"/>
          <w:szCs w:val="24"/>
        </w:rPr>
      </w:pPr>
      <w:r w:rsidRPr="004E5D50">
        <w:rPr>
          <w:rFonts w:ascii="Times New Roman" w:hAnsi="Times New Roman" w:cs="Times New Roman"/>
          <w:sz w:val="24"/>
          <w:szCs w:val="24"/>
        </w:rPr>
        <w:t xml:space="preserve">Pasākums paredz jauna atbalsta veida ieviešanu – </w:t>
      </w:r>
      <w:r>
        <w:rPr>
          <w:rFonts w:ascii="Times New Roman" w:hAnsi="Times New Roman" w:cs="Times New Roman"/>
          <w:sz w:val="24"/>
          <w:szCs w:val="24"/>
        </w:rPr>
        <w:t>a</w:t>
      </w:r>
      <w:r w:rsidRPr="00F400B1">
        <w:rPr>
          <w:rFonts w:ascii="Times New Roman" w:hAnsi="Times New Roman" w:cs="Times New Roman"/>
          <w:sz w:val="24"/>
          <w:szCs w:val="24"/>
        </w:rPr>
        <w:t xml:space="preserve">utomātiska rēķina </w:t>
      </w:r>
      <w:r>
        <w:rPr>
          <w:rFonts w:ascii="Times New Roman" w:hAnsi="Times New Roman" w:cs="Times New Roman"/>
          <w:sz w:val="24"/>
          <w:szCs w:val="24"/>
        </w:rPr>
        <w:t xml:space="preserve">par energoresursa (gāze, elektroenerģija, siltumapgāde) lietošanu </w:t>
      </w:r>
      <w:r w:rsidRPr="00F400B1">
        <w:rPr>
          <w:rFonts w:ascii="Times New Roman" w:hAnsi="Times New Roman" w:cs="Times New Roman"/>
          <w:sz w:val="24"/>
          <w:szCs w:val="24"/>
        </w:rPr>
        <w:t xml:space="preserve">samazināšana </w:t>
      </w:r>
      <w:r>
        <w:rPr>
          <w:rFonts w:ascii="Times New Roman" w:hAnsi="Times New Roman" w:cs="Times New Roman"/>
          <w:sz w:val="24"/>
          <w:szCs w:val="24"/>
        </w:rPr>
        <w:t xml:space="preserve">zemu ienākumu </w:t>
      </w:r>
      <w:r w:rsidRPr="00F400B1">
        <w:rPr>
          <w:rFonts w:ascii="Times New Roman" w:hAnsi="Times New Roman" w:cs="Times New Roman"/>
          <w:sz w:val="24"/>
          <w:szCs w:val="24"/>
        </w:rPr>
        <w:t>mājsaimniecībām</w:t>
      </w:r>
      <w:r>
        <w:rPr>
          <w:rFonts w:ascii="Times New Roman" w:hAnsi="Times New Roman" w:cs="Times New Roman"/>
          <w:sz w:val="24"/>
          <w:szCs w:val="24"/>
        </w:rPr>
        <w:t>.</w:t>
      </w:r>
    </w:p>
    <w:p w14:paraId="3A4ED491" w14:textId="77777777" w:rsidR="00BE6FC5" w:rsidRDefault="00BE6FC5" w:rsidP="00BE6FC5">
      <w:pPr>
        <w:spacing w:after="0" w:line="240" w:lineRule="auto"/>
        <w:ind w:firstLine="720"/>
        <w:jc w:val="both"/>
        <w:rPr>
          <w:rFonts w:ascii="Times New Roman" w:hAnsi="Times New Roman" w:cs="Times New Roman"/>
          <w:sz w:val="24"/>
          <w:szCs w:val="24"/>
        </w:rPr>
      </w:pPr>
      <w:r w:rsidRPr="004E5D50">
        <w:rPr>
          <w:rFonts w:ascii="Times New Roman" w:hAnsi="Times New Roman" w:cs="Times New Roman"/>
          <w:sz w:val="24"/>
          <w:szCs w:val="24"/>
        </w:rPr>
        <w:t xml:space="preserve">Ienākumu līmenis, līdz kuram mājsaimniecība kvalificējas atbalstam – līdz 743 </w:t>
      </w:r>
      <w:r w:rsidRPr="004E5D50">
        <w:rPr>
          <w:rFonts w:ascii="Times New Roman" w:hAnsi="Times New Roman" w:cs="Times New Roman"/>
          <w:i/>
          <w:sz w:val="24"/>
          <w:szCs w:val="24"/>
        </w:rPr>
        <w:t>euro</w:t>
      </w:r>
      <w:r w:rsidRPr="004E5D50">
        <w:rPr>
          <w:rFonts w:ascii="Times New Roman" w:hAnsi="Times New Roman" w:cs="Times New Roman"/>
          <w:sz w:val="24"/>
          <w:szCs w:val="24"/>
        </w:rPr>
        <w:t xml:space="preserve"> pirmajai vai vienīgajai personai mājsaimniecībā un 520 </w:t>
      </w:r>
      <w:r w:rsidRPr="004E5D50">
        <w:rPr>
          <w:rFonts w:ascii="Times New Roman" w:hAnsi="Times New Roman" w:cs="Times New Roman"/>
          <w:i/>
          <w:sz w:val="24"/>
          <w:szCs w:val="24"/>
        </w:rPr>
        <w:t>euro</w:t>
      </w:r>
      <w:r w:rsidRPr="004E5D50">
        <w:rPr>
          <w:rFonts w:ascii="Times New Roman" w:hAnsi="Times New Roman" w:cs="Times New Roman"/>
          <w:sz w:val="24"/>
          <w:szCs w:val="24"/>
        </w:rPr>
        <w:t xml:space="preserve"> pārējām personām mājsaimniecībā – analogi ar raksturoto ienākumu sliekšņa noteikšanu pie 3.1.3 “Automātiskais maksājums mājsaimniecībai”.</w:t>
      </w:r>
    </w:p>
    <w:p w14:paraId="7D3D955D" w14:textId="77777777" w:rsidR="00BE6FC5" w:rsidRDefault="00BE6FC5" w:rsidP="00BE6F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Patērētājam tiek kompensēta noteikta daļa summas, kas pārsniedz iepriekšdefinētu cenu par kWh, nosakot maksimālo kompensācijas apmēru.</w:t>
      </w:r>
    </w:p>
    <w:p w14:paraId="177ED4D4" w14:textId="77777777" w:rsidR="002D18AC" w:rsidRDefault="002D18AC" w:rsidP="00BE6FC5">
      <w:pPr>
        <w:spacing w:after="0" w:line="240" w:lineRule="auto"/>
        <w:rPr>
          <w:rFonts w:ascii="Times New Roman" w:eastAsia="Times New Roman" w:hAnsi="Times New Roman" w:cs="Times New Roman"/>
          <w:sz w:val="24"/>
          <w:szCs w:val="24"/>
          <w:u w:val="single"/>
        </w:rPr>
      </w:pPr>
    </w:p>
    <w:p w14:paraId="41CF2DAA" w14:textId="77777777" w:rsidR="00BE6FC5" w:rsidRPr="004E5D50" w:rsidRDefault="00BE6FC5" w:rsidP="00BE6FC5">
      <w:pPr>
        <w:spacing w:after="0" w:line="240" w:lineRule="auto"/>
        <w:rPr>
          <w:rFonts w:ascii="Times New Roman" w:eastAsia="Times New Roman" w:hAnsi="Times New Roman" w:cs="Times New Roman"/>
          <w:sz w:val="24"/>
          <w:szCs w:val="24"/>
        </w:rPr>
      </w:pPr>
      <w:r w:rsidRPr="00DA7F2E">
        <w:rPr>
          <w:rFonts w:ascii="Times New Roman" w:eastAsia="Times New Roman" w:hAnsi="Times New Roman" w:cs="Times New Roman"/>
          <w:sz w:val="24"/>
          <w:szCs w:val="24"/>
          <w:u w:val="single"/>
        </w:rPr>
        <w:t>Priekšrocības</w:t>
      </w:r>
      <w:r w:rsidRPr="004E5D50">
        <w:rPr>
          <w:rFonts w:ascii="Times New Roman" w:eastAsia="Times New Roman" w:hAnsi="Times New Roman" w:cs="Times New Roman"/>
          <w:sz w:val="24"/>
          <w:szCs w:val="24"/>
        </w:rPr>
        <w:t>:</w:t>
      </w:r>
    </w:p>
    <w:p w14:paraId="4417991E" w14:textId="77777777" w:rsidR="00BE6FC5" w:rsidRPr="004E5D50" w:rsidRDefault="00BE6FC5" w:rsidP="00BE6FC5">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4E5D50">
        <w:rPr>
          <w:rFonts w:ascii="Times New Roman" w:eastAsia="Times New Roman" w:hAnsi="Times New Roman" w:cs="Times New Roman"/>
          <w:sz w:val="24"/>
          <w:szCs w:val="24"/>
        </w:rPr>
        <w:t>ienoti atbalsta saņemšanas nosacījumi visiem iedzīvotājiem, kuri kvalificējas atbalstam;</w:t>
      </w:r>
    </w:p>
    <w:p w14:paraId="5859DCE1" w14:textId="77777777" w:rsidR="00BE6FC5" w:rsidRDefault="00BE6FC5" w:rsidP="00BE6FC5">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4E5D50">
        <w:rPr>
          <w:rFonts w:ascii="Times New Roman" w:eastAsia="Times New Roman" w:hAnsi="Times New Roman" w:cs="Times New Roman"/>
          <w:sz w:val="24"/>
          <w:szCs w:val="24"/>
        </w:rPr>
        <w:t>tbalsts mērķēts uz mājsaimniecībām ar ienākumiem līdz noteiktam slieksnim, k</w:t>
      </w:r>
      <w:r>
        <w:rPr>
          <w:rFonts w:ascii="Times New Roman" w:eastAsia="Times New Roman" w:hAnsi="Times New Roman" w:cs="Times New Roman"/>
          <w:sz w:val="24"/>
          <w:szCs w:val="24"/>
        </w:rPr>
        <w:t>as ir atbilstoši MP rezolūcijai.</w:t>
      </w:r>
    </w:p>
    <w:p w14:paraId="0A7B7A6F" w14:textId="0A14D93D" w:rsidR="00BE6FC5" w:rsidRPr="009404FD" w:rsidRDefault="00BE6FC5" w:rsidP="00BE6FC5">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73E8B">
        <w:rPr>
          <w:rFonts w:ascii="Times New Roman" w:eastAsia="Times New Roman" w:hAnsi="Times New Roman" w:cs="Times New Roman"/>
          <w:sz w:val="24"/>
          <w:szCs w:val="24"/>
        </w:rPr>
        <w:t xml:space="preserve">atērētājam, lai saņemtu kompensāciju, </w:t>
      </w:r>
      <w:r>
        <w:rPr>
          <w:rFonts w:ascii="Times New Roman" w:eastAsia="Times New Roman" w:hAnsi="Times New Roman" w:cs="Times New Roman"/>
          <w:sz w:val="24"/>
          <w:szCs w:val="24"/>
        </w:rPr>
        <w:t>nav jāpiesakās vai jāveic pašdeklarācija</w:t>
      </w:r>
      <w:r w:rsidR="005817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73E8B">
        <w:rPr>
          <w:rFonts w:ascii="Times New Roman" w:eastAsia="Times New Roman" w:hAnsi="Times New Roman" w:cs="Times New Roman"/>
          <w:sz w:val="24"/>
          <w:szCs w:val="24"/>
        </w:rPr>
        <w:t xml:space="preserve">tiek saņemts </w:t>
      </w:r>
      <w:r>
        <w:rPr>
          <w:rFonts w:ascii="Times New Roman" w:eastAsia="Times New Roman" w:hAnsi="Times New Roman" w:cs="Times New Roman"/>
          <w:sz w:val="24"/>
          <w:szCs w:val="24"/>
        </w:rPr>
        <w:t xml:space="preserve">jau samazinātais </w:t>
      </w:r>
      <w:r w:rsidRPr="00C73E8B">
        <w:rPr>
          <w:rFonts w:ascii="Times New Roman" w:eastAsia="Times New Roman" w:hAnsi="Times New Roman" w:cs="Times New Roman"/>
          <w:sz w:val="24"/>
          <w:szCs w:val="24"/>
        </w:rPr>
        <w:t xml:space="preserve">rēķins no </w:t>
      </w:r>
      <w:r>
        <w:rPr>
          <w:rFonts w:ascii="Times New Roman" w:eastAsia="Times New Roman" w:hAnsi="Times New Roman" w:cs="Times New Roman"/>
          <w:sz w:val="24"/>
          <w:szCs w:val="24"/>
        </w:rPr>
        <w:t>pakalpojumu sniedzēja.</w:t>
      </w:r>
    </w:p>
    <w:p w14:paraId="0F1E4662" w14:textId="77777777" w:rsidR="002D18AC" w:rsidRDefault="002D18AC" w:rsidP="00BE6FC5">
      <w:pPr>
        <w:spacing w:after="0" w:line="240" w:lineRule="auto"/>
        <w:rPr>
          <w:rFonts w:ascii="Times New Roman" w:eastAsia="Times New Roman" w:hAnsi="Times New Roman" w:cs="Times New Roman"/>
          <w:sz w:val="24"/>
          <w:szCs w:val="24"/>
          <w:u w:val="single"/>
        </w:rPr>
      </w:pPr>
    </w:p>
    <w:p w14:paraId="16CE19D3" w14:textId="77777777" w:rsidR="00F96409" w:rsidRDefault="00F96409" w:rsidP="00BE6FC5">
      <w:pPr>
        <w:spacing w:after="0" w:line="240" w:lineRule="auto"/>
        <w:rPr>
          <w:rFonts w:ascii="Times New Roman" w:eastAsia="Times New Roman" w:hAnsi="Times New Roman" w:cs="Times New Roman"/>
          <w:sz w:val="24"/>
          <w:szCs w:val="24"/>
          <w:u w:val="single"/>
        </w:rPr>
      </w:pPr>
    </w:p>
    <w:p w14:paraId="7E7A4753" w14:textId="77777777" w:rsidR="00B15931" w:rsidRDefault="00B15931" w:rsidP="00BE6FC5">
      <w:pPr>
        <w:spacing w:after="0" w:line="240" w:lineRule="auto"/>
        <w:rPr>
          <w:rFonts w:ascii="Times New Roman" w:eastAsia="Times New Roman" w:hAnsi="Times New Roman" w:cs="Times New Roman"/>
          <w:sz w:val="24"/>
          <w:szCs w:val="24"/>
          <w:u w:val="single"/>
        </w:rPr>
      </w:pPr>
    </w:p>
    <w:p w14:paraId="3A5F0AAB" w14:textId="77777777" w:rsidR="00BE6FC5" w:rsidRPr="004E5D50" w:rsidRDefault="00BE6FC5" w:rsidP="00BE6FC5">
      <w:pPr>
        <w:spacing w:after="0" w:line="240" w:lineRule="auto"/>
        <w:rPr>
          <w:rFonts w:ascii="Times New Roman" w:eastAsia="Times New Roman" w:hAnsi="Times New Roman" w:cs="Times New Roman"/>
          <w:sz w:val="24"/>
          <w:szCs w:val="24"/>
        </w:rPr>
      </w:pPr>
      <w:r w:rsidRPr="00DA7F2E">
        <w:rPr>
          <w:rFonts w:ascii="Times New Roman" w:eastAsia="Times New Roman" w:hAnsi="Times New Roman" w:cs="Times New Roman"/>
          <w:sz w:val="24"/>
          <w:szCs w:val="24"/>
          <w:u w:val="single"/>
        </w:rPr>
        <w:t>Trūkumi</w:t>
      </w:r>
      <w:r w:rsidRPr="004E5D50">
        <w:rPr>
          <w:rFonts w:ascii="Times New Roman" w:eastAsia="Times New Roman" w:hAnsi="Times New Roman" w:cs="Times New Roman"/>
          <w:sz w:val="24"/>
          <w:szCs w:val="24"/>
        </w:rPr>
        <w:t>:</w:t>
      </w:r>
    </w:p>
    <w:p w14:paraId="6B2926F9" w14:textId="77777777" w:rsidR="00BE6FC5" w:rsidRDefault="00BE6FC5" w:rsidP="00BE6FC5">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komplicēts un smagnējs atbalsta mehānisms no administrēšanas viedokļa, jo pakalpojumu sniedzēju rīcībā nav informācijas par mājsaimniecību, mājsaimniecības locekļu ienākumiem, kas nozīmē, ka šīs informācijas iegūšanai </w:t>
      </w:r>
      <w:r>
        <w:rPr>
          <w:rFonts w:ascii="Times New Roman" w:eastAsia="Times New Roman" w:hAnsi="Times New Roman" w:cs="Times New Roman"/>
          <w:sz w:val="24"/>
          <w:szCs w:val="24"/>
        </w:rPr>
        <w:lastRenderedPageBreak/>
        <w:t>pastāv būtiski ar</w:t>
      </w:r>
      <w:r w:rsidRPr="009F0787">
        <w:rPr>
          <w:rFonts w:ascii="Times New Roman" w:eastAsia="Times New Roman" w:hAnsi="Times New Roman" w:cs="Times New Roman"/>
          <w:sz w:val="24"/>
          <w:szCs w:val="24"/>
        </w:rPr>
        <w:t xml:space="preserve"> fizisko personu datu apstrādes nosacījumu ievērošanu saistītie riski</w:t>
      </w:r>
      <w:r>
        <w:rPr>
          <w:rFonts w:ascii="Times New Roman" w:eastAsia="Times New Roman" w:hAnsi="Times New Roman" w:cs="Times New Roman"/>
          <w:sz w:val="24"/>
          <w:szCs w:val="24"/>
        </w:rPr>
        <w:t>;</w:t>
      </w:r>
      <w:r w:rsidRPr="009F0787">
        <w:rPr>
          <w:rFonts w:ascii="Times New Roman" w:eastAsia="Times New Roman" w:hAnsi="Times New Roman" w:cs="Times New Roman"/>
          <w:sz w:val="24"/>
          <w:szCs w:val="24"/>
        </w:rPr>
        <w:t xml:space="preserve"> </w:t>
      </w:r>
    </w:p>
    <w:p w14:paraId="24C90B08" w14:textId="77777777" w:rsidR="00BE6FC5" w:rsidRDefault="00BE6FC5" w:rsidP="00BE6FC5">
      <w:pPr>
        <w:pStyle w:val="ListParagraph"/>
        <w:numPr>
          <w:ilvl w:val="0"/>
          <w:numId w:val="11"/>
        </w:numPr>
        <w:spacing w:after="0" w:line="240" w:lineRule="auto"/>
        <w:jc w:val="both"/>
        <w:rPr>
          <w:rFonts w:ascii="Times New Roman" w:eastAsia="Times New Roman" w:hAnsi="Times New Roman" w:cs="Times New Roman"/>
          <w:sz w:val="24"/>
          <w:szCs w:val="24"/>
        </w:rPr>
      </w:pPr>
      <w:r w:rsidRPr="009404FD">
        <w:rPr>
          <w:rFonts w:ascii="Times New Roman" w:eastAsia="Times New Roman" w:hAnsi="Times New Roman" w:cs="Times New Roman"/>
          <w:sz w:val="24"/>
          <w:szCs w:val="24"/>
        </w:rPr>
        <w:t xml:space="preserve">būtisks slogs </w:t>
      </w:r>
      <w:r>
        <w:rPr>
          <w:rFonts w:ascii="Times New Roman" w:eastAsia="Times New Roman" w:hAnsi="Times New Roman" w:cs="Times New Roman"/>
          <w:sz w:val="24"/>
          <w:szCs w:val="24"/>
        </w:rPr>
        <w:t>pakalpojumu sniedzējiem, kā arī informācijas sniegšanā iesaistītajām iestādēm</w:t>
      </w:r>
      <w:r w:rsidRPr="009404FD">
        <w:rPr>
          <w:rFonts w:ascii="Times New Roman" w:eastAsia="Times New Roman" w:hAnsi="Times New Roman" w:cs="Times New Roman"/>
          <w:sz w:val="24"/>
          <w:szCs w:val="24"/>
        </w:rPr>
        <w:t>;</w:t>
      </w:r>
    </w:p>
    <w:p w14:paraId="4FB8ED06" w14:textId="69506F00" w:rsidR="00BE6FC5" w:rsidRDefault="00BE6FC5" w:rsidP="00BE6FC5">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sabiedrības daļa, kurai ir vidēji ienākumi, bet pārmērīgi augsts rēķins par energoresursu pakalpojumiem, var pastāvēt būtisks risks, ka mājsaimniecības izdevumu daļā rēķina apmaksa sastāda lielāko daļu no izdevumu struktūras. Tas var izraisīt būtisku sabiedrības neapmierinātību</w:t>
      </w:r>
    </w:p>
    <w:p w14:paraId="0469E516" w14:textId="254DFB09" w:rsidR="00BE6FC5" w:rsidRDefault="00BE6FC5" w:rsidP="00BE6FC5">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informācija par mājsaimniecību un tās ienākumiem, ja tā tiek iegūta no pieejamajiem reģistriem, var būt neprecīza, pastāvot augstam riskam, ka atbalsts tomēr nenonāk pie tām mājsaimniecībām, kurā</w:t>
      </w:r>
      <w:r w:rsidR="002E7F76">
        <w:rPr>
          <w:rFonts w:ascii="Times New Roman" w:eastAsia="Times New Roman" w:hAnsi="Times New Roman" w:cs="Times New Roman"/>
          <w:sz w:val="24"/>
          <w:szCs w:val="24"/>
        </w:rPr>
        <w:t xml:space="preserve"> tas ir nepieciešams, un otrādi;</w:t>
      </w:r>
    </w:p>
    <w:p w14:paraId="1725EEFC" w14:textId="3B66B7F6" w:rsidR="002E7F76" w:rsidRPr="002E7F76" w:rsidRDefault="002E7F76" w:rsidP="002E7F76">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energoapgādē nereti pakalpojuma sniedzēja klients ir juridiska persona (piem., namu apsaimniekotāji), kas nozīmē, ka samazinātie rēķini var nesasniegt reālo mājsaimniecību.</w:t>
      </w:r>
    </w:p>
    <w:p w14:paraId="502C3B32" w14:textId="77777777" w:rsidR="00BE6FC5" w:rsidRDefault="00BE6FC5" w:rsidP="00BE6FC5">
      <w:pPr>
        <w:spacing w:after="0" w:line="240" w:lineRule="auto"/>
        <w:jc w:val="both"/>
        <w:rPr>
          <w:rFonts w:ascii="Times New Roman" w:eastAsia="Times New Roman" w:hAnsi="Times New Roman" w:cs="Times New Roman"/>
          <w:sz w:val="24"/>
          <w:szCs w:val="24"/>
          <w:highlight w:val="yellow"/>
        </w:rPr>
      </w:pPr>
    </w:p>
    <w:p w14:paraId="116F018A" w14:textId="77777777" w:rsidR="002D18AC" w:rsidRPr="00585476" w:rsidRDefault="002D18AC" w:rsidP="00BE6FC5">
      <w:pPr>
        <w:spacing w:after="0" w:line="240" w:lineRule="auto"/>
        <w:jc w:val="both"/>
        <w:rPr>
          <w:rFonts w:ascii="Times New Roman" w:eastAsia="Times New Roman" w:hAnsi="Times New Roman" w:cs="Times New Roman"/>
          <w:sz w:val="24"/>
          <w:szCs w:val="24"/>
          <w:highlight w:val="yellow"/>
        </w:rPr>
      </w:pPr>
    </w:p>
    <w:p w14:paraId="4BE7D17E" w14:textId="0694A2C1" w:rsidR="00BE6FC5" w:rsidRPr="004E5D50" w:rsidRDefault="00BE6FC5" w:rsidP="005817AF">
      <w:pPr>
        <w:pStyle w:val="ListParagraph"/>
        <w:numPr>
          <w:ilvl w:val="1"/>
          <w:numId w:val="45"/>
        </w:numPr>
        <w:spacing w:after="0" w:line="240" w:lineRule="auto"/>
        <w:jc w:val="both"/>
        <w:rPr>
          <w:rFonts w:ascii="Times New Roman" w:eastAsia="Times New Roman" w:hAnsi="Times New Roman" w:cs="Times New Roman"/>
          <w:b/>
          <w:sz w:val="24"/>
          <w:szCs w:val="24"/>
          <w:u w:val="single"/>
        </w:rPr>
      </w:pPr>
      <w:r w:rsidRPr="004E5D50">
        <w:rPr>
          <w:rFonts w:ascii="Times New Roman" w:eastAsia="Times New Roman" w:hAnsi="Times New Roman" w:cs="Times New Roman"/>
          <w:b/>
          <w:sz w:val="24"/>
          <w:szCs w:val="24"/>
        </w:rPr>
        <w:t>Atbalsts mājsaimniecībām līdz noteiktam ienākumu slieksnim.</w:t>
      </w:r>
    </w:p>
    <w:p w14:paraId="175CB0EF" w14:textId="77777777" w:rsidR="00BE6FC5" w:rsidRPr="004E5D50" w:rsidRDefault="00BE6FC5" w:rsidP="00BE6FC5">
      <w:pPr>
        <w:spacing w:after="0" w:line="240" w:lineRule="auto"/>
        <w:jc w:val="both"/>
        <w:rPr>
          <w:rFonts w:ascii="Times New Roman" w:eastAsia="Times New Roman" w:hAnsi="Times New Roman" w:cs="Times New Roman"/>
          <w:sz w:val="24"/>
          <w:szCs w:val="24"/>
        </w:rPr>
      </w:pPr>
    </w:p>
    <w:p w14:paraId="59FC725A" w14:textId="77777777" w:rsidR="00BE6FC5" w:rsidRDefault="00BE6FC5" w:rsidP="00BE6FC5">
      <w:pPr>
        <w:spacing w:after="0" w:line="240" w:lineRule="auto"/>
        <w:ind w:firstLine="720"/>
        <w:jc w:val="both"/>
        <w:rPr>
          <w:rFonts w:ascii="Times New Roman" w:hAnsi="Times New Roman" w:cs="Times New Roman"/>
          <w:sz w:val="24"/>
          <w:szCs w:val="24"/>
        </w:rPr>
      </w:pPr>
      <w:r w:rsidRPr="004E5D50">
        <w:rPr>
          <w:rFonts w:ascii="Times New Roman" w:hAnsi="Times New Roman" w:cs="Times New Roman"/>
          <w:sz w:val="24"/>
          <w:szCs w:val="24"/>
        </w:rPr>
        <w:t>Pasākums paredz jauna atbalsta veida ieviešanu – uz mājsaimniecību pašdeklarēšanās principu balstīta atbalsta maksājuma veikšanu</w:t>
      </w:r>
      <w:r>
        <w:rPr>
          <w:rFonts w:ascii="Times New Roman" w:hAnsi="Times New Roman" w:cs="Times New Roman"/>
          <w:sz w:val="24"/>
          <w:szCs w:val="24"/>
        </w:rPr>
        <w:t xml:space="preserve"> mājsaimniecībām ar augstāku ienākumu slieksni nekā sociālās palīdzības ietvaros</w:t>
      </w:r>
      <w:r w:rsidRPr="004E5D50">
        <w:rPr>
          <w:rFonts w:ascii="Times New Roman" w:hAnsi="Times New Roman" w:cs="Times New Roman"/>
          <w:sz w:val="24"/>
          <w:szCs w:val="24"/>
        </w:rPr>
        <w:t xml:space="preserve">. </w:t>
      </w:r>
    </w:p>
    <w:p w14:paraId="44BBC302" w14:textId="77777777" w:rsidR="00BE6FC5" w:rsidRDefault="00BE6FC5" w:rsidP="00BE6FC5">
      <w:pPr>
        <w:spacing w:after="0" w:line="240" w:lineRule="auto"/>
        <w:ind w:firstLine="720"/>
        <w:jc w:val="both"/>
        <w:rPr>
          <w:rFonts w:ascii="Times New Roman" w:hAnsi="Times New Roman" w:cs="Times New Roman"/>
          <w:sz w:val="24"/>
          <w:szCs w:val="24"/>
        </w:rPr>
      </w:pPr>
      <w:r w:rsidRPr="004E5D50">
        <w:rPr>
          <w:rFonts w:ascii="Times New Roman" w:hAnsi="Times New Roman" w:cs="Times New Roman"/>
          <w:sz w:val="24"/>
          <w:szCs w:val="24"/>
        </w:rPr>
        <w:t xml:space="preserve">Ienākumu līmenis, līdz kuram mājsaimniecība kvalificējas atbalstam – līdz 743 </w:t>
      </w:r>
      <w:r w:rsidRPr="004E5D50">
        <w:rPr>
          <w:rFonts w:ascii="Times New Roman" w:hAnsi="Times New Roman" w:cs="Times New Roman"/>
          <w:i/>
          <w:sz w:val="24"/>
          <w:szCs w:val="24"/>
        </w:rPr>
        <w:t>euro</w:t>
      </w:r>
      <w:r w:rsidRPr="004E5D50">
        <w:rPr>
          <w:rFonts w:ascii="Times New Roman" w:hAnsi="Times New Roman" w:cs="Times New Roman"/>
          <w:sz w:val="24"/>
          <w:szCs w:val="24"/>
        </w:rPr>
        <w:t xml:space="preserve"> pirmajai vai vienīgajai personai mājsaimniecībā un 520 </w:t>
      </w:r>
      <w:r w:rsidRPr="004E5D50">
        <w:rPr>
          <w:rFonts w:ascii="Times New Roman" w:hAnsi="Times New Roman" w:cs="Times New Roman"/>
          <w:i/>
          <w:sz w:val="24"/>
          <w:szCs w:val="24"/>
        </w:rPr>
        <w:t>euro</w:t>
      </w:r>
      <w:r w:rsidRPr="004E5D50">
        <w:rPr>
          <w:rFonts w:ascii="Times New Roman" w:hAnsi="Times New Roman" w:cs="Times New Roman"/>
          <w:sz w:val="24"/>
          <w:szCs w:val="24"/>
        </w:rPr>
        <w:t xml:space="preserve"> pārējām personām mājsaimniecībā – analogi ar raksturoto ienākumu sliekšņa noteikšanu pie 3.1.3 “Automātiskais maksājums mājsaimniecībai”.</w:t>
      </w:r>
    </w:p>
    <w:p w14:paraId="7234F52C" w14:textId="73CFAA8E" w:rsidR="00BE6FC5" w:rsidRPr="004E5D50" w:rsidRDefault="00BE6FC5" w:rsidP="00BE6FC5">
      <w:pPr>
        <w:spacing w:after="0" w:line="240" w:lineRule="auto"/>
        <w:ind w:firstLine="720"/>
        <w:jc w:val="both"/>
        <w:rPr>
          <w:rFonts w:ascii="Times New Roman" w:eastAsia="Times New Roman" w:hAnsi="Times New Roman" w:cs="Times New Roman"/>
          <w:sz w:val="24"/>
          <w:szCs w:val="24"/>
        </w:rPr>
      </w:pPr>
      <w:r w:rsidRPr="004E5D50">
        <w:rPr>
          <w:rFonts w:ascii="Times New Roman" w:hAnsi="Times New Roman" w:cs="Times New Roman"/>
          <w:sz w:val="24"/>
          <w:szCs w:val="24"/>
        </w:rPr>
        <w:t>Lai saņemtu atbalsta maksājumu, mājsaimniecības loceklim ir jāiesniedz iesniegums</w:t>
      </w:r>
      <w:r>
        <w:rPr>
          <w:rFonts w:ascii="Times New Roman" w:hAnsi="Times New Roman" w:cs="Times New Roman"/>
          <w:sz w:val="24"/>
          <w:szCs w:val="24"/>
        </w:rPr>
        <w:t xml:space="preserve"> atbalsta administrētājam pašvaldībā</w:t>
      </w:r>
      <w:r w:rsidRPr="004E5D50">
        <w:rPr>
          <w:rFonts w:ascii="Times New Roman" w:hAnsi="Times New Roman" w:cs="Times New Roman"/>
          <w:sz w:val="24"/>
          <w:szCs w:val="24"/>
        </w:rPr>
        <w:t>.</w:t>
      </w:r>
      <w:r w:rsidRPr="004E5D50">
        <w:rPr>
          <w:rFonts w:ascii="Times New Roman" w:eastAsia="Times New Roman" w:hAnsi="Times New Roman" w:cs="Times New Roman"/>
          <w:sz w:val="24"/>
          <w:szCs w:val="24"/>
        </w:rPr>
        <w:t xml:space="preserve"> </w:t>
      </w:r>
      <w:r w:rsidRPr="004E5D50">
        <w:rPr>
          <w:rFonts w:ascii="Times New Roman" w:hAnsi="Times New Roman"/>
          <w:sz w:val="20"/>
          <w:szCs w:val="20"/>
        </w:rPr>
        <w:t xml:space="preserve"> </w:t>
      </w:r>
      <w:r w:rsidRPr="004E5D50">
        <w:rPr>
          <w:rFonts w:ascii="Times New Roman" w:hAnsi="Times New Roman" w:cs="Times New Roman"/>
          <w:sz w:val="24"/>
          <w:szCs w:val="24"/>
        </w:rPr>
        <w:t xml:space="preserve">Piedāvātais atbalsta administrētājs ir pašvaldības noteikta struktūrvienība, institūcija vai pakalpojumu sniedzējs - struktūrvienība, kura ir atbildīga par ar mājokli saistītiem jautājumiem. </w:t>
      </w:r>
      <w:r w:rsidRPr="004E5D50">
        <w:rPr>
          <w:rFonts w:ascii="Times New Roman" w:eastAsia="Times New Roman" w:hAnsi="Times New Roman" w:cs="Times New Roman"/>
          <w:sz w:val="24"/>
          <w:szCs w:val="24"/>
        </w:rPr>
        <w:t xml:space="preserve">Valsts kompensē </w:t>
      </w:r>
      <w:r>
        <w:rPr>
          <w:rFonts w:ascii="Times New Roman" w:eastAsia="Times New Roman" w:hAnsi="Times New Roman" w:cs="Times New Roman"/>
          <w:sz w:val="24"/>
          <w:szCs w:val="24"/>
        </w:rPr>
        <w:t xml:space="preserve">pašvaldībai </w:t>
      </w:r>
      <w:r w:rsidRPr="004E5D50">
        <w:rPr>
          <w:rFonts w:ascii="Times New Roman" w:eastAsia="Times New Roman" w:hAnsi="Times New Roman" w:cs="Times New Roman"/>
          <w:sz w:val="24"/>
          <w:szCs w:val="24"/>
        </w:rPr>
        <w:t>fiksētu summu par katra iesnieguma apstrādi</w:t>
      </w:r>
      <w:r>
        <w:rPr>
          <w:rFonts w:ascii="Times New Roman" w:eastAsia="Times New Roman" w:hAnsi="Times New Roman" w:cs="Times New Roman"/>
          <w:sz w:val="24"/>
          <w:szCs w:val="24"/>
        </w:rPr>
        <w:t xml:space="preserve">. Pašvaldībām </w:t>
      </w:r>
      <w:r w:rsidR="002D18AC">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jāpārbauda iesniegumā norādītā informācija par mājsaimniecības ienākumiem.</w:t>
      </w:r>
    </w:p>
    <w:p w14:paraId="74AE83D4" w14:textId="77777777" w:rsidR="00BE6FC5" w:rsidRPr="004E5D50" w:rsidRDefault="00BE6FC5" w:rsidP="00BE6FC5">
      <w:pPr>
        <w:spacing w:after="0" w:line="240" w:lineRule="auto"/>
        <w:ind w:firstLine="720"/>
        <w:jc w:val="both"/>
        <w:rPr>
          <w:rFonts w:ascii="Times New Roman" w:hAnsi="Times New Roman" w:cs="Times New Roman"/>
          <w:sz w:val="24"/>
          <w:szCs w:val="24"/>
        </w:rPr>
      </w:pPr>
      <w:r w:rsidRPr="004E5D50">
        <w:rPr>
          <w:rFonts w:ascii="Times New Roman" w:eastAsia="Times New Roman" w:hAnsi="Times New Roman" w:cs="Times New Roman"/>
          <w:sz w:val="24"/>
          <w:szCs w:val="24"/>
        </w:rPr>
        <w:t>Atbalsta saņemšanai mājsaimniecībai ir jāsniedz iesniegums pašvaldībā (katrai pašvaldībai mājas lapā pieejama saite uz attiecīgo Latvija.lv e-pakalpojumu, kur iesniegt iesniegumu).</w:t>
      </w:r>
    </w:p>
    <w:p w14:paraId="66045D1D" w14:textId="77777777" w:rsidR="00BE6FC5" w:rsidRDefault="00BE6FC5" w:rsidP="00BE6FC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4E5D50">
        <w:rPr>
          <w:rFonts w:ascii="Times New Roman" w:eastAsia="Times New Roman" w:hAnsi="Times New Roman" w:cs="Times New Roman"/>
          <w:sz w:val="24"/>
          <w:szCs w:val="24"/>
        </w:rPr>
        <w:t>alsts kompensē pašvaldībām izdevumus par atbalsta maksājumu un atbalsta administrēšanu 100% apmērā</w:t>
      </w:r>
      <w:r>
        <w:rPr>
          <w:rFonts w:ascii="Times New Roman" w:eastAsia="Times New Roman" w:hAnsi="Times New Roman" w:cs="Times New Roman"/>
          <w:sz w:val="24"/>
          <w:szCs w:val="24"/>
        </w:rPr>
        <w:t>, paredzot iespēju</w:t>
      </w:r>
      <w:r w:rsidRPr="004E5D50">
        <w:rPr>
          <w:rFonts w:ascii="Times New Roman" w:eastAsia="Times New Roman" w:hAnsi="Times New Roman" w:cs="Times New Roman"/>
          <w:sz w:val="24"/>
          <w:szCs w:val="24"/>
        </w:rPr>
        <w:t xml:space="preserve"> veikt tūlītēju avansa maksājumu pašvaldībai vismaz </w:t>
      </w:r>
      <w:r>
        <w:rPr>
          <w:rFonts w:ascii="Times New Roman" w:eastAsia="Times New Roman" w:hAnsi="Times New Roman" w:cs="Times New Roman"/>
          <w:sz w:val="24"/>
          <w:szCs w:val="24"/>
        </w:rPr>
        <w:t xml:space="preserve">atbilstoši </w:t>
      </w:r>
      <w:r w:rsidRPr="004E5D50">
        <w:rPr>
          <w:rFonts w:ascii="Times New Roman" w:eastAsia="Times New Roman" w:hAnsi="Times New Roman" w:cs="Times New Roman"/>
          <w:sz w:val="24"/>
          <w:szCs w:val="24"/>
        </w:rPr>
        <w:t>viena mēneša izmaksām.</w:t>
      </w:r>
    </w:p>
    <w:p w14:paraId="5075208A" w14:textId="4DB9BCA7" w:rsidR="00BE6FC5" w:rsidRPr="004E5D50" w:rsidRDefault="00BE6FC5" w:rsidP="00BE6FC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Izvēloties šo risinājuma variantu</w:t>
      </w:r>
      <w:r w:rsidR="002D18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nepieciešams vienoties, vai mājsaimniecībai tiek kompensēta vienoti noteikta summa, vai tiek veikta kompensācija par katra energoresursa lietošanu, piemērojot dažādu atbalsta intensitāti katram no tiem (līdzīgi kā aprakstīt</w:t>
      </w:r>
      <w:r w:rsidR="002D18A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3.2. sadaļā). Atka</w:t>
      </w:r>
      <w:r w:rsidR="002D18AC">
        <w:rPr>
          <w:rFonts w:ascii="Times New Roman" w:eastAsia="Times New Roman" w:hAnsi="Times New Roman" w:cs="Times New Roman"/>
          <w:sz w:val="24"/>
          <w:szCs w:val="24"/>
        </w:rPr>
        <w:t>rībā no izvēlētās pieejas atkarīga arī rēķina iesniegšanas nepieciešamība</w:t>
      </w:r>
      <w:r>
        <w:rPr>
          <w:rFonts w:ascii="Times New Roman" w:eastAsia="Times New Roman" w:hAnsi="Times New Roman" w:cs="Times New Roman"/>
          <w:sz w:val="24"/>
          <w:szCs w:val="24"/>
        </w:rPr>
        <w:t>.</w:t>
      </w:r>
    </w:p>
    <w:p w14:paraId="77B77778" w14:textId="77777777" w:rsidR="002D18AC" w:rsidRDefault="002D18AC" w:rsidP="00BE6FC5">
      <w:pPr>
        <w:spacing w:after="0" w:line="240" w:lineRule="auto"/>
        <w:rPr>
          <w:rFonts w:ascii="Times New Roman" w:eastAsia="Times New Roman" w:hAnsi="Times New Roman" w:cs="Times New Roman"/>
          <w:sz w:val="24"/>
          <w:szCs w:val="24"/>
          <w:u w:val="single"/>
        </w:rPr>
      </w:pPr>
    </w:p>
    <w:p w14:paraId="60D4890C" w14:textId="77777777" w:rsidR="00BE6FC5" w:rsidRPr="004E5D50" w:rsidRDefault="00BE6FC5" w:rsidP="00BE6FC5">
      <w:pPr>
        <w:spacing w:after="0" w:line="240" w:lineRule="auto"/>
        <w:rPr>
          <w:rFonts w:ascii="Times New Roman" w:eastAsia="Times New Roman" w:hAnsi="Times New Roman" w:cs="Times New Roman"/>
          <w:sz w:val="24"/>
          <w:szCs w:val="24"/>
        </w:rPr>
      </w:pPr>
      <w:r w:rsidRPr="00DA7F2E">
        <w:rPr>
          <w:rFonts w:ascii="Times New Roman" w:eastAsia="Times New Roman" w:hAnsi="Times New Roman" w:cs="Times New Roman"/>
          <w:sz w:val="24"/>
          <w:szCs w:val="24"/>
          <w:u w:val="single"/>
        </w:rPr>
        <w:t>Priekšrocības</w:t>
      </w:r>
      <w:r w:rsidRPr="004E5D50">
        <w:rPr>
          <w:rFonts w:ascii="Times New Roman" w:eastAsia="Times New Roman" w:hAnsi="Times New Roman" w:cs="Times New Roman"/>
          <w:sz w:val="24"/>
          <w:szCs w:val="24"/>
        </w:rPr>
        <w:t>:</w:t>
      </w:r>
    </w:p>
    <w:p w14:paraId="549A6F18" w14:textId="77777777" w:rsidR="00BE6FC5" w:rsidRPr="004E5D50" w:rsidRDefault="00BE6FC5" w:rsidP="00BE6FC5">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4E5D50">
        <w:rPr>
          <w:rFonts w:ascii="Times New Roman" w:eastAsia="Times New Roman" w:hAnsi="Times New Roman" w:cs="Times New Roman"/>
          <w:sz w:val="24"/>
          <w:szCs w:val="24"/>
        </w:rPr>
        <w:t>ienoti atbalsta saņemšanas nosacījumi visiem iedzīvotājiem, kuri kvalificējas atbalstam;</w:t>
      </w:r>
    </w:p>
    <w:p w14:paraId="2491E13C" w14:textId="04176D2C" w:rsidR="00BE6FC5" w:rsidRPr="002D18AC" w:rsidRDefault="00BE6FC5" w:rsidP="002D18AC">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4E5D50">
        <w:rPr>
          <w:rFonts w:ascii="Times New Roman" w:eastAsia="Times New Roman" w:hAnsi="Times New Roman" w:cs="Times New Roman"/>
          <w:sz w:val="24"/>
          <w:szCs w:val="24"/>
        </w:rPr>
        <w:t>tbalsts mērķēts uz mājsaimniecībām ar ienākumiem līdz noteiktam slieksnim, kas ir atbilstoši MP rezolūcijai</w:t>
      </w:r>
      <w:r>
        <w:rPr>
          <w:rFonts w:ascii="Times New Roman" w:eastAsia="Times New Roman" w:hAnsi="Times New Roman" w:cs="Times New Roman"/>
          <w:sz w:val="24"/>
          <w:szCs w:val="24"/>
        </w:rPr>
        <w:t>, sasniedzot tās mājsaimniecības, kuru ienākumi ir 3.kvintilē</w:t>
      </w:r>
      <w:r w:rsidR="002D18AC">
        <w:rPr>
          <w:rFonts w:ascii="Times New Roman" w:eastAsia="Times New Roman" w:hAnsi="Times New Roman" w:cs="Times New Roman"/>
          <w:sz w:val="24"/>
          <w:szCs w:val="24"/>
        </w:rPr>
        <w:t>.</w:t>
      </w:r>
    </w:p>
    <w:p w14:paraId="546F281C" w14:textId="77777777" w:rsidR="002D18AC" w:rsidRDefault="002D18AC" w:rsidP="00BE6FC5">
      <w:pPr>
        <w:spacing w:after="0" w:line="240" w:lineRule="auto"/>
        <w:rPr>
          <w:rFonts w:ascii="Times New Roman" w:eastAsia="Times New Roman" w:hAnsi="Times New Roman" w:cs="Times New Roman"/>
          <w:sz w:val="24"/>
          <w:szCs w:val="24"/>
          <w:u w:val="single"/>
        </w:rPr>
      </w:pPr>
    </w:p>
    <w:p w14:paraId="74131785" w14:textId="77777777" w:rsidR="00BE6FC5" w:rsidRPr="004E5D50" w:rsidRDefault="00BE6FC5" w:rsidP="00BE6FC5">
      <w:pPr>
        <w:spacing w:after="0" w:line="240" w:lineRule="auto"/>
        <w:rPr>
          <w:rFonts w:ascii="Times New Roman" w:eastAsia="Times New Roman" w:hAnsi="Times New Roman" w:cs="Times New Roman"/>
          <w:sz w:val="24"/>
          <w:szCs w:val="24"/>
        </w:rPr>
      </w:pPr>
      <w:r w:rsidRPr="00DA7F2E">
        <w:rPr>
          <w:rFonts w:ascii="Times New Roman" w:eastAsia="Times New Roman" w:hAnsi="Times New Roman" w:cs="Times New Roman"/>
          <w:sz w:val="24"/>
          <w:szCs w:val="24"/>
          <w:u w:val="single"/>
        </w:rPr>
        <w:lastRenderedPageBreak/>
        <w:t>Trūkumi</w:t>
      </w:r>
      <w:r w:rsidRPr="004E5D50">
        <w:rPr>
          <w:rFonts w:ascii="Times New Roman" w:eastAsia="Times New Roman" w:hAnsi="Times New Roman" w:cs="Times New Roman"/>
          <w:sz w:val="24"/>
          <w:szCs w:val="24"/>
        </w:rPr>
        <w:t>:</w:t>
      </w:r>
    </w:p>
    <w:p w14:paraId="1B7A3E5B" w14:textId="77777777" w:rsidR="00BE6FC5" w:rsidRPr="004E5D50" w:rsidRDefault="00BE6FC5" w:rsidP="00BE6FC5">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4E5D50">
        <w:rPr>
          <w:rFonts w:ascii="Times New Roman" w:eastAsia="Times New Roman" w:hAnsi="Times New Roman" w:cs="Times New Roman"/>
          <w:sz w:val="24"/>
          <w:szCs w:val="24"/>
        </w:rPr>
        <w:t>r fizisko personu datu apstrādes nosacījumu ievērošanu saistītie riski un smagnējs un garš normatīvā regulējuma saskaņošanas process ar Datu valsts inspekciju;</w:t>
      </w:r>
    </w:p>
    <w:p w14:paraId="3BB6F869" w14:textId="77777777" w:rsidR="00BE6FC5" w:rsidRDefault="00BE6FC5" w:rsidP="00BE6FC5">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ļoti būtisks slogs</w:t>
      </w:r>
      <w:r w:rsidRPr="004E5D50">
        <w:rPr>
          <w:rFonts w:ascii="Times New Roman" w:eastAsia="Times New Roman" w:hAnsi="Times New Roman" w:cs="Times New Roman"/>
          <w:sz w:val="24"/>
          <w:szCs w:val="24"/>
        </w:rPr>
        <w:t xml:space="preserve"> pašvaldībām, lai izveidotu un administrētu pieteikumus;</w:t>
      </w:r>
    </w:p>
    <w:p w14:paraId="75649554" w14:textId="035F442F" w:rsidR="00BE6FC5" w:rsidRPr="004E5D50" w:rsidRDefault="002D18AC" w:rsidP="00BE6FC5">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BE6FC5">
        <w:rPr>
          <w:rFonts w:ascii="Times New Roman" w:eastAsia="Times New Roman" w:hAnsi="Times New Roman" w:cs="Times New Roman"/>
          <w:sz w:val="24"/>
          <w:szCs w:val="24"/>
        </w:rPr>
        <w:t xml:space="preserve">logs mājsaimniecībām, jo jāaizpilda un jāiesniedz pieteikumi, kā arī atkarībā no izvēlētā varianta jāiesniedz </w:t>
      </w:r>
      <w:r>
        <w:rPr>
          <w:rFonts w:ascii="Times New Roman" w:eastAsia="Times New Roman" w:hAnsi="Times New Roman" w:cs="Times New Roman"/>
          <w:sz w:val="24"/>
          <w:szCs w:val="24"/>
        </w:rPr>
        <w:t>rēķini par energoresursu pakalpojumu</w:t>
      </w:r>
      <w:r w:rsidR="00BE6FC5">
        <w:rPr>
          <w:rFonts w:ascii="Times New Roman" w:eastAsia="Times New Roman" w:hAnsi="Times New Roman" w:cs="Times New Roman"/>
          <w:sz w:val="24"/>
          <w:szCs w:val="24"/>
        </w:rPr>
        <w:t>. Ja tiek izvēlēta iespēja par konstantas summas izmaksu, kas veidojas no energoresursu cenu pieauguma vidējā aprēķina, tad ir risks, ka šī summa nebūs mērķēta atkarībā no tā, kādu resursu mājsaimniecība lieto pārsvarā un kurā pašvaldībā tā dzīvo.</w:t>
      </w:r>
    </w:p>
    <w:p w14:paraId="61A27D69" w14:textId="77777777" w:rsidR="00B91F54" w:rsidRDefault="00B91F54" w:rsidP="005817AF">
      <w:pPr>
        <w:spacing w:line="252" w:lineRule="auto"/>
        <w:contextualSpacing/>
        <w:jc w:val="center"/>
        <w:rPr>
          <w:rFonts w:ascii="Times New Roman" w:eastAsia="Times New Roman" w:hAnsi="Times New Roman" w:cs="Times New Roman"/>
          <w:b/>
          <w:sz w:val="24"/>
          <w:szCs w:val="24"/>
        </w:rPr>
      </w:pPr>
    </w:p>
    <w:p w14:paraId="46C34E97" w14:textId="2CC58593" w:rsidR="005817AF" w:rsidRDefault="005817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1B2195C" w14:textId="47CE1B15" w:rsidR="00B91F54" w:rsidRPr="005817AF" w:rsidRDefault="005817AF" w:rsidP="005817A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Kopējais n</w:t>
      </w:r>
      <w:r w:rsidRPr="005817AF">
        <w:rPr>
          <w:rFonts w:ascii="Times New Roman" w:eastAsia="Times New Roman" w:hAnsi="Times New Roman" w:cs="Times New Roman"/>
          <w:b/>
          <w:sz w:val="24"/>
          <w:szCs w:val="24"/>
        </w:rPr>
        <w:t>epieciešamais finansējums informatīvajā ziņojumā piedāvāto pasākumu ieviešanai 2022.-2023.gad</w:t>
      </w:r>
      <w:r>
        <w:rPr>
          <w:rFonts w:ascii="Times New Roman" w:eastAsia="Times New Roman" w:hAnsi="Times New Roman" w:cs="Times New Roman"/>
          <w:b/>
          <w:sz w:val="24"/>
          <w:szCs w:val="24"/>
        </w:rPr>
        <w:t>ā</w:t>
      </w:r>
    </w:p>
    <w:p w14:paraId="432F62FF" w14:textId="77777777" w:rsidR="005817AF" w:rsidRDefault="005817AF" w:rsidP="00B91F54">
      <w:pPr>
        <w:spacing w:after="0" w:line="240" w:lineRule="auto"/>
        <w:jc w:val="both"/>
        <w:rPr>
          <w:rFonts w:ascii="Times New Roman" w:eastAsia="Times New Roman" w:hAnsi="Times New Roman" w:cs="Times New Roman"/>
          <w:sz w:val="24"/>
          <w:szCs w:val="24"/>
        </w:rPr>
      </w:pPr>
    </w:p>
    <w:tbl>
      <w:tblPr>
        <w:tblStyle w:val="TableGrid"/>
        <w:tblW w:w="8745" w:type="dxa"/>
        <w:tblLook w:val="04A0" w:firstRow="1" w:lastRow="0" w:firstColumn="1" w:lastColumn="0" w:noHBand="0" w:noVBand="1"/>
      </w:tblPr>
      <w:tblGrid>
        <w:gridCol w:w="733"/>
        <w:gridCol w:w="5820"/>
        <w:gridCol w:w="1096"/>
        <w:gridCol w:w="110"/>
        <w:gridCol w:w="986"/>
      </w:tblGrid>
      <w:tr w:rsidR="005817AF" w:rsidRPr="005817AF" w14:paraId="50DC8986" w14:textId="77777777" w:rsidTr="008358EF">
        <w:tc>
          <w:tcPr>
            <w:tcW w:w="733" w:type="dxa"/>
            <w:shd w:val="clear" w:color="auto" w:fill="A8D08D" w:themeFill="accent6" w:themeFillTint="99"/>
          </w:tcPr>
          <w:p w14:paraId="4293ABD1" w14:textId="77777777" w:rsidR="005817AF" w:rsidRPr="005817AF" w:rsidRDefault="005817AF" w:rsidP="00FB4B9D">
            <w:pPr>
              <w:jc w:val="center"/>
              <w:rPr>
                <w:rFonts w:ascii="Times New Roman" w:hAnsi="Times New Roman"/>
                <w:b/>
              </w:rPr>
            </w:pPr>
          </w:p>
        </w:tc>
        <w:tc>
          <w:tcPr>
            <w:tcW w:w="5820" w:type="dxa"/>
            <w:shd w:val="clear" w:color="auto" w:fill="A8D08D" w:themeFill="accent6" w:themeFillTint="99"/>
            <w:vAlign w:val="center"/>
          </w:tcPr>
          <w:p w14:paraId="36335987" w14:textId="77777777" w:rsidR="005817AF" w:rsidRPr="005817AF" w:rsidRDefault="005817AF" w:rsidP="005817AF">
            <w:pPr>
              <w:jc w:val="center"/>
              <w:rPr>
                <w:rFonts w:ascii="Times New Roman" w:hAnsi="Times New Roman"/>
                <w:b/>
              </w:rPr>
            </w:pPr>
            <w:r w:rsidRPr="005817AF">
              <w:rPr>
                <w:rFonts w:ascii="Times New Roman" w:hAnsi="Times New Roman"/>
                <w:b/>
              </w:rPr>
              <w:t>Atbalsta pasākums</w:t>
            </w:r>
          </w:p>
        </w:tc>
        <w:tc>
          <w:tcPr>
            <w:tcW w:w="1206" w:type="dxa"/>
            <w:gridSpan w:val="2"/>
            <w:shd w:val="clear" w:color="auto" w:fill="A8D08D" w:themeFill="accent6" w:themeFillTint="99"/>
            <w:vAlign w:val="center"/>
          </w:tcPr>
          <w:p w14:paraId="6AFE5965" w14:textId="4DAAD1D1" w:rsidR="005817AF" w:rsidRPr="005817AF" w:rsidRDefault="005817AF" w:rsidP="005817AF">
            <w:pPr>
              <w:jc w:val="center"/>
              <w:rPr>
                <w:rFonts w:ascii="Times New Roman" w:hAnsi="Times New Roman"/>
                <w:b/>
              </w:rPr>
            </w:pPr>
            <w:r w:rsidRPr="005817AF">
              <w:rPr>
                <w:rFonts w:ascii="Times New Roman" w:hAnsi="Times New Roman"/>
                <w:b/>
              </w:rPr>
              <w:t xml:space="preserve">2022 </w:t>
            </w:r>
            <w:r w:rsidRPr="005817AF">
              <w:rPr>
                <w:rFonts w:ascii="Times New Roman" w:hAnsi="Times New Roman"/>
              </w:rPr>
              <w:t xml:space="preserve">miljoni </w:t>
            </w:r>
            <w:r w:rsidRPr="005817AF">
              <w:rPr>
                <w:rFonts w:ascii="Times New Roman" w:hAnsi="Times New Roman"/>
                <w:i/>
              </w:rPr>
              <w:t>euro</w:t>
            </w:r>
          </w:p>
        </w:tc>
        <w:tc>
          <w:tcPr>
            <w:tcW w:w="986" w:type="dxa"/>
            <w:shd w:val="clear" w:color="auto" w:fill="A8D08D" w:themeFill="accent6" w:themeFillTint="99"/>
            <w:vAlign w:val="center"/>
          </w:tcPr>
          <w:p w14:paraId="11F406FF" w14:textId="77777777" w:rsidR="005817AF" w:rsidRPr="005817AF" w:rsidRDefault="005817AF" w:rsidP="005817AF">
            <w:pPr>
              <w:jc w:val="center"/>
              <w:rPr>
                <w:rFonts w:ascii="Times New Roman" w:hAnsi="Times New Roman"/>
                <w:b/>
              </w:rPr>
            </w:pPr>
            <w:r w:rsidRPr="005817AF">
              <w:rPr>
                <w:rFonts w:ascii="Times New Roman" w:hAnsi="Times New Roman"/>
                <w:b/>
              </w:rPr>
              <w:t>2023</w:t>
            </w:r>
          </w:p>
          <w:p w14:paraId="3AB8713A" w14:textId="59BD121E" w:rsidR="005817AF" w:rsidRPr="005817AF" w:rsidRDefault="005817AF" w:rsidP="005817AF">
            <w:pPr>
              <w:jc w:val="center"/>
              <w:rPr>
                <w:rFonts w:ascii="Times New Roman" w:hAnsi="Times New Roman"/>
                <w:b/>
              </w:rPr>
            </w:pPr>
            <w:r w:rsidRPr="005817AF">
              <w:rPr>
                <w:rFonts w:ascii="Times New Roman" w:hAnsi="Times New Roman"/>
              </w:rPr>
              <w:t xml:space="preserve">miljoni </w:t>
            </w:r>
            <w:r w:rsidRPr="005817AF">
              <w:rPr>
                <w:rFonts w:ascii="Times New Roman" w:hAnsi="Times New Roman"/>
                <w:i/>
              </w:rPr>
              <w:t>euro</w:t>
            </w:r>
          </w:p>
        </w:tc>
      </w:tr>
      <w:tr w:rsidR="005817AF" w:rsidRPr="005817AF" w14:paraId="08A7D949" w14:textId="77777777" w:rsidTr="000C5E35">
        <w:tc>
          <w:tcPr>
            <w:tcW w:w="733" w:type="dxa"/>
            <w:shd w:val="clear" w:color="auto" w:fill="E2EFD9" w:themeFill="accent6" w:themeFillTint="33"/>
            <w:vAlign w:val="center"/>
          </w:tcPr>
          <w:p w14:paraId="3794B026" w14:textId="77777777" w:rsidR="005817AF" w:rsidRPr="005817AF" w:rsidRDefault="005817AF" w:rsidP="005817AF">
            <w:pPr>
              <w:rPr>
                <w:rFonts w:ascii="Times New Roman" w:hAnsi="Times New Roman"/>
                <w:b/>
              </w:rPr>
            </w:pPr>
            <w:r w:rsidRPr="005817AF">
              <w:rPr>
                <w:rFonts w:ascii="Times New Roman" w:hAnsi="Times New Roman"/>
                <w:b/>
              </w:rPr>
              <w:t>1.</w:t>
            </w:r>
          </w:p>
        </w:tc>
        <w:tc>
          <w:tcPr>
            <w:tcW w:w="5820" w:type="dxa"/>
            <w:shd w:val="clear" w:color="auto" w:fill="E2EFD9" w:themeFill="accent6" w:themeFillTint="33"/>
            <w:vAlign w:val="center"/>
          </w:tcPr>
          <w:p w14:paraId="5E366CCE" w14:textId="5CDEA5D1" w:rsidR="005817AF" w:rsidRPr="005817AF" w:rsidRDefault="005817AF" w:rsidP="00F96409">
            <w:pPr>
              <w:rPr>
                <w:rFonts w:ascii="Times New Roman" w:hAnsi="Times New Roman"/>
                <w:b/>
              </w:rPr>
            </w:pPr>
            <w:r w:rsidRPr="005817AF">
              <w:rPr>
                <w:rFonts w:ascii="Times New Roman" w:hAnsi="Times New Roman"/>
                <w:b/>
              </w:rPr>
              <w:t>Mājokļa pabalst</w:t>
            </w:r>
            <w:r w:rsidR="008358EF">
              <w:rPr>
                <w:rFonts w:ascii="Times New Roman" w:hAnsi="Times New Roman"/>
                <w:b/>
              </w:rPr>
              <w:t>s</w:t>
            </w:r>
          </w:p>
        </w:tc>
        <w:tc>
          <w:tcPr>
            <w:tcW w:w="1206" w:type="dxa"/>
            <w:gridSpan w:val="2"/>
            <w:shd w:val="clear" w:color="auto" w:fill="E2EFD9" w:themeFill="accent6" w:themeFillTint="33"/>
            <w:vAlign w:val="center"/>
          </w:tcPr>
          <w:p w14:paraId="68F91438" w14:textId="06E419AF" w:rsidR="005817AF" w:rsidRPr="005817AF" w:rsidRDefault="008358EF">
            <w:pPr>
              <w:jc w:val="center"/>
              <w:rPr>
                <w:rFonts w:ascii="Times New Roman" w:hAnsi="Times New Roman"/>
                <w:b/>
              </w:rPr>
            </w:pPr>
            <w:r w:rsidRPr="005817AF">
              <w:rPr>
                <w:rFonts w:ascii="Times New Roman" w:hAnsi="Times New Roman"/>
                <w:b/>
              </w:rPr>
              <w:t>0</w:t>
            </w:r>
            <w:r w:rsidR="0094454B">
              <w:rPr>
                <w:rFonts w:ascii="Times New Roman" w:hAnsi="Times New Roman"/>
                <w:b/>
              </w:rPr>
              <w:t>,6</w:t>
            </w:r>
          </w:p>
        </w:tc>
        <w:tc>
          <w:tcPr>
            <w:tcW w:w="986" w:type="dxa"/>
            <w:shd w:val="clear" w:color="auto" w:fill="E2EFD9" w:themeFill="accent6" w:themeFillTint="33"/>
            <w:vAlign w:val="center"/>
          </w:tcPr>
          <w:p w14:paraId="15481059" w14:textId="76E4BBB9" w:rsidR="005817AF" w:rsidRPr="005817AF" w:rsidRDefault="008358EF" w:rsidP="00F96409">
            <w:pPr>
              <w:jc w:val="center"/>
              <w:rPr>
                <w:rFonts w:ascii="Times New Roman" w:hAnsi="Times New Roman"/>
                <w:b/>
              </w:rPr>
            </w:pPr>
            <w:r>
              <w:rPr>
                <w:rFonts w:ascii="Times New Roman" w:hAnsi="Times New Roman"/>
                <w:b/>
              </w:rPr>
              <w:t>18,6</w:t>
            </w:r>
          </w:p>
        </w:tc>
      </w:tr>
      <w:tr w:rsidR="008358EF" w:rsidRPr="005817AF" w14:paraId="5D985331" w14:textId="77777777" w:rsidTr="000C5E35">
        <w:tc>
          <w:tcPr>
            <w:tcW w:w="733" w:type="dxa"/>
            <w:shd w:val="clear" w:color="auto" w:fill="auto"/>
            <w:vAlign w:val="center"/>
          </w:tcPr>
          <w:p w14:paraId="1881A860" w14:textId="77777777" w:rsidR="008358EF" w:rsidRPr="00F96409" w:rsidRDefault="008358EF" w:rsidP="008358EF">
            <w:pPr>
              <w:rPr>
                <w:rFonts w:ascii="Times New Roman" w:hAnsi="Times New Roman"/>
                <w:b/>
              </w:rPr>
            </w:pPr>
          </w:p>
        </w:tc>
        <w:tc>
          <w:tcPr>
            <w:tcW w:w="5820" w:type="dxa"/>
            <w:shd w:val="clear" w:color="auto" w:fill="auto"/>
            <w:vAlign w:val="center"/>
          </w:tcPr>
          <w:p w14:paraId="41252A1D" w14:textId="67902770" w:rsidR="008358EF" w:rsidRPr="000C5E35" w:rsidRDefault="008358EF" w:rsidP="000C5E35">
            <w:pPr>
              <w:jc w:val="right"/>
              <w:rPr>
                <w:rFonts w:ascii="Times New Roman" w:hAnsi="Times New Roman"/>
              </w:rPr>
            </w:pPr>
            <w:r w:rsidRPr="000C5E35">
              <w:rPr>
                <w:rFonts w:ascii="Times New Roman" w:hAnsi="Times New Roman"/>
              </w:rPr>
              <w:t>papildu</w:t>
            </w:r>
            <w:r w:rsidRPr="000C5E35">
              <w:rPr>
                <w:rFonts w:ascii="Times New Roman" w:hAnsi="Times New Roman"/>
              </w:rPr>
              <w:t>s</w:t>
            </w:r>
            <w:r w:rsidRPr="000C5E35">
              <w:rPr>
                <w:rFonts w:ascii="Times New Roman" w:hAnsi="Times New Roman"/>
              </w:rPr>
              <w:t xml:space="preserve"> nepieciešamais </w:t>
            </w:r>
            <w:r w:rsidRPr="000C5E35">
              <w:rPr>
                <w:rFonts w:ascii="Times New Roman" w:hAnsi="Times New Roman"/>
              </w:rPr>
              <w:t>v</w:t>
            </w:r>
            <w:r w:rsidRPr="000C5E35">
              <w:rPr>
                <w:rFonts w:ascii="Times New Roman" w:hAnsi="Times New Roman"/>
              </w:rPr>
              <w:t>alsts budžeta finansējums</w:t>
            </w:r>
          </w:p>
        </w:tc>
        <w:tc>
          <w:tcPr>
            <w:tcW w:w="1206" w:type="dxa"/>
            <w:gridSpan w:val="2"/>
            <w:shd w:val="clear" w:color="auto" w:fill="auto"/>
            <w:vAlign w:val="center"/>
          </w:tcPr>
          <w:p w14:paraId="49CD8010" w14:textId="35946268" w:rsidR="008358EF" w:rsidRPr="005817AF" w:rsidRDefault="008358EF" w:rsidP="008358EF">
            <w:pPr>
              <w:jc w:val="center"/>
              <w:rPr>
                <w:rFonts w:ascii="Times New Roman" w:hAnsi="Times New Roman"/>
                <w:b/>
              </w:rPr>
            </w:pPr>
            <w:r w:rsidRPr="005817AF">
              <w:rPr>
                <w:rFonts w:ascii="Times New Roman" w:hAnsi="Times New Roman"/>
                <w:b/>
              </w:rPr>
              <w:t>0</w:t>
            </w:r>
            <w:r w:rsidR="0094454B">
              <w:rPr>
                <w:rFonts w:ascii="Times New Roman" w:hAnsi="Times New Roman"/>
                <w:b/>
              </w:rPr>
              <w:t>,6</w:t>
            </w:r>
          </w:p>
        </w:tc>
        <w:tc>
          <w:tcPr>
            <w:tcW w:w="986" w:type="dxa"/>
            <w:shd w:val="clear" w:color="auto" w:fill="auto"/>
            <w:vAlign w:val="center"/>
          </w:tcPr>
          <w:p w14:paraId="6BB6C45F" w14:textId="78A888EB" w:rsidR="008358EF" w:rsidRPr="005817AF" w:rsidRDefault="008358EF" w:rsidP="008358EF">
            <w:pPr>
              <w:jc w:val="center"/>
              <w:rPr>
                <w:rFonts w:ascii="Times New Roman" w:hAnsi="Times New Roman"/>
                <w:b/>
              </w:rPr>
            </w:pPr>
            <w:r w:rsidRPr="005817AF">
              <w:rPr>
                <w:rFonts w:ascii="Times New Roman" w:hAnsi="Times New Roman"/>
                <w:b/>
              </w:rPr>
              <w:t>10</w:t>
            </w:r>
          </w:p>
        </w:tc>
      </w:tr>
      <w:tr w:rsidR="008358EF" w:rsidRPr="005817AF" w14:paraId="45E23C27" w14:textId="77777777" w:rsidTr="000C5E35">
        <w:tc>
          <w:tcPr>
            <w:tcW w:w="733" w:type="dxa"/>
            <w:shd w:val="clear" w:color="auto" w:fill="auto"/>
            <w:vAlign w:val="center"/>
          </w:tcPr>
          <w:p w14:paraId="4497F221" w14:textId="77777777" w:rsidR="008358EF" w:rsidRPr="00F96409" w:rsidRDefault="008358EF" w:rsidP="008358EF">
            <w:pPr>
              <w:rPr>
                <w:rFonts w:ascii="Times New Roman" w:hAnsi="Times New Roman"/>
                <w:b/>
              </w:rPr>
            </w:pPr>
          </w:p>
        </w:tc>
        <w:tc>
          <w:tcPr>
            <w:tcW w:w="5820" w:type="dxa"/>
            <w:shd w:val="clear" w:color="auto" w:fill="auto"/>
            <w:vAlign w:val="center"/>
          </w:tcPr>
          <w:p w14:paraId="1430AB44" w14:textId="326E8E7C" w:rsidR="008358EF" w:rsidRPr="000C5E35" w:rsidRDefault="008358EF" w:rsidP="000C5E35">
            <w:pPr>
              <w:jc w:val="right"/>
              <w:rPr>
                <w:rFonts w:ascii="Times New Roman" w:hAnsi="Times New Roman"/>
              </w:rPr>
            </w:pPr>
            <w:r w:rsidRPr="000C5E35">
              <w:rPr>
                <w:rFonts w:ascii="Times New Roman" w:hAnsi="Times New Roman"/>
              </w:rPr>
              <w:t xml:space="preserve">papildus nepieciešamais </w:t>
            </w:r>
            <w:r w:rsidRPr="000C5E35">
              <w:rPr>
                <w:rFonts w:ascii="Times New Roman" w:hAnsi="Times New Roman"/>
              </w:rPr>
              <w:t>pašvaldību</w:t>
            </w:r>
            <w:r w:rsidRPr="000C5E35">
              <w:rPr>
                <w:rFonts w:ascii="Times New Roman" w:hAnsi="Times New Roman"/>
              </w:rPr>
              <w:t xml:space="preserve"> budžeta finansējums</w:t>
            </w:r>
          </w:p>
        </w:tc>
        <w:tc>
          <w:tcPr>
            <w:tcW w:w="1206" w:type="dxa"/>
            <w:gridSpan w:val="2"/>
            <w:shd w:val="clear" w:color="auto" w:fill="auto"/>
            <w:vAlign w:val="center"/>
          </w:tcPr>
          <w:p w14:paraId="2A2709ED" w14:textId="0BF51422" w:rsidR="008358EF" w:rsidRPr="005817AF" w:rsidRDefault="008358EF" w:rsidP="008358EF">
            <w:pPr>
              <w:jc w:val="center"/>
              <w:rPr>
                <w:rFonts w:ascii="Times New Roman" w:hAnsi="Times New Roman"/>
                <w:b/>
              </w:rPr>
            </w:pPr>
            <w:r>
              <w:rPr>
                <w:rFonts w:ascii="Times New Roman" w:hAnsi="Times New Roman"/>
                <w:b/>
              </w:rPr>
              <w:t>-</w:t>
            </w:r>
          </w:p>
        </w:tc>
        <w:tc>
          <w:tcPr>
            <w:tcW w:w="986" w:type="dxa"/>
            <w:shd w:val="clear" w:color="auto" w:fill="auto"/>
            <w:vAlign w:val="center"/>
          </w:tcPr>
          <w:p w14:paraId="36B481BF" w14:textId="1ABDFD7F" w:rsidR="008358EF" w:rsidRPr="005817AF" w:rsidRDefault="008358EF" w:rsidP="008358EF">
            <w:pPr>
              <w:jc w:val="center"/>
              <w:rPr>
                <w:rFonts w:ascii="Times New Roman" w:hAnsi="Times New Roman"/>
                <w:b/>
              </w:rPr>
            </w:pPr>
            <w:r>
              <w:rPr>
                <w:rFonts w:ascii="Times New Roman" w:hAnsi="Times New Roman"/>
                <w:b/>
              </w:rPr>
              <w:t>8,6</w:t>
            </w:r>
          </w:p>
        </w:tc>
      </w:tr>
      <w:tr w:rsidR="008358EF" w:rsidRPr="005817AF" w14:paraId="439AC94C" w14:textId="77777777" w:rsidTr="000C5E35">
        <w:tc>
          <w:tcPr>
            <w:tcW w:w="733" w:type="dxa"/>
            <w:shd w:val="clear" w:color="auto" w:fill="E2EFD9" w:themeFill="accent6" w:themeFillTint="33"/>
            <w:vAlign w:val="center"/>
          </w:tcPr>
          <w:p w14:paraId="2A478CC7" w14:textId="77777777" w:rsidR="008358EF" w:rsidRPr="005817AF" w:rsidRDefault="008358EF" w:rsidP="008358EF">
            <w:pPr>
              <w:rPr>
                <w:rFonts w:ascii="Times New Roman" w:hAnsi="Times New Roman"/>
                <w:b/>
              </w:rPr>
            </w:pPr>
            <w:r w:rsidRPr="005817AF">
              <w:rPr>
                <w:rFonts w:ascii="Times New Roman" w:hAnsi="Times New Roman"/>
                <w:b/>
              </w:rPr>
              <w:t>2.</w:t>
            </w:r>
          </w:p>
        </w:tc>
        <w:tc>
          <w:tcPr>
            <w:tcW w:w="5820" w:type="dxa"/>
            <w:shd w:val="clear" w:color="auto" w:fill="E2EFD9" w:themeFill="accent6" w:themeFillTint="33"/>
            <w:vAlign w:val="center"/>
          </w:tcPr>
          <w:p w14:paraId="15F07E2B" w14:textId="77777777" w:rsidR="008358EF" w:rsidRPr="005817AF" w:rsidRDefault="008358EF" w:rsidP="008358EF">
            <w:pPr>
              <w:rPr>
                <w:rFonts w:ascii="Times New Roman" w:hAnsi="Times New Roman"/>
                <w:b/>
              </w:rPr>
            </w:pPr>
            <w:r w:rsidRPr="005817AF">
              <w:rPr>
                <w:rFonts w:ascii="Times New Roman" w:hAnsi="Times New Roman"/>
                <w:b/>
              </w:rPr>
              <w:t>Atbalsts personu grupām</w:t>
            </w:r>
          </w:p>
        </w:tc>
        <w:tc>
          <w:tcPr>
            <w:tcW w:w="1206" w:type="dxa"/>
            <w:gridSpan w:val="2"/>
            <w:shd w:val="clear" w:color="auto" w:fill="E2EFD9" w:themeFill="accent6" w:themeFillTint="33"/>
            <w:vAlign w:val="center"/>
          </w:tcPr>
          <w:p w14:paraId="46250339" w14:textId="502182A1" w:rsidR="008358EF" w:rsidRPr="005817AF" w:rsidRDefault="00B1365F" w:rsidP="008358EF">
            <w:pPr>
              <w:jc w:val="center"/>
              <w:rPr>
                <w:rFonts w:ascii="Times New Roman" w:hAnsi="Times New Roman"/>
                <w:b/>
              </w:rPr>
            </w:pPr>
            <w:r>
              <w:rPr>
                <w:rFonts w:ascii="Times New Roman" w:hAnsi="Times New Roman"/>
                <w:b/>
              </w:rPr>
              <w:t>50</w:t>
            </w:r>
          </w:p>
        </w:tc>
        <w:tc>
          <w:tcPr>
            <w:tcW w:w="986" w:type="dxa"/>
            <w:shd w:val="clear" w:color="auto" w:fill="E2EFD9" w:themeFill="accent6" w:themeFillTint="33"/>
            <w:vAlign w:val="center"/>
          </w:tcPr>
          <w:p w14:paraId="14F9861D" w14:textId="1BF594C8" w:rsidR="008358EF" w:rsidRPr="005817AF" w:rsidRDefault="008358EF" w:rsidP="008358EF">
            <w:pPr>
              <w:jc w:val="center"/>
              <w:rPr>
                <w:rFonts w:ascii="Times New Roman" w:hAnsi="Times New Roman"/>
                <w:b/>
              </w:rPr>
            </w:pPr>
            <w:r>
              <w:rPr>
                <w:rFonts w:ascii="Times New Roman" w:hAnsi="Times New Roman"/>
                <w:b/>
              </w:rPr>
              <w:t>61</w:t>
            </w:r>
          </w:p>
        </w:tc>
      </w:tr>
      <w:tr w:rsidR="008358EF" w:rsidRPr="005817AF" w14:paraId="76BBAEB1" w14:textId="77777777" w:rsidTr="000C5E35">
        <w:tc>
          <w:tcPr>
            <w:tcW w:w="733" w:type="dxa"/>
            <w:vMerge w:val="restart"/>
          </w:tcPr>
          <w:p w14:paraId="24293C62" w14:textId="77777777" w:rsidR="008358EF" w:rsidRPr="005817AF" w:rsidRDefault="008358EF" w:rsidP="008358EF">
            <w:pPr>
              <w:rPr>
                <w:rFonts w:ascii="Times New Roman" w:hAnsi="Times New Roman"/>
                <w:b/>
              </w:rPr>
            </w:pPr>
          </w:p>
        </w:tc>
        <w:tc>
          <w:tcPr>
            <w:tcW w:w="5820" w:type="dxa"/>
          </w:tcPr>
          <w:p w14:paraId="5CFE31EC" w14:textId="51B9C278" w:rsidR="008358EF" w:rsidRPr="000C5E35" w:rsidRDefault="008358EF" w:rsidP="000C5E35">
            <w:pPr>
              <w:ind w:left="5"/>
              <w:jc w:val="both"/>
              <w:rPr>
                <w:rFonts w:ascii="Times New Roman" w:hAnsi="Times New Roman"/>
              </w:rPr>
            </w:pPr>
            <w:r w:rsidRPr="000C5E35">
              <w:rPr>
                <w:rFonts w:ascii="Times New Roman" w:hAnsi="Times New Roman"/>
              </w:rPr>
              <w:t>ātrāka pensiju indeksācija (2022.gada septembrī)</w:t>
            </w:r>
            <w:r w:rsidRPr="00E40EAD">
              <w:rPr>
                <w:rStyle w:val="FootnoteReference"/>
                <w:rFonts w:ascii="Times New Roman" w:hAnsi="Times New Roman"/>
              </w:rPr>
              <w:footnoteReference w:id="42"/>
            </w:r>
          </w:p>
        </w:tc>
        <w:tc>
          <w:tcPr>
            <w:tcW w:w="1206" w:type="dxa"/>
            <w:gridSpan w:val="2"/>
            <w:vAlign w:val="center"/>
          </w:tcPr>
          <w:p w14:paraId="1ECE1F07" w14:textId="77777777" w:rsidR="008358EF" w:rsidRPr="005817AF" w:rsidRDefault="008358EF" w:rsidP="008358EF">
            <w:pPr>
              <w:jc w:val="center"/>
              <w:rPr>
                <w:rFonts w:ascii="Times New Roman" w:hAnsi="Times New Roman"/>
              </w:rPr>
            </w:pPr>
            <w:r w:rsidRPr="005817AF">
              <w:rPr>
                <w:rFonts w:ascii="Times New Roman" w:hAnsi="Times New Roman"/>
              </w:rPr>
              <w:t>26,1</w:t>
            </w:r>
          </w:p>
        </w:tc>
        <w:tc>
          <w:tcPr>
            <w:tcW w:w="986" w:type="dxa"/>
            <w:vAlign w:val="center"/>
          </w:tcPr>
          <w:p w14:paraId="6488FF6C" w14:textId="77777777" w:rsidR="008358EF" w:rsidRPr="005817AF" w:rsidRDefault="008358EF" w:rsidP="008358EF">
            <w:pPr>
              <w:jc w:val="center"/>
              <w:rPr>
                <w:rFonts w:ascii="Times New Roman" w:hAnsi="Times New Roman"/>
              </w:rPr>
            </w:pPr>
            <w:r w:rsidRPr="005817AF">
              <w:rPr>
                <w:rFonts w:ascii="Times New Roman" w:hAnsi="Times New Roman"/>
              </w:rPr>
              <w:t>-</w:t>
            </w:r>
          </w:p>
        </w:tc>
      </w:tr>
      <w:tr w:rsidR="008358EF" w:rsidRPr="005817AF" w14:paraId="4CA9AC99" w14:textId="77777777" w:rsidTr="000C5E35">
        <w:tc>
          <w:tcPr>
            <w:tcW w:w="733" w:type="dxa"/>
            <w:vMerge/>
          </w:tcPr>
          <w:p w14:paraId="1929C20D" w14:textId="77777777" w:rsidR="008358EF" w:rsidRPr="005817AF" w:rsidRDefault="008358EF" w:rsidP="008358EF">
            <w:pPr>
              <w:rPr>
                <w:rFonts w:ascii="Times New Roman" w:hAnsi="Times New Roman"/>
              </w:rPr>
            </w:pPr>
          </w:p>
        </w:tc>
        <w:tc>
          <w:tcPr>
            <w:tcW w:w="5820" w:type="dxa"/>
          </w:tcPr>
          <w:p w14:paraId="7206290A" w14:textId="0C388E8D" w:rsidR="008358EF" w:rsidRPr="000C5E35" w:rsidRDefault="008358EF" w:rsidP="000C5E35">
            <w:pPr>
              <w:ind w:left="5"/>
              <w:jc w:val="both"/>
              <w:rPr>
                <w:rFonts w:ascii="Times New Roman" w:hAnsi="Times New Roman"/>
              </w:rPr>
            </w:pPr>
            <w:r w:rsidRPr="000C5E35">
              <w:rPr>
                <w:rFonts w:ascii="Times New Roman" w:hAnsi="Times New Roman"/>
              </w:rPr>
              <w:t xml:space="preserve">atbalsts </w:t>
            </w:r>
            <w:r>
              <w:rPr>
                <w:rFonts w:ascii="Times New Roman" w:hAnsi="Times New Roman"/>
              </w:rPr>
              <w:t xml:space="preserve">30 </w:t>
            </w:r>
            <w:r w:rsidRPr="000C5E35">
              <w:rPr>
                <w:rFonts w:ascii="Times New Roman" w:hAnsi="Times New Roman"/>
                <w:i/>
              </w:rPr>
              <w:t>euro</w:t>
            </w:r>
            <w:r>
              <w:rPr>
                <w:rFonts w:ascii="Times New Roman" w:hAnsi="Times New Roman"/>
              </w:rPr>
              <w:t xml:space="preserve"> mēnesī </w:t>
            </w:r>
            <w:r w:rsidRPr="000C5E35">
              <w:rPr>
                <w:rFonts w:ascii="Times New Roman" w:hAnsi="Times New Roman"/>
              </w:rPr>
              <w:t xml:space="preserve">senioriem, personām ar invaliditāti, apgādnieku zaudējušām personām, kuru pensijas vai atlīdzības apmērs nepārsniedz 300 </w:t>
            </w:r>
            <w:r w:rsidRPr="00F676D6">
              <w:rPr>
                <w:rFonts w:ascii="Times New Roman" w:hAnsi="Times New Roman"/>
                <w:i/>
              </w:rPr>
              <w:t>euro</w:t>
            </w:r>
            <w:r w:rsidRPr="00F676D6">
              <w:rPr>
                <w:rFonts w:ascii="Times New Roman" w:hAnsi="Times New Roman"/>
              </w:rPr>
              <w:t xml:space="preserve"> </w:t>
            </w:r>
            <w:r w:rsidRPr="000C5E35">
              <w:rPr>
                <w:rFonts w:ascii="Times New Roman" w:hAnsi="Times New Roman"/>
              </w:rPr>
              <w:t>mēnesī</w:t>
            </w:r>
            <w:r>
              <w:rPr>
                <w:rFonts w:ascii="Times New Roman" w:hAnsi="Times New Roman"/>
              </w:rPr>
              <w:t xml:space="preserve"> (kopējais atbalsts 210 </w:t>
            </w:r>
            <w:r w:rsidRPr="00F676D6">
              <w:rPr>
                <w:rFonts w:ascii="Times New Roman" w:hAnsi="Times New Roman"/>
                <w:i/>
              </w:rPr>
              <w:t>euro</w:t>
            </w:r>
            <w:r>
              <w:rPr>
                <w:rFonts w:ascii="Times New Roman" w:hAnsi="Times New Roman"/>
              </w:rPr>
              <w:t>)</w:t>
            </w:r>
          </w:p>
        </w:tc>
        <w:tc>
          <w:tcPr>
            <w:tcW w:w="1206" w:type="dxa"/>
            <w:gridSpan w:val="2"/>
            <w:vAlign w:val="center"/>
          </w:tcPr>
          <w:p w14:paraId="716146F0" w14:textId="70C171AA" w:rsidR="008358EF" w:rsidRPr="005817AF" w:rsidRDefault="008358EF" w:rsidP="008358EF">
            <w:pPr>
              <w:jc w:val="center"/>
              <w:rPr>
                <w:rFonts w:ascii="Times New Roman" w:hAnsi="Times New Roman"/>
              </w:rPr>
            </w:pPr>
            <w:r>
              <w:rPr>
                <w:rFonts w:ascii="Times New Roman" w:hAnsi="Times New Roman"/>
              </w:rPr>
              <w:t>12,2</w:t>
            </w:r>
          </w:p>
        </w:tc>
        <w:tc>
          <w:tcPr>
            <w:tcW w:w="986" w:type="dxa"/>
            <w:vAlign w:val="center"/>
          </w:tcPr>
          <w:p w14:paraId="3BEB4B04" w14:textId="48327AAC" w:rsidR="008358EF" w:rsidRPr="005817AF" w:rsidRDefault="008358EF" w:rsidP="008358EF">
            <w:pPr>
              <w:jc w:val="center"/>
              <w:rPr>
                <w:rFonts w:ascii="Times New Roman" w:hAnsi="Times New Roman"/>
              </w:rPr>
            </w:pPr>
            <w:r>
              <w:rPr>
                <w:rFonts w:ascii="Times New Roman" w:hAnsi="Times New Roman"/>
              </w:rPr>
              <w:t>30,5</w:t>
            </w:r>
          </w:p>
        </w:tc>
      </w:tr>
      <w:tr w:rsidR="008358EF" w:rsidRPr="005817AF" w14:paraId="2F11D1F9" w14:textId="77777777" w:rsidTr="000C5E35">
        <w:tc>
          <w:tcPr>
            <w:tcW w:w="733" w:type="dxa"/>
            <w:vMerge/>
          </w:tcPr>
          <w:p w14:paraId="161AB0D7" w14:textId="77777777" w:rsidR="008358EF" w:rsidRPr="005817AF" w:rsidRDefault="008358EF" w:rsidP="008358EF">
            <w:pPr>
              <w:rPr>
                <w:rFonts w:ascii="Times New Roman" w:hAnsi="Times New Roman"/>
              </w:rPr>
            </w:pPr>
          </w:p>
        </w:tc>
        <w:tc>
          <w:tcPr>
            <w:tcW w:w="5820" w:type="dxa"/>
          </w:tcPr>
          <w:p w14:paraId="18FEDD3B" w14:textId="25918976" w:rsidR="008358EF" w:rsidRPr="000C5E35" w:rsidDel="002E7533" w:rsidRDefault="008358EF" w:rsidP="000C5E35">
            <w:pPr>
              <w:ind w:left="5"/>
              <w:jc w:val="both"/>
              <w:rPr>
                <w:rFonts w:ascii="Times New Roman" w:hAnsi="Times New Roman"/>
              </w:rPr>
            </w:pPr>
            <w:r w:rsidRPr="000C5E35">
              <w:rPr>
                <w:rFonts w:ascii="Times New Roman" w:hAnsi="Times New Roman"/>
              </w:rPr>
              <w:t xml:space="preserve">atbalsts </w:t>
            </w:r>
            <w:r>
              <w:rPr>
                <w:rFonts w:ascii="Times New Roman" w:hAnsi="Times New Roman"/>
              </w:rPr>
              <w:t xml:space="preserve">20 </w:t>
            </w:r>
            <w:r w:rsidRPr="00F676D6">
              <w:rPr>
                <w:rFonts w:ascii="Times New Roman" w:hAnsi="Times New Roman"/>
                <w:i/>
              </w:rPr>
              <w:t>euro</w:t>
            </w:r>
            <w:r>
              <w:rPr>
                <w:rFonts w:ascii="Times New Roman" w:hAnsi="Times New Roman"/>
              </w:rPr>
              <w:t xml:space="preserve"> mēnesī </w:t>
            </w:r>
            <w:r w:rsidRPr="000C5E35">
              <w:rPr>
                <w:rFonts w:ascii="Times New Roman" w:hAnsi="Times New Roman"/>
              </w:rPr>
              <w:t xml:space="preserve">senioriem, personām ar invaliditāti, apgādnieku zaudējušām personām, kuru pensijas vai atlīdzības apmērs ir robežās no 301 </w:t>
            </w:r>
            <w:r w:rsidRPr="00F676D6">
              <w:rPr>
                <w:rFonts w:ascii="Times New Roman" w:hAnsi="Times New Roman"/>
                <w:i/>
              </w:rPr>
              <w:t>euro</w:t>
            </w:r>
            <w:r w:rsidRPr="00F676D6">
              <w:rPr>
                <w:rFonts w:ascii="Times New Roman" w:hAnsi="Times New Roman"/>
              </w:rPr>
              <w:t xml:space="preserve"> </w:t>
            </w:r>
            <w:r w:rsidRPr="000C5E35">
              <w:rPr>
                <w:rFonts w:ascii="Times New Roman" w:hAnsi="Times New Roman"/>
              </w:rPr>
              <w:t xml:space="preserve">līdz 509 </w:t>
            </w:r>
            <w:r w:rsidRPr="00F676D6">
              <w:rPr>
                <w:rFonts w:ascii="Times New Roman" w:hAnsi="Times New Roman"/>
                <w:i/>
              </w:rPr>
              <w:t>euro</w:t>
            </w:r>
            <w:r>
              <w:rPr>
                <w:rFonts w:ascii="Times New Roman" w:hAnsi="Times New Roman"/>
                <w:i/>
              </w:rPr>
              <w:t xml:space="preserve"> </w:t>
            </w:r>
            <w:r>
              <w:rPr>
                <w:rFonts w:ascii="Times New Roman" w:hAnsi="Times New Roman"/>
              </w:rPr>
              <w:t xml:space="preserve">(kopējais atbalsts 140 </w:t>
            </w:r>
            <w:r w:rsidRPr="00F676D6">
              <w:rPr>
                <w:rFonts w:ascii="Times New Roman" w:hAnsi="Times New Roman"/>
                <w:i/>
              </w:rPr>
              <w:t>euro</w:t>
            </w:r>
            <w:r>
              <w:rPr>
                <w:rFonts w:ascii="Times New Roman" w:hAnsi="Times New Roman"/>
              </w:rPr>
              <w:t>)</w:t>
            </w:r>
          </w:p>
        </w:tc>
        <w:tc>
          <w:tcPr>
            <w:tcW w:w="1206" w:type="dxa"/>
            <w:gridSpan w:val="2"/>
            <w:vAlign w:val="center"/>
          </w:tcPr>
          <w:p w14:paraId="0479F1F6" w14:textId="57C11DBC" w:rsidR="008358EF" w:rsidRPr="005817AF" w:rsidDel="002E7533" w:rsidRDefault="008358EF" w:rsidP="008358EF">
            <w:pPr>
              <w:jc w:val="center"/>
              <w:rPr>
                <w:rFonts w:ascii="Times New Roman" w:hAnsi="Times New Roman"/>
              </w:rPr>
            </w:pPr>
            <w:r>
              <w:rPr>
                <w:rFonts w:ascii="Times New Roman" w:hAnsi="Times New Roman"/>
              </w:rPr>
              <w:t>10,2</w:t>
            </w:r>
          </w:p>
        </w:tc>
        <w:tc>
          <w:tcPr>
            <w:tcW w:w="986" w:type="dxa"/>
            <w:vAlign w:val="center"/>
          </w:tcPr>
          <w:p w14:paraId="55440F75" w14:textId="24A47FBA" w:rsidR="008358EF" w:rsidRPr="005817AF" w:rsidDel="002E7533" w:rsidRDefault="008358EF" w:rsidP="008358EF">
            <w:pPr>
              <w:jc w:val="center"/>
              <w:rPr>
                <w:rFonts w:ascii="Times New Roman" w:hAnsi="Times New Roman"/>
              </w:rPr>
            </w:pPr>
            <w:r>
              <w:rPr>
                <w:rFonts w:ascii="Times New Roman" w:hAnsi="Times New Roman"/>
              </w:rPr>
              <w:t>25,5</w:t>
            </w:r>
          </w:p>
        </w:tc>
      </w:tr>
      <w:tr w:rsidR="008358EF" w:rsidRPr="005817AF" w14:paraId="409168B9" w14:textId="77777777" w:rsidTr="000C5E35">
        <w:trPr>
          <w:trHeight w:val="759"/>
        </w:trPr>
        <w:tc>
          <w:tcPr>
            <w:tcW w:w="733" w:type="dxa"/>
            <w:vMerge/>
          </w:tcPr>
          <w:p w14:paraId="0CF7C69D" w14:textId="77777777" w:rsidR="008358EF" w:rsidRPr="005817AF" w:rsidRDefault="008358EF" w:rsidP="008358EF">
            <w:pPr>
              <w:rPr>
                <w:rFonts w:ascii="Times New Roman" w:hAnsi="Times New Roman"/>
              </w:rPr>
            </w:pPr>
          </w:p>
        </w:tc>
        <w:tc>
          <w:tcPr>
            <w:tcW w:w="5820" w:type="dxa"/>
          </w:tcPr>
          <w:p w14:paraId="188B3254" w14:textId="727EEF33" w:rsidR="008358EF" w:rsidRPr="000C5E35" w:rsidDel="002E7533" w:rsidRDefault="008358EF" w:rsidP="000C5E35">
            <w:pPr>
              <w:ind w:left="5"/>
              <w:jc w:val="both"/>
              <w:rPr>
                <w:rFonts w:ascii="Times New Roman" w:hAnsi="Times New Roman"/>
              </w:rPr>
            </w:pPr>
            <w:r w:rsidRPr="000C5E35">
              <w:rPr>
                <w:rFonts w:ascii="Times New Roman" w:hAnsi="Times New Roman"/>
              </w:rPr>
              <w:t xml:space="preserve">atbalsts </w:t>
            </w:r>
            <w:r>
              <w:rPr>
                <w:rFonts w:ascii="Times New Roman" w:hAnsi="Times New Roman"/>
              </w:rPr>
              <w:t xml:space="preserve">10 </w:t>
            </w:r>
            <w:r w:rsidRPr="00F676D6">
              <w:rPr>
                <w:rFonts w:ascii="Times New Roman" w:hAnsi="Times New Roman"/>
                <w:i/>
              </w:rPr>
              <w:t>euro</w:t>
            </w:r>
            <w:r>
              <w:rPr>
                <w:rFonts w:ascii="Times New Roman" w:hAnsi="Times New Roman"/>
              </w:rPr>
              <w:t xml:space="preserve"> mēnesī </w:t>
            </w:r>
            <w:r w:rsidRPr="000C5E35">
              <w:rPr>
                <w:rFonts w:ascii="Times New Roman" w:hAnsi="Times New Roman"/>
              </w:rPr>
              <w:t xml:space="preserve">senioriem, personām ar invaliditāti, apgādnieku zaudējušām personām, kuru pensijas vai atlīdzības apmērs ir robežās no 301 </w:t>
            </w:r>
            <w:r w:rsidRPr="00F676D6">
              <w:rPr>
                <w:rFonts w:ascii="Times New Roman" w:hAnsi="Times New Roman"/>
                <w:i/>
              </w:rPr>
              <w:t>euro</w:t>
            </w:r>
            <w:r w:rsidRPr="00F676D6">
              <w:rPr>
                <w:rFonts w:ascii="Times New Roman" w:hAnsi="Times New Roman"/>
              </w:rPr>
              <w:t xml:space="preserve"> </w:t>
            </w:r>
            <w:r w:rsidRPr="000C5E35">
              <w:rPr>
                <w:rFonts w:ascii="Times New Roman" w:hAnsi="Times New Roman"/>
              </w:rPr>
              <w:t xml:space="preserve">līdz 509 </w:t>
            </w:r>
            <w:r w:rsidRPr="00F676D6">
              <w:rPr>
                <w:rFonts w:ascii="Times New Roman" w:hAnsi="Times New Roman"/>
                <w:i/>
              </w:rPr>
              <w:t>euro</w:t>
            </w:r>
            <w:r>
              <w:rPr>
                <w:rFonts w:ascii="Times New Roman" w:hAnsi="Times New Roman"/>
                <w:i/>
              </w:rPr>
              <w:t xml:space="preserve">  </w:t>
            </w:r>
            <w:r>
              <w:rPr>
                <w:rFonts w:ascii="Times New Roman" w:hAnsi="Times New Roman"/>
              </w:rPr>
              <w:t xml:space="preserve">(kopējais atbalsts 70 </w:t>
            </w:r>
            <w:r w:rsidRPr="00F676D6">
              <w:rPr>
                <w:rFonts w:ascii="Times New Roman" w:hAnsi="Times New Roman"/>
                <w:i/>
              </w:rPr>
              <w:t>euro</w:t>
            </w:r>
            <w:r>
              <w:rPr>
                <w:rFonts w:ascii="Times New Roman" w:hAnsi="Times New Roman"/>
              </w:rPr>
              <w:t>)</w:t>
            </w:r>
          </w:p>
        </w:tc>
        <w:tc>
          <w:tcPr>
            <w:tcW w:w="1206" w:type="dxa"/>
            <w:gridSpan w:val="2"/>
            <w:vAlign w:val="center"/>
          </w:tcPr>
          <w:p w14:paraId="2F168A52" w14:textId="32B04CF3" w:rsidR="008358EF" w:rsidRPr="005817AF" w:rsidDel="002E7533" w:rsidRDefault="008358EF" w:rsidP="008358EF">
            <w:pPr>
              <w:jc w:val="center"/>
              <w:rPr>
                <w:rFonts w:ascii="Times New Roman" w:hAnsi="Times New Roman"/>
              </w:rPr>
            </w:pPr>
            <w:r>
              <w:rPr>
                <w:rFonts w:ascii="Times New Roman" w:hAnsi="Times New Roman"/>
              </w:rPr>
              <w:t>0,8</w:t>
            </w:r>
          </w:p>
        </w:tc>
        <w:tc>
          <w:tcPr>
            <w:tcW w:w="986" w:type="dxa"/>
            <w:vAlign w:val="center"/>
          </w:tcPr>
          <w:p w14:paraId="0EC54269" w14:textId="1D697877" w:rsidR="008358EF" w:rsidRPr="005817AF" w:rsidDel="002E7533" w:rsidRDefault="008358EF" w:rsidP="008358EF">
            <w:pPr>
              <w:jc w:val="center"/>
              <w:rPr>
                <w:rFonts w:ascii="Times New Roman" w:hAnsi="Times New Roman"/>
              </w:rPr>
            </w:pPr>
            <w:r>
              <w:rPr>
                <w:rFonts w:ascii="Times New Roman" w:hAnsi="Times New Roman"/>
              </w:rPr>
              <w:t>2,0</w:t>
            </w:r>
          </w:p>
        </w:tc>
      </w:tr>
      <w:tr w:rsidR="008358EF" w:rsidRPr="005817AF" w14:paraId="31033B8D" w14:textId="77777777" w:rsidTr="000C5E35">
        <w:tc>
          <w:tcPr>
            <w:tcW w:w="733" w:type="dxa"/>
            <w:vMerge/>
          </w:tcPr>
          <w:p w14:paraId="244F42C0" w14:textId="77777777" w:rsidR="008358EF" w:rsidRPr="005817AF" w:rsidRDefault="008358EF" w:rsidP="008358EF">
            <w:pPr>
              <w:rPr>
                <w:rFonts w:ascii="Times New Roman" w:hAnsi="Times New Roman"/>
              </w:rPr>
            </w:pPr>
          </w:p>
        </w:tc>
        <w:tc>
          <w:tcPr>
            <w:tcW w:w="5820" w:type="dxa"/>
          </w:tcPr>
          <w:p w14:paraId="0FC07913" w14:textId="40EB4A4F" w:rsidR="008358EF" w:rsidRPr="000C5E35" w:rsidRDefault="008358EF" w:rsidP="000C5E35">
            <w:pPr>
              <w:ind w:left="5"/>
              <w:jc w:val="both"/>
              <w:rPr>
                <w:rFonts w:ascii="Times New Roman" w:hAnsi="Times New Roman"/>
              </w:rPr>
            </w:pPr>
            <w:r w:rsidRPr="000C5E35">
              <w:rPr>
                <w:rFonts w:ascii="Times New Roman" w:hAnsi="Times New Roman"/>
              </w:rPr>
              <w:t xml:space="preserve">atbalsts </w:t>
            </w:r>
            <w:r w:rsidRPr="000C5E35">
              <w:rPr>
                <w:rFonts w:ascii="Times New Roman" w:hAnsi="Times New Roman"/>
                <w:bCs/>
              </w:rPr>
              <w:t>bez ienākuma testa</w:t>
            </w:r>
            <w:r w:rsidRPr="000C5E35">
              <w:rPr>
                <w:rFonts w:ascii="Times New Roman" w:hAnsi="Times New Roman"/>
              </w:rPr>
              <w:t xml:space="preserve"> ģimenēm, kuras saņem piemaksu pie ģimenes valsts pabalsta par bērnu ar invaliditāti</w:t>
            </w:r>
            <w:r>
              <w:rPr>
                <w:rFonts w:ascii="Times New Roman" w:hAnsi="Times New Roman"/>
              </w:rPr>
              <w:t xml:space="preserve">, 30 </w:t>
            </w:r>
            <w:r w:rsidRPr="000C5E35">
              <w:rPr>
                <w:rFonts w:ascii="Times New Roman" w:hAnsi="Times New Roman"/>
                <w:i/>
              </w:rPr>
              <w:t>euro</w:t>
            </w:r>
            <w:r>
              <w:rPr>
                <w:rFonts w:ascii="Times New Roman" w:hAnsi="Times New Roman"/>
              </w:rPr>
              <w:t xml:space="preserve"> mēnesī (kopējais atbalsts 210 </w:t>
            </w:r>
            <w:r w:rsidRPr="000C5E35">
              <w:rPr>
                <w:rFonts w:ascii="Times New Roman" w:hAnsi="Times New Roman"/>
                <w:i/>
              </w:rPr>
              <w:t>euro</w:t>
            </w:r>
            <w:r>
              <w:rPr>
                <w:rFonts w:ascii="Times New Roman" w:hAnsi="Times New Roman"/>
              </w:rPr>
              <w:t>)</w:t>
            </w:r>
          </w:p>
        </w:tc>
        <w:tc>
          <w:tcPr>
            <w:tcW w:w="1206" w:type="dxa"/>
            <w:gridSpan w:val="2"/>
            <w:vAlign w:val="center"/>
          </w:tcPr>
          <w:p w14:paraId="65F17FA7" w14:textId="7E906CB8" w:rsidR="008358EF" w:rsidRPr="005817AF" w:rsidRDefault="008358EF" w:rsidP="008358EF">
            <w:pPr>
              <w:jc w:val="center"/>
              <w:rPr>
                <w:rFonts w:ascii="Times New Roman" w:hAnsi="Times New Roman"/>
              </w:rPr>
            </w:pPr>
            <w:r>
              <w:rPr>
                <w:rFonts w:ascii="Times New Roman" w:hAnsi="Times New Roman"/>
              </w:rPr>
              <w:t>0,66</w:t>
            </w:r>
          </w:p>
        </w:tc>
        <w:tc>
          <w:tcPr>
            <w:tcW w:w="986" w:type="dxa"/>
            <w:vAlign w:val="center"/>
          </w:tcPr>
          <w:p w14:paraId="7CBB1AE2" w14:textId="05A7CEC0" w:rsidR="008358EF" w:rsidRPr="005817AF" w:rsidRDefault="008358EF" w:rsidP="008358EF">
            <w:pPr>
              <w:jc w:val="center"/>
              <w:rPr>
                <w:rFonts w:ascii="Times New Roman" w:hAnsi="Times New Roman"/>
              </w:rPr>
            </w:pPr>
            <w:r>
              <w:rPr>
                <w:rFonts w:ascii="Times New Roman" w:hAnsi="Times New Roman"/>
              </w:rPr>
              <w:t>1,2</w:t>
            </w:r>
          </w:p>
        </w:tc>
      </w:tr>
      <w:tr w:rsidR="008358EF" w:rsidRPr="005817AF" w14:paraId="4605DEDF" w14:textId="77777777" w:rsidTr="000C5E35">
        <w:tc>
          <w:tcPr>
            <w:tcW w:w="733" w:type="dxa"/>
            <w:vMerge/>
          </w:tcPr>
          <w:p w14:paraId="641055FB" w14:textId="77777777" w:rsidR="008358EF" w:rsidRPr="005817AF" w:rsidRDefault="008358EF" w:rsidP="008358EF">
            <w:pPr>
              <w:rPr>
                <w:rFonts w:ascii="Times New Roman" w:hAnsi="Times New Roman"/>
                <w:u w:val="single"/>
              </w:rPr>
            </w:pPr>
          </w:p>
        </w:tc>
        <w:tc>
          <w:tcPr>
            <w:tcW w:w="5820" w:type="dxa"/>
          </w:tcPr>
          <w:p w14:paraId="61BF5C24" w14:textId="6039D38E" w:rsidR="008358EF" w:rsidRPr="000C5E35" w:rsidRDefault="008358EF" w:rsidP="000C5E35">
            <w:pPr>
              <w:ind w:left="5"/>
              <w:jc w:val="both"/>
              <w:rPr>
                <w:rFonts w:ascii="Times New Roman" w:hAnsi="Times New Roman"/>
              </w:rPr>
            </w:pPr>
            <w:r w:rsidRPr="000C5E35">
              <w:rPr>
                <w:rFonts w:ascii="Times New Roman" w:hAnsi="Times New Roman"/>
              </w:rPr>
              <w:t xml:space="preserve">pabalsta transporta izdevumu kompensēšanai personām ar invaliditāti apmēra paaugstināšana no 79,68 </w:t>
            </w:r>
            <w:r w:rsidRPr="000C5E35">
              <w:rPr>
                <w:rFonts w:ascii="Times New Roman" w:hAnsi="Times New Roman"/>
                <w:i/>
              </w:rPr>
              <w:t>euro</w:t>
            </w:r>
            <w:r w:rsidRPr="000C5E35">
              <w:rPr>
                <w:rFonts w:ascii="Times New Roman" w:hAnsi="Times New Roman"/>
              </w:rPr>
              <w:t xml:space="preserve"> līdz 105 </w:t>
            </w:r>
            <w:r w:rsidRPr="000C5E35">
              <w:rPr>
                <w:rFonts w:ascii="Times New Roman" w:hAnsi="Times New Roman"/>
                <w:i/>
              </w:rPr>
              <w:t>euro</w:t>
            </w:r>
            <w:r w:rsidRPr="000C5E35">
              <w:rPr>
                <w:rFonts w:ascii="Times New Roman" w:hAnsi="Times New Roman"/>
              </w:rPr>
              <w:t xml:space="preserve"> par 6 mēnešu periodu</w:t>
            </w:r>
            <w:r>
              <w:rPr>
                <w:rFonts w:ascii="Times New Roman" w:hAnsi="Times New Roman"/>
              </w:rPr>
              <w:t xml:space="preserve"> </w:t>
            </w:r>
          </w:p>
        </w:tc>
        <w:tc>
          <w:tcPr>
            <w:tcW w:w="1206" w:type="dxa"/>
            <w:gridSpan w:val="2"/>
            <w:vAlign w:val="center"/>
          </w:tcPr>
          <w:p w14:paraId="053EC8BE" w14:textId="77777777" w:rsidR="008358EF" w:rsidRPr="005817AF" w:rsidRDefault="008358EF" w:rsidP="008358EF">
            <w:pPr>
              <w:jc w:val="center"/>
              <w:rPr>
                <w:rFonts w:ascii="Times New Roman" w:hAnsi="Times New Roman"/>
              </w:rPr>
            </w:pPr>
            <w:r w:rsidRPr="005817AF">
              <w:rPr>
                <w:rFonts w:ascii="Times New Roman" w:hAnsi="Times New Roman"/>
              </w:rPr>
              <w:t>-</w:t>
            </w:r>
          </w:p>
        </w:tc>
        <w:tc>
          <w:tcPr>
            <w:tcW w:w="986" w:type="dxa"/>
            <w:vAlign w:val="center"/>
          </w:tcPr>
          <w:p w14:paraId="54A7D792" w14:textId="77777777" w:rsidR="008358EF" w:rsidRPr="005817AF" w:rsidRDefault="008358EF" w:rsidP="008358EF">
            <w:pPr>
              <w:jc w:val="center"/>
              <w:rPr>
                <w:rFonts w:ascii="Times New Roman" w:hAnsi="Times New Roman"/>
              </w:rPr>
            </w:pPr>
            <w:r w:rsidRPr="005817AF">
              <w:rPr>
                <w:rFonts w:ascii="Times New Roman" w:hAnsi="Times New Roman"/>
              </w:rPr>
              <w:t>1,8</w:t>
            </w:r>
          </w:p>
        </w:tc>
      </w:tr>
      <w:tr w:rsidR="008358EF" w:rsidRPr="005817AF" w14:paraId="042A66AC" w14:textId="77777777" w:rsidTr="008358EF">
        <w:tc>
          <w:tcPr>
            <w:tcW w:w="733" w:type="dxa"/>
            <w:shd w:val="clear" w:color="auto" w:fill="E2EFD9" w:themeFill="accent6" w:themeFillTint="33"/>
            <w:vAlign w:val="center"/>
          </w:tcPr>
          <w:p w14:paraId="6A43DAE4" w14:textId="77777777" w:rsidR="008358EF" w:rsidRPr="005817AF" w:rsidRDefault="008358EF" w:rsidP="008358EF">
            <w:pPr>
              <w:rPr>
                <w:rFonts w:ascii="Times New Roman" w:hAnsi="Times New Roman"/>
                <w:b/>
              </w:rPr>
            </w:pPr>
            <w:r w:rsidRPr="005817AF">
              <w:rPr>
                <w:rFonts w:ascii="Times New Roman" w:hAnsi="Times New Roman"/>
                <w:b/>
              </w:rPr>
              <w:t>3.</w:t>
            </w:r>
          </w:p>
        </w:tc>
        <w:tc>
          <w:tcPr>
            <w:tcW w:w="5820" w:type="dxa"/>
            <w:shd w:val="clear" w:color="auto" w:fill="E2EFD9" w:themeFill="accent6" w:themeFillTint="33"/>
            <w:vAlign w:val="center"/>
          </w:tcPr>
          <w:p w14:paraId="48313A6A" w14:textId="671B31D4" w:rsidR="008358EF" w:rsidRPr="005817AF" w:rsidRDefault="008358EF" w:rsidP="008358EF">
            <w:pPr>
              <w:rPr>
                <w:rFonts w:ascii="Times New Roman" w:hAnsi="Times New Roman"/>
                <w:b/>
                <w:u w:val="single"/>
              </w:rPr>
            </w:pPr>
            <w:r w:rsidRPr="005817AF">
              <w:rPr>
                <w:rFonts w:ascii="Times New Roman" w:hAnsi="Times New Roman"/>
                <w:b/>
              </w:rPr>
              <w:t>Automātiskais maksājums mājsaimniecībai</w:t>
            </w:r>
          </w:p>
        </w:tc>
        <w:tc>
          <w:tcPr>
            <w:tcW w:w="2192" w:type="dxa"/>
            <w:gridSpan w:val="3"/>
            <w:shd w:val="clear" w:color="auto" w:fill="E2EFD9" w:themeFill="accent6" w:themeFillTint="33"/>
          </w:tcPr>
          <w:p w14:paraId="239AC954" w14:textId="195385EF" w:rsidR="008358EF" w:rsidRPr="005817AF" w:rsidRDefault="008358EF" w:rsidP="008358EF">
            <w:pPr>
              <w:jc w:val="center"/>
              <w:rPr>
                <w:rFonts w:ascii="Times New Roman" w:hAnsi="Times New Roman"/>
              </w:rPr>
            </w:pPr>
            <w:r w:rsidRPr="005817AF">
              <w:rPr>
                <w:rFonts w:ascii="Times New Roman" w:hAnsi="Times New Roman"/>
              </w:rPr>
              <w:t>Aprēķins nav veikts, pasākumu var īstenot tikai no 2024.gada</w:t>
            </w:r>
          </w:p>
        </w:tc>
      </w:tr>
      <w:tr w:rsidR="008358EF" w:rsidRPr="005817AF" w14:paraId="69F0D6AA" w14:textId="77777777" w:rsidTr="000C5E35">
        <w:tc>
          <w:tcPr>
            <w:tcW w:w="733" w:type="dxa"/>
            <w:shd w:val="clear" w:color="auto" w:fill="E2EFD9" w:themeFill="accent6" w:themeFillTint="33"/>
            <w:vAlign w:val="center"/>
          </w:tcPr>
          <w:p w14:paraId="69B18F13" w14:textId="77777777" w:rsidR="008358EF" w:rsidRPr="005817AF" w:rsidRDefault="008358EF" w:rsidP="008358EF">
            <w:pPr>
              <w:rPr>
                <w:rFonts w:ascii="Times New Roman" w:hAnsi="Times New Roman"/>
                <w:b/>
              </w:rPr>
            </w:pPr>
            <w:r w:rsidRPr="005817AF">
              <w:rPr>
                <w:rFonts w:ascii="Times New Roman" w:hAnsi="Times New Roman"/>
                <w:b/>
              </w:rPr>
              <w:t>4.</w:t>
            </w:r>
          </w:p>
        </w:tc>
        <w:tc>
          <w:tcPr>
            <w:tcW w:w="5820" w:type="dxa"/>
            <w:shd w:val="clear" w:color="auto" w:fill="E2EFD9" w:themeFill="accent6" w:themeFillTint="33"/>
            <w:vAlign w:val="center"/>
          </w:tcPr>
          <w:p w14:paraId="5BCACDC0" w14:textId="77777777" w:rsidR="008358EF" w:rsidRPr="005817AF" w:rsidRDefault="008358EF" w:rsidP="008358EF">
            <w:pPr>
              <w:rPr>
                <w:rFonts w:ascii="Times New Roman" w:hAnsi="Times New Roman"/>
                <w:b/>
              </w:rPr>
            </w:pPr>
            <w:r w:rsidRPr="005817AF">
              <w:rPr>
                <w:rFonts w:ascii="Times New Roman" w:hAnsi="Times New Roman"/>
                <w:b/>
              </w:rPr>
              <w:t>Energoresursu izdevumu kompensēšana mājsaimniecību rēķinos</w:t>
            </w:r>
          </w:p>
        </w:tc>
        <w:tc>
          <w:tcPr>
            <w:tcW w:w="2192" w:type="dxa"/>
            <w:gridSpan w:val="3"/>
            <w:shd w:val="clear" w:color="auto" w:fill="E2EFD9" w:themeFill="accent6" w:themeFillTint="33"/>
            <w:vAlign w:val="center"/>
          </w:tcPr>
          <w:p w14:paraId="0E4436A3" w14:textId="5A6EE9DA" w:rsidR="008358EF" w:rsidRPr="005817AF" w:rsidRDefault="00B1365F" w:rsidP="00F96409">
            <w:pPr>
              <w:jc w:val="center"/>
              <w:rPr>
                <w:rFonts w:ascii="Times New Roman" w:hAnsi="Times New Roman"/>
                <w:b/>
              </w:rPr>
            </w:pPr>
            <w:r>
              <w:rPr>
                <w:rFonts w:ascii="Times New Roman" w:hAnsi="Times New Roman"/>
                <w:b/>
              </w:rPr>
              <w:t>220</w:t>
            </w:r>
          </w:p>
        </w:tc>
      </w:tr>
      <w:tr w:rsidR="00451092" w:rsidRPr="005817AF" w14:paraId="0A466A49" w14:textId="77777777" w:rsidTr="000C5E35">
        <w:tc>
          <w:tcPr>
            <w:tcW w:w="733" w:type="dxa"/>
            <w:vMerge w:val="restart"/>
          </w:tcPr>
          <w:p w14:paraId="57683496" w14:textId="77777777" w:rsidR="00451092" w:rsidRPr="005817AF" w:rsidRDefault="00451092" w:rsidP="008358EF">
            <w:pPr>
              <w:rPr>
                <w:rFonts w:ascii="Times New Roman" w:hAnsi="Times New Roman"/>
                <w:b/>
                <w:bCs/>
              </w:rPr>
            </w:pPr>
          </w:p>
        </w:tc>
        <w:tc>
          <w:tcPr>
            <w:tcW w:w="5820" w:type="dxa"/>
          </w:tcPr>
          <w:p w14:paraId="53B64FDC" w14:textId="6C0E3C34" w:rsidR="00451092" w:rsidRPr="000C5E35" w:rsidRDefault="00451092" w:rsidP="000C5E35">
            <w:pPr>
              <w:ind w:left="5"/>
              <w:jc w:val="both"/>
              <w:rPr>
                <w:rFonts w:ascii="Times New Roman" w:hAnsi="Times New Roman"/>
              </w:rPr>
            </w:pPr>
            <w:r w:rsidRPr="00451092">
              <w:rPr>
                <w:rFonts w:ascii="Times New Roman" w:hAnsi="Times New Roman"/>
              </w:rPr>
              <w:t>Elektroenerģijas izmaksu pieauguma kompensācija mājsaimniecībām, kuras apkurei izmanto elektroenerģiju</w:t>
            </w:r>
          </w:p>
        </w:tc>
        <w:tc>
          <w:tcPr>
            <w:tcW w:w="1096" w:type="dxa"/>
            <w:shd w:val="clear" w:color="auto" w:fill="auto"/>
            <w:vAlign w:val="center"/>
          </w:tcPr>
          <w:p w14:paraId="24C1FCDD" w14:textId="0695B955" w:rsidR="00451092" w:rsidRPr="00F96409" w:rsidRDefault="00B1365F" w:rsidP="00F96409">
            <w:pPr>
              <w:jc w:val="center"/>
              <w:rPr>
                <w:rFonts w:ascii="Times New Roman" w:hAnsi="Times New Roman"/>
              </w:rPr>
            </w:pPr>
            <w:r>
              <w:rPr>
                <w:rFonts w:ascii="Times New Roman" w:hAnsi="Times New Roman"/>
              </w:rPr>
              <w:t>6,4</w:t>
            </w:r>
          </w:p>
        </w:tc>
        <w:tc>
          <w:tcPr>
            <w:tcW w:w="1096" w:type="dxa"/>
            <w:gridSpan w:val="2"/>
            <w:shd w:val="clear" w:color="auto" w:fill="auto"/>
            <w:vAlign w:val="center"/>
          </w:tcPr>
          <w:p w14:paraId="14227DF2" w14:textId="38F3B637" w:rsidR="00451092" w:rsidRPr="00F96409" w:rsidRDefault="00B1365F" w:rsidP="00F96409">
            <w:pPr>
              <w:jc w:val="center"/>
              <w:rPr>
                <w:rFonts w:ascii="Times New Roman" w:hAnsi="Times New Roman"/>
              </w:rPr>
            </w:pPr>
            <w:r>
              <w:rPr>
                <w:rFonts w:ascii="Times New Roman" w:hAnsi="Times New Roman"/>
              </w:rPr>
              <w:t>8,6</w:t>
            </w:r>
          </w:p>
        </w:tc>
      </w:tr>
      <w:tr w:rsidR="00451092" w:rsidRPr="005817AF" w14:paraId="5E00490B" w14:textId="77777777" w:rsidTr="000C5E35">
        <w:tc>
          <w:tcPr>
            <w:tcW w:w="733" w:type="dxa"/>
            <w:vMerge/>
          </w:tcPr>
          <w:p w14:paraId="4A681CEE" w14:textId="77777777" w:rsidR="00451092" w:rsidRPr="005817AF" w:rsidRDefault="00451092" w:rsidP="008358EF">
            <w:pPr>
              <w:rPr>
                <w:rFonts w:ascii="Times New Roman" w:hAnsi="Times New Roman"/>
                <w:b/>
                <w:bCs/>
              </w:rPr>
            </w:pPr>
          </w:p>
        </w:tc>
        <w:tc>
          <w:tcPr>
            <w:tcW w:w="5820" w:type="dxa"/>
          </w:tcPr>
          <w:p w14:paraId="172AA8F6" w14:textId="77777777" w:rsidR="00451092" w:rsidRPr="000C5E35" w:rsidRDefault="00451092" w:rsidP="000C5E35">
            <w:pPr>
              <w:ind w:left="5"/>
              <w:jc w:val="both"/>
              <w:rPr>
                <w:rFonts w:ascii="Times New Roman" w:hAnsi="Times New Roman"/>
                <w:u w:val="single"/>
              </w:rPr>
            </w:pPr>
            <w:r w:rsidRPr="000C5E35">
              <w:rPr>
                <w:rFonts w:ascii="Times New Roman" w:hAnsi="Times New Roman"/>
              </w:rPr>
              <w:t>Dabasgāzes izmaksu pieauguma kompensācija mājsaimniecībām</w:t>
            </w:r>
          </w:p>
        </w:tc>
        <w:tc>
          <w:tcPr>
            <w:tcW w:w="1096" w:type="dxa"/>
            <w:shd w:val="clear" w:color="auto" w:fill="auto"/>
            <w:vAlign w:val="center"/>
          </w:tcPr>
          <w:p w14:paraId="27FF341F" w14:textId="31542331" w:rsidR="00451092" w:rsidRPr="00F96409" w:rsidRDefault="00B1365F" w:rsidP="00F96409">
            <w:pPr>
              <w:jc w:val="center"/>
              <w:rPr>
                <w:rFonts w:ascii="Times New Roman" w:hAnsi="Times New Roman"/>
              </w:rPr>
            </w:pPr>
            <w:r>
              <w:rPr>
                <w:rFonts w:ascii="Times New Roman" w:hAnsi="Times New Roman"/>
              </w:rPr>
              <w:t>15</w:t>
            </w:r>
          </w:p>
        </w:tc>
        <w:tc>
          <w:tcPr>
            <w:tcW w:w="1096" w:type="dxa"/>
            <w:gridSpan w:val="2"/>
            <w:shd w:val="clear" w:color="auto" w:fill="auto"/>
            <w:vAlign w:val="center"/>
          </w:tcPr>
          <w:p w14:paraId="5AA09851" w14:textId="03D6EE57" w:rsidR="00451092" w:rsidRPr="00F96409" w:rsidRDefault="00B1365F" w:rsidP="00F96409">
            <w:pPr>
              <w:jc w:val="center"/>
              <w:rPr>
                <w:rFonts w:ascii="Times New Roman" w:hAnsi="Times New Roman"/>
              </w:rPr>
            </w:pPr>
            <w:r>
              <w:rPr>
                <w:rFonts w:ascii="Times New Roman" w:hAnsi="Times New Roman"/>
              </w:rPr>
              <w:t>20</w:t>
            </w:r>
          </w:p>
        </w:tc>
      </w:tr>
      <w:tr w:rsidR="00451092" w:rsidRPr="005817AF" w14:paraId="744C40A0" w14:textId="77777777" w:rsidTr="000C5E35">
        <w:tc>
          <w:tcPr>
            <w:tcW w:w="733" w:type="dxa"/>
            <w:vMerge/>
          </w:tcPr>
          <w:p w14:paraId="4BFF213C" w14:textId="77777777" w:rsidR="00451092" w:rsidRPr="005817AF" w:rsidRDefault="00451092" w:rsidP="008358EF">
            <w:pPr>
              <w:rPr>
                <w:rFonts w:ascii="Times New Roman" w:hAnsi="Times New Roman"/>
                <w:b/>
                <w:bCs/>
              </w:rPr>
            </w:pPr>
          </w:p>
        </w:tc>
        <w:tc>
          <w:tcPr>
            <w:tcW w:w="5820" w:type="dxa"/>
          </w:tcPr>
          <w:p w14:paraId="15AAC667" w14:textId="77777777" w:rsidR="00451092" w:rsidRPr="000C5E35" w:rsidRDefault="00451092" w:rsidP="000C5E35">
            <w:pPr>
              <w:ind w:left="5"/>
              <w:jc w:val="both"/>
              <w:rPr>
                <w:rFonts w:ascii="Times New Roman" w:hAnsi="Times New Roman"/>
              </w:rPr>
            </w:pPr>
            <w:r w:rsidRPr="000C5E35">
              <w:rPr>
                <w:rFonts w:ascii="Times New Roman" w:hAnsi="Times New Roman"/>
              </w:rPr>
              <w:t>Siltumenerģijas izmaksu pieauguma kompensācija mājsaimniecībām</w:t>
            </w:r>
          </w:p>
        </w:tc>
        <w:tc>
          <w:tcPr>
            <w:tcW w:w="1096" w:type="dxa"/>
            <w:shd w:val="clear" w:color="auto" w:fill="auto"/>
            <w:vAlign w:val="center"/>
          </w:tcPr>
          <w:p w14:paraId="05AEC8B7" w14:textId="1AEF5DFA" w:rsidR="00451092" w:rsidRPr="00F96409" w:rsidRDefault="00B1365F" w:rsidP="00F96409">
            <w:pPr>
              <w:jc w:val="center"/>
              <w:rPr>
                <w:rFonts w:ascii="Times New Roman" w:hAnsi="Times New Roman"/>
              </w:rPr>
            </w:pPr>
            <w:r>
              <w:rPr>
                <w:rFonts w:ascii="Times New Roman" w:hAnsi="Times New Roman"/>
              </w:rPr>
              <w:t>64,2</w:t>
            </w:r>
          </w:p>
        </w:tc>
        <w:tc>
          <w:tcPr>
            <w:tcW w:w="1096" w:type="dxa"/>
            <w:gridSpan w:val="2"/>
            <w:shd w:val="clear" w:color="auto" w:fill="auto"/>
            <w:vAlign w:val="center"/>
          </w:tcPr>
          <w:p w14:paraId="538A1B75" w14:textId="6BF501D4" w:rsidR="00451092" w:rsidRPr="00F96409" w:rsidRDefault="00B1365F" w:rsidP="00F96409">
            <w:pPr>
              <w:jc w:val="center"/>
              <w:rPr>
                <w:rFonts w:ascii="Times New Roman" w:hAnsi="Times New Roman"/>
              </w:rPr>
            </w:pPr>
            <w:r>
              <w:rPr>
                <w:rFonts w:ascii="Times New Roman" w:hAnsi="Times New Roman"/>
              </w:rPr>
              <w:t>85,8</w:t>
            </w:r>
          </w:p>
        </w:tc>
      </w:tr>
      <w:tr w:rsidR="00451092" w:rsidRPr="005817AF" w14:paraId="4945F81C" w14:textId="77777777" w:rsidTr="000C5E35">
        <w:tc>
          <w:tcPr>
            <w:tcW w:w="733" w:type="dxa"/>
            <w:vMerge/>
          </w:tcPr>
          <w:p w14:paraId="3469B61B" w14:textId="77777777" w:rsidR="00451092" w:rsidRPr="005817AF" w:rsidRDefault="00451092" w:rsidP="008358EF">
            <w:pPr>
              <w:rPr>
                <w:rFonts w:ascii="Times New Roman" w:hAnsi="Times New Roman"/>
                <w:b/>
                <w:bCs/>
              </w:rPr>
            </w:pPr>
          </w:p>
        </w:tc>
        <w:tc>
          <w:tcPr>
            <w:tcW w:w="5820" w:type="dxa"/>
          </w:tcPr>
          <w:p w14:paraId="567BEFCA" w14:textId="4A946644" w:rsidR="00451092" w:rsidRPr="00F96409" w:rsidRDefault="00451092" w:rsidP="008358EF">
            <w:pPr>
              <w:ind w:left="5"/>
              <w:jc w:val="both"/>
              <w:rPr>
                <w:rFonts w:ascii="Times New Roman" w:hAnsi="Times New Roman"/>
              </w:rPr>
            </w:pPr>
            <w:r w:rsidRPr="00451092">
              <w:rPr>
                <w:rFonts w:ascii="Times New Roman" w:hAnsi="Times New Roman"/>
              </w:rPr>
              <w:t>Granulu izmaksu pieauguma kompensācija mājsaimniecībām</w:t>
            </w:r>
          </w:p>
        </w:tc>
        <w:tc>
          <w:tcPr>
            <w:tcW w:w="1096" w:type="dxa"/>
            <w:shd w:val="clear" w:color="auto" w:fill="auto"/>
            <w:vAlign w:val="center"/>
          </w:tcPr>
          <w:p w14:paraId="6BAB0B3F" w14:textId="1B3C2791" w:rsidR="00451092" w:rsidRPr="00F96409" w:rsidRDefault="0026444B" w:rsidP="00F96409">
            <w:pPr>
              <w:jc w:val="center"/>
              <w:rPr>
                <w:rFonts w:ascii="Times New Roman" w:hAnsi="Times New Roman"/>
              </w:rPr>
            </w:pPr>
            <w:r>
              <w:rPr>
                <w:rFonts w:ascii="Times New Roman" w:hAnsi="Times New Roman"/>
              </w:rPr>
              <w:t>8,6</w:t>
            </w:r>
          </w:p>
        </w:tc>
        <w:tc>
          <w:tcPr>
            <w:tcW w:w="1096" w:type="dxa"/>
            <w:gridSpan w:val="2"/>
            <w:shd w:val="clear" w:color="auto" w:fill="auto"/>
            <w:vAlign w:val="center"/>
          </w:tcPr>
          <w:p w14:paraId="1BDB5B30" w14:textId="6DC6B3E6" w:rsidR="00451092" w:rsidRPr="00F96409" w:rsidRDefault="0026444B" w:rsidP="00F96409">
            <w:pPr>
              <w:jc w:val="center"/>
              <w:rPr>
                <w:rFonts w:ascii="Times New Roman" w:hAnsi="Times New Roman"/>
              </w:rPr>
            </w:pPr>
            <w:r>
              <w:rPr>
                <w:rFonts w:ascii="Times New Roman" w:hAnsi="Times New Roman"/>
              </w:rPr>
              <w:t>11,4</w:t>
            </w:r>
          </w:p>
        </w:tc>
      </w:tr>
      <w:tr w:rsidR="008358EF" w:rsidRPr="005817AF" w14:paraId="761B7298" w14:textId="77777777" w:rsidTr="008358EF">
        <w:tc>
          <w:tcPr>
            <w:tcW w:w="733" w:type="dxa"/>
            <w:shd w:val="clear" w:color="auto" w:fill="E2EFD9" w:themeFill="accent6" w:themeFillTint="33"/>
            <w:vAlign w:val="center"/>
          </w:tcPr>
          <w:p w14:paraId="2C583442" w14:textId="77777777" w:rsidR="008358EF" w:rsidRPr="005817AF" w:rsidRDefault="008358EF" w:rsidP="008358EF">
            <w:pPr>
              <w:rPr>
                <w:rFonts w:ascii="Times New Roman" w:hAnsi="Times New Roman"/>
                <w:b/>
              </w:rPr>
            </w:pPr>
            <w:r w:rsidRPr="005817AF">
              <w:rPr>
                <w:rFonts w:ascii="Times New Roman" w:hAnsi="Times New Roman"/>
                <w:b/>
              </w:rPr>
              <w:t>5.</w:t>
            </w:r>
          </w:p>
        </w:tc>
        <w:tc>
          <w:tcPr>
            <w:tcW w:w="5820" w:type="dxa"/>
            <w:shd w:val="clear" w:color="auto" w:fill="E2EFD9" w:themeFill="accent6" w:themeFillTint="33"/>
            <w:vAlign w:val="center"/>
          </w:tcPr>
          <w:p w14:paraId="4ED9A4D0" w14:textId="77777777" w:rsidR="008358EF" w:rsidRPr="005817AF" w:rsidRDefault="008358EF" w:rsidP="008358EF">
            <w:pPr>
              <w:rPr>
                <w:rFonts w:ascii="Times New Roman" w:hAnsi="Times New Roman"/>
                <w:b/>
                <w:bCs/>
              </w:rPr>
            </w:pPr>
            <w:r w:rsidRPr="005817AF">
              <w:rPr>
                <w:rFonts w:ascii="Times New Roman" w:hAnsi="Times New Roman"/>
                <w:b/>
              </w:rPr>
              <w:t>Automātiska rēķina samazināšana mājsaimniecībām līdz noteiktam ienākumu slieksnim</w:t>
            </w:r>
          </w:p>
        </w:tc>
        <w:tc>
          <w:tcPr>
            <w:tcW w:w="2192" w:type="dxa"/>
            <w:gridSpan w:val="3"/>
            <w:shd w:val="clear" w:color="auto" w:fill="E2EFD9" w:themeFill="accent6" w:themeFillTint="33"/>
          </w:tcPr>
          <w:p w14:paraId="0E949B6E" w14:textId="371FEBD0" w:rsidR="008358EF" w:rsidRPr="005817AF" w:rsidRDefault="003D0041" w:rsidP="003D0041">
            <w:pPr>
              <w:jc w:val="center"/>
              <w:rPr>
                <w:rFonts w:ascii="Times New Roman" w:hAnsi="Times New Roman"/>
              </w:rPr>
            </w:pPr>
            <w:r>
              <w:rPr>
                <w:rFonts w:ascii="Times New Roman" w:hAnsi="Times New Roman"/>
              </w:rPr>
              <w:t>Aprēķins nav veikts</w:t>
            </w:r>
          </w:p>
        </w:tc>
      </w:tr>
      <w:tr w:rsidR="008358EF" w:rsidRPr="005817AF" w14:paraId="0B60ABD6" w14:textId="77777777" w:rsidTr="008358EF">
        <w:tc>
          <w:tcPr>
            <w:tcW w:w="733" w:type="dxa"/>
            <w:shd w:val="clear" w:color="auto" w:fill="E2EFD9" w:themeFill="accent6" w:themeFillTint="33"/>
            <w:vAlign w:val="center"/>
          </w:tcPr>
          <w:p w14:paraId="160834CC" w14:textId="77777777" w:rsidR="008358EF" w:rsidRPr="005817AF" w:rsidRDefault="008358EF" w:rsidP="008358EF">
            <w:pPr>
              <w:rPr>
                <w:rFonts w:ascii="Times New Roman" w:hAnsi="Times New Roman"/>
                <w:b/>
              </w:rPr>
            </w:pPr>
            <w:r w:rsidRPr="005817AF">
              <w:rPr>
                <w:rFonts w:ascii="Times New Roman" w:hAnsi="Times New Roman"/>
                <w:b/>
              </w:rPr>
              <w:t>6.</w:t>
            </w:r>
          </w:p>
        </w:tc>
        <w:tc>
          <w:tcPr>
            <w:tcW w:w="5820" w:type="dxa"/>
            <w:shd w:val="clear" w:color="auto" w:fill="E2EFD9" w:themeFill="accent6" w:themeFillTint="33"/>
            <w:vAlign w:val="center"/>
          </w:tcPr>
          <w:p w14:paraId="53DE2816" w14:textId="77777777" w:rsidR="008358EF" w:rsidRPr="005817AF" w:rsidRDefault="008358EF" w:rsidP="008358EF">
            <w:pPr>
              <w:rPr>
                <w:rFonts w:ascii="Times New Roman" w:hAnsi="Times New Roman"/>
              </w:rPr>
            </w:pPr>
            <w:r w:rsidRPr="005817AF">
              <w:rPr>
                <w:rFonts w:ascii="Times New Roman" w:hAnsi="Times New Roman"/>
                <w:b/>
              </w:rPr>
              <w:t>Atbalsts mājsaimniecībām līdz noteiktam ienākumu slieksnim</w:t>
            </w:r>
          </w:p>
        </w:tc>
        <w:tc>
          <w:tcPr>
            <w:tcW w:w="2192" w:type="dxa"/>
            <w:gridSpan w:val="3"/>
            <w:shd w:val="clear" w:color="auto" w:fill="E2EFD9" w:themeFill="accent6" w:themeFillTint="33"/>
          </w:tcPr>
          <w:p w14:paraId="0CB4B3C1" w14:textId="54127D34" w:rsidR="008358EF" w:rsidRPr="005817AF" w:rsidRDefault="003D0041" w:rsidP="003D0041">
            <w:pPr>
              <w:jc w:val="center"/>
              <w:rPr>
                <w:rFonts w:ascii="Times New Roman" w:hAnsi="Times New Roman"/>
              </w:rPr>
            </w:pPr>
            <w:r>
              <w:rPr>
                <w:rFonts w:ascii="Times New Roman" w:hAnsi="Times New Roman"/>
              </w:rPr>
              <w:t>Aprēķins nav veikts</w:t>
            </w:r>
          </w:p>
        </w:tc>
      </w:tr>
      <w:tr w:rsidR="008358EF" w:rsidRPr="005817AF" w14:paraId="57BD87CD" w14:textId="77777777" w:rsidTr="008358EF">
        <w:tc>
          <w:tcPr>
            <w:tcW w:w="733" w:type="dxa"/>
            <w:shd w:val="clear" w:color="auto" w:fill="A8D08D" w:themeFill="accent6" w:themeFillTint="99"/>
          </w:tcPr>
          <w:p w14:paraId="16ACF77A" w14:textId="77777777" w:rsidR="008358EF" w:rsidRPr="005817AF" w:rsidRDefault="008358EF" w:rsidP="008358EF">
            <w:pPr>
              <w:rPr>
                <w:rFonts w:ascii="Times New Roman" w:hAnsi="Times New Roman"/>
                <w:b/>
              </w:rPr>
            </w:pPr>
          </w:p>
        </w:tc>
        <w:tc>
          <w:tcPr>
            <w:tcW w:w="5820" w:type="dxa"/>
            <w:shd w:val="clear" w:color="auto" w:fill="A8D08D" w:themeFill="accent6" w:themeFillTint="99"/>
            <w:vAlign w:val="center"/>
          </w:tcPr>
          <w:p w14:paraId="049EC8C8" w14:textId="79287D8A" w:rsidR="008358EF" w:rsidRPr="005817AF" w:rsidRDefault="0026444B" w:rsidP="00F96409">
            <w:pPr>
              <w:jc w:val="center"/>
              <w:rPr>
                <w:rFonts w:ascii="Times New Roman" w:hAnsi="Times New Roman"/>
                <w:b/>
              </w:rPr>
            </w:pPr>
            <w:r>
              <w:rPr>
                <w:rFonts w:ascii="Times New Roman" w:hAnsi="Times New Roman"/>
                <w:b/>
              </w:rPr>
              <w:t>KOPĀ</w:t>
            </w:r>
            <w:r>
              <w:rPr>
                <w:rFonts w:ascii="Times New Roman" w:hAnsi="Times New Roman"/>
                <w:b/>
              </w:rPr>
              <w:t xml:space="preserve"> </w:t>
            </w:r>
          </w:p>
        </w:tc>
        <w:tc>
          <w:tcPr>
            <w:tcW w:w="2192" w:type="dxa"/>
            <w:gridSpan w:val="3"/>
            <w:shd w:val="clear" w:color="auto" w:fill="A8D08D" w:themeFill="accent6" w:themeFillTint="99"/>
          </w:tcPr>
          <w:p w14:paraId="3DC55E40" w14:textId="5FD4ADC3" w:rsidR="008358EF" w:rsidRPr="005817AF" w:rsidRDefault="0026444B" w:rsidP="00F96409">
            <w:pPr>
              <w:jc w:val="center"/>
              <w:rPr>
                <w:rFonts w:ascii="Times New Roman" w:hAnsi="Times New Roman"/>
              </w:rPr>
            </w:pPr>
            <w:r>
              <w:rPr>
                <w:rFonts w:ascii="Times New Roman" w:hAnsi="Times New Roman"/>
                <w:b/>
              </w:rPr>
              <w:t>3</w:t>
            </w:r>
            <w:r w:rsidR="00EE3ED1">
              <w:rPr>
                <w:rFonts w:ascii="Times New Roman" w:hAnsi="Times New Roman"/>
                <w:b/>
              </w:rPr>
              <w:t>50,2</w:t>
            </w:r>
          </w:p>
        </w:tc>
      </w:tr>
    </w:tbl>
    <w:p w14:paraId="5A27C3E9" w14:textId="77777777" w:rsidR="005817AF" w:rsidRDefault="005817AF" w:rsidP="00B91F54">
      <w:pPr>
        <w:spacing w:after="0" w:line="240" w:lineRule="auto"/>
        <w:jc w:val="both"/>
        <w:rPr>
          <w:rFonts w:ascii="Times New Roman" w:eastAsia="Times New Roman" w:hAnsi="Times New Roman" w:cs="Times New Roman"/>
          <w:sz w:val="24"/>
          <w:szCs w:val="24"/>
        </w:rPr>
      </w:pPr>
    </w:p>
    <w:p w14:paraId="399D3523" w14:textId="02261411" w:rsidR="00A426FA" w:rsidRDefault="00A426FA" w:rsidP="00A426FA">
      <w:pPr>
        <w:spacing w:before="120" w:after="120"/>
        <w:jc w:val="both"/>
        <w:rPr>
          <w:rFonts w:ascii="Times New Roman" w:hAnsi="Times New Roman" w:cs="Times New Roman"/>
          <w:sz w:val="24"/>
          <w:szCs w:val="24"/>
        </w:rPr>
      </w:pPr>
      <w:r>
        <w:rPr>
          <w:rFonts w:ascii="Times New Roman" w:hAnsi="Times New Roman" w:cs="Times New Roman"/>
          <w:sz w:val="24"/>
          <w:szCs w:val="24"/>
        </w:rPr>
        <w:t>Labklājības ministrs</w:t>
      </w:r>
      <w:r w:rsidRPr="00A00C2A">
        <w:rPr>
          <w:rFonts w:ascii="Times New Roman" w:hAnsi="Times New Roman" w:cs="Times New Roman"/>
          <w:sz w:val="24"/>
          <w:szCs w:val="24"/>
        </w:rPr>
        <w:tab/>
      </w:r>
      <w:r w:rsidRPr="00A00C2A">
        <w:rPr>
          <w:rFonts w:ascii="Times New Roman" w:hAnsi="Times New Roman" w:cs="Times New Roman"/>
          <w:sz w:val="24"/>
          <w:szCs w:val="24"/>
        </w:rPr>
        <w:tab/>
      </w:r>
      <w:r w:rsidRPr="00A00C2A">
        <w:rPr>
          <w:rFonts w:ascii="Times New Roman" w:hAnsi="Times New Roman" w:cs="Times New Roman"/>
          <w:sz w:val="24"/>
          <w:szCs w:val="24"/>
        </w:rPr>
        <w:tab/>
      </w:r>
      <w:r w:rsidRPr="00A00C2A">
        <w:rPr>
          <w:rFonts w:ascii="Times New Roman" w:hAnsi="Times New Roman" w:cs="Times New Roman"/>
          <w:sz w:val="24"/>
          <w:szCs w:val="24"/>
        </w:rPr>
        <w:tab/>
      </w:r>
      <w:r w:rsidRPr="00A00C2A">
        <w:rPr>
          <w:rFonts w:ascii="Times New Roman" w:hAnsi="Times New Roman" w:cs="Times New Roman"/>
          <w:sz w:val="24"/>
          <w:szCs w:val="24"/>
        </w:rPr>
        <w:tab/>
      </w:r>
      <w:r w:rsidRPr="00A00C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G.Eglītis</w:t>
      </w:r>
    </w:p>
    <w:p w14:paraId="4B077C12" w14:textId="77777777" w:rsidR="002D18AC" w:rsidRDefault="002D18AC" w:rsidP="00A426FA">
      <w:pPr>
        <w:spacing w:after="0"/>
        <w:rPr>
          <w:rFonts w:ascii="Times New Roman" w:hAnsi="Times New Roman" w:cs="Times New Roman"/>
          <w:sz w:val="20"/>
          <w:szCs w:val="20"/>
        </w:rPr>
      </w:pPr>
    </w:p>
    <w:p w14:paraId="48E43710" w14:textId="77777777" w:rsidR="005817AF" w:rsidRDefault="005817AF" w:rsidP="00A426FA">
      <w:pPr>
        <w:spacing w:after="0"/>
        <w:rPr>
          <w:rFonts w:ascii="Times New Roman" w:hAnsi="Times New Roman" w:cs="Times New Roman"/>
          <w:sz w:val="20"/>
          <w:szCs w:val="20"/>
        </w:rPr>
      </w:pPr>
    </w:p>
    <w:p w14:paraId="1981BD5F" w14:textId="77777777" w:rsidR="002965F4" w:rsidRDefault="002965F4" w:rsidP="00A426FA">
      <w:pPr>
        <w:spacing w:after="0"/>
        <w:rPr>
          <w:rFonts w:ascii="Times New Roman" w:hAnsi="Times New Roman" w:cs="Times New Roman"/>
          <w:sz w:val="20"/>
          <w:szCs w:val="20"/>
        </w:rPr>
      </w:pPr>
    </w:p>
    <w:p w14:paraId="214AA368" w14:textId="77777777" w:rsidR="002965F4" w:rsidRDefault="002965F4" w:rsidP="00A426FA">
      <w:pPr>
        <w:spacing w:after="0"/>
        <w:rPr>
          <w:rFonts w:ascii="Times New Roman" w:hAnsi="Times New Roman" w:cs="Times New Roman"/>
          <w:sz w:val="20"/>
          <w:szCs w:val="20"/>
        </w:rPr>
      </w:pPr>
    </w:p>
    <w:p w14:paraId="476B819B" w14:textId="77777777" w:rsidR="002965F4" w:rsidRDefault="002965F4" w:rsidP="00A426FA">
      <w:pPr>
        <w:spacing w:after="0"/>
        <w:rPr>
          <w:rFonts w:ascii="Times New Roman" w:hAnsi="Times New Roman" w:cs="Times New Roman"/>
          <w:sz w:val="20"/>
          <w:szCs w:val="20"/>
        </w:rPr>
      </w:pPr>
    </w:p>
    <w:p w14:paraId="4C4DC8DA" w14:textId="77777777" w:rsidR="00A22F18" w:rsidRDefault="002D18AC" w:rsidP="005817AF">
      <w:pPr>
        <w:spacing w:after="0"/>
        <w:rPr>
          <w:rFonts w:ascii="Times New Roman" w:hAnsi="Times New Roman" w:cs="Times New Roman"/>
          <w:sz w:val="20"/>
          <w:szCs w:val="20"/>
        </w:rPr>
      </w:pPr>
      <w:r>
        <w:rPr>
          <w:rFonts w:ascii="Times New Roman" w:hAnsi="Times New Roman" w:cs="Times New Roman"/>
          <w:sz w:val="20"/>
          <w:szCs w:val="20"/>
        </w:rPr>
        <w:t>E</w:t>
      </w:r>
      <w:r w:rsidR="00A426FA">
        <w:rPr>
          <w:rFonts w:ascii="Times New Roman" w:hAnsi="Times New Roman" w:cs="Times New Roman"/>
          <w:sz w:val="20"/>
          <w:szCs w:val="20"/>
        </w:rPr>
        <w:t>vija Kūla, 67021692</w:t>
      </w:r>
    </w:p>
    <w:p w14:paraId="1883ADB3" w14:textId="5F1F2504" w:rsidR="00B91F54" w:rsidRDefault="007D6078" w:rsidP="005817AF">
      <w:pPr>
        <w:spacing w:after="0"/>
        <w:rPr>
          <w:rFonts w:ascii="Times New Roman" w:hAnsi="Times New Roman" w:cs="Times New Roman"/>
          <w:b/>
          <w:i/>
          <w:sz w:val="24"/>
          <w:szCs w:val="24"/>
        </w:rPr>
      </w:pPr>
      <w:hyperlink r:id="rId13" w:history="1">
        <w:r w:rsidR="00A426FA" w:rsidRPr="0036213E">
          <w:rPr>
            <w:rStyle w:val="Hyperlink"/>
            <w:rFonts w:ascii="Times New Roman" w:hAnsi="Times New Roman"/>
            <w:sz w:val="20"/>
            <w:szCs w:val="20"/>
          </w:rPr>
          <w:t>Evija.Kula@lm.gov.lv</w:t>
        </w:r>
      </w:hyperlink>
      <w:r w:rsidR="00A426FA">
        <w:rPr>
          <w:rStyle w:val="Hyperlink"/>
          <w:rFonts w:ascii="Times New Roman" w:hAnsi="Times New Roman"/>
          <w:sz w:val="20"/>
          <w:szCs w:val="20"/>
        </w:rPr>
        <w:t xml:space="preserve"> </w:t>
      </w:r>
    </w:p>
    <w:sectPr w:rsidR="00B91F5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1AA61" w14:textId="77777777" w:rsidR="007D6078" w:rsidRDefault="007D6078" w:rsidP="007067FC">
      <w:pPr>
        <w:spacing w:after="0" w:line="240" w:lineRule="auto"/>
      </w:pPr>
      <w:r>
        <w:separator/>
      </w:r>
    </w:p>
  </w:endnote>
  <w:endnote w:type="continuationSeparator" w:id="0">
    <w:p w14:paraId="7871694E" w14:textId="77777777" w:rsidR="007D6078" w:rsidRDefault="007D6078" w:rsidP="00706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Light">
    <w:panose1 w:val="020B0502040204020203"/>
    <w:charset w:val="BA"/>
    <w:family w:val="swiss"/>
    <w:pitch w:val="variable"/>
    <w:sig w:usb0="E4002EFF" w:usb1="C000E47F" w:usb2="00000009" w:usb3="00000000" w:csb0="000001FF" w:csb1="00000000"/>
  </w:font>
  <w:font w:name="Arial Nova Cond Light">
    <w:altName w:val="Arial"/>
    <w:charset w:val="00"/>
    <w:family w:val="swiss"/>
    <w:pitch w:val="variable"/>
    <w:sig w:usb0="00000001" w:usb1="00000002" w:usb2="00000000" w:usb3="00000000" w:csb0="0000019F" w:csb1="00000000"/>
  </w:font>
  <w:font w:name="RobustaTLPro-Regular">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950081"/>
      <w:docPartObj>
        <w:docPartGallery w:val="Page Numbers (Bottom of Page)"/>
        <w:docPartUnique/>
      </w:docPartObj>
    </w:sdtPr>
    <w:sdtEndPr>
      <w:rPr>
        <w:noProof/>
      </w:rPr>
    </w:sdtEndPr>
    <w:sdtContent>
      <w:p w14:paraId="3DBF1295" w14:textId="2B189E32" w:rsidR="007D6078" w:rsidRDefault="007D6078">
        <w:pPr>
          <w:pStyle w:val="Footer"/>
          <w:jc w:val="center"/>
        </w:pPr>
        <w:r>
          <w:fldChar w:fldCharType="begin"/>
        </w:r>
        <w:r>
          <w:instrText xml:space="preserve"> PAGE   \* MERGEFORMAT </w:instrText>
        </w:r>
        <w:r>
          <w:fldChar w:fldCharType="separate"/>
        </w:r>
        <w:r w:rsidR="00D5075C">
          <w:rPr>
            <w:noProof/>
          </w:rPr>
          <w:t>31</w:t>
        </w:r>
        <w:r>
          <w:rPr>
            <w:noProof/>
          </w:rPr>
          <w:fldChar w:fldCharType="end"/>
        </w:r>
      </w:p>
    </w:sdtContent>
  </w:sdt>
  <w:p w14:paraId="045DD9EB" w14:textId="77777777" w:rsidR="007D6078" w:rsidRDefault="007D6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D4DB8" w14:textId="77777777" w:rsidR="007D6078" w:rsidRDefault="007D6078" w:rsidP="007067FC">
      <w:pPr>
        <w:spacing w:after="0" w:line="240" w:lineRule="auto"/>
      </w:pPr>
      <w:r>
        <w:separator/>
      </w:r>
    </w:p>
  </w:footnote>
  <w:footnote w:type="continuationSeparator" w:id="0">
    <w:p w14:paraId="6D22144C" w14:textId="77777777" w:rsidR="007D6078" w:rsidRDefault="007D6078" w:rsidP="007067FC">
      <w:pPr>
        <w:spacing w:after="0" w:line="240" w:lineRule="auto"/>
      </w:pPr>
      <w:r>
        <w:continuationSeparator/>
      </w:r>
    </w:p>
  </w:footnote>
  <w:footnote w:id="1">
    <w:p w14:paraId="50A78C01" w14:textId="77777777" w:rsidR="007D6078" w:rsidRPr="005E2FC9" w:rsidRDefault="007D6078" w:rsidP="00EC7E71">
      <w:pPr>
        <w:pStyle w:val="FootnoteText"/>
        <w:jc w:val="both"/>
        <w:rPr>
          <w:rFonts w:ascii="Times New Roman" w:hAnsi="Times New Roman"/>
          <w:lang w:val="lv-LV"/>
        </w:rPr>
      </w:pPr>
      <w:r w:rsidRPr="005E2FC9">
        <w:rPr>
          <w:rStyle w:val="FootnoteReference"/>
          <w:rFonts w:ascii="Times New Roman" w:hAnsi="Times New Roman"/>
          <w:lang w:val="lv-LV"/>
        </w:rPr>
        <w:footnoteRef/>
      </w:r>
      <w:r w:rsidRPr="005E2FC9">
        <w:rPr>
          <w:rFonts w:ascii="Times New Roman" w:hAnsi="Times New Roman"/>
          <w:lang w:val="lv-LV"/>
        </w:rPr>
        <w:t xml:space="preserve"> </w:t>
      </w:r>
      <w:r>
        <w:rPr>
          <w:rFonts w:ascii="Times New Roman" w:hAnsi="Times New Roman"/>
          <w:lang w:val="lv-LV"/>
        </w:rPr>
        <w:t xml:space="preserve">2022.gadā garantētā minimālā ienākuma slieksnis 109 </w:t>
      </w:r>
      <w:r w:rsidRPr="00901F86">
        <w:rPr>
          <w:rFonts w:ascii="Times New Roman" w:hAnsi="Times New Roman"/>
          <w:i/>
          <w:lang w:val="lv-LV"/>
        </w:rPr>
        <w:t xml:space="preserve">euro </w:t>
      </w:r>
      <w:r w:rsidRPr="005E2FC9">
        <w:rPr>
          <w:rFonts w:ascii="Times New Roman" w:hAnsi="Times New Roman"/>
          <w:lang w:val="lv-LV"/>
        </w:rPr>
        <w:t>pirmajai vai vienīgajai personai mājsaimniecībā un</w:t>
      </w:r>
      <w:r>
        <w:rPr>
          <w:rFonts w:ascii="Times New Roman" w:hAnsi="Times New Roman"/>
          <w:lang w:val="lv-LV"/>
        </w:rPr>
        <w:t xml:space="preserve"> 76 </w:t>
      </w:r>
      <w:r w:rsidRPr="00901F86">
        <w:rPr>
          <w:rFonts w:ascii="Times New Roman" w:hAnsi="Times New Roman"/>
          <w:i/>
          <w:lang w:val="lv-LV"/>
        </w:rPr>
        <w:t>euro</w:t>
      </w:r>
      <w:r>
        <w:rPr>
          <w:rFonts w:ascii="Times New Roman" w:hAnsi="Times New Roman"/>
          <w:lang w:val="lv-LV"/>
        </w:rPr>
        <w:t xml:space="preserve"> pārējām personām mājsaimniecībā.</w:t>
      </w:r>
      <w:r w:rsidRPr="005E2FC9">
        <w:rPr>
          <w:rFonts w:ascii="Times New Roman" w:hAnsi="Times New Roman"/>
          <w:lang w:val="lv-LV"/>
        </w:rPr>
        <w:t xml:space="preserve"> </w:t>
      </w:r>
      <w:r>
        <w:rPr>
          <w:rFonts w:ascii="Times New Roman" w:hAnsi="Times New Roman"/>
          <w:lang w:val="lv-LV"/>
        </w:rPr>
        <w:t>T</w:t>
      </w:r>
      <w:r w:rsidRPr="005E2FC9">
        <w:rPr>
          <w:rFonts w:ascii="Times New Roman" w:hAnsi="Times New Roman"/>
          <w:lang w:val="lv-LV"/>
        </w:rPr>
        <w:t>rūcīgai mājsaimniecībai 272 </w:t>
      </w:r>
      <w:r w:rsidRPr="005E2FC9">
        <w:rPr>
          <w:rFonts w:ascii="Times New Roman" w:hAnsi="Times New Roman"/>
          <w:i/>
          <w:iCs/>
          <w:lang w:val="lv-LV"/>
        </w:rPr>
        <w:t>euro</w:t>
      </w:r>
      <w:r w:rsidRPr="005E2FC9">
        <w:rPr>
          <w:rFonts w:ascii="Times New Roman" w:hAnsi="Times New Roman"/>
          <w:lang w:val="lv-LV"/>
        </w:rPr>
        <w:t xml:space="preserve"> pirmajai vai vienīgajai personai mājsaimniecībā un 190 </w:t>
      </w:r>
      <w:r w:rsidRPr="005E2FC9">
        <w:rPr>
          <w:rFonts w:ascii="Times New Roman" w:hAnsi="Times New Roman"/>
          <w:i/>
          <w:iCs/>
          <w:lang w:val="lv-LV"/>
        </w:rPr>
        <w:t>euro</w:t>
      </w:r>
      <w:r w:rsidRPr="005E2FC9">
        <w:rPr>
          <w:rFonts w:ascii="Times New Roman" w:hAnsi="Times New Roman"/>
          <w:lang w:val="lv-LV"/>
        </w:rPr>
        <w:t xml:space="preserve"> pārējām personām mājsaimniecībā. Maznodrošinātas mājsaimniecības ienākumu slieksni katra pašvaldība ir tiesīga noteikt ne augstāku par 436 </w:t>
      </w:r>
      <w:r w:rsidRPr="005E2FC9">
        <w:rPr>
          <w:rFonts w:ascii="Times New Roman" w:hAnsi="Times New Roman"/>
          <w:i/>
          <w:iCs/>
          <w:lang w:val="lv-LV"/>
        </w:rPr>
        <w:t>euro</w:t>
      </w:r>
      <w:r w:rsidRPr="005E2FC9">
        <w:rPr>
          <w:rFonts w:ascii="Times New Roman" w:hAnsi="Times New Roman"/>
          <w:lang w:val="lv-LV"/>
        </w:rPr>
        <w:t xml:space="preserve"> pirmajai vai vienīgajai personai mājsaimniecībā un 305 </w:t>
      </w:r>
      <w:r w:rsidRPr="005E2FC9">
        <w:rPr>
          <w:rFonts w:ascii="Times New Roman" w:hAnsi="Times New Roman"/>
          <w:i/>
          <w:iCs/>
          <w:lang w:val="lv-LV"/>
        </w:rPr>
        <w:t>euro</w:t>
      </w:r>
      <w:r w:rsidRPr="005E2FC9">
        <w:rPr>
          <w:rFonts w:ascii="Times New Roman" w:hAnsi="Times New Roman"/>
          <w:lang w:val="lv-LV"/>
        </w:rPr>
        <w:t xml:space="preserve"> pārējām personām mājsaimniecībā, bet ne zemāku kā trūcīgas mājsaimniecības ienākumu slieksni.</w:t>
      </w:r>
    </w:p>
  </w:footnote>
  <w:footnote w:id="2">
    <w:p w14:paraId="0F8077BF" w14:textId="640A8210" w:rsidR="007D6078" w:rsidRPr="00365151" w:rsidRDefault="007D6078" w:rsidP="00365151">
      <w:pPr>
        <w:pStyle w:val="FootnoteText"/>
        <w:jc w:val="both"/>
        <w:rPr>
          <w:rFonts w:ascii="Times New Roman" w:hAnsi="Times New Roman"/>
          <w:lang w:val="lv-LV"/>
        </w:rPr>
      </w:pPr>
      <w:r w:rsidRPr="00365151">
        <w:rPr>
          <w:rStyle w:val="FootnoteReference"/>
          <w:rFonts w:ascii="Times New Roman" w:hAnsi="Times New Roman"/>
        </w:rPr>
        <w:footnoteRef/>
      </w:r>
      <w:r w:rsidRPr="00F16056">
        <w:rPr>
          <w:rFonts w:ascii="Times New Roman" w:hAnsi="Times New Roman"/>
          <w:lang w:val="lv-LV"/>
        </w:rPr>
        <w:t xml:space="preserve"> </w:t>
      </w:r>
      <w:r w:rsidRPr="00365151">
        <w:rPr>
          <w:rFonts w:ascii="Times New Roman" w:hAnsi="Times New Roman"/>
          <w:lang w:val="lv-LV"/>
        </w:rPr>
        <w:t xml:space="preserve">Minētā minimālā ienākumu mediāna un tai noteiktā ekvivalences skala 1 </w:t>
      </w:r>
      <w:r>
        <w:rPr>
          <w:rFonts w:ascii="Times New Roman" w:hAnsi="Times New Roman"/>
          <w:lang w:val="lv-LV"/>
        </w:rPr>
        <w:t xml:space="preserve">(pirmajai vai vienīgajai personai mājsaimniecībā) </w:t>
      </w:r>
      <w:r w:rsidRPr="00365151">
        <w:rPr>
          <w:rFonts w:ascii="Times New Roman" w:hAnsi="Times New Roman"/>
          <w:lang w:val="lv-LV"/>
        </w:rPr>
        <w:t xml:space="preserve">un 0.7 </w:t>
      </w:r>
      <w:r>
        <w:rPr>
          <w:rFonts w:ascii="Times New Roman" w:hAnsi="Times New Roman"/>
          <w:lang w:val="lv-LV"/>
        </w:rPr>
        <w:t xml:space="preserve">(pārējām personām mājsaimniecībā) </w:t>
      </w:r>
      <w:r w:rsidRPr="00365151">
        <w:rPr>
          <w:rFonts w:ascii="Times New Roman" w:hAnsi="Times New Roman"/>
          <w:lang w:val="lv-LV"/>
        </w:rPr>
        <w:t xml:space="preserve">tika apstiprināta 2014.gadā, </w:t>
      </w:r>
      <w:r>
        <w:rPr>
          <w:rFonts w:ascii="Times New Roman" w:hAnsi="Times New Roman"/>
          <w:lang w:val="lv-LV"/>
        </w:rPr>
        <w:t>MK pieņemot koncepciju “Par minimālā ienākuma līmeņa noteikšanu”.</w:t>
      </w:r>
    </w:p>
  </w:footnote>
  <w:footnote w:id="3">
    <w:p w14:paraId="61DC95A3" w14:textId="6DEAB6A2" w:rsidR="007D6078" w:rsidRPr="005C6536" w:rsidRDefault="007D6078">
      <w:pPr>
        <w:pStyle w:val="FootnoteText"/>
        <w:rPr>
          <w:rFonts w:ascii="Times New Roman" w:hAnsi="Times New Roman"/>
          <w:lang w:val="lv-LV"/>
        </w:rPr>
      </w:pPr>
      <w:r w:rsidRPr="005C6536">
        <w:rPr>
          <w:rStyle w:val="FootnoteReference"/>
          <w:rFonts w:ascii="Times New Roman" w:hAnsi="Times New Roman"/>
        </w:rPr>
        <w:footnoteRef/>
      </w:r>
      <w:r w:rsidRPr="00F16056">
        <w:rPr>
          <w:rFonts w:ascii="Times New Roman" w:hAnsi="Times New Roman"/>
          <w:lang w:val="lv-LV"/>
        </w:rPr>
        <w:t xml:space="preserve"> </w:t>
      </w:r>
      <w:r w:rsidRPr="005C6536">
        <w:rPr>
          <w:rFonts w:ascii="Times New Roman" w:hAnsi="Times New Roman"/>
          <w:lang w:val="lv-LV"/>
        </w:rPr>
        <w:t xml:space="preserve">Pēdējie aktuālie dati par mājsaimniecību rīcībā esošajiem ienākumiem. </w:t>
      </w:r>
    </w:p>
  </w:footnote>
  <w:footnote w:id="4">
    <w:p w14:paraId="400E7A77" w14:textId="0C23C4EF" w:rsidR="007D6078" w:rsidRPr="004C69AA" w:rsidRDefault="007D6078" w:rsidP="00365151">
      <w:pPr>
        <w:pStyle w:val="FootnoteText"/>
        <w:jc w:val="both"/>
        <w:rPr>
          <w:rFonts w:ascii="Times New Roman" w:hAnsi="Times New Roman"/>
          <w:lang w:val="lv-LV"/>
        </w:rPr>
      </w:pPr>
      <w:r w:rsidRPr="004C69AA">
        <w:rPr>
          <w:rStyle w:val="FootnoteReference"/>
          <w:rFonts w:ascii="Times New Roman" w:hAnsi="Times New Roman"/>
        </w:rPr>
        <w:footnoteRef/>
      </w:r>
      <w:r w:rsidRPr="00F16056">
        <w:rPr>
          <w:rFonts w:ascii="Times New Roman" w:hAnsi="Times New Roman"/>
          <w:lang w:val="lv-LV"/>
        </w:rPr>
        <w:t xml:space="preserve"> </w:t>
      </w:r>
      <w:r>
        <w:rPr>
          <w:rFonts w:ascii="Times New Roman" w:hAnsi="Times New Roman"/>
          <w:lang w:val="lv-LV"/>
        </w:rPr>
        <w:t xml:space="preserve">Dati par minimālo ienākumu mediānu pieejami šeit: </w:t>
      </w:r>
      <w:hyperlink r:id="rId1" w:history="1">
        <w:r w:rsidRPr="00F16056">
          <w:rPr>
            <w:rStyle w:val="Hyperlink"/>
            <w:rFonts w:ascii="Times New Roman" w:hAnsi="Times New Roman"/>
            <w:lang w:val="lv-LV"/>
          </w:rPr>
          <w:t>https://data.stat.gov.lv/pxweb/lv/OSP_PUB/START__POP__NN__NNM/NNM080/</w:t>
        </w:r>
      </w:hyperlink>
      <w:r w:rsidRPr="00F16056">
        <w:rPr>
          <w:rFonts w:ascii="Times New Roman" w:hAnsi="Times New Roman"/>
          <w:lang w:val="lv-LV"/>
        </w:rPr>
        <w:t xml:space="preserve"> </w:t>
      </w:r>
    </w:p>
  </w:footnote>
  <w:footnote w:id="5">
    <w:p w14:paraId="612B2574" w14:textId="77777777" w:rsidR="00932B0A" w:rsidRPr="00753CFB" w:rsidRDefault="00932B0A" w:rsidP="00932B0A">
      <w:pPr>
        <w:spacing w:after="0" w:line="240" w:lineRule="auto"/>
        <w:jc w:val="both"/>
        <w:rPr>
          <w:rFonts w:ascii="Times New Roman" w:eastAsia="Times New Roman" w:hAnsi="Times New Roman" w:cs="Times New Roman"/>
          <w:sz w:val="20"/>
          <w:szCs w:val="20"/>
        </w:rPr>
      </w:pPr>
      <w:r w:rsidRPr="00753CFB">
        <w:rPr>
          <w:rStyle w:val="FootnoteReference"/>
          <w:rFonts w:ascii="Times New Roman" w:hAnsi="Times New Roman"/>
          <w:sz w:val="20"/>
          <w:szCs w:val="20"/>
        </w:rPr>
        <w:footnoteRef/>
      </w:r>
      <w:r w:rsidRPr="00753CFB">
        <w:rPr>
          <w:rFonts w:ascii="Times New Roman" w:hAnsi="Times New Roman" w:cs="Times New Roman"/>
          <w:sz w:val="20"/>
          <w:szCs w:val="20"/>
        </w:rPr>
        <w:t xml:space="preserve"> </w:t>
      </w:r>
      <w:r w:rsidRPr="00753CFB">
        <w:rPr>
          <w:rFonts w:ascii="Times New Roman" w:eastAsia="Times New Roman" w:hAnsi="Times New Roman" w:cs="Times New Roman"/>
          <w:sz w:val="20"/>
          <w:szCs w:val="20"/>
        </w:rPr>
        <w:t>Minētās minimālo ienākumu sliekšņu izmaiņas ir iespējamas, ja Ministru kabinetā tiks pieņemts attiecīgs lēmums un tiks piešķirts papildu nepieciešamais finansējums.</w:t>
      </w:r>
    </w:p>
  </w:footnote>
  <w:footnote w:id="6">
    <w:p w14:paraId="6A58E419" w14:textId="70212538" w:rsidR="007D6078" w:rsidRPr="004C69AA" w:rsidRDefault="007D6078" w:rsidP="00365151">
      <w:pPr>
        <w:pStyle w:val="CommentText"/>
        <w:jc w:val="both"/>
      </w:pPr>
      <w:r w:rsidRPr="00365151">
        <w:rPr>
          <w:rStyle w:val="FootnoteReference"/>
          <w:rFonts w:ascii="Times New Roman" w:hAnsi="Times New Roman"/>
        </w:rPr>
        <w:footnoteRef/>
      </w:r>
      <w:r w:rsidRPr="00365151">
        <w:rPr>
          <w:rFonts w:ascii="Times New Roman" w:hAnsi="Times New Roman" w:cs="Times New Roman"/>
        </w:rPr>
        <w:t xml:space="preserve"> Visi minimālo ienākumu sliekšņi sociālās drošības sistēmā kopš 2021.gada </w:t>
      </w:r>
      <w:r>
        <w:rPr>
          <w:rFonts w:ascii="Times New Roman" w:hAnsi="Times New Roman" w:cs="Times New Roman"/>
        </w:rPr>
        <w:t xml:space="preserve">normatīvajos aktos </w:t>
      </w:r>
      <w:r w:rsidRPr="00365151">
        <w:rPr>
          <w:rFonts w:ascii="Times New Roman" w:hAnsi="Times New Roman" w:cs="Times New Roman"/>
        </w:rPr>
        <w:t xml:space="preserve">ir izteikti </w:t>
      </w:r>
      <w:r>
        <w:rPr>
          <w:rFonts w:ascii="Times New Roman" w:hAnsi="Times New Roman" w:cs="Times New Roman"/>
        </w:rPr>
        <w:t xml:space="preserve">absolūtā </w:t>
      </w:r>
      <w:r w:rsidRPr="00365151">
        <w:rPr>
          <w:rFonts w:ascii="Times New Roman" w:hAnsi="Times New Roman" w:cs="Times New Roman"/>
          <w:i/>
        </w:rPr>
        <w:t>euro</w:t>
      </w:r>
      <w:r w:rsidRPr="00365151">
        <w:rPr>
          <w:rFonts w:ascii="Times New Roman" w:hAnsi="Times New Roman" w:cs="Times New Roman"/>
        </w:rPr>
        <w:t xml:space="preserve"> </w:t>
      </w:r>
      <w:r>
        <w:rPr>
          <w:rFonts w:ascii="Times New Roman" w:hAnsi="Times New Roman" w:cs="Times New Roman"/>
        </w:rPr>
        <w:t>vērtībā</w:t>
      </w:r>
      <w:r w:rsidRPr="004C69AA">
        <w:rPr>
          <w:rFonts w:ascii="Times New Roman" w:hAnsi="Times New Roman" w:cs="Times New Roman"/>
        </w:rPr>
        <w:t xml:space="preserve"> </w:t>
      </w:r>
      <w:r w:rsidRPr="00365151">
        <w:rPr>
          <w:rFonts w:ascii="Times New Roman" w:hAnsi="Times New Roman" w:cs="Times New Roman"/>
        </w:rPr>
        <w:t xml:space="preserve">atbilstoši procentuālam apmēram no </w:t>
      </w:r>
      <w:r>
        <w:rPr>
          <w:rFonts w:ascii="Times New Roman" w:hAnsi="Times New Roman" w:cs="Times New Roman"/>
        </w:rPr>
        <w:t xml:space="preserve">minimālā ienākuma </w:t>
      </w:r>
      <w:r w:rsidRPr="00365151">
        <w:rPr>
          <w:rFonts w:ascii="Times New Roman" w:hAnsi="Times New Roman" w:cs="Times New Roman"/>
        </w:rPr>
        <w:t>mediānas</w:t>
      </w:r>
      <w:r>
        <w:rPr>
          <w:rFonts w:ascii="Times New Roman" w:hAnsi="Times New Roman" w:cs="Times New Roman"/>
        </w:rPr>
        <w:t xml:space="preserve"> </w:t>
      </w:r>
      <w:r w:rsidRPr="00B63933">
        <w:rPr>
          <w:rFonts w:ascii="Times New Roman" w:hAnsi="Times New Roman" w:cs="Times New Roman"/>
        </w:rPr>
        <w:t>(ar apstiprināto skalu 1 un 0.7)</w:t>
      </w:r>
      <w:r w:rsidRPr="00365151">
        <w:rPr>
          <w:rFonts w:ascii="Times New Roman" w:hAnsi="Times New Roman" w:cs="Times New Roman"/>
        </w:rPr>
        <w:t xml:space="preserve">. No 2023.gada plānots </w:t>
      </w:r>
      <w:r w:rsidRPr="00161E32">
        <w:rPr>
          <w:rFonts w:ascii="Times New Roman" w:hAnsi="Times New Roman" w:cs="Times New Roman"/>
        </w:rPr>
        <w:t xml:space="preserve">minimālo ienākumu </w:t>
      </w:r>
      <w:r w:rsidRPr="00365151">
        <w:rPr>
          <w:rFonts w:ascii="Times New Roman" w:hAnsi="Times New Roman" w:cs="Times New Roman"/>
        </w:rPr>
        <w:t xml:space="preserve">sliekšņus izteikt nevis </w:t>
      </w:r>
      <w:r w:rsidRPr="00365151">
        <w:rPr>
          <w:rFonts w:ascii="Times New Roman" w:hAnsi="Times New Roman" w:cs="Times New Roman"/>
          <w:i/>
        </w:rPr>
        <w:t>euro</w:t>
      </w:r>
      <w:r w:rsidRPr="004C69AA">
        <w:rPr>
          <w:rFonts w:ascii="Times New Roman" w:hAnsi="Times New Roman" w:cs="Times New Roman"/>
        </w:rPr>
        <w:t xml:space="preserve"> apmēr</w:t>
      </w:r>
      <w:r>
        <w:rPr>
          <w:rFonts w:ascii="Times New Roman" w:hAnsi="Times New Roman" w:cs="Times New Roman"/>
        </w:rPr>
        <w:t>ā</w:t>
      </w:r>
      <w:r w:rsidRPr="00365151">
        <w:rPr>
          <w:rFonts w:ascii="Times New Roman" w:hAnsi="Times New Roman" w:cs="Times New Roman"/>
        </w:rPr>
        <w:t xml:space="preserve">, bet normatīvajos aktos nostiprināt </w:t>
      </w:r>
      <w:r w:rsidRPr="004C69AA">
        <w:rPr>
          <w:rFonts w:ascii="Times New Roman" w:hAnsi="Times New Roman" w:cs="Times New Roman"/>
        </w:rPr>
        <w:t xml:space="preserve">to </w:t>
      </w:r>
      <w:r w:rsidRPr="00365151">
        <w:rPr>
          <w:rFonts w:ascii="Times New Roman" w:hAnsi="Times New Roman" w:cs="Times New Roman"/>
        </w:rPr>
        <w:t xml:space="preserve">procentuālo vērtību no </w:t>
      </w:r>
      <w:r>
        <w:rPr>
          <w:rFonts w:ascii="Times New Roman" w:hAnsi="Times New Roman" w:cs="Times New Roman"/>
        </w:rPr>
        <w:t xml:space="preserve">minimālā ienākuma </w:t>
      </w:r>
      <w:r w:rsidRPr="00365151">
        <w:rPr>
          <w:rFonts w:ascii="Times New Roman" w:hAnsi="Times New Roman" w:cs="Times New Roman"/>
        </w:rPr>
        <w:t>mediānas.</w:t>
      </w:r>
    </w:p>
  </w:footnote>
  <w:footnote w:id="7">
    <w:p w14:paraId="04FB3CC2" w14:textId="77777777" w:rsidR="00932B0A" w:rsidRPr="00753CFB" w:rsidRDefault="00932B0A" w:rsidP="00932B0A">
      <w:pPr>
        <w:spacing w:after="0" w:line="240" w:lineRule="auto"/>
        <w:jc w:val="both"/>
        <w:rPr>
          <w:rFonts w:ascii="Times New Roman" w:eastAsia="Times New Roman" w:hAnsi="Times New Roman" w:cs="Times New Roman"/>
          <w:sz w:val="20"/>
          <w:szCs w:val="20"/>
        </w:rPr>
      </w:pPr>
      <w:r w:rsidRPr="00753CFB">
        <w:rPr>
          <w:rStyle w:val="FootnoteReference"/>
          <w:rFonts w:ascii="Times New Roman" w:hAnsi="Times New Roman"/>
          <w:sz w:val="20"/>
          <w:szCs w:val="20"/>
        </w:rPr>
        <w:footnoteRef/>
      </w:r>
      <w:r w:rsidRPr="00753CFB">
        <w:rPr>
          <w:rFonts w:ascii="Times New Roman" w:hAnsi="Times New Roman" w:cs="Times New Roman"/>
          <w:sz w:val="20"/>
          <w:szCs w:val="20"/>
        </w:rPr>
        <w:t xml:space="preserve"> </w:t>
      </w:r>
      <w:r w:rsidRPr="00753CFB">
        <w:rPr>
          <w:rFonts w:ascii="Times New Roman" w:eastAsia="Times New Roman" w:hAnsi="Times New Roman" w:cs="Times New Roman"/>
          <w:sz w:val="20"/>
          <w:szCs w:val="20"/>
        </w:rPr>
        <w:t>Minētās minimālo ienākumu sliekšņu izmaiņas ir iespējamas, ja Ministru kabinetā tiks pieņemts attiecīgs lēmums un tiks piešķirts papildu nepieciešamais finansējums.</w:t>
      </w:r>
    </w:p>
  </w:footnote>
  <w:footnote w:id="8">
    <w:p w14:paraId="19ED1ADA" w14:textId="21384B9D" w:rsidR="007D6078" w:rsidRPr="00FD185B" w:rsidRDefault="007D6078">
      <w:pPr>
        <w:pStyle w:val="FootnoteText"/>
        <w:rPr>
          <w:rFonts w:ascii="Times New Roman" w:hAnsi="Times New Roman"/>
          <w:lang w:val="lv-LV"/>
        </w:rPr>
      </w:pPr>
      <w:r w:rsidRPr="00FD185B">
        <w:rPr>
          <w:rStyle w:val="FootnoteReference"/>
          <w:rFonts w:ascii="Times New Roman" w:hAnsi="Times New Roman"/>
        </w:rPr>
        <w:footnoteRef/>
      </w:r>
      <w:r w:rsidRPr="00F16056">
        <w:rPr>
          <w:rFonts w:ascii="Times New Roman" w:hAnsi="Times New Roman"/>
          <w:lang w:val="lv-LV"/>
        </w:rPr>
        <w:t xml:space="preserve"> </w:t>
      </w:r>
      <w:r>
        <w:rPr>
          <w:rFonts w:ascii="Times New Roman" w:hAnsi="Times New Roman"/>
          <w:lang w:val="lv-LV"/>
        </w:rPr>
        <w:t xml:space="preserve">Dati par minimālo ienākumu mediānu pieejami šeit: </w:t>
      </w:r>
      <w:hyperlink r:id="rId2" w:history="1">
        <w:r w:rsidRPr="00F16056">
          <w:rPr>
            <w:rStyle w:val="Hyperlink"/>
            <w:rFonts w:ascii="Times New Roman" w:hAnsi="Times New Roman"/>
            <w:lang w:val="lv-LV"/>
          </w:rPr>
          <w:t>https://data.stat.gov.lv/pxweb/lv/OSP_PUB/START__POP__NN__NNM/NNM080/</w:t>
        </w:r>
      </w:hyperlink>
      <w:r w:rsidRPr="00F16056">
        <w:rPr>
          <w:rFonts w:ascii="Times New Roman" w:hAnsi="Times New Roman"/>
          <w:lang w:val="lv-LV"/>
        </w:rPr>
        <w:t xml:space="preserve"> </w:t>
      </w:r>
    </w:p>
  </w:footnote>
  <w:footnote w:id="9">
    <w:p w14:paraId="0B2A42D5" w14:textId="1C2032D8" w:rsidR="007D6078" w:rsidRPr="005C7DD0" w:rsidRDefault="007D6078" w:rsidP="005C7DD0">
      <w:pPr>
        <w:pStyle w:val="FootnoteText"/>
        <w:jc w:val="both"/>
        <w:rPr>
          <w:lang w:val="lv-LV"/>
        </w:rPr>
      </w:pPr>
      <w:r w:rsidRPr="005C7DD0">
        <w:rPr>
          <w:rStyle w:val="FootnoteReference"/>
          <w:lang w:val="lv-LV"/>
        </w:rPr>
        <w:footnoteRef/>
      </w:r>
      <w:r w:rsidRPr="005C7DD0">
        <w:rPr>
          <w:lang w:val="lv-LV"/>
        </w:rPr>
        <w:t xml:space="preserve"> </w:t>
      </w:r>
      <w:r w:rsidRPr="005C7DD0">
        <w:rPr>
          <w:rFonts w:ascii="Times New Roman" w:hAnsi="Times New Roman"/>
          <w:lang w:val="lv-LV"/>
        </w:rPr>
        <w:t xml:space="preserve">Visi minimālo ienākumu sliekšņi sociālās drošības sistēmā kopš 2021.gada normatīvajos aktos ir izteikti absolūtā </w:t>
      </w:r>
      <w:r w:rsidRPr="005C7DD0">
        <w:rPr>
          <w:rFonts w:ascii="Times New Roman" w:hAnsi="Times New Roman"/>
          <w:i/>
          <w:lang w:val="lv-LV"/>
        </w:rPr>
        <w:t>euro</w:t>
      </w:r>
      <w:r w:rsidRPr="005C7DD0">
        <w:rPr>
          <w:rFonts w:ascii="Times New Roman" w:hAnsi="Times New Roman"/>
          <w:lang w:val="lv-LV"/>
        </w:rPr>
        <w:t xml:space="preserve"> vērtībā atbilstoši procentuālam apmēram no minimālā ienākuma mediānas (ar apstiprināto skalu 1 un 0.7). No 2023.gada plānots minimālo ienākumu sliekšņus izteikt nevis </w:t>
      </w:r>
      <w:r w:rsidRPr="005C7DD0">
        <w:rPr>
          <w:rFonts w:ascii="Times New Roman" w:hAnsi="Times New Roman"/>
          <w:i/>
          <w:lang w:val="lv-LV"/>
        </w:rPr>
        <w:t>euro</w:t>
      </w:r>
      <w:r w:rsidRPr="005C7DD0">
        <w:rPr>
          <w:rFonts w:ascii="Times New Roman" w:hAnsi="Times New Roman"/>
          <w:lang w:val="lv-LV"/>
        </w:rPr>
        <w:t xml:space="preserve"> apmērā, bet normatīvajos aktos nostiprināt to procentuālo vērtību no minimālā ienākuma mediānas.</w:t>
      </w:r>
    </w:p>
  </w:footnote>
  <w:footnote w:id="10">
    <w:p w14:paraId="7B058A73" w14:textId="77777777" w:rsidR="007D6078" w:rsidRPr="00651F56" w:rsidRDefault="007D6078" w:rsidP="00651F56">
      <w:pPr>
        <w:pStyle w:val="FootnoteText"/>
        <w:jc w:val="both"/>
        <w:rPr>
          <w:lang w:val="lv-LV"/>
        </w:rPr>
      </w:pPr>
      <w:r w:rsidRPr="00651F56">
        <w:rPr>
          <w:rStyle w:val="FootnoteReference"/>
          <w:lang w:val="lv-LV"/>
        </w:rPr>
        <w:footnoteRef/>
      </w:r>
      <w:r w:rsidRPr="00651F56">
        <w:rPr>
          <w:lang w:val="lv-LV"/>
        </w:rPr>
        <w:t xml:space="preserve"> </w:t>
      </w:r>
      <w:r w:rsidRPr="00651F56">
        <w:rPr>
          <w:rFonts w:ascii="Times New Roman" w:hAnsi="Times New Roman"/>
          <w:lang w:val="lv-LV" w:eastAsia="lv-LV"/>
        </w:rPr>
        <w:t xml:space="preserve">Sociālo pakalpojumu un sociālās palīdzības likuma </w:t>
      </w:r>
      <w:r w:rsidRPr="00651F56">
        <w:rPr>
          <w:rFonts w:ascii="Times New Roman" w:hAnsi="Times New Roman"/>
          <w:iCs/>
          <w:shd w:val="clear" w:color="auto" w:fill="FFFFFF"/>
          <w:lang w:val="lv-LV"/>
        </w:rPr>
        <w:t>35.panta pirmā daļa.</w:t>
      </w:r>
    </w:p>
  </w:footnote>
  <w:footnote w:id="11">
    <w:p w14:paraId="1E9D4DB9" w14:textId="77777777" w:rsidR="007D6078" w:rsidRPr="00651F56" w:rsidRDefault="007D6078" w:rsidP="00651F56">
      <w:pPr>
        <w:pStyle w:val="FootnoteText"/>
        <w:jc w:val="both"/>
        <w:rPr>
          <w:rFonts w:ascii="Times New Roman" w:hAnsi="Times New Roman"/>
          <w:lang w:val="lv-LV"/>
        </w:rPr>
      </w:pPr>
      <w:r w:rsidRPr="00651F56">
        <w:rPr>
          <w:rStyle w:val="FootnoteReference"/>
          <w:rFonts w:ascii="Times New Roman" w:hAnsi="Times New Roman"/>
          <w:lang w:val="lv-LV"/>
        </w:rPr>
        <w:footnoteRef/>
      </w:r>
      <w:r w:rsidRPr="00651F56">
        <w:rPr>
          <w:rFonts w:ascii="Times New Roman" w:hAnsi="Times New Roman"/>
          <w:lang w:val="lv-LV"/>
        </w:rPr>
        <w:t xml:space="preserve"> </w:t>
      </w:r>
      <w:r w:rsidRPr="00651F56">
        <w:rPr>
          <w:rFonts w:ascii="Times New Roman" w:hAnsi="Times New Roman"/>
          <w:lang w:val="lv-LV" w:eastAsia="lv-LV"/>
        </w:rPr>
        <w:t xml:space="preserve">Sociālo pakalpojumu un sociālās palīdzības likuma </w:t>
      </w:r>
      <w:r w:rsidRPr="00651F56">
        <w:rPr>
          <w:rFonts w:ascii="Times New Roman" w:hAnsi="Times New Roman"/>
          <w:iCs/>
          <w:shd w:val="clear" w:color="auto" w:fill="FFFFFF"/>
          <w:lang w:val="lv-LV"/>
        </w:rPr>
        <w:t>35.panta trešā daļa.</w:t>
      </w:r>
    </w:p>
  </w:footnote>
  <w:footnote w:id="12">
    <w:p w14:paraId="13BB7412" w14:textId="77777777" w:rsidR="007D6078" w:rsidRPr="00651F56" w:rsidRDefault="007D6078" w:rsidP="00651F56">
      <w:pPr>
        <w:pStyle w:val="FootnoteText"/>
        <w:jc w:val="both"/>
        <w:rPr>
          <w:rFonts w:ascii="Times New Roman" w:hAnsi="Times New Roman"/>
          <w:lang w:val="lv-LV"/>
        </w:rPr>
      </w:pPr>
      <w:r w:rsidRPr="00651F56">
        <w:rPr>
          <w:rStyle w:val="FootnoteReference"/>
          <w:rFonts w:ascii="Times New Roman" w:hAnsi="Times New Roman"/>
          <w:lang w:val="lv-LV"/>
        </w:rPr>
        <w:footnoteRef/>
      </w:r>
      <w:r w:rsidRPr="00651F56">
        <w:rPr>
          <w:rFonts w:ascii="Times New Roman" w:hAnsi="Times New Roman"/>
          <w:lang w:val="lv-LV"/>
        </w:rPr>
        <w:t xml:space="preserve"> </w:t>
      </w:r>
      <w:r w:rsidRPr="00651F56">
        <w:rPr>
          <w:rFonts w:ascii="Times New Roman" w:hAnsi="Times New Roman"/>
          <w:lang w:val="lv-LV" w:eastAsia="lv-LV"/>
        </w:rPr>
        <w:t xml:space="preserve">Sociālo pakalpojumu un sociālās palīdzības likuma </w:t>
      </w:r>
      <w:r w:rsidRPr="00651F56">
        <w:rPr>
          <w:rFonts w:ascii="Times New Roman" w:hAnsi="Times New Roman"/>
          <w:iCs/>
          <w:shd w:val="clear" w:color="auto" w:fill="FFFFFF"/>
          <w:lang w:val="lv-LV"/>
        </w:rPr>
        <w:t>35.panta ceturtā daļa.</w:t>
      </w:r>
    </w:p>
  </w:footnote>
  <w:footnote w:id="13">
    <w:p w14:paraId="1960A36B" w14:textId="129D3E7B" w:rsidR="007D6078" w:rsidRPr="00651F56" w:rsidRDefault="007D6078" w:rsidP="00651F56">
      <w:pPr>
        <w:pStyle w:val="FootnoteText"/>
        <w:jc w:val="both"/>
        <w:rPr>
          <w:lang w:val="lv-LV"/>
        </w:rPr>
      </w:pPr>
      <w:r w:rsidRPr="00651F56">
        <w:rPr>
          <w:rStyle w:val="FootnoteReference"/>
          <w:lang w:val="lv-LV"/>
        </w:rPr>
        <w:footnoteRef/>
      </w:r>
      <w:r w:rsidRPr="00651F56">
        <w:rPr>
          <w:lang w:val="lv-LV"/>
        </w:rPr>
        <w:t xml:space="preserve"> </w:t>
      </w:r>
      <w:r w:rsidRPr="00651F56">
        <w:rPr>
          <w:rFonts w:ascii="Times New Roman" w:hAnsi="Times New Roman"/>
          <w:lang w:val="lv-LV" w:eastAsia="lv-LV"/>
        </w:rPr>
        <w:t xml:space="preserve">Sociālo pakalpojumu un sociālās palīdzības likuma </w:t>
      </w:r>
      <w:r w:rsidRPr="00651F56">
        <w:rPr>
          <w:rFonts w:ascii="Times New Roman" w:hAnsi="Times New Roman"/>
          <w:iCs/>
          <w:shd w:val="clear" w:color="auto" w:fill="FFFFFF"/>
          <w:lang w:val="lv-LV"/>
        </w:rPr>
        <w:t>33.panta</w:t>
      </w:r>
      <w:r>
        <w:rPr>
          <w:rFonts w:ascii="Times New Roman" w:hAnsi="Times New Roman"/>
          <w:iCs/>
          <w:shd w:val="clear" w:color="auto" w:fill="FFFFFF"/>
          <w:lang w:val="lv-LV"/>
        </w:rPr>
        <w:t xml:space="preserve"> </w:t>
      </w:r>
      <w:r w:rsidRPr="00651F56">
        <w:rPr>
          <w:rFonts w:ascii="Times New Roman" w:hAnsi="Times New Roman"/>
          <w:iCs/>
          <w:shd w:val="clear" w:color="auto" w:fill="FFFFFF"/>
          <w:lang w:val="lv-LV"/>
        </w:rPr>
        <w:t>pirmā daļa.</w:t>
      </w:r>
    </w:p>
  </w:footnote>
  <w:footnote w:id="14">
    <w:p w14:paraId="1CA766E3" w14:textId="77777777" w:rsidR="007D6078" w:rsidRPr="00F16056" w:rsidRDefault="007D6078" w:rsidP="00BA67CB">
      <w:pPr>
        <w:pStyle w:val="FootnoteText"/>
        <w:jc w:val="both"/>
        <w:rPr>
          <w:color w:val="000000" w:themeColor="text1"/>
          <w:lang w:val="lv-LV"/>
        </w:rPr>
      </w:pPr>
      <w:r w:rsidRPr="00F55D5E">
        <w:rPr>
          <w:rStyle w:val="FootnoteReference"/>
          <w:color w:val="000000" w:themeColor="text1"/>
        </w:rPr>
        <w:footnoteRef/>
      </w:r>
      <w:r w:rsidRPr="00F16056">
        <w:rPr>
          <w:color w:val="000000" w:themeColor="text1"/>
          <w:lang w:val="lv-LV"/>
        </w:rPr>
        <w:t xml:space="preserve"> </w:t>
      </w:r>
      <w:r w:rsidRPr="00F16056">
        <w:rPr>
          <w:rFonts w:ascii="Times New Roman" w:hAnsi="Times New Roman"/>
          <w:color w:val="000000" w:themeColor="text1"/>
          <w:lang w:val="lv-LV" w:eastAsia="lv-LV"/>
        </w:rPr>
        <w:t xml:space="preserve">Sociālo pakalpojumu un sociālās palīdzības likuma </w:t>
      </w:r>
      <w:r w:rsidRPr="00F16056">
        <w:rPr>
          <w:rFonts w:ascii="Times New Roman" w:hAnsi="Times New Roman"/>
          <w:iCs/>
          <w:color w:val="000000" w:themeColor="text1"/>
          <w:shd w:val="clear" w:color="auto" w:fill="FFFFFF"/>
          <w:lang w:val="lv-LV"/>
        </w:rPr>
        <w:t>36.panta pirmā daļa.</w:t>
      </w:r>
    </w:p>
    <w:p w14:paraId="5D22C68A" w14:textId="77777777" w:rsidR="007D6078" w:rsidRPr="00F16056" w:rsidRDefault="007D6078" w:rsidP="00BA67CB">
      <w:pPr>
        <w:pStyle w:val="FootnoteText"/>
        <w:rPr>
          <w:lang w:val="lv-LV"/>
        </w:rPr>
      </w:pPr>
    </w:p>
  </w:footnote>
  <w:footnote w:id="15">
    <w:p w14:paraId="344D0ACA" w14:textId="77777777" w:rsidR="007D6078" w:rsidRPr="00F55D5E" w:rsidRDefault="007D6078" w:rsidP="00F55D5E">
      <w:pPr>
        <w:pStyle w:val="FootnoteText"/>
        <w:jc w:val="both"/>
        <w:rPr>
          <w:rFonts w:ascii="Times New Roman" w:hAnsi="Times New Roman"/>
          <w:lang w:val="lv-LV"/>
        </w:rPr>
      </w:pPr>
      <w:r w:rsidRPr="00F55D5E">
        <w:rPr>
          <w:rStyle w:val="FootnoteReference"/>
          <w:rFonts w:ascii="Times New Roman" w:hAnsi="Times New Roman"/>
          <w:lang w:val="lv-LV"/>
        </w:rPr>
        <w:footnoteRef/>
      </w:r>
      <w:r w:rsidRPr="00F55D5E">
        <w:rPr>
          <w:rFonts w:ascii="Times New Roman" w:hAnsi="Times New Roman"/>
          <w:lang w:val="lv-LV"/>
        </w:rPr>
        <w:t xml:space="preserve"> Ministru kabineta 2021. gada 1. jūnija noteikumi Nr. 345 "Aizsargātā lietotāja tirdzniecības pakalpojuma noteikumi"</w:t>
      </w:r>
    </w:p>
  </w:footnote>
  <w:footnote w:id="16">
    <w:p w14:paraId="25988518" w14:textId="77777777" w:rsidR="007D6078" w:rsidRPr="00316FEC" w:rsidRDefault="007D6078" w:rsidP="00EC4DF2">
      <w:pPr>
        <w:pStyle w:val="FootnoteText"/>
        <w:jc w:val="both"/>
        <w:rPr>
          <w:rFonts w:ascii="Times New Roman" w:hAnsi="Times New Roman"/>
          <w:lang w:val="lv-LV"/>
        </w:rPr>
      </w:pPr>
      <w:r w:rsidRPr="00316FEC">
        <w:rPr>
          <w:rStyle w:val="FootnoteReference"/>
          <w:rFonts w:ascii="Times New Roman" w:hAnsi="Times New Roman"/>
        </w:rPr>
        <w:footnoteRef/>
      </w:r>
      <w:r w:rsidRPr="00316FEC">
        <w:rPr>
          <w:rFonts w:ascii="Times New Roman" w:hAnsi="Times New Roman"/>
          <w:lang w:val="lv-LV"/>
        </w:rPr>
        <w:t xml:space="preserve"> Sociālo pakalpojumu un sociālās palīdzības likuma 36.panta piektā daļa. </w:t>
      </w:r>
    </w:p>
  </w:footnote>
  <w:footnote w:id="17">
    <w:p w14:paraId="66ACACA5" w14:textId="77777777" w:rsidR="007D6078" w:rsidRPr="008365B7" w:rsidRDefault="007D6078" w:rsidP="00B129B9">
      <w:pPr>
        <w:spacing w:after="0" w:line="240" w:lineRule="auto"/>
        <w:jc w:val="both"/>
        <w:rPr>
          <w:rFonts w:ascii="Times New Roman" w:hAnsi="Times New Roman" w:cs="Times New Roman"/>
          <w:color w:val="0070C0"/>
        </w:rPr>
      </w:pPr>
      <w:r w:rsidRPr="00316FEC">
        <w:rPr>
          <w:rStyle w:val="FootnoteReference"/>
          <w:rFonts w:ascii="Times New Roman" w:hAnsi="Times New Roman"/>
          <w:sz w:val="20"/>
          <w:szCs w:val="20"/>
        </w:rPr>
        <w:footnoteRef/>
      </w:r>
      <w:r w:rsidRPr="00316FEC">
        <w:rPr>
          <w:rFonts w:ascii="Times New Roman" w:hAnsi="Times New Roman" w:cs="Times New Roman"/>
          <w:sz w:val="20"/>
          <w:szCs w:val="20"/>
        </w:rPr>
        <w:t xml:space="preserve"> </w:t>
      </w:r>
      <w:bookmarkStart w:id="1" w:name="_Hlk89941711"/>
      <w:r w:rsidRPr="00316FEC">
        <w:rPr>
          <w:rFonts w:ascii="Times New Roman" w:hAnsi="Times New Roman" w:cs="Times New Roman"/>
          <w:sz w:val="20"/>
          <w:szCs w:val="20"/>
        </w:rPr>
        <w:t xml:space="preserve">Covid-19 infekcijas izplatības seku pārvarēšanas </w:t>
      </w:r>
      <w:bookmarkEnd w:id="1"/>
      <w:r w:rsidRPr="00316FEC">
        <w:rPr>
          <w:rFonts w:ascii="Times New Roman" w:hAnsi="Times New Roman" w:cs="Times New Roman"/>
          <w:sz w:val="20"/>
          <w:szCs w:val="20"/>
        </w:rPr>
        <w:t>likuma 77.pants un Energoresursu cenu ārkārtēja pieauguma samazinājuma pasākumu likuma 13.pants.</w:t>
      </w:r>
    </w:p>
  </w:footnote>
  <w:footnote w:id="18">
    <w:p w14:paraId="70878B3E" w14:textId="02637651" w:rsidR="007D6078" w:rsidRPr="009C7A1C" w:rsidRDefault="007D6078" w:rsidP="00B129B9">
      <w:pPr>
        <w:pStyle w:val="FootnoteText"/>
        <w:jc w:val="both"/>
        <w:rPr>
          <w:rFonts w:ascii="Times New Roman" w:hAnsi="Times New Roman"/>
          <w:lang w:val="lv-LV"/>
        </w:rPr>
      </w:pPr>
      <w:r w:rsidRPr="009C7A1C">
        <w:rPr>
          <w:rStyle w:val="FootnoteReference"/>
          <w:rFonts w:ascii="Times New Roman" w:hAnsi="Times New Roman"/>
          <w:lang w:val="lv-LV"/>
        </w:rPr>
        <w:footnoteRef/>
      </w:r>
      <w:r w:rsidRPr="009C7A1C">
        <w:rPr>
          <w:rFonts w:ascii="Times New Roman" w:hAnsi="Times New Roman"/>
          <w:lang w:val="lv-LV"/>
        </w:rPr>
        <w:t xml:space="preserve"> </w:t>
      </w:r>
      <w:r w:rsidR="001C0BF4">
        <w:rPr>
          <w:rFonts w:ascii="Times New Roman" w:hAnsi="Times New Roman"/>
          <w:lang w:val="lv-LV"/>
        </w:rPr>
        <w:t xml:space="preserve">Koeficientu palielinājuma rezultātā </w:t>
      </w:r>
      <w:r w:rsidR="001C0BF4" w:rsidRPr="009C7A1C">
        <w:rPr>
          <w:rFonts w:ascii="Times New Roman" w:hAnsi="Times New Roman"/>
          <w:lang w:val="lv-LV"/>
        </w:rPr>
        <w:t>GMI sliek</w:t>
      </w:r>
      <w:r w:rsidR="001C0BF4">
        <w:rPr>
          <w:rFonts w:ascii="Times New Roman" w:hAnsi="Times New Roman"/>
          <w:lang w:val="lv-LV"/>
        </w:rPr>
        <w:t xml:space="preserve">snis </w:t>
      </w:r>
      <w:r w:rsidR="001C0BF4" w:rsidRPr="009C7A1C">
        <w:rPr>
          <w:rFonts w:ascii="Times New Roman" w:hAnsi="Times New Roman"/>
          <w:lang w:val="lv-LV"/>
        </w:rPr>
        <w:t xml:space="preserve">ir 272,50 </w:t>
      </w:r>
      <w:r w:rsidR="001C0BF4" w:rsidRPr="009C7A1C">
        <w:rPr>
          <w:rFonts w:ascii="Times New Roman" w:hAnsi="Times New Roman"/>
          <w:i/>
          <w:lang w:val="lv-LV"/>
        </w:rPr>
        <w:t>euro</w:t>
      </w:r>
      <w:r w:rsidR="001C0BF4" w:rsidRPr="009C7A1C">
        <w:rPr>
          <w:rFonts w:ascii="Times New Roman" w:hAnsi="Times New Roman"/>
          <w:lang w:val="lv-LV"/>
        </w:rPr>
        <w:t xml:space="preserve"> vienīgajai personai mājsaimniecībā</w:t>
      </w:r>
    </w:p>
  </w:footnote>
  <w:footnote w:id="19">
    <w:p w14:paraId="1ECF862F" w14:textId="369EBA72" w:rsidR="007D6078" w:rsidRPr="009C7A1C" w:rsidRDefault="007D6078" w:rsidP="00365151">
      <w:pPr>
        <w:pStyle w:val="FootnoteText"/>
        <w:jc w:val="both"/>
        <w:rPr>
          <w:lang w:val="lv-LV"/>
        </w:rPr>
      </w:pPr>
      <w:r>
        <w:rPr>
          <w:rStyle w:val="FootnoteReference"/>
        </w:rPr>
        <w:footnoteRef/>
      </w:r>
      <w:r w:rsidRPr="00F16056">
        <w:rPr>
          <w:lang w:val="lv-LV"/>
        </w:rPr>
        <w:t xml:space="preserve"> </w:t>
      </w:r>
      <w:r w:rsidR="001C0BF4">
        <w:rPr>
          <w:rFonts w:ascii="Times New Roman" w:hAnsi="Times New Roman"/>
          <w:lang w:val="lv-LV"/>
        </w:rPr>
        <w:t xml:space="preserve">Koeficientu palielinājuma rezultātā </w:t>
      </w:r>
      <w:r w:rsidR="001C0BF4" w:rsidRPr="009C7A1C">
        <w:rPr>
          <w:rFonts w:ascii="Times New Roman" w:hAnsi="Times New Roman"/>
          <w:lang w:val="lv-LV"/>
        </w:rPr>
        <w:t>GMI sliek</w:t>
      </w:r>
      <w:r w:rsidR="001C0BF4">
        <w:rPr>
          <w:rFonts w:ascii="Times New Roman" w:hAnsi="Times New Roman"/>
          <w:lang w:val="lv-LV"/>
        </w:rPr>
        <w:t>snis</w:t>
      </w:r>
      <w:r w:rsidR="001C0BF4" w:rsidRPr="009C7A1C">
        <w:rPr>
          <w:rFonts w:ascii="Times New Roman" w:hAnsi="Times New Roman"/>
          <w:lang w:val="lv-LV"/>
        </w:rPr>
        <w:t xml:space="preserve"> ir </w:t>
      </w:r>
      <w:r w:rsidR="001C0BF4">
        <w:rPr>
          <w:rFonts w:ascii="Times New Roman" w:hAnsi="Times New Roman"/>
          <w:lang w:val="lv-LV"/>
        </w:rPr>
        <w:t>218</w:t>
      </w:r>
      <w:r w:rsidR="001C0BF4" w:rsidRPr="009C7A1C">
        <w:rPr>
          <w:rFonts w:ascii="Times New Roman" w:hAnsi="Times New Roman"/>
          <w:lang w:val="lv-LV"/>
        </w:rPr>
        <w:t xml:space="preserve"> </w:t>
      </w:r>
      <w:r w:rsidR="001C0BF4" w:rsidRPr="009C7A1C">
        <w:rPr>
          <w:rFonts w:ascii="Times New Roman" w:hAnsi="Times New Roman"/>
          <w:i/>
          <w:lang w:val="lv-LV"/>
        </w:rPr>
        <w:t>euro</w:t>
      </w:r>
      <w:r w:rsidR="001C0BF4" w:rsidRPr="009C7A1C">
        <w:rPr>
          <w:rFonts w:ascii="Times New Roman" w:hAnsi="Times New Roman"/>
          <w:lang w:val="lv-LV"/>
        </w:rPr>
        <w:t xml:space="preserve"> pirmajai vai vienīgajai personai mājsaimniecībā un </w:t>
      </w:r>
      <w:r w:rsidR="001C0BF4">
        <w:rPr>
          <w:rFonts w:ascii="Times New Roman" w:hAnsi="Times New Roman"/>
          <w:lang w:val="lv-LV"/>
        </w:rPr>
        <w:t>152</w:t>
      </w:r>
      <w:r w:rsidR="001C0BF4" w:rsidRPr="009C7A1C">
        <w:rPr>
          <w:rFonts w:ascii="Times New Roman" w:hAnsi="Times New Roman"/>
          <w:lang w:val="lv-LV"/>
        </w:rPr>
        <w:t xml:space="preserve"> </w:t>
      </w:r>
      <w:r w:rsidR="001C0BF4" w:rsidRPr="009C7A1C">
        <w:rPr>
          <w:rFonts w:ascii="Times New Roman" w:hAnsi="Times New Roman"/>
          <w:i/>
          <w:lang w:val="lv-LV"/>
        </w:rPr>
        <w:t>euro</w:t>
      </w:r>
      <w:r w:rsidR="001C0BF4" w:rsidRPr="009C7A1C">
        <w:rPr>
          <w:rFonts w:ascii="Times New Roman" w:hAnsi="Times New Roman"/>
          <w:lang w:val="lv-LV"/>
        </w:rPr>
        <w:t xml:space="preserve"> pārējām personām mājsaimniecībā</w:t>
      </w:r>
    </w:p>
  </w:footnote>
  <w:footnote w:id="20">
    <w:p w14:paraId="698DE812" w14:textId="75B60E24" w:rsidR="007D6078" w:rsidRPr="009C7A1C" w:rsidRDefault="007D6078" w:rsidP="00365151">
      <w:pPr>
        <w:pStyle w:val="FootnoteText"/>
        <w:jc w:val="both"/>
        <w:rPr>
          <w:lang w:val="lv-LV"/>
        </w:rPr>
      </w:pPr>
      <w:r>
        <w:rPr>
          <w:rStyle w:val="FootnoteReference"/>
        </w:rPr>
        <w:footnoteRef/>
      </w:r>
      <w:r w:rsidRPr="00F16056">
        <w:rPr>
          <w:lang w:val="lv-LV"/>
        </w:rPr>
        <w:t xml:space="preserve"> </w:t>
      </w:r>
      <w:r w:rsidR="001C0BF4">
        <w:rPr>
          <w:rFonts w:ascii="Times New Roman" w:hAnsi="Times New Roman"/>
          <w:lang w:val="lv-LV"/>
        </w:rPr>
        <w:t xml:space="preserve">Koeficientu palielinājuma rezultātā </w:t>
      </w:r>
      <w:r w:rsidR="001C0BF4" w:rsidRPr="009C7A1C">
        <w:rPr>
          <w:rFonts w:ascii="Times New Roman" w:hAnsi="Times New Roman"/>
          <w:lang w:val="lv-LV"/>
        </w:rPr>
        <w:t>GMI sliek</w:t>
      </w:r>
      <w:r w:rsidR="001C0BF4">
        <w:rPr>
          <w:rFonts w:ascii="Times New Roman" w:hAnsi="Times New Roman"/>
          <w:lang w:val="lv-LV"/>
        </w:rPr>
        <w:t xml:space="preserve">snis </w:t>
      </w:r>
      <w:r w:rsidR="001C0BF4" w:rsidRPr="009C7A1C">
        <w:rPr>
          <w:rFonts w:ascii="Times New Roman" w:hAnsi="Times New Roman"/>
          <w:lang w:val="lv-LV"/>
        </w:rPr>
        <w:t xml:space="preserve"> ir </w:t>
      </w:r>
      <w:r w:rsidR="001C0BF4">
        <w:rPr>
          <w:rFonts w:ascii="Times New Roman" w:hAnsi="Times New Roman"/>
          <w:lang w:val="lv-LV"/>
        </w:rPr>
        <w:t>163,50</w:t>
      </w:r>
      <w:r w:rsidR="001C0BF4" w:rsidRPr="009C7A1C">
        <w:rPr>
          <w:rFonts w:ascii="Times New Roman" w:hAnsi="Times New Roman"/>
          <w:lang w:val="lv-LV"/>
        </w:rPr>
        <w:t xml:space="preserve"> </w:t>
      </w:r>
      <w:r w:rsidR="001C0BF4" w:rsidRPr="009C7A1C">
        <w:rPr>
          <w:rFonts w:ascii="Times New Roman" w:hAnsi="Times New Roman"/>
          <w:i/>
          <w:lang w:val="lv-LV"/>
        </w:rPr>
        <w:t>euro</w:t>
      </w:r>
      <w:r w:rsidR="001C0BF4" w:rsidRPr="009C7A1C">
        <w:rPr>
          <w:rFonts w:ascii="Times New Roman" w:hAnsi="Times New Roman"/>
          <w:lang w:val="lv-LV"/>
        </w:rPr>
        <w:t xml:space="preserve"> pirmajai vai vienīgajai personai mājsaimniecībā un </w:t>
      </w:r>
      <w:r w:rsidR="001C0BF4">
        <w:rPr>
          <w:rFonts w:ascii="Times New Roman" w:hAnsi="Times New Roman"/>
          <w:lang w:val="lv-LV"/>
        </w:rPr>
        <w:t>114</w:t>
      </w:r>
      <w:r w:rsidR="001C0BF4" w:rsidRPr="009C7A1C">
        <w:rPr>
          <w:rFonts w:ascii="Times New Roman" w:hAnsi="Times New Roman"/>
          <w:lang w:val="lv-LV"/>
        </w:rPr>
        <w:t xml:space="preserve"> </w:t>
      </w:r>
      <w:r w:rsidR="001C0BF4" w:rsidRPr="009C7A1C">
        <w:rPr>
          <w:rFonts w:ascii="Times New Roman" w:hAnsi="Times New Roman"/>
          <w:i/>
          <w:lang w:val="lv-LV"/>
        </w:rPr>
        <w:t>euro</w:t>
      </w:r>
      <w:r w:rsidR="001C0BF4" w:rsidRPr="009C7A1C">
        <w:rPr>
          <w:rFonts w:ascii="Times New Roman" w:hAnsi="Times New Roman"/>
          <w:lang w:val="lv-LV"/>
        </w:rPr>
        <w:t xml:space="preserve"> pārējām personām mājsaimniecībā</w:t>
      </w:r>
    </w:p>
  </w:footnote>
  <w:footnote w:id="21">
    <w:p w14:paraId="3707A2CD" w14:textId="2618EC36" w:rsidR="007D6078" w:rsidRPr="005A0F1D" w:rsidRDefault="007D6078">
      <w:pPr>
        <w:pStyle w:val="FootnoteText"/>
        <w:rPr>
          <w:rFonts w:ascii="Times New Roman" w:hAnsi="Times New Roman"/>
          <w:lang w:val="lv-LV"/>
        </w:rPr>
      </w:pPr>
      <w:r w:rsidRPr="005A0F1D">
        <w:rPr>
          <w:rStyle w:val="FootnoteReference"/>
          <w:rFonts w:ascii="Times New Roman" w:hAnsi="Times New Roman"/>
          <w:lang w:val="lv-LV"/>
        </w:rPr>
        <w:footnoteRef/>
      </w:r>
      <w:r w:rsidRPr="005A0F1D">
        <w:rPr>
          <w:rFonts w:ascii="Times New Roman" w:hAnsi="Times New Roman"/>
          <w:lang w:val="lv-LV"/>
        </w:rPr>
        <w:t xml:space="preserve"> Atbilstoši 27.01.2022. “Energoresursu cenu ārkārtēja pieauguma samazinājuma pasākumu likums”</w:t>
      </w:r>
    </w:p>
  </w:footnote>
  <w:footnote w:id="22">
    <w:p w14:paraId="33EAF2A6" w14:textId="77777777" w:rsidR="007D6078" w:rsidRDefault="007D6078" w:rsidP="000906D5">
      <w:pPr>
        <w:pStyle w:val="FootnoteText"/>
      </w:pPr>
      <w:r w:rsidRPr="000C111E">
        <w:rPr>
          <w:rStyle w:val="FootnoteReference"/>
          <w:rFonts w:ascii="Times New Roman" w:hAnsi="Times New Roman"/>
        </w:rPr>
        <w:footnoteRef/>
      </w:r>
      <w:r w:rsidRPr="000C111E">
        <w:rPr>
          <w:rFonts w:ascii="Times New Roman" w:hAnsi="Times New Roman"/>
        </w:rPr>
        <w:t xml:space="preserve"> Ministru kabineta 2021.gada 30.novembra sēdes protokols Nr. 78, 79. §</w:t>
      </w:r>
    </w:p>
  </w:footnote>
  <w:footnote w:id="23">
    <w:p w14:paraId="3F421700" w14:textId="2862F117" w:rsidR="007D6078" w:rsidRPr="00B47082" w:rsidRDefault="007D6078" w:rsidP="00B47082">
      <w:pPr>
        <w:spacing w:after="0" w:line="240" w:lineRule="auto"/>
        <w:jc w:val="both"/>
        <w:rPr>
          <w:rFonts w:ascii="Times New Roman" w:hAnsi="Times New Roman" w:cs="Times New Roman"/>
          <w:sz w:val="20"/>
          <w:szCs w:val="20"/>
        </w:rPr>
      </w:pPr>
      <w:r w:rsidRPr="00B47082">
        <w:rPr>
          <w:rStyle w:val="FootnoteReference"/>
          <w:rFonts w:ascii="Times New Roman" w:hAnsi="Times New Roman"/>
          <w:sz w:val="20"/>
          <w:szCs w:val="20"/>
        </w:rPr>
        <w:footnoteRef/>
      </w:r>
      <w:r w:rsidRPr="00B47082">
        <w:rPr>
          <w:rFonts w:ascii="Times New Roman" w:hAnsi="Times New Roman" w:cs="Times New Roman"/>
          <w:sz w:val="20"/>
          <w:szCs w:val="20"/>
        </w:rPr>
        <w:t xml:space="preserve"> Ministru kabineta 2017. gada 7. februāra noteikumi Nr. 78 “Dabasgāzes tirdzniecības un lietošanas noteikumi”, Ministru kabineta 2014. gada 21. janvāra noteikumi Nr. 50 "Elektroenerģijas tirdzniecības un lietošanas noteikumi" un Ministru kabineta 2008. gada 21. oktobra noteikumi Nr. 876 "Siltumenerģijas piegādes un lietošanas noteikumi".</w:t>
      </w:r>
    </w:p>
  </w:footnote>
  <w:footnote w:id="24">
    <w:p w14:paraId="10F5FD69" w14:textId="0A00208B" w:rsidR="007D6078" w:rsidRPr="00FB4B9D" w:rsidRDefault="007D6078" w:rsidP="00FB4B9D">
      <w:pPr>
        <w:pStyle w:val="FootnoteText"/>
        <w:jc w:val="both"/>
        <w:rPr>
          <w:rFonts w:ascii="Times New Roman" w:hAnsi="Times New Roman"/>
          <w:lang w:val="lv-LV"/>
        </w:rPr>
      </w:pPr>
      <w:r w:rsidRPr="00FB4B9D">
        <w:rPr>
          <w:rStyle w:val="FootnoteReference"/>
          <w:rFonts w:ascii="Times New Roman" w:hAnsi="Times New Roman"/>
          <w:lang w:val="lv-LV"/>
        </w:rPr>
        <w:footnoteRef/>
      </w:r>
      <w:r w:rsidRPr="00FB4B9D">
        <w:rPr>
          <w:rFonts w:ascii="Times New Roman" w:hAnsi="Times New Roman"/>
          <w:lang w:val="lv-LV"/>
        </w:rPr>
        <w:t xml:space="preserve"> Jāatzīmē, ka </w:t>
      </w:r>
      <w:r>
        <w:rPr>
          <w:rFonts w:ascii="Times New Roman" w:hAnsi="Times New Roman"/>
          <w:lang w:val="lv-LV"/>
        </w:rPr>
        <w:t>Fizisko personu</w:t>
      </w:r>
      <w:r w:rsidRPr="00FB4B9D">
        <w:rPr>
          <w:rFonts w:ascii="Times New Roman" w:hAnsi="Times New Roman"/>
          <w:lang w:val="lv-LV"/>
        </w:rPr>
        <w:t xml:space="preserve"> reģistrā kopējais iedzīvotāju skaits par gandrīz 200 000 jeb gandrīz 10% pārsniedza Centrālās statistikas pārvaldes datus par Latvijas iedzīvotāju skaitu 2022.gadā sākumā.</w:t>
      </w:r>
      <w:r>
        <w:rPr>
          <w:rFonts w:ascii="Times New Roman" w:hAnsi="Times New Roman"/>
          <w:lang w:val="lv-LV"/>
        </w:rPr>
        <w:t xml:space="preserve"> </w:t>
      </w:r>
      <w:r w:rsidRPr="003E3CAE">
        <w:rPr>
          <w:rFonts w:ascii="Times New Roman" w:hAnsi="Times New Roman"/>
          <w:lang w:val="lv-LV"/>
        </w:rPr>
        <w:t>Latvijas iedzīvotāju skaits pašvaldībās uz 2022.gada 1.jūniju ir norādīts atbilstoši Fizisko personu reģistrā esošajām ziņām, kas var atšķirties no statistikas datiem, kurus apkopo un veido Centrālā Statistikas pārvalde, izmantojot papildus citu iestā</w:t>
      </w:r>
      <w:r>
        <w:rPr>
          <w:rFonts w:ascii="Times New Roman" w:hAnsi="Times New Roman"/>
          <w:lang w:val="lv-LV"/>
        </w:rPr>
        <w:t>žu datus un atlases kritērijus.</w:t>
      </w:r>
    </w:p>
  </w:footnote>
  <w:footnote w:id="25">
    <w:p w14:paraId="41BB9B11" w14:textId="77777777" w:rsidR="007D6078" w:rsidRPr="008051CF" w:rsidRDefault="007D6078" w:rsidP="00365151">
      <w:pPr>
        <w:pStyle w:val="FootnoteText"/>
        <w:jc w:val="both"/>
        <w:rPr>
          <w:lang w:val="lv-LV"/>
        </w:rPr>
      </w:pPr>
      <w:r>
        <w:rPr>
          <w:rStyle w:val="FootnoteReference"/>
        </w:rPr>
        <w:footnoteRef/>
      </w:r>
      <w:r w:rsidRPr="00F16056">
        <w:rPr>
          <w:lang w:val="lv-LV"/>
        </w:rPr>
        <w:t xml:space="preserve"> </w:t>
      </w:r>
      <w:r>
        <w:rPr>
          <w:rFonts w:ascii="Times New Roman" w:hAnsi="Times New Roman"/>
          <w:lang w:val="lv-LV"/>
        </w:rPr>
        <w:t xml:space="preserve">Koeficienta palielinājuma rezultātā </w:t>
      </w:r>
      <w:r w:rsidRPr="009C7A1C">
        <w:rPr>
          <w:rFonts w:ascii="Times New Roman" w:hAnsi="Times New Roman"/>
          <w:lang w:val="lv-LV"/>
        </w:rPr>
        <w:t>GMI sliek</w:t>
      </w:r>
      <w:r>
        <w:rPr>
          <w:rFonts w:ascii="Times New Roman" w:hAnsi="Times New Roman"/>
          <w:lang w:val="lv-LV"/>
        </w:rPr>
        <w:t xml:space="preserve">snis mājokļa pabalsta apmēra aprēķinam </w:t>
      </w:r>
      <w:r w:rsidRPr="009C7A1C">
        <w:rPr>
          <w:rFonts w:ascii="Times New Roman" w:hAnsi="Times New Roman"/>
          <w:lang w:val="lv-LV"/>
        </w:rPr>
        <w:t xml:space="preserve">ir </w:t>
      </w:r>
      <w:r>
        <w:rPr>
          <w:rFonts w:ascii="Times New Roman" w:hAnsi="Times New Roman"/>
          <w:lang w:val="lv-LV"/>
        </w:rPr>
        <w:t>327</w:t>
      </w:r>
      <w:r w:rsidRPr="009C7A1C">
        <w:rPr>
          <w:rFonts w:ascii="Times New Roman" w:hAnsi="Times New Roman"/>
          <w:lang w:val="lv-LV"/>
        </w:rPr>
        <w:t xml:space="preserve"> </w:t>
      </w:r>
      <w:r w:rsidRPr="009C7A1C">
        <w:rPr>
          <w:rFonts w:ascii="Times New Roman" w:hAnsi="Times New Roman"/>
          <w:i/>
          <w:lang w:val="lv-LV"/>
        </w:rPr>
        <w:t>euro</w:t>
      </w:r>
      <w:r w:rsidRPr="009C7A1C">
        <w:rPr>
          <w:rFonts w:ascii="Times New Roman" w:hAnsi="Times New Roman"/>
          <w:lang w:val="lv-LV"/>
        </w:rPr>
        <w:t xml:space="preserve"> pirmajai vai vienīgajai personai mājsaimniecībā un </w:t>
      </w:r>
      <w:r>
        <w:rPr>
          <w:rFonts w:ascii="Times New Roman" w:hAnsi="Times New Roman"/>
          <w:lang w:val="lv-LV"/>
        </w:rPr>
        <w:t>228</w:t>
      </w:r>
      <w:r w:rsidRPr="009C7A1C">
        <w:rPr>
          <w:rFonts w:ascii="Times New Roman" w:hAnsi="Times New Roman"/>
          <w:lang w:val="lv-LV"/>
        </w:rPr>
        <w:t xml:space="preserve"> </w:t>
      </w:r>
      <w:r w:rsidRPr="009C7A1C">
        <w:rPr>
          <w:rFonts w:ascii="Times New Roman" w:hAnsi="Times New Roman"/>
          <w:i/>
          <w:lang w:val="lv-LV"/>
        </w:rPr>
        <w:t>euro</w:t>
      </w:r>
      <w:r w:rsidRPr="009C7A1C">
        <w:rPr>
          <w:rFonts w:ascii="Times New Roman" w:hAnsi="Times New Roman"/>
          <w:lang w:val="lv-LV"/>
        </w:rPr>
        <w:t xml:space="preserve"> pārējām personām mājsaimniecībā</w:t>
      </w:r>
      <w:r>
        <w:rPr>
          <w:rFonts w:ascii="Times New Roman" w:hAnsi="Times New Roman"/>
          <w:lang w:val="lv-LV"/>
        </w:rPr>
        <w:t>.</w:t>
      </w:r>
    </w:p>
  </w:footnote>
  <w:footnote w:id="26">
    <w:p w14:paraId="3BCEBF87" w14:textId="154AFACE" w:rsidR="003F3168" w:rsidRPr="00B81811" w:rsidRDefault="003F3168" w:rsidP="000C5E35">
      <w:pPr>
        <w:pStyle w:val="FootnoteText"/>
        <w:jc w:val="both"/>
        <w:rPr>
          <w:lang w:val="lv-LV"/>
        </w:rPr>
      </w:pPr>
      <w:r>
        <w:rPr>
          <w:rStyle w:val="FootnoteReference"/>
        </w:rPr>
        <w:footnoteRef/>
      </w:r>
      <w:r w:rsidRPr="00F16056">
        <w:rPr>
          <w:lang w:val="lv-LV"/>
        </w:rPr>
        <w:t xml:space="preserve"> </w:t>
      </w:r>
      <w:r>
        <w:rPr>
          <w:rFonts w:ascii="Times New Roman" w:hAnsi="Times New Roman"/>
          <w:lang w:val="lv-LV"/>
        </w:rPr>
        <w:t xml:space="preserve">Koeficienta palielinājuma rezultātā </w:t>
      </w:r>
      <w:r w:rsidRPr="009C7A1C">
        <w:rPr>
          <w:rFonts w:ascii="Times New Roman" w:hAnsi="Times New Roman"/>
          <w:lang w:val="lv-LV"/>
        </w:rPr>
        <w:t>GMI sliek</w:t>
      </w:r>
      <w:r>
        <w:rPr>
          <w:rFonts w:ascii="Times New Roman" w:hAnsi="Times New Roman"/>
          <w:lang w:val="lv-LV"/>
        </w:rPr>
        <w:t xml:space="preserve">snis mājokļa pabalsta apmēra aprēķinam </w:t>
      </w:r>
      <w:r w:rsidRPr="009C7A1C">
        <w:rPr>
          <w:rFonts w:ascii="Times New Roman" w:hAnsi="Times New Roman"/>
          <w:lang w:val="lv-LV"/>
        </w:rPr>
        <w:t xml:space="preserve">ir </w:t>
      </w:r>
      <w:r>
        <w:rPr>
          <w:rFonts w:ascii="Times New Roman" w:hAnsi="Times New Roman"/>
          <w:lang w:val="lv-LV"/>
        </w:rPr>
        <w:t>436</w:t>
      </w:r>
      <w:r w:rsidRPr="009C7A1C">
        <w:rPr>
          <w:rFonts w:ascii="Times New Roman" w:hAnsi="Times New Roman"/>
          <w:lang w:val="lv-LV"/>
        </w:rPr>
        <w:t xml:space="preserve"> </w:t>
      </w:r>
      <w:r w:rsidRPr="009C7A1C">
        <w:rPr>
          <w:rFonts w:ascii="Times New Roman" w:hAnsi="Times New Roman"/>
          <w:i/>
          <w:lang w:val="lv-LV"/>
        </w:rPr>
        <w:t>euro</w:t>
      </w:r>
      <w:r w:rsidRPr="009C7A1C">
        <w:rPr>
          <w:rFonts w:ascii="Times New Roman" w:hAnsi="Times New Roman"/>
          <w:lang w:val="lv-LV"/>
        </w:rPr>
        <w:t xml:space="preserve"> pirmajai vai vienīgajai personai mājsaimniecībā un </w:t>
      </w:r>
      <w:r>
        <w:rPr>
          <w:rFonts w:ascii="Times New Roman" w:hAnsi="Times New Roman"/>
          <w:lang w:val="lv-LV"/>
        </w:rPr>
        <w:t>304</w:t>
      </w:r>
      <w:r w:rsidRPr="009C7A1C">
        <w:rPr>
          <w:rFonts w:ascii="Times New Roman" w:hAnsi="Times New Roman"/>
          <w:lang w:val="lv-LV"/>
        </w:rPr>
        <w:t xml:space="preserve"> </w:t>
      </w:r>
      <w:r w:rsidRPr="009C7A1C">
        <w:rPr>
          <w:rFonts w:ascii="Times New Roman" w:hAnsi="Times New Roman"/>
          <w:i/>
          <w:lang w:val="lv-LV"/>
        </w:rPr>
        <w:t>euro</w:t>
      </w:r>
      <w:r w:rsidRPr="009C7A1C">
        <w:rPr>
          <w:rFonts w:ascii="Times New Roman" w:hAnsi="Times New Roman"/>
          <w:lang w:val="lv-LV"/>
        </w:rPr>
        <w:t xml:space="preserve"> pārējām personām mājsaimniecībā</w:t>
      </w:r>
      <w:r>
        <w:rPr>
          <w:rFonts w:ascii="Times New Roman" w:hAnsi="Times New Roman"/>
          <w:lang w:val="lv-LV"/>
        </w:rPr>
        <w:t>.</w:t>
      </w:r>
    </w:p>
  </w:footnote>
  <w:footnote w:id="27">
    <w:p w14:paraId="173361F7" w14:textId="7C7584B6" w:rsidR="007D6078" w:rsidRPr="0043551A" w:rsidRDefault="007D6078" w:rsidP="0043551A">
      <w:pPr>
        <w:pStyle w:val="FootnoteText"/>
        <w:jc w:val="both"/>
        <w:rPr>
          <w:rFonts w:ascii="Times New Roman" w:hAnsi="Times New Roman"/>
          <w:lang w:val="lv-LV"/>
        </w:rPr>
      </w:pPr>
      <w:r w:rsidRPr="0043551A">
        <w:rPr>
          <w:rStyle w:val="FootnoteReference"/>
          <w:rFonts w:ascii="Times New Roman" w:hAnsi="Times New Roman"/>
          <w:lang w:val="lv-LV"/>
        </w:rPr>
        <w:footnoteRef/>
      </w:r>
      <w:r w:rsidRPr="0043551A">
        <w:rPr>
          <w:rFonts w:ascii="Times New Roman" w:hAnsi="Times New Roman"/>
          <w:lang w:val="lv-LV"/>
        </w:rPr>
        <w:t xml:space="preserve"> Visi minimālo ienākumu sliekšņi sociālās drošības sistēmā kopš 2021.gada normatīvajos aktos ir izteikti absolūtā </w:t>
      </w:r>
      <w:r w:rsidRPr="0043551A">
        <w:rPr>
          <w:rFonts w:ascii="Times New Roman" w:hAnsi="Times New Roman"/>
          <w:i/>
          <w:lang w:val="lv-LV"/>
        </w:rPr>
        <w:t>euro</w:t>
      </w:r>
      <w:r w:rsidRPr="0043551A">
        <w:rPr>
          <w:rFonts w:ascii="Times New Roman" w:hAnsi="Times New Roman"/>
          <w:lang w:val="lv-LV"/>
        </w:rPr>
        <w:t xml:space="preserve"> vērtībā atbilstoši procentuālam apmēram no minimālā ienākuma mediānas (ar apstiprināto skalu 1 un 0.7). No 2023.gada plānots minimālo ienākumu sliekšņus izteikt nevis </w:t>
      </w:r>
      <w:r w:rsidRPr="0043551A">
        <w:rPr>
          <w:rFonts w:ascii="Times New Roman" w:hAnsi="Times New Roman"/>
          <w:i/>
          <w:lang w:val="lv-LV"/>
        </w:rPr>
        <w:t>euro</w:t>
      </w:r>
      <w:r w:rsidRPr="0043551A">
        <w:rPr>
          <w:rFonts w:ascii="Times New Roman" w:hAnsi="Times New Roman"/>
          <w:lang w:val="lv-LV"/>
        </w:rPr>
        <w:t xml:space="preserve"> apmērā, bet normatīvajos aktos nostiprināt to procentuālo vērtību no minimālā ienākuma mediānas.</w:t>
      </w:r>
    </w:p>
  </w:footnote>
  <w:footnote w:id="28">
    <w:p w14:paraId="56C51CD1" w14:textId="77777777" w:rsidR="00932B0A" w:rsidRPr="00753CFB" w:rsidRDefault="00932B0A" w:rsidP="00932B0A">
      <w:pPr>
        <w:spacing w:after="0" w:line="240" w:lineRule="auto"/>
        <w:jc w:val="both"/>
        <w:rPr>
          <w:rFonts w:ascii="Times New Roman" w:eastAsia="Times New Roman" w:hAnsi="Times New Roman" w:cs="Times New Roman"/>
          <w:sz w:val="20"/>
          <w:szCs w:val="20"/>
        </w:rPr>
      </w:pPr>
      <w:r w:rsidRPr="00753CFB">
        <w:rPr>
          <w:rStyle w:val="FootnoteReference"/>
          <w:rFonts w:ascii="Times New Roman" w:hAnsi="Times New Roman"/>
          <w:sz w:val="20"/>
          <w:szCs w:val="20"/>
        </w:rPr>
        <w:footnoteRef/>
      </w:r>
      <w:r w:rsidRPr="00753CFB">
        <w:rPr>
          <w:rFonts w:ascii="Times New Roman" w:hAnsi="Times New Roman" w:cs="Times New Roman"/>
          <w:sz w:val="20"/>
          <w:szCs w:val="20"/>
        </w:rPr>
        <w:t xml:space="preserve"> </w:t>
      </w:r>
      <w:r w:rsidRPr="00753CFB">
        <w:rPr>
          <w:rFonts w:ascii="Times New Roman" w:eastAsia="Times New Roman" w:hAnsi="Times New Roman" w:cs="Times New Roman"/>
          <w:sz w:val="20"/>
          <w:szCs w:val="20"/>
        </w:rPr>
        <w:t>Minētās minimālo ienākumu sliekšņu izmaiņas ir iespējamas, ja Ministru kabinetā tiks pieņemts attiecīgs lēmums un tiks piešķirts papildu nepieciešamais finansējums.</w:t>
      </w:r>
    </w:p>
  </w:footnote>
  <w:footnote w:id="29">
    <w:p w14:paraId="5AB97E61" w14:textId="77777777" w:rsidR="007D6078" w:rsidRPr="009D3F51" w:rsidRDefault="007D6078" w:rsidP="0043551A">
      <w:pPr>
        <w:pStyle w:val="FootnoteText"/>
        <w:jc w:val="both"/>
        <w:rPr>
          <w:lang w:val="lv-LV"/>
        </w:rPr>
      </w:pPr>
      <w:r w:rsidRPr="0043551A">
        <w:rPr>
          <w:rStyle w:val="FootnoteReference"/>
          <w:rFonts w:ascii="Times New Roman" w:hAnsi="Times New Roman"/>
          <w:lang w:val="lv-LV"/>
        </w:rPr>
        <w:footnoteRef/>
      </w:r>
      <w:r w:rsidRPr="0043551A">
        <w:rPr>
          <w:rFonts w:ascii="Times New Roman" w:hAnsi="Times New Roman"/>
          <w:lang w:val="lv-LV"/>
        </w:rPr>
        <w:t xml:space="preserve"> Ministru kabineta 2020.gada 17.decembra noteikumu Nr.809 </w:t>
      </w:r>
      <w:r w:rsidRPr="0043551A">
        <w:rPr>
          <w:rFonts w:ascii="Times New Roman" w:hAnsi="Times New Roman"/>
          <w:lang w:val="lv-LV" w:eastAsia="lv-LV"/>
        </w:rPr>
        <w:t>“</w:t>
      </w:r>
      <w:r w:rsidRPr="0043551A">
        <w:rPr>
          <w:rFonts w:ascii="Times New Roman" w:hAnsi="Times New Roman"/>
          <w:i/>
          <w:lang w:val="lv-LV"/>
        </w:rPr>
        <w:t xml:space="preserve">Noteikumi par mājsaimniecības materiālās situācijas izvērtēšanu un sociālās palīdzības saņemšanu” </w:t>
      </w:r>
      <w:r w:rsidRPr="0043551A">
        <w:rPr>
          <w:rFonts w:ascii="Times New Roman" w:hAnsi="Times New Roman"/>
          <w:lang w:val="lv-LV"/>
        </w:rPr>
        <w:t>1.pielikums.</w:t>
      </w:r>
    </w:p>
  </w:footnote>
  <w:footnote w:id="30">
    <w:p w14:paraId="193231EC" w14:textId="77777777" w:rsidR="007D6078" w:rsidRPr="00365151" w:rsidRDefault="007D6078" w:rsidP="006C31D6">
      <w:pPr>
        <w:pStyle w:val="FootnoteText"/>
        <w:rPr>
          <w:rFonts w:ascii="Times New Roman" w:hAnsi="Times New Roman"/>
          <w:lang w:val="lv-LV"/>
        </w:rPr>
      </w:pPr>
      <w:r w:rsidRPr="00365151">
        <w:rPr>
          <w:rStyle w:val="FootnoteReference"/>
          <w:rFonts w:ascii="Times New Roman" w:hAnsi="Times New Roman"/>
          <w:lang w:val="lv-LV"/>
        </w:rPr>
        <w:footnoteRef/>
      </w:r>
      <w:r w:rsidRPr="00365151">
        <w:rPr>
          <w:rFonts w:ascii="Times New Roman" w:hAnsi="Times New Roman"/>
          <w:lang w:val="lv-LV"/>
        </w:rPr>
        <w:t xml:space="preserve"> Sociālo pakalpojumu un sociālās palīdzības likuma 36.panta pirmā daļa. </w:t>
      </w:r>
    </w:p>
  </w:footnote>
  <w:footnote w:id="31">
    <w:p w14:paraId="792068BB" w14:textId="77777777" w:rsidR="00914232" w:rsidRPr="003C3A29" w:rsidRDefault="00914232" w:rsidP="00914232">
      <w:pPr>
        <w:pStyle w:val="FootnoteText"/>
        <w:jc w:val="both"/>
        <w:rPr>
          <w:lang w:val="lv-LV"/>
        </w:rPr>
      </w:pPr>
      <w:r>
        <w:rPr>
          <w:rStyle w:val="FootnoteReference"/>
        </w:rPr>
        <w:footnoteRef/>
      </w:r>
      <w:r w:rsidRPr="00914232">
        <w:rPr>
          <w:lang w:val="lv-LV"/>
        </w:rPr>
        <w:t xml:space="preserve"> </w:t>
      </w:r>
      <w:r w:rsidRPr="0043551A">
        <w:rPr>
          <w:rFonts w:ascii="Times New Roman" w:hAnsi="Times New Roman"/>
          <w:lang w:val="lv-LV"/>
        </w:rPr>
        <w:t xml:space="preserve">Ministru kabineta 2020.gada 17.decembra noteikumu Nr.809 </w:t>
      </w:r>
      <w:r w:rsidRPr="0043551A">
        <w:rPr>
          <w:rFonts w:ascii="Times New Roman" w:hAnsi="Times New Roman"/>
          <w:lang w:val="lv-LV" w:eastAsia="lv-LV"/>
        </w:rPr>
        <w:t>“</w:t>
      </w:r>
      <w:r w:rsidRPr="0043551A">
        <w:rPr>
          <w:rFonts w:ascii="Times New Roman" w:hAnsi="Times New Roman"/>
          <w:i/>
          <w:lang w:val="lv-LV"/>
        </w:rPr>
        <w:t xml:space="preserve">Noteikumi par mājsaimniecības materiālās situācijas izvērtēšanu un sociālās palīdzības saņemšanu” </w:t>
      </w:r>
      <w:r w:rsidRPr="002B567D">
        <w:rPr>
          <w:rFonts w:ascii="Times New Roman" w:hAnsi="Times New Roman"/>
          <w:lang w:val="lv-LV"/>
        </w:rPr>
        <w:t>2</w:t>
      </w:r>
      <w:r w:rsidRPr="003C3A29">
        <w:rPr>
          <w:rFonts w:ascii="Times New Roman" w:hAnsi="Times New Roman"/>
          <w:lang w:val="lv-LV"/>
        </w:rPr>
        <w:t>.</w:t>
      </w:r>
      <w:r w:rsidRPr="0043551A">
        <w:rPr>
          <w:rFonts w:ascii="Times New Roman" w:hAnsi="Times New Roman"/>
          <w:lang w:val="lv-LV"/>
        </w:rPr>
        <w:t>pielikum</w:t>
      </w:r>
      <w:r>
        <w:rPr>
          <w:rFonts w:ascii="Times New Roman" w:hAnsi="Times New Roman"/>
          <w:lang w:val="lv-LV"/>
        </w:rPr>
        <w:t>a 2.2.apakšpunkts</w:t>
      </w:r>
      <w:r w:rsidRPr="0043551A">
        <w:rPr>
          <w:rFonts w:ascii="Times New Roman" w:hAnsi="Times New Roman"/>
          <w:lang w:val="lv-LV"/>
        </w:rPr>
        <w:t>.</w:t>
      </w:r>
    </w:p>
  </w:footnote>
  <w:footnote w:id="32">
    <w:p w14:paraId="35B1E6AE" w14:textId="77777777" w:rsidR="007D6078" w:rsidRPr="00EE5FE0" w:rsidRDefault="007D6078" w:rsidP="006C31D6">
      <w:pPr>
        <w:pStyle w:val="FootnoteText"/>
        <w:jc w:val="both"/>
        <w:rPr>
          <w:lang w:val="lv-LV"/>
        </w:rPr>
      </w:pPr>
      <w:r w:rsidRPr="00EE5FE0">
        <w:rPr>
          <w:rStyle w:val="FootnoteReference"/>
          <w:rFonts w:ascii="Times New Roman" w:hAnsi="Times New Roman"/>
          <w:lang w:val="lv-LV"/>
        </w:rPr>
        <w:footnoteRef/>
      </w:r>
      <w:r w:rsidRPr="00EE5FE0">
        <w:rPr>
          <w:rFonts w:ascii="Times New Roman" w:hAnsi="Times New Roman"/>
          <w:lang w:val="lv-LV"/>
        </w:rPr>
        <w:t xml:space="preserve"> "Grozījums Ministru kabineta 2022. gada 11. janvāra rīkojumā Nr. 18 "Par finanšu līdzekļu piešķiršanu no valsts budžeta programmas "Līdzekļi neparedzētiem gadījumiem"""</w:t>
      </w:r>
      <w:r>
        <w:rPr>
          <w:rFonts w:ascii="Times New Roman" w:hAnsi="Times New Roman"/>
          <w:lang w:val="lv-LV"/>
        </w:rPr>
        <w:t xml:space="preserve">;  </w:t>
      </w:r>
      <w:r w:rsidRPr="00EE5FE0">
        <w:rPr>
          <w:rFonts w:ascii="Times New Roman" w:hAnsi="Times New Roman"/>
          <w:lang w:val="lv-LV"/>
        </w:rPr>
        <w:t>Energoresursu cenu ārkārtēja pieauguma samazinājuma pasākumu likuma 13. pants.</w:t>
      </w:r>
      <w:r>
        <w:rPr>
          <w:rFonts w:ascii="Times New Roman" w:hAnsi="Times New Roman"/>
          <w:lang w:val="lv-LV"/>
        </w:rPr>
        <w:t xml:space="preserve"> </w:t>
      </w:r>
      <w:r w:rsidRPr="00EE5FE0">
        <w:rPr>
          <w:rFonts w:ascii="Times New Roman" w:hAnsi="Times New Roman"/>
          <w:lang w:val="lv-LV"/>
        </w:rPr>
        <w:t>Ministru kabineta 2022.gada 25.janvāra sēdes protokollēmuma Nr.4, 27.§, 10.punkts.</w:t>
      </w:r>
    </w:p>
  </w:footnote>
  <w:footnote w:id="33">
    <w:p w14:paraId="3148C06F" w14:textId="77777777" w:rsidR="007D6078" w:rsidRPr="00EE5FE0" w:rsidRDefault="007D6078" w:rsidP="00E5430F">
      <w:pPr>
        <w:pStyle w:val="FootnoteText"/>
        <w:jc w:val="both"/>
        <w:rPr>
          <w:rFonts w:ascii="Times New Roman" w:hAnsi="Times New Roman"/>
          <w:lang w:val="lv-LV"/>
        </w:rPr>
      </w:pPr>
      <w:r w:rsidRPr="00EE5FE0">
        <w:rPr>
          <w:rStyle w:val="FootnoteReference"/>
          <w:rFonts w:ascii="Times New Roman" w:hAnsi="Times New Roman"/>
          <w:lang w:val="lv-LV"/>
        </w:rPr>
        <w:footnoteRef/>
      </w:r>
      <w:r w:rsidRPr="00EE5FE0">
        <w:rPr>
          <w:rFonts w:ascii="Times New Roman" w:hAnsi="Times New Roman"/>
          <w:lang w:val="lv-LV"/>
        </w:rPr>
        <w:t xml:space="preserve"> Nepieciešamais finansējums tika rēķināts, kad vēl nebija zināmi citu nozaru atbalsta pasākumi, kas rezultātā ietekmēja iedzīvotāju izdevumus, tāpēc piešķirtais finansējums indikatīvi būs pietiekams. </w:t>
      </w:r>
    </w:p>
  </w:footnote>
  <w:footnote w:id="34">
    <w:p w14:paraId="54E8A0EB" w14:textId="77777777" w:rsidR="007D6078" w:rsidRPr="00EE5FE0" w:rsidRDefault="007D6078" w:rsidP="006C31D6">
      <w:pPr>
        <w:pStyle w:val="FootnoteText"/>
        <w:jc w:val="both"/>
        <w:rPr>
          <w:rFonts w:ascii="Times New Roman" w:hAnsi="Times New Roman"/>
          <w:lang w:val="lv-LV"/>
        </w:rPr>
      </w:pPr>
      <w:r w:rsidRPr="00EE5FE0">
        <w:rPr>
          <w:rStyle w:val="FootnoteReference"/>
          <w:rFonts w:ascii="Times New Roman" w:hAnsi="Times New Roman"/>
          <w:lang w:val="lv-LV"/>
        </w:rPr>
        <w:footnoteRef/>
      </w:r>
      <w:r w:rsidRPr="00EE5FE0">
        <w:rPr>
          <w:rFonts w:ascii="Times New Roman" w:hAnsi="Times New Roman"/>
          <w:lang w:val="lv-LV"/>
        </w:rPr>
        <w:t xml:space="preserve"> Ņemts vērā iekšzemes kopprodukta pieaugums faktiskajās cenās (6,8%)</w:t>
      </w:r>
      <w:r>
        <w:rPr>
          <w:rFonts w:ascii="Times New Roman" w:hAnsi="Times New Roman"/>
          <w:lang w:val="lv-LV"/>
        </w:rPr>
        <w:t xml:space="preserve"> un personu skaita pieaugums, kas kvalificēsies mājokļa pabalstam</w:t>
      </w:r>
      <w:r w:rsidRPr="00EE5FE0">
        <w:rPr>
          <w:rFonts w:ascii="Times New Roman" w:hAnsi="Times New Roman"/>
          <w:lang w:val="lv-LV"/>
        </w:rPr>
        <w:t xml:space="preserve">.   </w:t>
      </w:r>
    </w:p>
  </w:footnote>
  <w:footnote w:id="35">
    <w:p w14:paraId="7B722990" w14:textId="77777777" w:rsidR="007D6078" w:rsidRPr="00F16056" w:rsidRDefault="007D6078" w:rsidP="006C31D6">
      <w:pPr>
        <w:pStyle w:val="FootnoteText"/>
        <w:jc w:val="both"/>
        <w:rPr>
          <w:rFonts w:ascii="Times New Roman" w:hAnsi="Times New Roman"/>
          <w:lang w:val="lv-LV"/>
        </w:rPr>
      </w:pPr>
      <w:r w:rsidRPr="00EE5FE0">
        <w:rPr>
          <w:rStyle w:val="FootnoteReference"/>
          <w:rFonts w:ascii="Times New Roman" w:hAnsi="Times New Roman"/>
          <w:lang w:val="lv-LV"/>
        </w:rPr>
        <w:footnoteRef/>
      </w:r>
      <w:r w:rsidRPr="00EE5FE0">
        <w:rPr>
          <w:rFonts w:ascii="Times New Roman" w:hAnsi="Times New Roman"/>
          <w:lang w:val="lv-LV"/>
        </w:rPr>
        <w:t xml:space="preserve"> Nepieciešamais finansējums tika rēķināts ar GMI slieksni pirmajai personai 125 </w:t>
      </w:r>
      <w:r w:rsidRPr="00EE5FE0">
        <w:rPr>
          <w:rFonts w:ascii="Times New Roman" w:hAnsi="Times New Roman"/>
          <w:i/>
          <w:lang w:val="lv-LV"/>
        </w:rPr>
        <w:t>euro</w:t>
      </w:r>
      <w:r w:rsidRPr="00EE5FE0">
        <w:rPr>
          <w:rFonts w:ascii="Times New Roman" w:hAnsi="Times New Roman"/>
          <w:lang w:val="lv-LV"/>
        </w:rPr>
        <w:t xml:space="preserve"> un 87,5 </w:t>
      </w:r>
      <w:r w:rsidRPr="00EE5FE0">
        <w:rPr>
          <w:rFonts w:ascii="Times New Roman" w:hAnsi="Times New Roman"/>
          <w:i/>
          <w:lang w:val="lv-LV"/>
        </w:rPr>
        <w:t>euro</w:t>
      </w:r>
      <w:r w:rsidRPr="00EE5FE0">
        <w:rPr>
          <w:rFonts w:ascii="Times New Roman" w:hAnsi="Times New Roman"/>
          <w:lang w:val="lv-LV"/>
        </w:rPr>
        <w:t xml:space="preserve"> pārējām personām mājsaimniecībā.</w:t>
      </w:r>
    </w:p>
  </w:footnote>
  <w:footnote w:id="36">
    <w:p w14:paraId="36FA9BF1" w14:textId="7EA0174C" w:rsidR="007D6078" w:rsidRPr="00F96409" w:rsidRDefault="007D6078" w:rsidP="000C5E35">
      <w:pPr>
        <w:pStyle w:val="FootnoteText"/>
        <w:jc w:val="both"/>
        <w:rPr>
          <w:rFonts w:ascii="Times New Roman" w:hAnsi="Times New Roman"/>
          <w:lang w:val="lv-LV"/>
        </w:rPr>
      </w:pPr>
      <w:r w:rsidRPr="00943E84">
        <w:rPr>
          <w:rStyle w:val="FootnoteReference"/>
          <w:rFonts w:ascii="Times New Roman" w:hAnsi="Times New Roman"/>
        </w:rPr>
        <w:footnoteRef/>
      </w:r>
      <w:r w:rsidRPr="00943E84">
        <w:rPr>
          <w:rFonts w:ascii="Times New Roman" w:hAnsi="Times New Roman"/>
          <w:lang w:val="lv-LV"/>
        </w:rPr>
        <w:t xml:space="preserve"> Šim pasākumam nav ietekmes uz šajā informatīvajā ziņojumā esošā pasākuma ietekmes budžetu.</w:t>
      </w:r>
      <w:r w:rsidR="0043022A">
        <w:rPr>
          <w:rFonts w:ascii="Times New Roman" w:hAnsi="Times New Roman"/>
          <w:lang w:val="lv-LV"/>
        </w:rPr>
        <w:t xml:space="preserve"> </w:t>
      </w:r>
      <w:r w:rsidR="0043022A" w:rsidRPr="000C5E35">
        <w:rPr>
          <w:rFonts w:ascii="Times New Roman" w:hAnsi="Times New Roman"/>
          <w:lang w:val="lv-LV"/>
        </w:rPr>
        <w:t>M</w:t>
      </w:r>
      <w:r w:rsidR="0043022A" w:rsidRPr="00753CFB">
        <w:rPr>
          <w:rFonts w:ascii="Times New Roman" w:hAnsi="Times New Roman"/>
          <w:lang w:val="lv-LV"/>
        </w:rPr>
        <w:t>inētās minimālo ienākumu sliekšņu izmaiņas ir iespējamas, ja Ministru kabinetā tiks pieņemts attiecīgs lēmums un tiks piešķirts papildu nepieciešamais finansējums</w:t>
      </w:r>
      <w:r w:rsidR="0043022A" w:rsidRPr="000C5E35">
        <w:rPr>
          <w:rFonts w:ascii="Times New Roman" w:hAnsi="Times New Roman"/>
          <w:lang w:val="lv-LV"/>
        </w:rPr>
        <w:t>.</w:t>
      </w:r>
    </w:p>
  </w:footnote>
  <w:footnote w:id="37">
    <w:p w14:paraId="4D82F648" w14:textId="7EF0404A" w:rsidR="007D6078" w:rsidRPr="00E40EAD" w:rsidRDefault="007D6078">
      <w:pPr>
        <w:pStyle w:val="FootnoteText"/>
        <w:rPr>
          <w:rFonts w:ascii="Times New Roman" w:hAnsi="Times New Roman"/>
          <w:lang w:val="lv-LV"/>
        </w:rPr>
      </w:pPr>
      <w:r w:rsidRPr="000C5E35">
        <w:rPr>
          <w:rStyle w:val="FootnoteReference"/>
          <w:rFonts w:ascii="Times New Roman" w:hAnsi="Times New Roman"/>
          <w:lang w:val="lv-LV"/>
        </w:rPr>
        <w:footnoteRef/>
      </w:r>
      <w:r w:rsidRPr="000C5E35">
        <w:rPr>
          <w:rFonts w:ascii="Times New Roman" w:hAnsi="Times New Roman"/>
          <w:lang w:val="lv-LV"/>
        </w:rPr>
        <w:t xml:space="preserve"> </w:t>
      </w:r>
      <w:r w:rsidRPr="00E40EAD">
        <w:rPr>
          <w:rFonts w:ascii="Times New Roman" w:hAnsi="Times New Roman"/>
          <w:lang w:val="lv-LV"/>
        </w:rPr>
        <w:t>Neskaitot euro centus</w:t>
      </w:r>
    </w:p>
  </w:footnote>
  <w:footnote w:id="38">
    <w:p w14:paraId="4FE05B87" w14:textId="41E225AB" w:rsidR="007D6078" w:rsidRPr="00C774B1" w:rsidRDefault="007D6078">
      <w:pPr>
        <w:pStyle w:val="FootnoteText"/>
        <w:rPr>
          <w:rFonts w:ascii="Times New Roman" w:hAnsi="Times New Roman"/>
          <w:lang w:val="lv-LV"/>
        </w:rPr>
      </w:pPr>
      <w:r w:rsidRPr="000C5E35">
        <w:rPr>
          <w:rStyle w:val="FootnoteReference"/>
          <w:rFonts w:ascii="Times New Roman" w:hAnsi="Times New Roman"/>
          <w:lang w:val="lv-LV"/>
        </w:rPr>
        <w:footnoteRef/>
      </w:r>
      <w:r w:rsidRPr="000C5E35">
        <w:rPr>
          <w:rFonts w:ascii="Times New Roman" w:hAnsi="Times New Roman"/>
          <w:lang w:val="lv-LV"/>
        </w:rPr>
        <w:t xml:space="preserve"> </w:t>
      </w:r>
      <w:r w:rsidRPr="00E40EAD">
        <w:rPr>
          <w:rFonts w:ascii="Times New Roman" w:hAnsi="Times New Roman"/>
          <w:lang w:val="lv-LV"/>
        </w:rPr>
        <w:t>Neskaitot euro centus</w:t>
      </w:r>
    </w:p>
  </w:footnote>
  <w:footnote w:id="39">
    <w:p w14:paraId="00EC15FD" w14:textId="11B6C77C" w:rsidR="007D6078" w:rsidRPr="00B734DB" w:rsidRDefault="007D6078" w:rsidP="00B734DB">
      <w:pPr>
        <w:pStyle w:val="FootnoteText"/>
        <w:jc w:val="both"/>
        <w:rPr>
          <w:lang w:val="lv-LV"/>
        </w:rPr>
      </w:pPr>
      <w:r w:rsidRPr="000C5E35">
        <w:rPr>
          <w:rStyle w:val="FootnoteReference"/>
          <w:rFonts w:ascii="Times New Roman" w:hAnsi="Times New Roman"/>
          <w:lang w:val="lv-LV"/>
        </w:rPr>
        <w:footnoteRef/>
      </w:r>
      <w:r w:rsidRPr="000C5E35">
        <w:rPr>
          <w:rFonts w:ascii="Times New Roman" w:hAnsi="Times New Roman"/>
          <w:lang w:val="lv-LV"/>
        </w:rPr>
        <w:t xml:space="preserve"> Neskaitot euro centus. 508, 57 </w:t>
      </w:r>
      <w:r w:rsidRPr="000C5E35">
        <w:rPr>
          <w:rFonts w:ascii="Times New Roman" w:hAnsi="Times New Roman"/>
          <w:i/>
          <w:lang w:val="lv-LV"/>
        </w:rPr>
        <w:t xml:space="preserve">euro </w:t>
      </w:r>
      <w:r w:rsidRPr="000C5E35">
        <w:rPr>
          <w:rFonts w:ascii="Times New Roman" w:hAnsi="Times New Roman"/>
          <w:lang w:val="lv-LV"/>
        </w:rPr>
        <w:t xml:space="preserve">ir rīcībā esošais ienākums uz vienu mājsaimniecības locekli mēnesī 3.kvintilē 2020.gadā. Atbilstošs 2022.gada situācijai šis ienākumu slieksnis ir 603 </w:t>
      </w:r>
      <w:r w:rsidRPr="000C5E35">
        <w:rPr>
          <w:rFonts w:ascii="Times New Roman" w:hAnsi="Times New Roman"/>
          <w:i/>
          <w:lang w:val="lv-LV"/>
        </w:rPr>
        <w:t>euro</w:t>
      </w:r>
      <w:r w:rsidRPr="000C5E35">
        <w:rPr>
          <w:rFonts w:ascii="Times New Roman" w:hAnsi="Times New Roman"/>
          <w:lang w:val="lv-LV"/>
        </w:rPr>
        <w:t>, piemērojot prognozēto darba samaksas procentuālo pieaugumu 2022.gadā atbilstoši makroekonomisko rādītāju prognozēm, kas iekļautas Latvijas Stabilitātes programmā 2022.-2025.gadam.</w:t>
      </w:r>
    </w:p>
  </w:footnote>
  <w:footnote w:id="40">
    <w:p w14:paraId="310E536F" w14:textId="231AA44C" w:rsidR="007D6078" w:rsidRPr="00365151" w:rsidRDefault="007D6078" w:rsidP="00365151">
      <w:pPr>
        <w:pStyle w:val="FootnoteText"/>
        <w:jc w:val="both"/>
        <w:rPr>
          <w:rFonts w:ascii="Times New Roman" w:hAnsi="Times New Roman"/>
          <w:lang w:val="lv-LV"/>
        </w:rPr>
      </w:pPr>
      <w:r w:rsidRPr="00365151">
        <w:rPr>
          <w:rStyle w:val="FootnoteReference"/>
          <w:rFonts w:ascii="Times New Roman" w:hAnsi="Times New Roman"/>
          <w:lang w:val="lv-LV"/>
        </w:rPr>
        <w:footnoteRef/>
      </w:r>
      <w:r w:rsidRPr="00365151">
        <w:rPr>
          <w:rFonts w:ascii="Times New Roman" w:hAnsi="Times New Roman"/>
          <w:lang w:val="lv-LV"/>
        </w:rPr>
        <w:t xml:space="preserve"> </w:t>
      </w:r>
      <w:hyperlink r:id="rId3" w:history="1">
        <w:r w:rsidRPr="00365151">
          <w:rPr>
            <w:rStyle w:val="Hyperlink"/>
            <w:rFonts w:ascii="Times New Roman" w:hAnsi="Times New Roman"/>
            <w:lang w:val="lv-LV"/>
          </w:rPr>
          <w:t>https://data.stat.gov.lv/pxweb/lv/OSP_PUB/START__POP__NN__NNM/NNM080/</w:t>
        </w:r>
      </w:hyperlink>
      <w:r w:rsidRPr="00365151">
        <w:rPr>
          <w:rFonts w:ascii="Times New Roman" w:hAnsi="Times New Roman"/>
          <w:lang w:val="lv-LV"/>
        </w:rPr>
        <w:t xml:space="preserve"> Minimālā ienākumu mediāna 2020.gadā bija 626,57 mēnesī vienam ekvivalentajam patērētājam (</w:t>
      </w:r>
      <w:r w:rsidRPr="0060012D">
        <w:rPr>
          <w:rFonts w:ascii="Times New Roman" w:hAnsi="Times New Roman"/>
          <w:lang w:val="lv-LV"/>
        </w:rPr>
        <w:t>ekvivalences</w:t>
      </w:r>
      <w:r w:rsidRPr="00365151">
        <w:rPr>
          <w:rFonts w:ascii="Times New Roman" w:hAnsi="Times New Roman"/>
          <w:lang w:val="lv-LV"/>
        </w:rPr>
        <w:t xml:space="preserve"> skala 1 un 0.7). Par ienākumu slieksni tiek ņemta šī mediāna, jo tā tika </w:t>
      </w:r>
      <w:r w:rsidRPr="0060012D">
        <w:rPr>
          <w:rFonts w:ascii="Times New Roman" w:hAnsi="Times New Roman"/>
          <w:lang w:val="lv-LV"/>
        </w:rPr>
        <w:t>apstiprināta</w:t>
      </w:r>
      <w:r w:rsidRPr="00365151">
        <w:rPr>
          <w:rFonts w:ascii="Times New Roman" w:hAnsi="Times New Roman"/>
          <w:lang w:val="lv-LV"/>
        </w:rPr>
        <w:t xml:space="preserve"> 2014.gadā un tā tiek izmantota normatīvajos aktos, kur noteikti minimālo ienākumu sliekšņi. </w:t>
      </w:r>
    </w:p>
  </w:footnote>
  <w:footnote w:id="41">
    <w:p w14:paraId="19CB04DD" w14:textId="62627651" w:rsidR="007D6078" w:rsidRPr="002C5EB5" w:rsidRDefault="007D6078" w:rsidP="00A6219F">
      <w:pPr>
        <w:pStyle w:val="FootnoteText"/>
        <w:jc w:val="both"/>
        <w:rPr>
          <w:lang w:val="lv-LV"/>
        </w:rPr>
      </w:pPr>
      <w:r w:rsidRPr="0060012D">
        <w:rPr>
          <w:rStyle w:val="FootnoteReference"/>
          <w:rFonts w:ascii="Times New Roman" w:hAnsi="Times New Roman"/>
          <w:lang w:val="lv-LV"/>
        </w:rPr>
        <w:footnoteRef/>
      </w:r>
      <w:r w:rsidRPr="00365151">
        <w:rPr>
          <w:lang w:val="lv-LV"/>
        </w:rPr>
        <w:t xml:space="preserve"> </w:t>
      </w:r>
      <w:r>
        <w:rPr>
          <w:rFonts w:ascii="Times New Roman" w:hAnsi="Times New Roman"/>
          <w:lang w:val="lv-LV"/>
        </w:rPr>
        <w:t>A</w:t>
      </w:r>
      <w:r w:rsidRPr="00365151">
        <w:rPr>
          <w:rFonts w:ascii="Times New Roman" w:hAnsi="Times New Roman"/>
          <w:lang w:val="lv-LV"/>
        </w:rPr>
        <w:t>tbilstoši makroekonomisko rādītāju prognozēm, kas iekļautas Latvijas Stabilitātes programmā 2022.-2025.gadam</w:t>
      </w:r>
    </w:p>
  </w:footnote>
  <w:footnote w:id="42">
    <w:p w14:paraId="1D0FB96A" w14:textId="77777777" w:rsidR="008358EF" w:rsidRPr="005817AF" w:rsidRDefault="008358EF" w:rsidP="005817AF">
      <w:pPr>
        <w:pStyle w:val="FootnoteText"/>
        <w:jc w:val="both"/>
        <w:rPr>
          <w:lang w:val="lv-LV"/>
        </w:rPr>
      </w:pPr>
      <w:r w:rsidRPr="005817AF">
        <w:rPr>
          <w:rStyle w:val="FootnoteReference"/>
          <w:lang w:val="lv-LV"/>
        </w:rPr>
        <w:footnoteRef/>
      </w:r>
      <w:r w:rsidRPr="005817AF">
        <w:rPr>
          <w:lang w:val="lv-LV"/>
        </w:rPr>
        <w:t xml:space="preserve"> </w:t>
      </w:r>
      <w:r w:rsidRPr="005817AF">
        <w:rPr>
          <w:rFonts w:ascii="Times New Roman" w:hAnsi="Times New Roman"/>
          <w:lang w:val="lv-LV" w:eastAsia="lv-LV"/>
        </w:rPr>
        <w:t xml:space="preserve">Kopā izdevumi šī gada indeksācijai (no septembra līdz decembrim) - 104,3 milj. </w:t>
      </w:r>
      <w:r w:rsidRPr="005817AF">
        <w:rPr>
          <w:rFonts w:ascii="Times New Roman" w:hAnsi="Times New Roman"/>
          <w:i/>
          <w:lang w:val="lv-LV" w:eastAsia="lv-LV"/>
        </w:rPr>
        <w:t>euro</w:t>
      </w:r>
      <w:r w:rsidRPr="005817AF">
        <w:rPr>
          <w:rFonts w:ascii="Times New Roman" w:hAnsi="Times New Roman"/>
          <w:lang w:val="lv-LV" w:eastAsia="lv-LV"/>
        </w:rPr>
        <w:t xml:space="preserve"> (26,1 (septembrī) + 78,2 (oktobris-decembris))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0F67"/>
    <w:multiLevelType w:val="hybridMultilevel"/>
    <w:tmpl w:val="2D30D658"/>
    <w:lvl w:ilvl="0" w:tplc="6610136C">
      <w:start w:val="1"/>
      <w:numFmt w:val="bullet"/>
      <w:lvlRestart w:val="0"/>
      <w:lvlText w:val=""/>
      <w:lvlJc w:val="left"/>
      <w:pPr>
        <w:ind w:left="0" w:firstLine="705"/>
      </w:pPr>
      <w:rPr>
        <w:u w:val="none"/>
      </w:rPr>
    </w:lvl>
    <w:lvl w:ilvl="1" w:tplc="90082DDC">
      <w:numFmt w:val="decimal"/>
      <w:lvlText w:val=""/>
      <w:lvlJc w:val="left"/>
    </w:lvl>
    <w:lvl w:ilvl="2" w:tplc="C8FAAE76">
      <w:numFmt w:val="decimal"/>
      <w:lvlText w:val=""/>
      <w:lvlJc w:val="left"/>
    </w:lvl>
    <w:lvl w:ilvl="3" w:tplc="70FA86C8">
      <w:numFmt w:val="decimal"/>
      <w:lvlText w:val=""/>
      <w:lvlJc w:val="left"/>
    </w:lvl>
    <w:lvl w:ilvl="4" w:tplc="418AB7EA">
      <w:numFmt w:val="decimal"/>
      <w:lvlText w:val=""/>
      <w:lvlJc w:val="left"/>
    </w:lvl>
    <w:lvl w:ilvl="5" w:tplc="088C5556">
      <w:numFmt w:val="decimal"/>
      <w:lvlText w:val=""/>
      <w:lvlJc w:val="left"/>
    </w:lvl>
    <w:lvl w:ilvl="6" w:tplc="5E86A024">
      <w:numFmt w:val="decimal"/>
      <w:lvlText w:val=""/>
      <w:lvlJc w:val="left"/>
    </w:lvl>
    <w:lvl w:ilvl="7" w:tplc="2D102070">
      <w:numFmt w:val="decimal"/>
      <w:lvlText w:val=""/>
      <w:lvlJc w:val="left"/>
    </w:lvl>
    <w:lvl w:ilvl="8" w:tplc="E5BE6620">
      <w:numFmt w:val="decimal"/>
      <w:lvlText w:val=""/>
      <w:lvlJc w:val="left"/>
    </w:lvl>
  </w:abstractNum>
  <w:abstractNum w:abstractNumId="1" w15:restartNumberingAfterBreak="0">
    <w:nsid w:val="049E416E"/>
    <w:multiLevelType w:val="hybridMultilevel"/>
    <w:tmpl w:val="C4ACB792"/>
    <w:lvl w:ilvl="0" w:tplc="0B6C9D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087F3B"/>
    <w:multiLevelType w:val="hybridMultilevel"/>
    <w:tmpl w:val="BF14DD2C"/>
    <w:lvl w:ilvl="0" w:tplc="0B6C9D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8C5BB2"/>
    <w:multiLevelType w:val="multilevel"/>
    <w:tmpl w:val="104EF4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DA6ED1"/>
    <w:multiLevelType w:val="hybridMultilevel"/>
    <w:tmpl w:val="220479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EB57DD"/>
    <w:multiLevelType w:val="hybridMultilevel"/>
    <w:tmpl w:val="22C09E2C"/>
    <w:lvl w:ilvl="0" w:tplc="0B6C9D6A">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109A1F62"/>
    <w:multiLevelType w:val="hybridMultilevel"/>
    <w:tmpl w:val="74F8ED2E"/>
    <w:lvl w:ilvl="0" w:tplc="3B185302">
      <w:start w:val="1"/>
      <w:numFmt w:val="bullet"/>
      <w:lvlText w:val="‒"/>
      <w:lvlJc w:val="left"/>
      <w:pPr>
        <w:ind w:left="987" w:hanging="360"/>
      </w:pPr>
      <w:rPr>
        <w:rFonts w:ascii="Times New Roman"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7" w15:restartNumberingAfterBreak="0">
    <w:nsid w:val="11C2011E"/>
    <w:multiLevelType w:val="hybridMultilevel"/>
    <w:tmpl w:val="4AAADEBA"/>
    <w:lvl w:ilvl="0" w:tplc="0B6C9D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7426B3"/>
    <w:multiLevelType w:val="hybridMultilevel"/>
    <w:tmpl w:val="473E65EA"/>
    <w:lvl w:ilvl="0" w:tplc="8F86782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1B275A"/>
    <w:multiLevelType w:val="hybridMultilevel"/>
    <w:tmpl w:val="DA407AE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51F7CE2"/>
    <w:multiLevelType w:val="hybridMultilevel"/>
    <w:tmpl w:val="40289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5673CD8"/>
    <w:multiLevelType w:val="hybridMultilevel"/>
    <w:tmpl w:val="C4E2C1B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188F6892"/>
    <w:multiLevelType w:val="hybridMultilevel"/>
    <w:tmpl w:val="FC4C92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8AF2B52"/>
    <w:multiLevelType w:val="hybridMultilevel"/>
    <w:tmpl w:val="08EA4EDA"/>
    <w:lvl w:ilvl="0" w:tplc="3B18530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8D97C3D"/>
    <w:multiLevelType w:val="hybridMultilevel"/>
    <w:tmpl w:val="089235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9EE7D95"/>
    <w:multiLevelType w:val="hybridMultilevel"/>
    <w:tmpl w:val="DC1248EC"/>
    <w:lvl w:ilvl="0" w:tplc="C09C9B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B746317"/>
    <w:multiLevelType w:val="hybridMultilevel"/>
    <w:tmpl w:val="7D523B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E1E104E"/>
    <w:multiLevelType w:val="hybridMultilevel"/>
    <w:tmpl w:val="4E5EF5D6"/>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8" w15:restartNumberingAfterBreak="0">
    <w:nsid w:val="1EC114DB"/>
    <w:multiLevelType w:val="hybridMultilevel"/>
    <w:tmpl w:val="973A388E"/>
    <w:lvl w:ilvl="0" w:tplc="0B6C9D6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20D047EC">
      <w:numFmt w:val="bullet"/>
      <w:lvlText w:val="–"/>
      <w:lvlJc w:val="left"/>
      <w:pPr>
        <w:ind w:left="2160" w:hanging="360"/>
      </w:pPr>
      <w:rPr>
        <w:rFonts w:ascii="Times New Roman" w:eastAsiaTheme="minorHAnsi"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ED92B1A"/>
    <w:multiLevelType w:val="hybridMultilevel"/>
    <w:tmpl w:val="E00CE8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F5F396D"/>
    <w:multiLevelType w:val="hybridMultilevel"/>
    <w:tmpl w:val="E034AB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F924B8C"/>
    <w:multiLevelType w:val="hybridMultilevel"/>
    <w:tmpl w:val="E2B84D1A"/>
    <w:lvl w:ilvl="0" w:tplc="0B6C9D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097005F"/>
    <w:multiLevelType w:val="hybridMultilevel"/>
    <w:tmpl w:val="D444E6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0F631FE"/>
    <w:multiLevelType w:val="hybridMultilevel"/>
    <w:tmpl w:val="4A0C2862"/>
    <w:lvl w:ilvl="0" w:tplc="0B6C9D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2665BCF"/>
    <w:multiLevelType w:val="hybridMultilevel"/>
    <w:tmpl w:val="378083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4284DF3"/>
    <w:multiLevelType w:val="hybridMultilevel"/>
    <w:tmpl w:val="3D9020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71037D0"/>
    <w:multiLevelType w:val="hybridMultilevel"/>
    <w:tmpl w:val="7DA21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7232697"/>
    <w:multiLevelType w:val="hybridMultilevel"/>
    <w:tmpl w:val="00401604"/>
    <w:lvl w:ilvl="0" w:tplc="0B6C9D6A">
      <w:start w:val="1"/>
      <w:numFmt w:val="bullet"/>
      <w:lvlText w:val=""/>
      <w:lvlJc w:val="left"/>
      <w:pPr>
        <w:ind w:left="720" w:hanging="360"/>
      </w:pPr>
      <w:rPr>
        <w:rFonts w:ascii="Symbol" w:hAnsi="Symbol" w:hint="default"/>
      </w:rPr>
    </w:lvl>
    <w:lvl w:ilvl="1" w:tplc="0B6C9D6A">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7372297"/>
    <w:multiLevelType w:val="hybridMultilevel"/>
    <w:tmpl w:val="49E69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35B6CE7"/>
    <w:multiLevelType w:val="hybridMultilevel"/>
    <w:tmpl w:val="E6C0F520"/>
    <w:lvl w:ilvl="0" w:tplc="84A431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50B2FC5"/>
    <w:multiLevelType w:val="hybridMultilevel"/>
    <w:tmpl w:val="B4A249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0541B66"/>
    <w:multiLevelType w:val="hybridMultilevel"/>
    <w:tmpl w:val="A4C22A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40CB6DC6"/>
    <w:multiLevelType w:val="hybridMultilevel"/>
    <w:tmpl w:val="5A584A1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1E22B8E"/>
    <w:multiLevelType w:val="hybridMultilevel"/>
    <w:tmpl w:val="52307D0C"/>
    <w:lvl w:ilvl="0" w:tplc="0B6C9D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3AF48DA"/>
    <w:multiLevelType w:val="hybridMultilevel"/>
    <w:tmpl w:val="840C3ADA"/>
    <w:lvl w:ilvl="0" w:tplc="0B6C9D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967349E"/>
    <w:multiLevelType w:val="multilevel"/>
    <w:tmpl w:val="D00603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8D783F"/>
    <w:multiLevelType w:val="hybridMultilevel"/>
    <w:tmpl w:val="AEF2F226"/>
    <w:lvl w:ilvl="0" w:tplc="3B185302">
      <w:start w:val="1"/>
      <w:numFmt w:val="bullet"/>
      <w:lvlText w:val="‒"/>
      <w:lvlJc w:val="left"/>
      <w:pPr>
        <w:ind w:left="1505" w:hanging="360"/>
      </w:pPr>
      <w:rPr>
        <w:rFonts w:ascii="Times New Roman" w:hAnsi="Times New Roman" w:cs="Times New Roman" w:hint="default"/>
      </w:rPr>
    </w:lvl>
    <w:lvl w:ilvl="1" w:tplc="04260003" w:tentative="1">
      <w:start w:val="1"/>
      <w:numFmt w:val="bullet"/>
      <w:lvlText w:val="o"/>
      <w:lvlJc w:val="left"/>
      <w:pPr>
        <w:ind w:left="2225" w:hanging="360"/>
      </w:pPr>
      <w:rPr>
        <w:rFonts w:ascii="Courier New" w:hAnsi="Courier New" w:cs="Courier New" w:hint="default"/>
      </w:rPr>
    </w:lvl>
    <w:lvl w:ilvl="2" w:tplc="04260005" w:tentative="1">
      <w:start w:val="1"/>
      <w:numFmt w:val="bullet"/>
      <w:lvlText w:val=""/>
      <w:lvlJc w:val="left"/>
      <w:pPr>
        <w:ind w:left="2945" w:hanging="360"/>
      </w:pPr>
      <w:rPr>
        <w:rFonts w:ascii="Wingdings" w:hAnsi="Wingdings" w:hint="default"/>
      </w:rPr>
    </w:lvl>
    <w:lvl w:ilvl="3" w:tplc="04260001" w:tentative="1">
      <w:start w:val="1"/>
      <w:numFmt w:val="bullet"/>
      <w:lvlText w:val=""/>
      <w:lvlJc w:val="left"/>
      <w:pPr>
        <w:ind w:left="3665" w:hanging="360"/>
      </w:pPr>
      <w:rPr>
        <w:rFonts w:ascii="Symbol" w:hAnsi="Symbol" w:hint="default"/>
      </w:rPr>
    </w:lvl>
    <w:lvl w:ilvl="4" w:tplc="04260003" w:tentative="1">
      <w:start w:val="1"/>
      <w:numFmt w:val="bullet"/>
      <w:lvlText w:val="o"/>
      <w:lvlJc w:val="left"/>
      <w:pPr>
        <w:ind w:left="4385" w:hanging="360"/>
      </w:pPr>
      <w:rPr>
        <w:rFonts w:ascii="Courier New" w:hAnsi="Courier New" w:cs="Courier New" w:hint="default"/>
      </w:rPr>
    </w:lvl>
    <w:lvl w:ilvl="5" w:tplc="04260005" w:tentative="1">
      <w:start w:val="1"/>
      <w:numFmt w:val="bullet"/>
      <w:lvlText w:val=""/>
      <w:lvlJc w:val="left"/>
      <w:pPr>
        <w:ind w:left="5105" w:hanging="360"/>
      </w:pPr>
      <w:rPr>
        <w:rFonts w:ascii="Wingdings" w:hAnsi="Wingdings" w:hint="default"/>
      </w:rPr>
    </w:lvl>
    <w:lvl w:ilvl="6" w:tplc="04260001" w:tentative="1">
      <w:start w:val="1"/>
      <w:numFmt w:val="bullet"/>
      <w:lvlText w:val=""/>
      <w:lvlJc w:val="left"/>
      <w:pPr>
        <w:ind w:left="5825" w:hanging="360"/>
      </w:pPr>
      <w:rPr>
        <w:rFonts w:ascii="Symbol" w:hAnsi="Symbol" w:hint="default"/>
      </w:rPr>
    </w:lvl>
    <w:lvl w:ilvl="7" w:tplc="04260003" w:tentative="1">
      <w:start w:val="1"/>
      <w:numFmt w:val="bullet"/>
      <w:lvlText w:val="o"/>
      <w:lvlJc w:val="left"/>
      <w:pPr>
        <w:ind w:left="6545" w:hanging="360"/>
      </w:pPr>
      <w:rPr>
        <w:rFonts w:ascii="Courier New" w:hAnsi="Courier New" w:cs="Courier New" w:hint="default"/>
      </w:rPr>
    </w:lvl>
    <w:lvl w:ilvl="8" w:tplc="04260005" w:tentative="1">
      <w:start w:val="1"/>
      <w:numFmt w:val="bullet"/>
      <w:lvlText w:val=""/>
      <w:lvlJc w:val="left"/>
      <w:pPr>
        <w:ind w:left="7265" w:hanging="360"/>
      </w:pPr>
      <w:rPr>
        <w:rFonts w:ascii="Wingdings" w:hAnsi="Wingdings" w:hint="default"/>
      </w:rPr>
    </w:lvl>
  </w:abstractNum>
  <w:abstractNum w:abstractNumId="37" w15:restartNumberingAfterBreak="0">
    <w:nsid w:val="4B7B718D"/>
    <w:multiLevelType w:val="hybridMultilevel"/>
    <w:tmpl w:val="E98C5122"/>
    <w:lvl w:ilvl="0" w:tplc="0B6C9D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B826C51"/>
    <w:multiLevelType w:val="hybridMultilevel"/>
    <w:tmpl w:val="587E6298"/>
    <w:lvl w:ilvl="0" w:tplc="0B6C9D6A">
      <w:start w:val="1"/>
      <w:numFmt w:val="bullet"/>
      <w:lvlText w:val=""/>
      <w:lvlJc w:val="left"/>
      <w:pPr>
        <w:tabs>
          <w:tab w:val="num" w:pos="720"/>
        </w:tabs>
        <w:ind w:left="720" w:hanging="360"/>
      </w:pPr>
      <w:rPr>
        <w:rFonts w:ascii="Symbol" w:hAnsi="Symbol" w:hint="default"/>
      </w:rPr>
    </w:lvl>
    <w:lvl w:ilvl="1" w:tplc="19AEA192" w:tentative="1">
      <w:start w:val="1"/>
      <w:numFmt w:val="bullet"/>
      <w:lvlText w:val=""/>
      <w:lvlJc w:val="left"/>
      <w:pPr>
        <w:tabs>
          <w:tab w:val="num" w:pos="1440"/>
        </w:tabs>
        <w:ind w:left="1440" w:hanging="360"/>
      </w:pPr>
      <w:rPr>
        <w:rFonts w:ascii="Wingdings" w:hAnsi="Wingdings" w:hint="default"/>
      </w:rPr>
    </w:lvl>
    <w:lvl w:ilvl="2" w:tplc="EB8AA732" w:tentative="1">
      <w:start w:val="1"/>
      <w:numFmt w:val="bullet"/>
      <w:lvlText w:val=""/>
      <w:lvlJc w:val="left"/>
      <w:pPr>
        <w:tabs>
          <w:tab w:val="num" w:pos="2160"/>
        </w:tabs>
        <w:ind w:left="2160" w:hanging="360"/>
      </w:pPr>
      <w:rPr>
        <w:rFonts w:ascii="Wingdings" w:hAnsi="Wingdings" w:hint="default"/>
      </w:rPr>
    </w:lvl>
    <w:lvl w:ilvl="3" w:tplc="AE3E14B6" w:tentative="1">
      <w:start w:val="1"/>
      <w:numFmt w:val="bullet"/>
      <w:lvlText w:val=""/>
      <w:lvlJc w:val="left"/>
      <w:pPr>
        <w:tabs>
          <w:tab w:val="num" w:pos="2880"/>
        </w:tabs>
        <w:ind w:left="2880" w:hanging="360"/>
      </w:pPr>
      <w:rPr>
        <w:rFonts w:ascii="Wingdings" w:hAnsi="Wingdings" w:hint="default"/>
      </w:rPr>
    </w:lvl>
    <w:lvl w:ilvl="4" w:tplc="DFA435BA" w:tentative="1">
      <w:start w:val="1"/>
      <w:numFmt w:val="bullet"/>
      <w:lvlText w:val=""/>
      <w:lvlJc w:val="left"/>
      <w:pPr>
        <w:tabs>
          <w:tab w:val="num" w:pos="3600"/>
        </w:tabs>
        <w:ind w:left="3600" w:hanging="360"/>
      </w:pPr>
      <w:rPr>
        <w:rFonts w:ascii="Wingdings" w:hAnsi="Wingdings" w:hint="default"/>
      </w:rPr>
    </w:lvl>
    <w:lvl w:ilvl="5" w:tplc="A6F483E2" w:tentative="1">
      <w:start w:val="1"/>
      <w:numFmt w:val="bullet"/>
      <w:lvlText w:val=""/>
      <w:lvlJc w:val="left"/>
      <w:pPr>
        <w:tabs>
          <w:tab w:val="num" w:pos="4320"/>
        </w:tabs>
        <w:ind w:left="4320" w:hanging="360"/>
      </w:pPr>
      <w:rPr>
        <w:rFonts w:ascii="Wingdings" w:hAnsi="Wingdings" w:hint="default"/>
      </w:rPr>
    </w:lvl>
    <w:lvl w:ilvl="6" w:tplc="0DC47586" w:tentative="1">
      <w:start w:val="1"/>
      <w:numFmt w:val="bullet"/>
      <w:lvlText w:val=""/>
      <w:lvlJc w:val="left"/>
      <w:pPr>
        <w:tabs>
          <w:tab w:val="num" w:pos="5040"/>
        </w:tabs>
        <w:ind w:left="5040" w:hanging="360"/>
      </w:pPr>
      <w:rPr>
        <w:rFonts w:ascii="Wingdings" w:hAnsi="Wingdings" w:hint="default"/>
      </w:rPr>
    </w:lvl>
    <w:lvl w:ilvl="7" w:tplc="0AF82DEA" w:tentative="1">
      <w:start w:val="1"/>
      <w:numFmt w:val="bullet"/>
      <w:lvlText w:val=""/>
      <w:lvlJc w:val="left"/>
      <w:pPr>
        <w:tabs>
          <w:tab w:val="num" w:pos="5760"/>
        </w:tabs>
        <w:ind w:left="5760" w:hanging="360"/>
      </w:pPr>
      <w:rPr>
        <w:rFonts w:ascii="Wingdings" w:hAnsi="Wingdings" w:hint="default"/>
      </w:rPr>
    </w:lvl>
    <w:lvl w:ilvl="8" w:tplc="DBE2010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113839"/>
    <w:multiLevelType w:val="hybridMultilevel"/>
    <w:tmpl w:val="F4367A10"/>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EC77AFC"/>
    <w:multiLevelType w:val="multilevel"/>
    <w:tmpl w:val="ECA6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3C62BD"/>
    <w:multiLevelType w:val="hybridMultilevel"/>
    <w:tmpl w:val="2EE673E6"/>
    <w:lvl w:ilvl="0" w:tplc="5C26A91C">
      <w:start w:val="1"/>
      <w:numFmt w:val="bullet"/>
      <w:lvlText w:val="-"/>
      <w:lvlJc w:val="left"/>
      <w:pPr>
        <w:ind w:left="987" w:hanging="360"/>
      </w:pPr>
      <w:rPr>
        <w:rFonts w:ascii="Times New Roman" w:eastAsiaTheme="minorHAnsi"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42" w15:restartNumberingAfterBreak="0">
    <w:nsid w:val="54C252A3"/>
    <w:multiLevelType w:val="hybridMultilevel"/>
    <w:tmpl w:val="09DC76A2"/>
    <w:lvl w:ilvl="0" w:tplc="0B6C9D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5527739"/>
    <w:multiLevelType w:val="multilevel"/>
    <w:tmpl w:val="3FFE44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3C61EF"/>
    <w:multiLevelType w:val="hybridMultilevel"/>
    <w:tmpl w:val="8D183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78E313D"/>
    <w:multiLevelType w:val="hybridMultilevel"/>
    <w:tmpl w:val="1B3E7598"/>
    <w:lvl w:ilvl="0" w:tplc="0B6C9D6A">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6" w15:restartNumberingAfterBreak="0">
    <w:nsid w:val="589E5DF2"/>
    <w:multiLevelType w:val="hybridMultilevel"/>
    <w:tmpl w:val="938607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2B177E5"/>
    <w:multiLevelType w:val="hybridMultilevel"/>
    <w:tmpl w:val="987A0D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7892E84"/>
    <w:multiLevelType w:val="hybridMultilevel"/>
    <w:tmpl w:val="83B2AF08"/>
    <w:lvl w:ilvl="0" w:tplc="0B6C9D6A">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68AF42F4"/>
    <w:multiLevelType w:val="hybridMultilevel"/>
    <w:tmpl w:val="A1EC8012"/>
    <w:lvl w:ilvl="0" w:tplc="3B185302">
      <w:start w:val="1"/>
      <w:numFmt w:val="bullet"/>
      <w:lvlText w:val="‒"/>
      <w:lvlJc w:val="left"/>
      <w:pPr>
        <w:ind w:left="720" w:hanging="360"/>
      </w:pPr>
      <w:rPr>
        <w:rFonts w:ascii="Times New Roman" w:hAnsi="Times New Roman" w:cs="Times New Roman" w:hint="default"/>
      </w:rPr>
    </w:lvl>
    <w:lvl w:ilvl="1" w:tplc="3B185302">
      <w:start w:val="1"/>
      <w:numFmt w:val="bullet"/>
      <w:lvlText w:val="‒"/>
      <w:lvlJc w:val="left"/>
      <w:pPr>
        <w:ind w:left="1440" w:hanging="360"/>
      </w:pPr>
      <w:rPr>
        <w:rFonts w:ascii="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8D335B9"/>
    <w:multiLevelType w:val="hybridMultilevel"/>
    <w:tmpl w:val="641CEB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E806F43"/>
    <w:multiLevelType w:val="hybridMultilevel"/>
    <w:tmpl w:val="68FC1FD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EEB6A73"/>
    <w:multiLevelType w:val="hybridMultilevel"/>
    <w:tmpl w:val="F8A8DAAC"/>
    <w:lvl w:ilvl="0" w:tplc="0B6C9D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3734D37"/>
    <w:multiLevelType w:val="hybridMultilevel"/>
    <w:tmpl w:val="119C00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7025E4C"/>
    <w:multiLevelType w:val="hybridMultilevel"/>
    <w:tmpl w:val="89FE5B56"/>
    <w:lvl w:ilvl="0" w:tplc="0B6C9D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C23159A"/>
    <w:multiLevelType w:val="hybridMultilevel"/>
    <w:tmpl w:val="D4F434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5"/>
  </w:num>
  <w:num w:numId="2">
    <w:abstractNumId w:val="53"/>
  </w:num>
  <w:num w:numId="3">
    <w:abstractNumId w:val="21"/>
  </w:num>
  <w:num w:numId="4">
    <w:abstractNumId w:val="27"/>
  </w:num>
  <w:num w:numId="5">
    <w:abstractNumId w:val="17"/>
  </w:num>
  <w:num w:numId="6">
    <w:abstractNumId w:val="0"/>
  </w:num>
  <w:num w:numId="7">
    <w:abstractNumId w:val="36"/>
  </w:num>
  <w:num w:numId="8">
    <w:abstractNumId w:val="15"/>
  </w:num>
  <w:num w:numId="9">
    <w:abstractNumId w:val="31"/>
  </w:num>
  <w:num w:numId="10">
    <w:abstractNumId w:val="16"/>
  </w:num>
  <w:num w:numId="11">
    <w:abstractNumId w:val="7"/>
  </w:num>
  <w:num w:numId="12">
    <w:abstractNumId w:val="30"/>
  </w:num>
  <w:num w:numId="13">
    <w:abstractNumId w:val="26"/>
  </w:num>
  <w:num w:numId="14">
    <w:abstractNumId w:val="13"/>
  </w:num>
  <w:num w:numId="15">
    <w:abstractNumId w:val="41"/>
  </w:num>
  <w:num w:numId="16">
    <w:abstractNumId w:val="19"/>
  </w:num>
  <w:num w:numId="17">
    <w:abstractNumId w:val="25"/>
  </w:num>
  <w:num w:numId="18">
    <w:abstractNumId w:val="40"/>
  </w:num>
  <w:num w:numId="19">
    <w:abstractNumId w:val="6"/>
  </w:num>
  <w:num w:numId="20">
    <w:abstractNumId w:val="10"/>
  </w:num>
  <w:num w:numId="21">
    <w:abstractNumId w:val="20"/>
  </w:num>
  <w:num w:numId="22">
    <w:abstractNumId w:val="11"/>
  </w:num>
  <w:num w:numId="23">
    <w:abstractNumId w:val="46"/>
  </w:num>
  <w:num w:numId="24">
    <w:abstractNumId w:val="49"/>
  </w:num>
  <w:num w:numId="25">
    <w:abstractNumId w:val="4"/>
  </w:num>
  <w:num w:numId="26">
    <w:abstractNumId w:val="18"/>
  </w:num>
  <w:num w:numId="27">
    <w:abstractNumId w:val="48"/>
  </w:num>
  <w:num w:numId="28">
    <w:abstractNumId w:val="52"/>
  </w:num>
  <w:num w:numId="29">
    <w:abstractNumId w:val="37"/>
  </w:num>
  <w:num w:numId="30">
    <w:abstractNumId w:val="34"/>
  </w:num>
  <w:num w:numId="31">
    <w:abstractNumId w:val="54"/>
  </w:num>
  <w:num w:numId="32">
    <w:abstractNumId w:val="33"/>
  </w:num>
  <w:num w:numId="33">
    <w:abstractNumId w:val="23"/>
  </w:num>
  <w:num w:numId="34">
    <w:abstractNumId w:val="24"/>
  </w:num>
  <w:num w:numId="35">
    <w:abstractNumId w:val="1"/>
  </w:num>
  <w:num w:numId="36">
    <w:abstractNumId w:val="45"/>
  </w:num>
  <w:num w:numId="37">
    <w:abstractNumId w:val="38"/>
  </w:num>
  <w:num w:numId="38">
    <w:abstractNumId w:val="29"/>
  </w:num>
  <w:num w:numId="39">
    <w:abstractNumId w:val="2"/>
  </w:num>
  <w:num w:numId="40">
    <w:abstractNumId w:val="55"/>
  </w:num>
  <w:num w:numId="41">
    <w:abstractNumId w:val="22"/>
  </w:num>
  <w:num w:numId="42">
    <w:abstractNumId w:val="42"/>
  </w:num>
  <w:num w:numId="43">
    <w:abstractNumId w:val="5"/>
  </w:num>
  <w:num w:numId="44">
    <w:abstractNumId w:val="3"/>
  </w:num>
  <w:num w:numId="45">
    <w:abstractNumId w:val="43"/>
  </w:num>
  <w:num w:numId="46">
    <w:abstractNumId w:val="50"/>
  </w:num>
  <w:num w:numId="47">
    <w:abstractNumId w:val="47"/>
  </w:num>
  <w:num w:numId="48">
    <w:abstractNumId w:val="28"/>
  </w:num>
  <w:num w:numId="49">
    <w:abstractNumId w:val="8"/>
  </w:num>
  <w:num w:numId="50">
    <w:abstractNumId w:val="39"/>
  </w:num>
  <w:num w:numId="51">
    <w:abstractNumId w:val="14"/>
  </w:num>
  <w:num w:numId="52">
    <w:abstractNumId w:val="9"/>
  </w:num>
  <w:num w:numId="53">
    <w:abstractNumId w:val="51"/>
  </w:num>
  <w:num w:numId="54">
    <w:abstractNumId w:val="12"/>
  </w:num>
  <w:num w:numId="55">
    <w:abstractNumId w:val="32"/>
  </w:num>
  <w:num w:numId="56">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5F"/>
    <w:rsid w:val="00011C21"/>
    <w:rsid w:val="000179D6"/>
    <w:rsid w:val="00017A0E"/>
    <w:rsid w:val="0003052A"/>
    <w:rsid w:val="00030AF2"/>
    <w:rsid w:val="00053F97"/>
    <w:rsid w:val="000562FC"/>
    <w:rsid w:val="00062538"/>
    <w:rsid w:val="000655A8"/>
    <w:rsid w:val="00070C71"/>
    <w:rsid w:val="000712AB"/>
    <w:rsid w:val="000845A5"/>
    <w:rsid w:val="00084A46"/>
    <w:rsid w:val="00084DB9"/>
    <w:rsid w:val="000854EC"/>
    <w:rsid w:val="000906D5"/>
    <w:rsid w:val="000C5E35"/>
    <w:rsid w:val="000D1907"/>
    <w:rsid w:val="000D3405"/>
    <w:rsid w:val="000E07A4"/>
    <w:rsid w:val="000F2019"/>
    <w:rsid w:val="000F5AAB"/>
    <w:rsid w:val="000F5DC1"/>
    <w:rsid w:val="000F6EB7"/>
    <w:rsid w:val="00101040"/>
    <w:rsid w:val="00103D7D"/>
    <w:rsid w:val="00114009"/>
    <w:rsid w:val="00122F8D"/>
    <w:rsid w:val="001311DC"/>
    <w:rsid w:val="0013660C"/>
    <w:rsid w:val="001369D8"/>
    <w:rsid w:val="00146594"/>
    <w:rsid w:val="00152E3D"/>
    <w:rsid w:val="00173AFE"/>
    <w:rsid w:val="00175126"/>
    <w:rsid w:val="001944BD"/>
    <w:rsid w:val="001A729C"/>
    <w:rsid w:val="001B2D0C"/>
    <w:rsid w:val="001C0BF4"/>
    <w:rsid w:val="001D2198"/>
    <w:rsid w:val="001D2398"/>
    <w:rsid w:val="001D403D"/>
    <w:rsid w:val="001F1149"/>
    <w:rsid w:val="001F1610"/>
    <w:rsid w:val="001F5B58"/>
    <w:rsid w:val="001F6051"/>
    <w:rsid w:val="0020174E"/>
    <w:rsid w:val="002078F7"/>
    <w:rsid w:val="00210DF3"/>
    <w:rsid w:val="0021237B"/>
    <w:rsid w:val="002270D9"/>
    <w:rsid w:val="00233A4F"/>
    <w:rsid w:val="00240319"/>
    <w:rsid w:val="00251DD3"/>
    <w:rsid w:val="002638E8"/>
    <w:rsid w:val="0026444B"/>
    <w:rsid w:val="00265522"/>
    <w:rsid w:val="00266B63"/>
    <w:rsid w:val="0027182A"/>
    <w:rsid w:val="00274079"/>
    <w:rsid w:val="00274F5E"/>
    <w:rsid w:val="00280268"/>
    <w:rsid w:val="00282153"/>
    <w:rsid w:val="0029167D"/>
    <w:rsid w:val="002958B0"/>
    <w:rsid w:val="002959D4"/>
    <w:rsid w:val="002965F4"/>
    <w:rsid w:val="00296B8B"/>
    <w:rsid w:val="002A37A5"/>
    <w:rsid w:val="002A6B3C"/>
    <w:rsid w:val="002A6ED6"/>
    <w:rsid w:val="002B2D7E"/>
    <w:rsid w:val="002B5FE2"/>
    <w:rsid w:val="002C4DA4"/>
    <w:rsid w:val="002D18AC"/>
    <w:rsid w:val="002E5EA0"/>
    <w:rsid w:val="002E7533"/>
    <w:rsid w:val="002E7891"/>
    <w:rsid w:val="002E7F76"/>
    <w:rsid w:val="002F1BC4"/>
    <w:rsid w:val="002F6216"/>
    <w:rsid w:val="0030640C"/>
    <w:rsid w:val="00310127"/>
    <w:rsid w:val="003122E2"/>
    <w:rsid w:val="00316FEC"/>
    <w:rsid w:val="003212A1"/>
    <w:rsid w:val="00331830"/>
    <w:rsid w:val="00350075"/>
    <w:rsid w:val="0035193C"/>
    <w:rsid w:val="003523EF"/>
    <w:rsid w:val="003559B9"/>
    <w:rsid w:val="00365151"/>
    <w:rsid w:val="003731D4"/>
    <w:rsid w:val="00374245"/>
    <w:rsid w:val="003743B7"/>
    <w:rsid w:val="00377FDE"/>
    <w:rsid w:val="003914D2"/>
    <w:rsid w:val="003B2CC4"/>
    <w:rsid w:val="003B425A"/>
    <w:rsid w:val="003B6BC4"/>
    <w:rsid w:val="003B77A4"/>
    <w:rsid w:val="003C3506"/>
    <w:rsid w:val="003D0041"/>
    <w:rsid w:val="003E2745"/>
    <w:rsid w:val="003E3CAE"/>
    <w:rsid w:val="003F013A"/>
    <w:rsid w:val="003F3168"/>
    <w:rsid w:val="003F5772"/>
    <w:rsid w:val="004008A3"/>
    <w:rsid w:val="0040297B"/>
    <w:rsid w:val="004036BC"/>
    <w:rsid w:val="00412AE7"/>
    <w:rsid w:val="00412C33"/>
    <w:rsid w:val="00412F3A"/>
    <w:rsid w:val="00413540"/>
    <w:rsid w:val="00427C84"/>
    <w:rsid w:val="0043022A"/>
    <w:rsid w:val="004329CD"/>
    <w:rsid w:val="0043551A"/>
    <w:rsid w:val="00437377"/>
    <w:rsid w:val="00440E44"/>
    <w:rsid w:val="004451BE"/>
    <w:rsid w:val="00446443"/>
    <w:rsid w:val="00447129"/>
    <w:rsid w:val="00451092"/>
    <w:rsid w:val="00451C4D"/>
    <w:rsid w:val="004539EA"/>
    <w:rsid w:val="00455F7A"/>
    <w:rsid w:val="004572A0"/>
    <w:rsid w:val="004614CD"/>
    <w:rsid w:val="0046338E"/>
    <w:rsid w:val="00464148"/>
    <w:rsid w:val="00471CFE"/>
    <w:rsid w:val="00474A82"/>
    <w:rsid w:val="0048235E"/>
    <w:rsid w:val="004830BA"/>
    <w:rsid w:val="004878E3"/>
    <w:rsid w:val="00487991"/>
    <w:rsid w:val="004A3E47"/>
    <w:rsid w:val="004A5767"/>
    <w:rsid w:val="004B260A"/>
    <w:rsid w:val="004C09C1"/>
    <w:rsid w:val="004C6391"/>
    <w:rsid w:val="004C69AA"/>
    <w:rsid w:val="004D291B"/>
    <w:rsid w:val="004E0FD4"/>
    <w:rsid w:val="004E5D50"/>
    <w:rsid w:val="00501CE3"/>
    <w:rsid w:val="005047E0"/>
    <w:rsid w:val="005137FF"/>
    <w:rsid w:val="00514212"/>
    <w:rsid w:val="00514CF3"/>
    <w:rsid w:val="00515F69"/>
    <w:rsid w:val="00520705"/>
    <w:rsid w:val="00521087"/>
    <w:rsid w:val="00525F5F"/>
    <w:rsid w:val="00546A43"/>
    <w:rsid w:val="00550B59"/>
    <w:rsid w:val="005601B5"/>
    <w:rsid w:val="005671CE"/>
    <w:rsid w:val="00573D03"/>
    <w:rsid w:val="005751B6"/>
    <w:rsid w:val="005756EC"/>
    <w:rsid w:val="005817AF"/>
    <w:rsid w:val="00585297"/>
    <w:rsid w:val="00585476"/>
    <w:rsid w:val="005908B2"/>
    <w:rsid w:val="0059117C"/>
    <w:rsid w:val="00593A90"/>
    <w:rsid w:val="00596334"/>
    <w:rsid w:val="005A0F1D"/>
    <w:rsid w:val="005A11EF"/>
    <w:rsid w:val="005A559E"/>
    <w:rsid w:val="005B6579"/>
    <w:rsid w:val="005C3D04"/>
    <w:rsid w:val="005C6536"/>
    <w:rsid w:val="005C7DD0"/>
    <w:rsid w:val="005D4362"/>
    <w:rsid w:val="005D4476"/>
    <w:rsid w:val="005D7635"/>
    <w:rsid w:val="005E2378"/>
    <w:rsid w:val="005E66B8"/>
    <w:rsid w:val="005F0258"/>
    <w:rsid w:val="005F0F2B"/>
    <w:rsid w:val="005F31F4"/>
    <w:rsid w:val="005F43A8"/>
    <w:rsid w:val="005F4F12"/>
    <w:rsid w:val="005F69AE"/>
    <w:rsid w:val="0060012D"/>
    <w:rsid w:val="00604E30"/>
    <w:rsid w:val="00610666"/>
    <w:rsid w:val="0061154A"/>
    <w:rsid w:val="0061422A"/>
    <w:rsid w:val="00614C26"/>
    <w:rsid w:val="006238C5"/>
    <w:rsid w:val="00626292"/>
    <w:rsid w:val="00626E1C"/>
    <w:rsid w:val="00633851"/>
    <w:rsid w:val="00640239"/>
    <w:rsid w:val="00640529"/>
    <w:rsid w:val="0064338C"/>
    <w:rsid w:val="00651F56"/>
    <w:rsid w:val="00660D2D"/>
    <w:rsid w:val="00664193"/>
    <w:rsid w:val="006748C9"/>
    <w:rsid w:val="00674D81"/>
    <w:rsid w:val="00681224"/>
    <w:rsid w:val="006839C9"/>
    <w:rsid w:val="0068582B"/>
    <w:rsid w:val="00694A57"/>
    <w:rsid w:val="006A1AD3"/>
    <w:rsid w:val="006A49D9"/>
    <w:rsid w:val="006A508B"/>
    <w:rsid w:val="006B2434"/>
    <w:rsid w:val="006C1278"/>
    <w:rsid w:val="006C31D6"/>
    <w:rsid w:val="006E0BAB"/>
    <w:rsid w:val="006E170E"/>
    <w:rsid w:val="006E4178"/>
    <w:rsid w:val="006E53D0"/>
    <w:rsid w:val="006E63AB"/>
    <w:rsid w:val="006F00CE"/>
    <w:rsid w:val="006F1FD3"/>
    <w:rsid w:val="007067FC"/>
    <w:rsid w:val="007113C7"/>
    <w:rsid w:val="00717632"/>
    <w:rsid w:val="007266F9"/>
    <w:rsid w:val="00730AF3"/>
    <w:rsid w:val="007335F7"/>
    <w:rsid w:val="00735515"/>
    <w:rsid w:val="00735866"/>
    <w:rsid w:val="00736A04"/>
    <w:rsid w:val="007429CB"/>
    <w:rsid w:val="00755590"/>
    <w:rsid w:val="00761CA7"/>
    <w:rsid w:val="007800E6"/>
    <w:rsid w:val="00784DAB"/>
    <w:rsid w:val="007929AD"/>
    <w:rsid w:val="00795407"/>
    <w:rsid w:val="00797663"/>
    <w:rsid w:val="00797F2D"/>
    <w:rsid w:val="007A38A5"/>
    <w:rsid w:val="007A65F4"/>
    <w:rsid w:val="007B0DBF"/>
    <w:rsid w:val="007C481B"/>
    <w:rsid w:val="007D11FF"/>
    <w:rsid w:val="007D1280"/>
    <w:rsid w:val="007D1828"/>
    <w:rsid w:val="007D26BE"/>
    <w:rsid w:val="007D6078"/>
    <w:rsid w:val="007D7B98"/>
    <w:rsid w:val="007F28D2"/>
    <w:rsid w:val="007F7043"/>
    <w:rsid w:val="008051CF"/>
    <w:rsid w:val="00810350"/>
    <w:rsid w:val="00823822"/>
    <w:rsid w:val="0082573C"/>
    <w:rsid w:val="00832241"/>
    <w:rsid w:val="00834C56"/>
    <w:rsid w:val="00835414"/>
    <w:rsid w:val="008358EF"/>
    <w:rsid w:val="00842A62"/>
    <w:rsid w:val="00845743"/>
    <w:rsid w:val="008470B8"/>
    <w:rsid w:val="008556ED"/>
    <w:rsid w:val="0086400D"/>
    <w:rsid w:val="00865735"/>
    <w:rsid w:val="0087275E"/>
    <w:rsid w:val="00875374"/>
    <w:rsid w:val="0088014E"/>
    <w:rsid w:val="00884533"/>
    <w:rsid w:val="008849D4"/>
    <w:rsid w:val="008936C1"/>
    <w:rsid w:val="00896F98"/>
    <w:rsid w:val="008A12F4"/>
    <w:rsid w:val="008A7AE6"/>
    <w:rsid w:val="008B04F6"/>
    <w:rsid w:val="008B1FDF"/>
    <w:rsid w:val="008C08C4"/>
    <w:rsid w:val="008D1332"/>
    <w:rsid w:val="008E256D"/>
    <w:rsid w:val="008E5B0D"/>
    <w:rsid w:val="008F03F3"/>
    <w:rsid w:val="008F3943"/>
    <w:rsid w:val="0090237C"/>
    <w:rsid w:val="00903A0F"/>
    <w:rsid w:val="0090540C"/>
    <w:rsid w:val="00910570"/>
    <w:rsid w:val="00914232"/>
    <w:rsid w:val="00914431"/>
    <w:rsid w:val="00923885"/>
    <w:rsid w:val="00924433"/>
    <w:rsid w:val="00932B0A"/>
    <w:rsid w:val="00936B6A"/>
    <w:rsid w:val="009404FD"/>
    <w:rsid w:val="00941235"/>
    <w:rsid w:val="00943E84"/>
    <w:rsid w:val="0094454B"/>
    <w:rsid w:val="00945D68"/>
    <w:rsid w:val="009568C5"/>
    <w:rsid w:val="00972F2B"/>
    <w:rsid w:val="0097401B"/>
    <w:rsid w:val="009760C4"/>
    <w:rsid w:val="0099622B"/>
    <w:rsid w:val="009A3620"/>
    <w:rsid w:val="009B4FF9"/>
    <w:rsid w:val="009C4E13"/>
    <w:rsid w:val="009C5F83"/>
    <w:rsid w:val="009C7A1C"/>
    <w:rsid w:val="009C7F5C"/>
    <w:rsid w:val="009D3F51"/>
    <w:rsid w:val="009F09A2"/>
    <w:rsid w:val="009F451B"/>
    <w:rsid w:val="00A00CFF"/>
    <w:rsid w:val="00A037EB"/>
    <w:rsid w:val="00A1424B"/>
    <w:rsid w:val="00A226B1"/>
    <w:rsid w:val="00A22F18"/>
    <w:rsid w:val="00A2309A"/>
    <w:rsid w:val="00A31D1A"/>
    <w:rsid w:val="00A32290"/>
    <w:rsid w:val="00A32EEA"/>
    <w:rsid w:val="00A369AE"/>
    <w:rsid w:val="00A37166"/>
    <w:rsid w:val="00A426FA"/>
    <w:rsid w:val="00A436D5"/>
    <w:rsid w:val="00A440DB"/>
    <w:rsid w:val="00A4528E"/>
    <w:rsid w:val="00A45937"/>
    <w:rsid w:val="00A46091"/>
    <w:rsid w:val="00A6219F"/>
    <w:rsid w:val="00A648C9"/>
    <w:rsid w:val="00A67561"/>
    <w:rsid w:val="00A71288"/>
    <w:rsid w:val="00A71A63"/>
    <w:rsid w:val="00A73171"/>
    <w:rsid w:val="00A77DE2"/>
    <w:rsid w:val="00A8767E"/>
    <w:rsid w:val="00A94D89"/>
    <w:rsid w:val="00A97174"/>
    <w:rsid w:val="00AA6A75"/>
    <w:rsid w:val="00AA6DD2"/>
    <w:rsid w:val="00AB4BC2"/>
    <w:rsid w:val="00AC0379"/>
    <w:rsid w:val="00AC4DDA"/>
    <w:rsid w:val="00AC5473"/>
    <w:rsid w:val="00AD122A"/>
    <w:rsid w:val="00AD1CDC"/>
    <w:rsid w:val="00AD1D94"/>
    <w:rsid w:val="00AD6143"/>
    <w:rsid w:val="00AD7B38"/>
    <w:rsid w:val="00AE47D7"/>
    <w:rsid w:val="00AE63A6"/>
    <w:rsid w:val="00B129B9"/>
    <w:rsid w:val="00B12C09"/>
    <w:rsid w:val="00B1365F"/>
    <w:rsid w:val="00B15931"/>
    <w:rsid w:val="00B15C48"/>
    <w:rsid w:val="00B177E1"/>
    <w:rsid w:val="00B2780E"/>
    <w:rsid w:val="00B368D7"/>
    <w:rsid w:val="00B44A13"/>
    <w:rsid w:val="00B466C8"/>
    <w:rsid w:val="00B46B82"/>
    <w:rsid w:val="00B47082"/>
    <w:rsid w:val="00B57DD5"/>
    <w:rsid w:val="00B60267"/>
    <w:rsid w:val="00B64BE5"/>
    <w:rsid w:val="00B65735"/>
    <w:rsid w:val="00B66536"/>
    <w:rsid w:val="00B734DB"/>
    <w:rsid w:val="00B74122"/>
    <w:rsid w:val="00B838C5"/>
    <w:rsid w:val="00B91F54"/>
    <w:rsid w:val="00BA4FED"/>
    <w:rsid w:val="00BA545C"/>
    <w:rsid w:val="00BA67CB"/>
    <w:rsid w:val="00BA77F4"/>
    <w:rsid w:val="00BB1931"/>
    <w:rsid w:val="00BB41A5"/>
    <w:rsid w:val="00BC7B73"/>
    <w:rsid w:val="00BD0965"/>
    <w:rsid w:val="00BD0FE6"/>
    <w:rsid w:val="00BE6FC5"/>
    <w:rsid w:val="00BF2470"/>
    <w:rsid w:val="00BF4031"/>
    <w:rsid w:val="00BF4385"/>
    <w:rsid w:val="00BF6806"/>
    <w:rsid w:val="00C036EB"/>
    <w:rsid w:val="00C03BF9"/>
    <w:rsid w:val="00C07A1F"/>
    <w:rsid w:val="00C11F4A"/>
    <w:rsid w:val="00C12F0A"/>
    <w:rsid w:val="00C1553F"/>
    <w:rsid w:val="00C211E4"/>
    <w:rsid w:val="00C331F2"/>
    <w:rsid w:val="00C36F51"/>
    <w:rsid w:val="00C42B9C"/>
    <w:rsid w:val="00C457E9"/>
    <w:rsid w:val="00C527FC"/>
    <w:rsid w:val="00C57EF4"/>
    <w:rsid w:val="00C66DF3"/>
    <w:rsid w:val="00C676D7"/>
    <w:rsid w:val="00C72714"/>
    <w:rsid w:val="00C728F0"/>
    <w:rsid w:val="00C73E8B"/>
    <w:rsid w:val="00C75E0C"/>
    <w:rsid w:val="00C774B1"/>
    <w:rsid w:val="00C8209E"/>
    <w:rsid w:val="00C91F67"/>
    <w:rsid w:val="00C92635"/>
    <w:rsid w:val="00C9793D"/>
    <w:rsid w:val="00C97C07"/>
    <w:rsid w:val="00CA2F96"/>
    <w:rsid w:val="00CA448F"/>
    <w:rsid w:val="00CA6FE0"/>
    <w:rsid w:val="00CB3905"/>
    <w:rsid w:val="00CC401C"/>
    <w:rsid w:val="00CD1521"/>
    <w:rsid w:val="00CD474C"/>
    <w:rsid w:val="00CE0A22"/>
    <w:rsid w:val="00CE4D37"/>
    <w:rsid w:val="00CE510F"/>
    <w:rsid w:val="00CF2895"/>
    <w:rsid w:val="00CF379E"/>
    <w:rsid w:val="00CF53E7"/>
    <w:rsid w:val="00CF65EC"/>
    <w:rsid w:val="00CF7E4E"/>
    <w:rsid w:val="00D01200"/>
    <w:rsid w:val="00D0513E"/>
    <w:rsid w:val="00D05B79"/>
    <w:rsid w:val="00D14AC7"/>
    <w:rsid w:val="00D5075C"/>
    <w:rsid w:val="00D648C0"/>
    <w:rsid w:val="00D66049"/>
    <w:rsid w:val="00D70CC6"/>
    <w:rsid w:val="00D73D0D"/>
    <w:rsid w:val="00D75A3D"/>
    <w:rsid w:val="00D77527"/>
    <w:rsid w:val="00D829E6"/>
    <w:rsid w:val="00D833A6"/>
    <w:rsid w:val="00D84D6F"/>
    <w:rsid w:val="00D8562C"/>
    <w:rsid w:val="00DA2AF1"/>
    <w:rsid w:val="00DA3E7F"/>
    <w:rsid w:val="00DA7F2E"/>
    <w:rsid w:val="00DB66E7"/>
    <w:rsid w:val="00DC366F"/>
    <w:rsid w:val="00DD3FED"/>
    <w:rsid w:val="00DF2A90"/>
    <w:rsid w:val="00DF7658"/>
    <w:rsid w:val="00E237FE"/>
    <w:rsid w:val="00E25F8A"/>
    <w:rsid w:val="00E40EAD"/>
    <w:rsid w:val="00E41F0F"/>
    <w:rsid w:val="00E46F97"/>
    <w:rsid w:val="00E5132C"/>
    <w:rsid w:val="00E5183A"/>
    <w:rsid w:val="00E5351A"/>
    <w:rsid w:val="00E5430F"/>
    <w:rsid w:val="00E722D6"/>
    <w:rsid w:val="00E902D4"/>
    <w:rsid w:val="00E91487"/>
    <w:rsid w:val="00E94FB6"/>
    <w:rsid w:val="00E973AD"/>
    <w:rsid w:val="00EB142F"/>
    <w:rsid w:val="00EC0756"/>
    <w:rsid w:val="00EC4DF2"/>
    <w:rsid w:val="00EC7E71"/>
    <w:rsid w:val="00ED351E"/>
    <w:rsid w:val="00ED736C"/>
    <w:rsid w:val="00EE2267"/>
    <w:rsid w:val="00EE3ED1"/>
    <w:rsid w:val="00EE3FA3"/>
    <w:rsid w:val="00EE5FE0"/>
    <w:rsid w:val="00EF1501"/>
    <w:rsid w:val="00EF1E18"/>
    <w:rsid w:val="00F1350B"/>
    <w:rsid w:val="00F16056"/>
    <w:rsid w:val="00F23D68"/>
    <w:rsid w:val="00F319EC"/>
    <w:rsid w:val="00F400B1"/>
    <w:rsid w:val="00F45BCB"/>
    <w:rsid w:val="00F51744"/>
    <w:rsid w:val="00F52856"/>
    <w:rsid w:val="00F53A37"/>
    <w:rsid w:val="00F55D5E"/>
    <w:rsid w:val="00F606B8"/>
    <w:rsid w:val="00F6416E"/>
    <w:rsid w:val="00F654F1"/>
    <w:rsid w:val="00F6609D"/>
    <w:rsid w:val="00F73288"/>
    <w:rsid w:val="00F86151"/>
    <w:rsid w:val="00F95BAB"/>
    <w:rsid w:val="00F96409"/>
    <w:rsid w:val="00FA2226"/>
    <w:rsid w:val="00FA7BB4"/>
    <w:rsid w:val="00FB3158"/>
    <w:rsid w:val="00FB4A49"/>
    <w:rsid w:val="00FB4B9D"/>
    <w:rsid w:val="00FC2656"/>
    <w:rsid w:val="00FC399D"/>
    <w:rsid w:val="00FC7A97"/>
    <w:rsid w:val="00FD0A1B"/>
    <w:rsid w:val="00FD185B"/>
    <w:rsid w:val="00FE4337"/>
    <w:rsid w:val="00FF6C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9751"/>
  <w15:chartTrackingRefBased/>
  <w15:docId w15:val="{79C0E371-E274-4165-89E1-C366AF9B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C73E8B"/>
    <w:pPr>
      <w:keepNext/>
      <w:shd w:val="clear" w:color="auto" w:fill="FFFFFF"/>
      <w:suppressAutoHyphens/>
      <w:autoSpaceDN w:val="0"/>
      <w:spacing w:after="0" w:line="240" w:lineRule="auto"/>
      <w:textAlignment w:val="baseline"/>
      <w:outlineLvl w:val="0"/>
    </w:pPr>
    <w:rPr>
      <w:rFonts w:ascii="Times New Roman Bold" w:eastAsia="Times New Roman" w:hAnsi="Times New Roman Bold" w:cs="Calibri"/>
      <w:b/>
      <w:bCs/>
      <w:color w:val="2F5496" w:themeColor="accent1" w:themeShade="B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E1"/>
    <w:rPr>
      <w:rFonts w:ascii="Segoe UI" w:hAnsi="Segoe UI" w:cs="Segoe UI"/>
      <w:sz w:val="18"/>
      <w:szCs w:val="18"/>
    </w:rPr>
  </w:style>
  <w:style w:type="character" w:styleId="CommentReference">
    <w:name w:val="annotation reference"/>
    <w:basedOn w:val="DefaultParagraphFont"/>
    <w:uiPriority w:val="99"/>
    <w:semiHidden/>
    <w:unhideWhenUsed/>
    <w:rsid w:val="00D75A3D"/>
    <w:rPr>
      <w:sz w:val="16"/>
      <w:szCs w:val="16"/>
    </w:rPr>
  </w:style>
  <w:style w:type="paragraph" w:styleId="CommentText">
    <w:name w:val="annotation text"/>
    <w:basedOn w:val="Normal"/>
    <w:link w:val="CommentTextChar"/>
    <w:uiPriority w:val="99"/>
    <w:unhideWhenUsed/>
    <w:rsid w:val="00D75A3D"/>
    <w:pPr>
      <w:spacing w:line="240" w:lineRule="auto"/>
    </w:pPr>
    <w:rPr>
      <w:sz w:val="20"/>
      <w:szCs w:val="20"/>
    </w:rPr>
  </w:style>
  <w:style w:type="character" w:customStyle="1" w:styleId="CommentTextChar">
    <w:name w:val="Comment Text Char"/>
    <w:basedOn w:val="DefaultParagraphFont"/>
    <w:link w:val="CommentText"/>
    <w:uiPriority w:val="99"/>
    <w:rsid w:val="00D75A3D"/>
    <w:rPr>
      <w:sz w:val="20"/>
      <w:szCs w:val="20"/>
    </w:rPr>
  </w:style>
  <w:style w:type="paragraph" w:styleId="CommentSubject">
    <w:name w:val="annotation subject"/>
    <w:basedOn w:val="CommentText"/>
    <w:next w:val="CommentText"/>
    <w:link w:val="CommentSubjectChar"/>
    <w:uiPriority w:val="99"/>
    <w:semiHidden/>
    <w:unhideWhenUsed/>
    <w:rsid w:val="00D75A3D"/>
    <w:rPr>
      <w:b/>
      <w:bCs/>
    </w:rPr>
  </w:style>
  <w:style w:type="character" w:customStyle="1" w:styleId="CommentSubjectChar">
    <w:name w:val="Comment Subject Char"/>
    <w:basedOn w:val="CommentTextChar"/>
    <w:link w:val="CommentSubject"/>
    <w:uiPriority w:val="99"/>
    <w:semiHidden/>
    <w:rsid w:val="00D75A3D"/>
    <w:rPr>
      <w:b/>
      <w:bCs/>
      <w:sz w:val="20"/>
      <w:szCs w:val="20"/>
    </w:rPr>
  </w:style>
  <w:style w:type="paragraph" w:styleId="Revision">
    <w:name w:val="Revision"/>
    <w:hidden/>
    <w:uiPriority w:val="99"/>
    <w:semiHidden/>
    <w:rsid w:val="00084A46"/>
    <w:pPr>
      <w:spacing w:after="0" w:line="240" w:lineRule="auto"/>
    </w:pPr>
  </w:style>
  <w:style w:type="paragraph" w:styleId="ListParagraph">
    <w:name w:val="List Paragraph"/>
    <w:basedOn w:val="Normal"/>
    <w:link w:val="ListParagraphChar"/>
    <w:uiPriority w:val="34"/>
    <w:qFormat/>
    <w:rsid w:val="00B57DD5"/>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f, Char"/>
    <w:basedOn w:val="Normal"/>
    <w:link w:val="FootnoteTextChar"/>
    <w:uiPriority w:val="99"/>
    <w:unhideWhenUsed/>
    <w:qFormat/>
    <w:rsid w:val="007067FC"/>
    <w:pPr>
      <w:widowControl w:val="0"/>
      <w:spacing w:after="0" w:line="240" w:lineRule="auto"/>
    </w:pPr>
    <w:rPr>
      <w:rFonts w:ascii="Calibri" w:eastAsia="Times New Roman" w:hAnsi="Calibri" w:cs="Times New Roman"/>
      <w:sz w:val="20"/>
      <w:szCs w:val="20"/>
      <w:lang w:val="en-US"/>
    </w:rPr>
  </w:style>
  <w:style w:type="character" w:customStyle="1" w:styleId="FootnoteTextChar">
    <w:name w:val="Footnote Text Char"/>
    <w:aliases w:val="Footnote Char,Fußnote Char,Char Char,Char Rakstz. Rakstz. Rakstz. Rakstz. Rakstz. Rakstz. Rakstz. Char,Char Rakstz. Rakstz. Rakstz. Rakstz. Rakstz. Rakstz. Char,C Char,f Char, Char Char"/>
    <w:basedOn w:val="DefaultParagraphFont"/>
    <w:link w:val="FootnoteText"/>
    <w:uiPriority w:val="99"/>
    <w:rsid w:val="007067FC"/>
    <w:rPr>
      <w:rFonts w:ascii="Calibri" w:eastAsia="Times New Roman" w:hAnsi="Calibri" w:cs="Times New Roman"/>
      <w:sz w:val="20"/>
      <w:szCs w:val="20"/>
      <w:lang w:val="en-US"/>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basedOn w:val="DefaultParagraphFont"/>
    <w:link w:val="CharCharCharChar"/>
    <w:uiPriority w:val="99"/>
    <w:unhideWhenUsed/>
    <w:qFormat/>
    <w:rsid w:val="007067FC"/>
    <w:rPr>
      <w:rFonts w:cs="Times New Roman"/>
      <w:vertAlign w:val="superscript"/>
    </w:rPr>
  </w:style>
  <w:style w:type="table" w:styleId="TableGrid">
    <w:name w:val="Table Grid"/>
    <w:basedOn w:val="TableNormal"/>
    <w:uiPriority w:val="39"/>
    <w:rsid w:val="0044712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017A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CharCharChar">
    <w:name w:val="Char Char Char Char"/>
    <w:aliases w:val="Char2"/>
    <w:basedOn w:val="Normal"/>
    <w:next w:val="Normal"/>
    <w:link w:val="FootnoteReference"/>
    <w:uiPriority w:val="99"/>
    <w:rsid w:val="00651F56"/>
    <w:pPr>
      <w:spacing w:line="240" w:lineRule="exact"/>
      <w:jc w:val="both"/>
    </w:pPr>
    <w:rPr>
      <w:rFonts w:cs="Times New Roman"/>
      <w:vertAlign w:val="superscript"/>
    </w:rPr>
  </w:style>
  <w:style w:type="paragraph" w:styleId="Header">
    <w:name w:val="header"/>
    <w:basedOn w:val="Normal"/>
    <w:link w:val="HeaderChar"/>
    <w:uiPriority w:val="99"/>
    <w:unhideWhenUsed/>
    <w:rsid w:val="004A57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5767"/>
  </w:style>
  <w:style w:type="paragraph" w:styleId="Footer">
    <w:name w:val="footer"/>
    <w:basedOn w:val="Normal"/>
    <w:link w:val="FooterChar"/>
    <w:uiPriority w:val="99"/>
    <w:unhideWhenUsed/>
    <w:rsid w:val="004A57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5767"/>
  </w:style>
  <w:style w:type="character" w:styleId="Strong">
    <w:name w:val="Strong"/>
    <w:basedOn w:val="DefaultParagraphFont"/>
    <w:uiPriority w:val="22"/>
    <w:qFormat/>
    <w:rsid w:val="00C728F0"/>
    <w:rPr>
      <w:b/>
      <w:bCs/>
    </w:rPr>
  </w:style>
  <w:style w:type="character" w:customStyle="1" w:styleId="Heading1Char">
    <w:name w:val="Heading 1 Char"/>
    <w:basedOn w:val="DefaultParagraphFont"/>
    <w:link w:val="Heading1"/>
    <w:uiPriority w:val="9"/>
    <w:rsid w:val="00C73E8B"/>
    <w:rPr>
      <w:rFonts w:ascii="Times New Roman Bold" w:eastAsia="Times New Roman" w:hAnsi="Times New Roman Bold" w:cs="Calibri"/>
      <w:b/>
      <w:bCs/>
      <w:color w:val="2F5496" w:themeColor="accent1" w:themeShade="BF"/>
      <w:kern w:val="32"/>
      <w:sz w:val="32"/>
      <w:szCs w:val="32"/>
      <w:shd w:val="clear" w:color="auto" w:fill="FFFFFF"/>
    </w:rPr>
  </w:style>
  <w:style w:type="character" w:styleId="Hyperlink">
    <w:name w:val="Hyperlink"/>
    <w:basedOn w:val="DefaultParagraphFont"/>
    <w:uiPriority w:val="99"/>
    <w:unhideWhenUsed/>
    <w:rsid w:val="00C73E8B"/>
    <w:rPr>
      <w:rFonts w:cs="Times New Roman"/>
      <w:color w:val="0563C1"/>
      <w:u w:val="single"/>
    </w:rPr>
  </w:style>
  <w:style w:type="character" w:customStyle="1" w:styleId="ListParagraphChar">
    <w:name w:val="List Paragraph Char"/>
    <w:link w:val="ListParagraph"/>
    <w:uiPriority w:val="34"/>
    <w:rsid w:val="00D66049"/>
  </w:style>
  <w:style w:type="table" w:styleId="PlainTable5">
    <w:name w:val="Plain Table 5"/>
    <w:basedOn w:val="TableNormal"/>
    <w:uiPriority w:val="45"/>
    <w:rsid w:val="005D44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EE5FE0"/>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NormalWeb">
    <w:name w:val="Normal (Web)"/>
    <w:basedOn w:val="Normal"/>
    <w:uiPriority w:val="99"/>
    <w:unhideWhenUsed/>
    <w:rsid w:val="00AC0379"/>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78218">
      <w:bodyDiv w:val="1"/>
      <w:marLeft w:val="0"/>
      <w:marRight w:val="0"/>
      <w:marTop w:val="0"/>
      <w:marBottom w:val="0"/>
      <w:divBdr>
        <w:top w:val="none" w:sz="0" w:space="0" w:color="auto"/>
        <w:left w:val="none" w:sz="0" w:space="0" w:color="auto"/>
        <w:bottom w:val="none" w:sz="0" w:space="0" w:color="auto"/>
        <w:right w:val="none" w:sz="0" w:space="0" w:color="auto"/>
      </w:divBdr>
    </w:div>
    <w:div w:id="441919210">
      <w:bodyDiv w:val="1"/>
      <w:marLeft w:val="0"/>
      <w:marRight w:val="0"/>
      <w:marTop w:val="0"/>
      <w:marBottom w:val="0"/>
      <w:divBdr>
        <w:top w:val="none" w:sz="0" w:space="0" w:color="auto"/>
        <w:left w:val="none" w:sz="0" w:space="0" w:color="auto"/>
        <w:bottom w:val="none" w:sz="0" w:space="0" w:color="auto"/>
        <w:right w:val="none" w:sz="0" w:space="0" w:color="auto"/>
      </w:divBdr>
    </w:div>
    <w:div w:id="653874095">
      <w:bodyDiv w:val="1"/>
      <w:marLeft w:val="0"/>
      <w:marRight w:val="0"/>
      <w:marTop w:val="0"/>
      <w:marBottom w:val="0"/>
      <w:divBdr>
        <w:top w:val="none" w:sz="0" w:space="0" w:color="auto"/>
        <w:left w:val="none" w:sz="0" w:space="0" w:color="auto"/>
        <w:bottom w:val="none" w:sz="0" w:space="0" w:color="auto"/>
        <w:right w:val="none" w:sz="0" w:space="0" w:color="auto"/>
      </w:divBdr>
      <w:divsChild>
        <w:div w:id="740832631">
          <w:marLeft w:val="0"/>
          <w:marRight w:val="0"/>
          <w:marTop w:val="0"/>
          <w:marBottom w:val="0"/>
          <w:divBdr>
            <w:top w:val="none" w:sz="0" w:space="0" w:color="auto"/>
            <w:left w:val="none" w:sz="0" w:space="0" w:color="auto"/>
            <w:bottom w:val="none" w:sz="0" w:space="0" w:color="auto"/>
            <w:right w:val="none" w:sz="0" w:space="0" w:color="auto"/>
          </w:divBdr>
        </w:div>
        <w:div w:id="1067261389">
          <w:marLeft w:val="0"/>
          <w:marRight w:val="0"/>
          <w:marTop w:val="0"/>
          <w:marBottom w:val="0"/>
          <w:divBdr>
            <w:top w:val="none" w:sz="0" w:space="0" w:color="auto"/>
            <w:left w:val="none" w:sz="0" w:space="0" w:color="auto"/>
            <w:bottom w:val="none" w:sz="0" w:space="0" w:color="auto"/>
            <w:right w:val="none" w:sz="0" w:space="0" w:color="auto"/>
          </w:divBdr>
        </w:div>
        <w:div w:id="1358652769">
          <w:marLeft w:val="0"/>
          <w:marRight w:val="0"/>
          <w:marTop w:val="0"/>
          <w:marBottom w:val="0"/>
          <w:divBdr>
            <w:top w:val="none" w:sz="0" w:space="0" w:color="auto"/>
            <w:left w:val="none" w:sz="0" w:space="0" w:color="auto"/>
            <w:bottom w:val="none" w:sz="0" w:space="0" w:color="auto"/>
            <w:right w:val="none" w:sz="0" w:space="0" w:color="auto"/>
          </w:divBdr>
        </w:div>
        <w:div w:id="1587109946">
          <w:marLeft w:val="0"/>
          <w:marRight w:val="0"/>
          <w:marTop w:val="0"/>
          <w:marBottom w:val="0"/>
          <w:divBdr>
            <w:top w:val="none" w:sz="0" w:space="0" w:color="auto"/>
            <w:left w:val="none" w:sz="0" w:space="0" w:color="auto"/>
            <w:bottom w:val="none" w:sz="0" w:space="0" w:color="auto"/>
            <w:right w:val="none" w:sz="0" w:space="0" w:color="auto"/>
          </w:divBdr>
        </w:div>
        <w:div w:id="1196961539">
          <w:marLeft w:val="0"/>
          <w:marRight w:val="0"/>
          <w:marTop w:val="0"/>
          <w:marBottom w:val="0"/>
          <w:divBdr>
            <w:top w:val="none" w:sz="0" w:space="0" w:color="auto"/>
            <w:left w:val="none" w:sz="0" w:space="0" w:color="auto"/>
            <w:bottom w:val="none" w:sz="0" w:space="0" w:color="auto"/>
            <w:right w:val="none" w:sz="0" w:space="0" w:color="auto"/>
          </w:divBdr>
        </w:div>
      </w:divsChild>
    </w:div>
    <w:div w:id="791021270">
      <w:bodyDiv w:val="1"/>
      <w:marLeft w:val="0"/>
      <w:marRight w:val="0"/>
      <w:marTop w:val="0"/>
      <w:marBottom w:val="0"/>
      <w:divBdr>
        <w:top w:val="none" w:sz="0" w:space="0" w:color="auto"/>
        <w:left w:val="none" w:sz="0" w:space="0" w:color="auto"/>
        <w:bottom w:val="none" w:sz="0" w:space="0" w:color="auto"/>
        <w:right w:val="none" w:sz="0" w:space="0" w:color="auto"/>
      </w:divBdr>
      <w:divsChild>
        <w:div w:id="585966193">
          <w:marLeft w:val="0"/>
          <w:marRight w:val="0"/>
          <w:marTop w:val="0"/>
          <w:marBottom w:val="0"/>
          <w:divBdr>
            <w:top w:val="none" w:sz="0" w:space="0" w:color="auto"/>
            <w:left w:val="none" w:sz="0" w:space="0" w:color="auto"/>
            <w:bottom w:val="none" w:sz="0" w:space="0" w:color="auto"/>
            <w:right w:val="none" w:sz="0" w:space="0" w:color="auto"/>
          </w:divBdr>
        </w:div>
        <w:div w:id="1845046942">
          <w:marLeft w:val="0"/>
          <w:marRight w:val="0"/>
          <w:marTop w:val="0"/>
          <w:marBottom w:val="0"/>
          <w:divBdr>
            <w:top w:val="none" w:sz="0" w:space="0" w:color="auto"/>
            <w:left w:val="none" w:sz="0" w:space="0" w:color="auto"/>
            <w:bottom w:val="none" w:sz="0" w:space="0" w:color="auto"/>
            <w:right w:val="none" w:sz="0" w:space="0" w:color="auto"/>
          </w:divBdr>
        </w:div>
        <w:div w:id="129908558">
          <w:marLeft w:val="0"/>
          <w:marRight w:val="0"/>
          <w:marTop w:val="0"/>
          <w:marBottom w:val="0"/>
          <w:divBdr>
            <w:top w:val="none" w:sz="0" w:space="0" w:color="auto"/>
            <w:left w:val="none" w:sz="0" w:space="0" w:color="auto"/>
            <w:bottom w:val="none" w:sz="0" w:space="0" w:color="auto"/>
            <w:right w:val="none" w:sz="0" w:space="0" w:color="auto"/>
          </w:divBdr>
        </w:div>
      </w:divsChild>
    </w:div>
    <w:div w:id="981420238">
      <w:bodyDiv w:val="1"/>
      <w:marLeft w:val="0"/>
      <w:marRight w:val="0"/>
      <w:marTop w:val="0"/>
      <w:marBottom w:val="0"/>
      <w:divBdr>
        <w:top w:val="none" w:sz="0" w:space="0" w:color="auto"/>
        <w:left w:val="none" w:sz="0" w:space="0" w:color="auto"/>
        <w:bottom w:val="none" w:sz="0" w:space="0" w:color="auto"/>
        <w:right w:val="none" w:sz="0" w:space="0" w:color="auto"/>
      </w:divBdr>
    </w:div>
    <w:div w:id="1026062549">
      <w:bodyDiv w:val="1"/>
      <w:marLeft w:val="0"/>
      <w:marRight w:val="0"/>
      <w:marTop w:val="0"/>
      <w:marBottom w:val="0"/>
      <w:divBdr>
        <w:top w:val="none" w:sz="0" w:space="0" w:color="auto"/>
        <w:left w:val="none" w:sz="0" w:space="0" w:color="auto"/>
        <w:bottom w:val="none" w:sz="0" w:space="0" w:color="auto"/>
        <w:right w:val="none" w:sz="0" w:space="0" w:color="auto"/>
      </w:divBdr>
    </w:div>
    <w:div w:id="1376471479">
      <w:bodyDiv w:val="1"/>
      <w:marLeft w:val="0"/>
      <w:marRight w:val="0"/>
      <w:marTop w:val="0"/>
      <w:marBottom w:val="0"/>
      <w:divBdr>
        <w:top w:val="none" w:sz="0" w:space="0" w:color="auto"/>
        <w:left w:val="none" w:sz="0" w:space="0" w:color="auto"/>
        <w:bottom w:val="none" w:sz="0" w:space="0" w:color="auto"/>
        <w:right w:val="none" w:sz="0" w:space="0" w:color="auto"/>
      </w:divBdr>
    </w:div>
    <w:div w:id="1545210892">
      <w:bodyDiv w:val="1"/>
      <w:marLeft w:val="0"/>
      <w:marRight w:val="0"/>
      <w:marTop w:val="0"/>
      <w:marBottom w:val="0"/>
      <w:divBdr>
        <w:top w:val="none" w:sz="0" w:space="0" w:color="auto"/>
        <w:left w:val="none" w:sz="0" w:space="0" w:color="auto"/>
        <w:bottom w:val="none" w:sz="0" w:space="0" w:color="auto"/>
        <w:right w:val="none" w:sz="0" w:space="0" w:color="auto"/>
      </w:divBdr>
    </w:div>
    <w:div w:id="1657342751">
      <w:bodyDiv w:val="1"/>
      <w:marLeft w:val="0"/>
      <w:marRight w:val="0"/>
      <w:marTop w:val="0"/>
      <w:marBottom w:val="0"/>
      <w:divBdr>
        <w:top w:val="none" w:sz="0" w:space="0" w:color="auto"/>
        <w:left w:val="none" w:sz="0" w:space="0" w:color="auto"/>
        <w:bottom w:val="none" w:sz="0" w:space="0" w:color="auto"/>
        <w:right w:val="none" w:sz="0" w:space="0" w:color="auto"/>
      </w:divBdr>
      <w:divsChild>
        <w:div w:id="1818689738">
          <w:marLeft w:val="0"/>
          <w:marRight w:val="0"/>
          <w:marTop w:val="0"/>
          <w:marBottom w:val="60"/>
          <w:divBdr>
            <w:top w:val="none" w:sz="0" w:space="0" w:color="auto"/>
            <w:left w:val="none" w:sz="0" w:space="0" w:color="auto"/>
            <w:bottom w:val="none" w:sz="0" w:space="0" w:color="auto"/>
            <w:right w:val="none" w:sz="0" w:space="0" w:color="auto"/>
          </w:divBdr>
        </w:div>
        <w:div w:id="1591767552">
          <w:marLeft w:val="0"/>
          <w:marRight w:val="0"/>
          <w:marTop w:val="0"/>
          <w:marBottom w:val="60"/>
          <w:divBdr>
            <w:top w:val="none" w:sz="0" w:space="0" w:color="auto"/>
            <w:left w:val="none" w:sz="0" w:space="0" w:color="auto"/>
            <w:bottom w:val="none" w:sz="0" w:space="0" w:color="auto"/>
            <w:right w:val="none" w:sz="0" w:space="0" w:color="auto"/>
          </w:divBdr>
        </w:div>
        <w:div w:id="480121166">
          <w:marLeft w:val="0"/>
          <w:marRight w:val="0"/>
          <w:marTop w:val="0"/>
          <w:marBottom w:val="60"/>
          <w:divBdr>
            <w:top w:val="none" w:sz="0" w:space="0" w:color="auto"/>
            <w:left w:val="none" w:sz="0" w:space="0" w:color="auto"/>
            <w:bottom w:val="none" w:sz="0" w:space="0" w:color="auto"/>
            <w:right w:val="none" w:sz="0" w:space="0" w:color="auto"/>
          </w:divBdr>
        </w:div>
        <w:div w:id="1865171817">
          <w:marLeft w:val="0"/>
          <w:marRight w:val="0"/>
          <w:marTop w:val="0"/>
          <w:marBottom w:val="60"/>
          <w:divBdr>
            <w:top w:val="none" w:sz="0" w:space="0" w:color="auto"/>
            <w:left w:val="none" w:sz="0" w:space="0" w:color="auto"/>
            <w:bottom w:val="none" w:sz="0" w:space="0" w:color="auto"/>
            <w:right w:val="none" w:sz="0" w:space="0" w:color="auto"/>
          </w:divBdr>
        </w:div>
        <w:div w:id="517277669">
          <w:marLeft w:val="0"/>
          <w:marRight w:val="0"/>
          <w:marTop w:val="0"/>
          <w:marBottom w:val="60"/>
          <w:divBdr>
            <w:top w:val="none" w:sz="0" w:space="0" w:color="auto"/>
            <w:left w:val="none" w:sz="0" w:space="0" w:color="auto"/>
            <w:bottom w:val="none" w:sz="0" w:space="0" w:color="auto"/>
            <w:right w:val="none" w:sz="0" w:space="0" w:color="auto"/>
          </w:divBdr>
        </w:div>
      </w:divsChild>
    </w:div>
    <w:div w:id="18487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Evija.Kula@l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ata.stat.gov.lv/pxweb/lv/OSP_PUB/START__POP__NN__NNM/NNM080/" TargetMode="External"/><Relationship Id="rId2" Type="http://schemas.openxmlformats.org/officeDocument/2006/relationships/hyperlink" Target="https://data.stat.gov.lv/pxweb/lv/OSP_PUB/START__POP__NN__NNM/NNM080/" TargetMode="External"/><Relationship Id="rId1" Type="http://schemas.openxmlformats.org/officeDocument/2006/relationships/hyperlink" Target="https://data.stat.gov.lv/pxweb/lv/OSP_PUB/START__POP__NN__NNM/NNM08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vija\Downloads\MIS070_20220604-163321.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vija\Downloads\MIS0301_20220604-16280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314576315567673E-2"/>
          <c:y val="3.6600559016220398E-2"/>
          <c:w val="0.90510319297730679"/>
          <c:h val="0.75869706243051493"/>
        </c:manualLayout>
      </c:layout>
      <c:barChart>
        <c:barDir val="col"/>
        <c:grouping val="clustered"/>
        <c:varyColors val="0"/>
        <c:ser>
          <c:idx val="0"/>
          <c:order val="0"/>
          <c:tx>
            <c:strRef>
              <c:f>Sheet1!$C$1</c:f>
              <c:strCache>
                <c:ptCount val="1"/>
                <c:pt idx="0">
                  <c:v>12 mēnešu inflācija</c:v>
                </c:pt>
              </c:strCache>
            </c:strRef>
          </c:tx>
          <c:spPr>
            <a:ln>
              <a:noFill/>
            </a:ln>
          </c:spPr>
          <c:invertIfNegative val="0"/>
          <c:dLbls>
            <c:spPr>
              <a:noFill/>
              <a:ln>
                <a:noFill/>
              </a:ln>
              <a:effectLst/>
            </c:spPr>
            <c:txPr>
              <a:bodyPr wrap="square" lIns="38100" tIns="19050" rIns="38100" bIns="19050" anchor="ctr">
                <a:spAutoFit/>
              </a:bodyPr>
              <a:lstStyle/>
              <a:p>
                <a:pPr>
                  <a:defRPr sz="800"/>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multiLvlStrRef>
              <c:f>Sheet1!$A$2:$B$42</c:f>
              <c:multiLvlStrCache>
                <c:ptCount val="41"/>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lvl>
                <c:lvl>
                  <c:pt idx="0">
                    <c:v>2019</c:v>
                  </c:pt>
                  <c:pt idx="12">
                    <c:v>2020</c:v>
                  </c:pt>
                  <c:pt idx="24">
                    <c:v>2021</c:v>
                  </c:pt>
                  <c:pt idx="36">
                    <c:v>2022</c:v>
                  </c:pt>
                </c:lvl>
              </c:multiLvlStrCache>
            </c:multiLvlStrRef>
          </c:cat>
          <c:val>
            <c:numRef>
              <c:f>Sheet1!$C$2:$C$42</c:f>
              <c:numCache>
                <c:formatCode>0.0</c:formatCode>
                <c:ptCount val="41"/>
                <c:pt idx="0">
                  <c:v>3</c:v>
                </c:pt>
                <c:pt idx="1">
                  <c:v>2.9</c:v>
                </c:pt>
                <c:pt idx="2">
                  <c:v>2.8</c:v>
                </c:pt>
                <c:pt idx="3">
                  <c:v>3.4</c:v>
                </c:pt>
                <c:pt idx="4">
                  <c:v>3.3</c:v>
                </c:pt>
                <c:pt idx="5">
                  <c:v>3</c:v>
                </c:pt>
                <c:pt idx="6">
                  <c:v>2.9</c:v>
                </c:pt>
                <c:pt idx="7">
                  <c:v>3.2</c:v>
                </c:pt>
                <c:pt idx="8">
                  <c:v>2.6</c:v>
                </c:pt>
                <c:pt idx="9">
                  <c:v>2.2999999999999998</c:v>
                </c:pt>
                <c:pt idx="10">
                  <c:v>2.1</c:v>
                </c:pt>
                <c:pt idx="11">
                  <c:v>2.2999999999999998</c:v>
                </c:pt>
                <c:pt idx="12">
                  <c:v>2.2000000000000002</c:v>
                </c:pt>
                <c:pt idx="13">
                  <c:v>2.2999999999999998</c:v>
                </c:pt>
                <c:pt idx="14">
                  <c:v>1.4</c:v>
                </c:pt>
                <c:pt idx="15">
                  <c:v>0</c:v>
                </c:pt>
                <c:pt idx="16">
                  <c:v>-0.6</c:v>
                </c:pt>
                <c:pt idx="17">
                  <c:v>-0.7</c:v>
                </c:pt>
                <c:pt idx="18">
                  <c:v>0.5</c:v>
                </c:pt>
                <c:pt idx="19">
                  <c:v>-0.2</c:v>
                </c:pt>
                <c:pt idx="20">
                  <c:v>-0.3</c:v>
                </c:pt>
                <c:pt idx="21">
                  <c:v>-0.7</c:v>
                </c:pt>
                <c:pt idx="22">
                  <c:v>-0.7</c:v>
                </c:pt>
                <c:pt idx="23">
                  <c:v>-0.5</c:v>
                </c:pt>
                <c:pt idx="24">
                  <c:v>-0.5</c:v>
                </c:pt>
                <c:pt idx="25">
                  <c:v>-0.2</c:v>
                </c:pt>
                <c:pt idx="26">
                  <c:v>0.3</c:v>
                </c:pt>
                <c:pt idx="27">
                  <c:v>1.7</c:v>
                </c:pt>
                <c:pt idx="28">
                  <c:v>2.6</c:v>
                </c:pt>
                <c:pt idx="29">
                  <c:v>2.7</c:v>
                </c:pt>
                <c:pt idx="30">
                  <c:v>2.8</c:v>
                </c:pt>
                <c:pt idx="31">
                  <c:v>3.7</c:v>
                </c:pt>
                <c:pt idx="32">
                  <c:v>4.8</c:v>
                </c:pt>
                <c:pt idx="33">
                  <c:v>6</c:v>
                </c:pt>
                <c:pt idx="34">
                  <c:v>7.5</c:v>
                </c:pt>
                <c:pt idx="35">
                  <c:v>7.9</c:v>
                </c:pt>
                <c:pt idx="36">
                  <c:v>7.4</c:v>
                </c:pt>
                <c:pt idx="37">
                  <c:v>8.6999999999999993</c:v>
                </c:pt>
                <c:pt idx="38">
                  <c:v>11.5</c:v>
                </c:pt>
                <c:pt idx="39">
                  <c:v>13</c:v>
                </c:pt>
                <c:pt idx="40">
                  <c:v>16.899999999999999</c:v>
                </c:pt>
              </c:numCache>
            </c:numRef>
          </c:val>
          <c:extLst xmlns:c16r2="http://schemas.microsoft.com/office/drawing/2015/06/chart">
            <c:ext xmlns:c16="http://schemas.microsoft.com/office/drawing/2014/chart" uri="{C3380CC4-5D6E-409C-BE32-E72D297353CC}">
              <c16:uniqueId val="{00000000-AE89-490C-94D8-389151EBF167}"/>
            </c:ext>
          </c:extLst>
        </c:ser>
        <c:dLbls>
          <c:showLegendKey val="0"/>
          <c:showVal val="0"/>
          <c:showCatName val="0"/>
          <c:showSerName val="0"/>
          <c:showPercent val="0"/>
          <c:showBubbleSize val="0"/>
        </c:dLbls>
        <c:gapWidth val="50"/>
        <c:axId val="522311536"/>
        <c:axId val="522309576"/>
      </c:barChart>
      <c:catAx>
        <c:axId val="522311536"/>
        <c:scaling>
          <c:orientation val="minMax"/>
        </c:scaling>
        <c:delete val="0"/>
        <c:axPos val="b"/>
        <c:numFmt formatCode="General" sourceLinked="1"/>
        <c:majorTickMark val="none"/>
        <c:minorTickMark val="none"/>
        <c:tickLblPos val="low"/>
        <c:spPr>
          <a:ln w="3175"/>
        </c:spPr>
        <c:txPr>
          <a:bodyPr rot="0" vert="horz"/>
          <a:lstStyle/>
          <a:p>
            <a:pPr>
              <a:defRPr sz="1000"/>
            </a:pPr>
            <a:endParaRPr lang="lv-LV"/>
          </a:p>
        </c:txPr>
        <c:crossAx val="522309576"/>
        <c:crosses val="autoZero"/>
        <c:auto val="0"/>
        <c:lblAlgn val="ctr"/>
        <c:lblOffset val="0"/>
        <c:tickLblSkip val="1"/>
        <c:noMultiLvlLbl val="1"/>
      </c:catAx>
      <c:valAx>
        <c:axId val="522309576"/>
        <c:scaling>
          <c:orientation val="minMax"/>
          <c:max val="18"/>
          <c:min val="-3"/>
        </c:scaling>
        <c:delete val="0"/>
        <c:axPos val="l"/>
        <c:numFmt formatCode="0" sourceLinked="0"/>
        <c:majorTickMark val="out"/>
        <c:minorTickMark val="none"/>
        <c:tickLblPos val="nextTo"/>
        <c:spPr>
          <a:ln w="3175">
            <a:noFill/>
          </a:ln>
        </c:spPr>
        <c:txPr>
          <a:bodyPr rot="0" vert="horz"/>
          <a:lstStyle/>
          <a:p>
            <a:pPr>
              <a:defRPr sz="1000"/>
            </a:pPr>
            <a:endParaRPr lang="lv-LV"/>
          </a:p>
        </c:txPr>
        <c:crossAx val="522311536"/>
        <c:crosses val="autoZero"/>
        <c:crossBetween val="between"/>
        <c:majorUnit val="3"/>
      </c:valAx>
      <c:spPr>
        <a:noFill/>
        <a:ln w="24631">
          <a:noFill/>
        </a:ln>
      </c:spPr>
    </c:plotArea>
    <c:plotVisOnly val="1"/>
    <c:dispBlanksAs val="gap"/>
    <c:showDLblsOverMax val="0"/>
  </c:chart>
  <c:spPr>
    <a:noFill/>
    <a:ln>
      <a:noFill/>
    </a:ln>
  </c:spPr>
  <c:txPr>
    <a:bodyPr/>
    <a:lstStyle/>
    <a:p>
      <a:pPr>
        <a:defRPr sz="1400" b="0" i="0" u="none" strike="noStrike" baseline="0">
          <a:solidFill>
            <a:srgbClr val="000000"/>
          </a:solidFill>
          <a:latin typeface="Gill Sans Nova Cond Lt" panose="020B0306020104020203" pitchFamily="34" charset="0"/>
          <a:ea typeface="Arial"/>
          <a:cs typeface="Arial"/>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514429502309088E-2"/>
          <c:y val="4.8104902790508795E-2"/>
          <c:w val="0.86936351706036741"/>
          <c:h val="0.76007927170711354"/>
        </c:manualLayout>
      </c:layout>
      <c:lineChart>
        <c:grouping val="standard"/>
        <c:varyColors val="0"/>
        <c:ser>
          <c:idx val="0"/>
          <c:order val="0"/>
          <c:tx>
            <c:strRef>
              <c:f>Sheet1!$A$6</c:f>
              <c:strCache>
                <c:ptCount val="1"/>
                <c:pt idx="0">
                  <c:v>Pārtika</c:v>
                </c:pt>
              </c:strCache>
            </c:strRef>
          </c:tx>
          <c:spPr>
            <a:ln w="28575" cap="rnd">
              <a:solidFill>
                <a:schemeClr val="tx2"/>
              </a:solidFill>
              <a:round/>
            </a:ln>
            <a:effectLst/>
          </c:spPr>
          <c:marker>
            <c:symbol val="none"/>
          </c:marker>
          <c:cat>
            <c:strRef>
              <c:f>Sheet1!$B$5:$AP$5</c:f>
              <c:strCache>
                <c:ptCount val="41"/>
                <c:pt idx="0">
                  <c:v>2019M01</c:v>
                </c:pt>
                <c:pt idx="1">
                  <c:v>2019M02</c:v>
                </c:pt>
                <c:pt idx="2">
                  <c:v>2019M03</c:v>
                </c:pt>
                <c:pt idx="3">
                  <c:v>2019M04</c:v>
                </c:pt>
                <c:pt idx="4">
                  <c:v>2019M05</c:v>
                </c:pt>
                <c:pt idx="5">
                  <c:v>2019M06</c:v>
                </c:pt>
                <c:pt idx="6">
                  <c:v>2019M07</c:v>
                </c:pt>
                <c:pt idx="7">
                  <c:v>2019M08</c:v>
                </c:pt>
                <c:pt idx="8">
                  <c:v>2019M09</c:v>
                </c:pt>
                <c:pt idx="9">
                  <c:v>2019M10</c:v>
                </c:pt>
                <c:pt idx="10">
                  <c:v>2019M11</c:v>
                </c:pt>
                <c:pt idx="11">
                  <c:v>2019M12</c:v>
                </c:pt>
                <c:pt idx="12">
                  <c:v>2020M01</c:v>
                </c:pt>
                <c:pt idx="13">
                  <c:v>2020M02</c:v>
                </c:pt>
                <c:pt idx="14">
                  <c:v>2020M03</c:v>
                </c:pt>
                <c:pt idx="15">
                  <c:v>2020M04</c:v>
                </c:pt>
                <c:pt idx="16">
                  <c:v>2020M05</c:v>
                </c:pt>
                <c:pt idx="17">
                  <c:v>2020M06</c:v>
                </c:pt>
                <c:pt idx="18">
                  <c:v>2020M07</c:v>
                </c:pt>
                <c:pt idx="19">
                  <c:v>2020M08</c:v>
                </c:pt>
                <c:pt idx="20">
                  <c:v>2020M09</c:v>
                </c:pt>
                <c:pt idx="21">
                  <c:v>2020M10</c:v>
                </c:pt>
                <c:pt idx="22">
                  <c:v>2020M11</c:v>
                </c:pt>
                <c:pt idx="23">
                  <c:v>2020M12</c:v>
                </c:pt>
                <c:pt idx="24">
                  <c:v>2021M01</c:v>
                </c:pt>
                <c:pt idx="25">
                  <c:v>2021M02</c:v>
                </c:pt>
                <c:pt idx="26">
                  <c:v>2021M03</c:v>
                </c:pt>
                <c:pt idx="27">
                  <c:v>2021M04</c:v>
                </c:pt>
                <c:pt idx="28">
                  <c:v>2021M05</c:v>
                </c:pt>
                <c:pt idx="29">
                  <c:v>2021M06</c:v>
                </c:pt>
                <c:pt idx="30">
                  <c:v>2021M07</c:v>
                </c:pt>
                <c:pt idx="31">
                  <c:v>2021M08</c:v>
                </c:pt>
                <c:pt idx="32">
                  <c:v>2021M09</c:v>
                </c:pt>
                <c:pt idx="33">
                  <c:v>2021M10</c:v>
                </c:pt>
                <c:pt idx="34">
                  <c:v>2021M11</c:v>
                </c:pt>
                <c:pt idx="35">
                  <c:v>2021M12</c:v>
                </c:pt>
                <c:pt idx="36">
                  <c:v>2022M01</c:v>
                </c:pt>
                <c:pt idx="37">
                  <c:v>2022M02</c:v>
                </c:pt>
                <c:pt idx="38">
                  <c:v>2022M03</c:v>
                </c:pt>
                <c:pt idx="39">
                  <c:v>2022M04</c:v>
                </c:pt>
                <c:pt idx="40">
                  <c:v>2022M05</c:v>
                </c:pt>
              </c:strCache>
            </c:strRef>
          </c:cat>
          <c:val>
            <c:numRef>
              <c:f>Sheet1!$B$6:$AP$6</c:f>
              <c:numCache>
                <c:formatCode>0</c:formatCode>
                <c:ptCount val="41"/>
                <c:pt idx="0">
                  <c:v>109</c:v>
                </c:pt>
                <c:pt idx="1">
                  <c:v>109</c:v>
                </c:pt>
                <c:pt idx="2">
                  <c:v>110</c:v>
                </c:pt>
                <c:pt idx="3">
                  <c:v>110.6</c:v>
                </c:pt>
                <c:pt idx="4">
                  <c:v>112.3</c:v>
                </c:pt>
                <c:pt idx="5">
                  <c:v>112.3</c:v>
                </c:pt>
                <c:pt idx="6">
                  <c:v>111.1</c:v>
                </c:pt>
                <c:pt idx="7">
                  <c:v>110.6</c:v>
                </c:pt>
                <c:pt idx="8">
                  <c:v>109.3</c:v>
                </c:pt>
                <c:pt idx="9">
                  <c:v>110.4</c:v>
                </c:pt>
                <c:pt idx="10">
                  <c:v>110.3</c:v>
                </c:pt>
                <c:pt idx="11">
                  <c:v>110.8</c:v>
                </c:pt>
                <c:pt idx="12">
                  <c:v>112.7</c:v>
                </c:pt>
                <c:pt idx="13">
                  <c:v>113.8</c:v>
                </c:pt>
                <c:pt idx="14">
                  <c:v>113.9</c:v>
                </c:pt>
                <c:pt idx="15">
                  <c:v>114.1</c:v>
                </c:pt>
                <c:pt idx="16">
                  <c:v>115.1</c:v>
                </c:pt>
                <c:pt idx="17">
                  <c:v>113.4</c:v>
                </c:pt>
                <c:pt idx="18">
                  <c:v>114.1</c:v>
                </c:pt>
                <c:pt idx="19">
                  <c:v>112.8</c:v>
                </c:pt>
                <c:pt idx="20">
                  <c:v>111.7</c:v>
                </c:pt>
                <c:pt idx="21">
                  <c:v>111.6</c:v>
                </c:pt>
                <c:pt idx="22">
                  <c:v>112.1</c:v>
                </c:pt>
                <c:pt idx="23">
                  <c:v>112</c:v>
                </c:pt>
                <c:pt idx="24">
                  <c:v>112.5</c:v>
                </c:pt>
                <c:pt idx="25">
                  <c:v>113.3</c:v>
                </c:pt>
                <c:pt idx="26">
                  <c:v>113.3</c:v>
                </c:pt>
                <c:pt idx="27">
                  <c:v>114.7</c:v>
                </c:pt>
                <c:pt idx="28">
                  <c:v>116.1</c:v>
                </c:pt>
                <c:pt idx="29">
                  <c:v>115.8</c:v>
                </c:pt>
                <c:pt idx="30">
                  <c:v>115.6</c:v>
                </c:pt>
                <c:pt idx="31">
                  <c:v>115.3</c:v>
                </c:pt>
                <c:pt idx="32">
                  <c:v>116</c:v>
                </c:pt>
                <c:pt idx="33">
                  <c:v>116.7</c:v>
                </c:pt>
                <c:pt idx="34">
                  <c:v>118.4</c:v>
                </c:pt>
                <c:pt idx="35">
                  <c:v>120.1</c:v>
                </c:pt>
                <c:pt idx="36">
                  <c:v>122.4</c:v>
                </c:pt>
                <c:pt idx="37">
                  <c:v>126.7</c:v>
                </c:pt>
                <c:pt idx="38">
                  <c:v>129.9</c:v>
                </c:pt>
                <c:pt idx="39">
                  <c:v>134.6</c:v>
                </c:pt>
                <c:pt idx="40" formatCode="General">
                  <c:v>137.19999999999999</c:v>
                </c:pt>
              </c:numCache>
            </c:numRef>
          </c:val>
          <c:smooth val="0"/>
          <c:extLst xmlns:c16r2="http://schemas.microsoft.com/office/drawing/2015/06/chart">
            <c:ext xmlns:c16="http://schemas.microsoft.com/office/drawing/2014/chart" uri="{C3380CC4-5D6E-409C-BE32-E72D297353CC}">
              <c16:uniqueId val="{00000000-874B-4450-9E20-E9F32F3C8A07}"/>
            </c:ext>
          </c:extLst>
        </c:ser>
        <c:ser>
          <c:idx val="1"/>
          <c:order val="1"/>
          <c:tx>
            <c:strRef>
              <c:f>Sheet1!$A$7</c:f>
              <c:strCache>
                <c:ptCount val="1"/>
                <c:pt idx="0">
                  <c:v>Degviela</c:v>
                </c:pt>
              </c:strCache>
            </c:strRef>
          </c:tx>
          <c:spPr>
            <a:ln w="28575" cap="rnd">
              <a:solidFill>
                <a:srgbClr val="C00000"/>
              </a:solidFill>
              <a:round/>
            </a:ln>
            <a:effectLst/>
          </c:spPr>
          <c:marker>
            <c:symbol val="none"/>
          </c:marker>
          <c:cat>
            <c:strRef>
              <c:f>Sheet1!$B$5:$AP$5</c:f>
              <c:strCache>
                <c:ptCount val="41"/>
                <c:pt idx="0">
                  <c:v>2019M01</c:v>
                </c:pt>
                <c:pt idx="1">
                  <c:v>2019M02</c:v>
                </c:pt>
                <c:pt idx="2">
                  <c:v>2019M03</c:v>
                </c:pt>
                <c:pt idx="3">
                  <c:v>2019M04</c:v>
                </c:pt>
                <c:pt idx="4">
                  <c:v>2019M05</c:v>
                </c:pt>
                <c:pt idx="5">
                  <c:v>2019M06</c:v>
                </c:pt>
                <c:pt idx="6">
                  <c:v>2019M07</c:v>
                </c:pt>
                <c:pt idx="7">
                  <c:v>2019M08</c:v>
                </c:pt>
                <c:pt idx="8">
                  <c:v>2019M09</c:v>
                </c:pt>
                <c:pt idx="9">
                  <c:v>2019M10</c:v>
                </c:pt>
                <c:pt idx="10">
                  <c:v>2019M11</c:v>
                </c:pt>
                <c:pt idx="11">
                  <c:v>2019M12</c:v>
                </c:pt>
                <c:pt idx="12">
                  <c:v>2020M01</c:v>
                </c:pt>
                <c:pt idx="13">
                  <c:v>2020M02</c:v>
                </c:pt>
                <c:pt idx="14">
                  <c:v>2020M03</c:v>
                </c:pt>
                <c:pt idx="15">
                  <c:v>2020M04</c:v>
                </c:pt>
                <c:pt idx="16">
                  <c:v>2020M05</c:v>
                </c:pt>
                <c:pt idx="17">
                  <c:v>2020M06</c:v>
                </c:pt>
                <c:pt idx="18">
                  <c:v>2020M07</c:v>
                </c:pt>
                <c:pt idx="19">
                  <c:v>2020M08</c:v>
                </c:pt>
                <c:pt idx="20">
                  <c:v>2020M09</c:v>
                </c:pt>
                <c:pt idx="21">
                  <c:v>2020M10</c:v>
                </c:pt>
                <c:pt idx="22">
                  <c:v>2020M11</c:v>
                </c:pt>
                <c:pt idx="23">
                  <c:v>2020M12</c:v>
                </c:pt>
                <c:pt idx="24">
                  <c:v>2021M01</c:v>
                </c:pt>
                <c:pt idx="25">
                  <c:v>2021M02</c:v>
                </c:pt>
                <c:pt idx="26">
                  <c:v>2021M03</c:v>
                </c:pt>
                <c:pt idx="27">
                  <c:v>2021M04</c:v>
                </c:pt>
                <c:pt idx="28">
                  <c:v>2021M05</c:v>
                </c:pt>
                <c:pt idx="29">
                  <c:v>2021M06</c:v>
                </c:pt>
                <c:pt idx="30">
                  <c:v>2021M07</c:v>
                </c:pt>
                <c:pt idx="31">
                  <c:v>2021M08</c:v>
                </c:pt>
                <c:pt idx="32">
                  <c:v>2021M09</c:v>
                </c:pt>
                <c:pt idx="33">
                  <c:v>2021M10</c:v>
                </c:pt>
                <c:pt idx="34">
                  <c:v>2021M11</c:v>
                </c:pt>
                <c:pt idx="35">
                  <c:v>2021M12</c:v>
                </c:pt>
                <c:pt idx="36">
                  <c:v>2022M01</c:v>
                </c:pt>
                <c:pt idx="37">
                  <c:v>2022M02</c:v>
                </c:pt>
                <c:pt idx="38">
                  <c:v>2022M03</c:v>
                </c:pt>
                <c:pt idx="39">
                  <c:v>2022M04</c:v>
                </c:pt>
                <c:pt idx="40">
                  <c:v>2022M05</c:v>
                </c:pt>
              </c:strCache>
            </c:strRef>
          </c:cat>
          <c:val>
            <c:numRef>
              <c:f>Sheet1!$B$7:$AP$7</c:f>
              <c:numCache>
                <c:formatCode>0</c:formatCode>
                <c:ptCount val="41"/>
                <c:pt idx="0">
                  <c:v>109.1</c:v>
                </c:pt>
                <c:pt idx="1">
                  <c:v>109.1</c:v>
                </c:pt>
                <c:pt idx="2">
                  <c:v>111.5</c:v>
                </c:pt>
                <c:pt idx="3">
                  <c:v>114</c:v>
                </c:pt>
                <c:pt idx="4">
                  <c:v>117.3</c:v>
                </c:pt>
                <c:pt idx="5">
                  <c:v>115.5</c:v>
                </c:pt>
                <c:pt idx="6">
                  <c:v>112.9</c:v>
                </c:pt>
                <c:pt idx="7">
                  <c:v>112.7</c:v>
                </c:pt>
                <c:pt idx="8">
                  <c:v>112.7</c:v>
                </c:pt>
                <c:pt idx="9">
                  <c:v>112.9</c:v>
                </c:pt>
                <c:pt idx="10">
                  <c:v>111.6</c:v>
                </c:pt>
                <c:pt idx="11">
                  <c:v>112.4</c:v>
                </c:pt>
                <c:pt idx="12">
                  <c:v>118.7</c:v>
                </c:pt>
                <c:pt idx="13">
                  <c:v>114.3</c:v>
                </c:pt>
                <c:pt idx="14">
                  <c:v>106.3</c:v>
                </c:pt>
                <c:pt idx="15">
                  <c:v>91.2</c:v>
                </c:pt>
                <c:pt idx="16">
                  <c:v>88.8</c:v>
                </c:pt>
                <c:pt idx="17">
                  <c:v>97</c:v>
                </c:pt>
                <c:pt idx="18">
                  <c:v>100.3</c:v>
                </c:pt>
                <c:pt idx="19">
                  <c:v>99.8</c:v>
                </c:pt>
                <c:pt idx="20">
                  <c:v>99.6</c:v>
                </c:pt>
                <c:pt idx="21">
                  <c:v>97.1</c:v>
                </c:pt>
                <c:pt idx="22">
                  <c:v>96.2</c:v>
                </c:pt>
                <c:pt idx="23">
                  <c:v>99.1</c:v>
                </c:pt>
                <c:pt idx="24">
                  <c:v>103.7</c:v>
                </c:pt>
                <c:pt idx="25">
                  <c:v>109</c:v>
                </c:pt>
                <c:pt idx="26">
                  <c:v>112.7</c:v>
                </c:pt>
                <c:pt idx="27">
                  <c:v>113.8</c:v>
                </c:pt>
                <c:pt idx="28">
                  <c:v>115</c:v>
                </c:pt>
                <c:pt idx="29">
                  <c:v>116.2</c:v>
                </c:pt>
                <c:pt idx="30">
                  <c:v>118.1</c:v>
                </c:pt>
                <c:pt idx="31">
                  <c:v>118.8</c:v>
                </c:pt>
                <c:pt idx="32">
                  <c:v>118.9</c:v>
                </c:pt>
                <c:pt idx="33">
                  <c:v>129.5</c:v>
                </c:pt>
                <c:pt idx="34">
                  <c:v>133.69999999999999</c:v>
                </c:pt>
                <c:pt idx="35">
                  <c:v>129.1</c:v>
                </c:pt>
                <c:pt idx="36">
                  <c:v>131</c:v>
                </c:pt>
                <c:pt idx="37">
                  <c:v>138</c:v>
                </c:pt>
                <c:pt idx="38">
                  <c:v>161.6</c:v>
                </c:pt>
                <c:pt idx="39">
                  <c:v>165.8</c:v>
                </c:pt>
                <c:pt idx="40" formatCode="General">
                  <c:v>173.8</c:v>
                </c:pt>
              </c:numCache>
            </c:numRef>
          </c:val>
          <c:smooth val="0"/>
          <c:extLst xmlns:c16r2="http://schemas.microsoft.com/office/drawing/2015/06/chart">
            <c:ext xmlns:c16="http://schemas.microsoft.com/office/drawing/2014/chart" uri="{C3380CC4-5D6E-409C-BE32-E72D297353CC}">
              <c16:uniqueId val="{00000001-874B-4450-9E20-E9F32F3C8A07}"/>
            </c:ext>
          </c:extLst>
        </c:ser>
        <c:ser>
          <c:idx val="2"/>
          <c:order val="2"/>
          <c:tx>
            <c:strRef>
              <c:f>Sheet1!$A$8</c:f>
              <c:strCache>
                <c:ptCount val="1"/>
                <c:pt idx="0">
                  <c:v>siltumenerģija</c:v>
                </c:pt>
              </c:strCache>
            </c:strRef>
          </c:tx>
          <c:spPr>
            <a:ln w="28575" cap="rnd">
              <a:solidFill>
                <a:schemeClr val="accent6"/>
              </a:solidFill>
              <a:round/>
            </a:ln>
            <a:effectLst/>
          </c:spPr>
          <c:marker>
            <c:symbol val="none"/>
          </c:marker>
          <c:cat>
            <c:strRef>
              <c:f>Sheet1!$B$5:$AP$5</c:f>
              <c:strCache>
                <c:ptCount val="41"/>
                <c:pt idx="0">
                  <c:v>2019M01</c:v>
                </c:pt>
                <c:pt idx="1">
                  <c:v>2019M02</c:v>
                </c:pt>
                <c:pt idx="2">
                  <c:v>2019M03</c:v>
                </c:pt>
                <c:pt idx="3">
                  <c:v>2019M04</c:v>
                </c:pt>
                <c:pt idx="4">
                  <c:v>2019M05</c:v>
                </c:pt>
                <c:pt idx="5">
                  <c:v>2019M06</c:v>
                </c:pt>
                <c:pt idx="6">
                  <c:v>2019M07</c:v>
                </c:pt>
                <c:pt idx="7">
                  <c:v>2019M08</c:v>
                </c:pt>
                <c:pt idx="8">
                  <c:v>2019M09</c:v>
                </c:pt>
                <c:pt idx="9">
                  <c:v>2019M10</c:v>
                </c:pt>
                <c:pt idx="10">
                  <c:v>2019M11</c:v>
                </c:pt>
                <c:pt idx="11">
                  <c:v>2019M12</c:v>
                </c:pt>
                <c:pt idx="12">
                  <c:v>2020M01</c:v>
                </c:pt>
                <c:pt idx="13">
                  <c:v>2020M02</c:v>
                </c:pt>
                <c:pt idx="14">
                  <c:v>2020M03</c:v>
                </c:pt>
                <c:pt idx="15">
                  <c:v>2020M04</c:v>
                </c:pt>
                <c:pt idx="16">
                  <c:v>2020M05</c:v>
                </c:pt>
                <c:pt idx="17">
                  <c:v>2020M06</c:v>
                </c:pt>
                <c:pt idx="18">
                  <c:v>2020M07</c:v>
                </c:pt>
                <c:pt idx="19">
                  <c:v>2020M08</c:v>
                </c:pt>
                <c:pt idx="20">
                  <c:v>2020M09</c:v>
                </c:pt>
                <c:pt idx="21">
                  <c:v>2020M10</c:v>
                </c:pt>
                <c:pt idx="22">
                  <c:v>2020M11</c:v>
                </c:pt>
                <c:pt idx="23">
                  <c:v>2020M12</c:v>
                </c:pt>
                <c:pt idx="24">
                  <c:v>2021M01</c:v>
                </c:pt>
                <c:pt idx="25">
                  <c:v>2021M02</c:v>
                </c:pt>
                <c:pt idx="26">
                  <c:v>2021M03</c:v>
                </c:pt>
                <c:pt idx="27">
                  <c:v>2021M04</c:v>
                </c:pt>
                <c:pt idx="28">
                  <c:v>2021M05</c:v>
                </c:pt>
                <c:pt idx="29">
                  <c:v>2021M06</c:v>
                </c:pt>
                <c:pt idx="30">
                  <c:v>2021M07</c:v>
                </c:pt>
                <c:pt idx="31">
                  <c:v>2021M08</c:v>
                </c:pt>
                <c:pt idx="32">
                  <c:v>2021M09</c:v>
                </c:pt>
                <c:pt idx="33">
                  <c:v>2021M10</c:v>
                </c:pt>
                <c:pt idx="34">
                  <c:v>2021M11</c:v>
                </c:pt>
                <c:pt idx="35">
                  <c:v>2021M12</c:v>
                </c:pt>
                <c:pt idx="36">
                  <c:v>2022M01</c:v>
                </c:pt>
                <c:pt idx="37">
                  <c:v>2022M02</c:v>
                </c:pt>
                <c:pt idx="38">
                  <c:v>2022M03</c:v>
                </c:pt>
                <c:pt idx="39">
                  <c:v>2022M04</c:v>
                </c:pt>
                <c:pt idx="40">
                  <c:v>2022M05</c:v>
                </c:pt>
              </c:strCache>
            </c:strRef>
          </c:cat>
          <c:val>
            <c:numRef>
              <c:f>Sheet1!$B$8:$AP$8</c:f>
              <c:numCache>
                <c:formatCode>0</c:formatCode>
                <c:ptCount val="41"/>
                <c:pt idx="0">
                  <c:v>94.2</c:v>
                </c:pt>
                <c:pt idx="1">
                  <c:v>94.1</c:v>
                </c:pt>
                <c:pt idx="2">
                  <c:v>94.1</c:v>
                </c:pt>
                <c:pt idx="3">
                  <c:v>94.1</c:v>
                </c:pt>
                <c:pt idx="4">
                  <c:v>91.7</c:v>
                </c:pt>
                <c:pt idx="5">
                  <c:v>91.7</c:v>
                </c:pt>
                <c:pt idx="6">
                  <c:v>91.3</c:v>
                </c:pt>
                <c:pt idx="7">
                  <c:v>97.1</c:v>
                </c:pt>
                <c:pt idx="8">
                  <c:v>97.1</c:v>
                </c:pt>
                <c:pt idx="9">
                  <c:v>97.8</c:v>
                </c:pt>
                <c:pt idx="10">
                  <c:v>97.8</c:v>
                </c:pt>
                <c:pt idx="11">
                  <c:v>97.8</c:v>
                </c:pt>
                <c:pt idx="12">
                  <c:v>97.8</c:v>
                </c:pt>
                <c:pt idx="13">
                  <c:v>97.8</c:v>
                </c:pt>
                <c:pt idx="14">
                  <c:v>97.8</c:v>
                </c:pt>
                <c:pt idx="15">
                  <c:v>94.7</c:v>
                </c:pt>
                <c:pt idx="16">
                  <c:v>93.6</c:v>
                </c:pt>
                <c:pt idx="17">
                  <c:v>91.7</c:v>
                </c:pt>
                <c:pt idx="18">
                  <c:v>90.6</c:v>
                </c:pt>
                <c:pt idx="19">
                  <c:v>86.5</c:v>
                </c:pt>
                <c:pt idx="20">
                  <c:v>86.5</c:v>
                </c:pt>
                <c:pt idx="21">
                  <c:v>85.8</c:v>
                </c:pt>
                <c:pt idx="22">
                  <c:v>85.8</c:v>
                </c:pt>
                <c:pt idx="23">
                  <c:v>89</c:v>
                </c:pt>
                <c:pt idx="24">
                  <c:v>89.2</c:v>
                </c:pt>
                <c:pt idx="25">
                  <c:v>89.7</c:v>
                </c:pt>
                <c:pt idx="26">
                  <c:v>89.6</c:v>
                </c:pt>
                <c:pt idx="27">
                  <c:v>89.6</c:v>
                </c:pt>
                <c:pt idx="28">
                  <c:v>89.6</c:v>
                </c:pt>
                <c:pt idx="29">
                  <c:v>89</c:v>
                </c:pt>
                <c:pt idx="30">
                  <c:v>88.9</c:v>
                </c:pt>
                <c:pt idx="31">
                  <c:v>91.8</c:v>
                </c:pt>
                <c:pt idx="32">
                  <c:v>101</c:v>
                </c:pt>
                <c:pt idx="33">
                  <c:v>101</c:v>
                </c:pt>
                <c:pt idx="34">
                  <c:v>108.4</c:v>
                </c:pt>
                <c:pt idx="35">
                  <c:v>108.5</c:v>
                </c:pt>
                <c:pt idx="36">
                  <c:v>111.7</c:v>
                </c:pt>
                <c:pt idx="37">
                  <c:v>113.6</c:v>
                </c:pt>
                <c:pt idx="38">
                  <c:v>114.7</c:v>
                </c:pt>
                <c:pt idx="39">
                  <c:v>114.7</c:v>
                </c:pt>
                <c:pt idx="40" formatCode="General">
                  <c:v>132.4</c:v>
                </c:pt>
              </c:numCache>
            </c:numRef>
          </c:val>
          <c:smooth val="0"/>
          <c:extLst xmlns:c16r2="http://schemas.microsoft.com/office/drawing/2015/06/chart">
            <c:ext xmlns:c16="http://schemas.microsoft.com/office/drawing/2014/chart" uri="{C3380CC4-5D6E-409C-BE32-E72D297353CC}">
              <c16:uniqueId val="{00000002-874B-4450-9E20-E9F32F3C8A07}"/>
            </c:ext>
          </c:extLst>
        </c:ser>
        <c:ser>
          <c:idx val="3"/>
          <c:order val="3"/>
          <c:tx>
            <c:strRef>
              <c:f>Sheet1!$A$9</c:f>
              <c:strCache>
                <c:ptCount val="1"/>
                <c:pt idx="0">
                  <c:v>Dabasgāze</c:v>
                </c:pt>
              </c:strCache>
            </c:strRef>
          </c:tx>
          <c:spPr>
            <a:ln w="28575" cap="rnd">
              <a:solidFill>
                <a:schemeClr val="accent4"/>
              </a:solidFill>
              <a:round/>
            </a:ln>
            <a:effectLst/>
          </c:spPr>
          <c:marker>
            <c:symbol val="none"/>
          </c:marker>
          <c:cat>
            <c:strRef>
              <c:f>Sheet1!$B$5:$AP$5</c:f>
              <c:strCache>
                <c:ptCount val="41"/>
                <c:pt idx="0">
                  <c:v>2019M01</c:v>
                </c:pt>
                <c:pt idx="1">
                  <c:v>2019M02</c:v>
                </c:pt>
                <c:pt idx="2">
                  <c:v>2019M03</c:v>
                </c:pt>
                <c:pt idx="3">
                  <c:v>2019M04</c:v>
                </c:pt>
                <c:pt idx="4">
                  <c:v>2019M05</c:v>
                </c:pt>
                <c:pt idx="5">
                  <c:v>2019M06</c:v>
                </c:pt>
                <c:pt idx="6">
                  <c:v>2019M07</c:v>
                </c:pt>
                <c:pt idx="7">
                  <c:v>2019M08</c:v>
                </c:pt>
                <c:pt idx="8">
                  <c:v>2019M09</c:v>
                </c:pt>
                <c:pt idx="9">
                  <c:v>2019M10</c:v>
                </c:pt>
                <c:pt idx="10">
                  <c:v>2019M11</c:v>
                </c:pt>
                <c:pt idx="11">
                  <c:v>2019M12</c:v>
                </c:pt>
                <c:pt idx="12">
                  <c:v>2020M01</c:v>
                </c:pt>
                <c:pt idx="13">
                  <c:v>2020M02</c:v>
                </c:pt>
                <c:pt idx="14">
                  <c:v>2020M03</c:v>
                </c:pt>
                <c:pt idx="15">
                  <c:v>2020M04</c:v>
                </c:pt>
                <c:pt idx="16">
                  <c:v>2020M05</c:v>
                </c:pt>
                <c:pt idx="17">
                  <c:v>2020M06</c:v>
                </c:pt>
                <c:pt idx="18">
                  <c:v>2020M07</c:v>
                </c:pt>
                <c:pt idx="19">
                  <c:v>2020M08</c:v>
                </c:pt>
                <c:pt idx="20">
                  <c:v>2020M09</c:v>
                </c:pt>
                <c:pt idx="21">
                  <c:v>2020M10</c:v>
                </c:pt>
                <c:pt idx="22">
                  <c:v>2020M11</c:v>
                </c:pt>
                <c:pt idx="23">
                  <c:v>2020M12</c:v>
                </c:pt>
                <c:pt idx="24">
                  <c:v>2021M01</c:v>
                </c:pt>
                <c:pt idx="25">
                  <c:v>2021M02</c:v>
                </c:pt>
                <c:pt idx="26">
                  <c:v>2021M03</c:v>
                </c:pt>
                <c:pt idx="27">
                  <c:v>2021M04</c:v>
                </c:pt>
                <c:pt idx="28">
                  <c:v>2021M05</c:v>
                </c:pt>
                <c:pt idx="29">
                  <c:v>2021M06</c:v>
                </c:pt>
                <c:pt idx="30">
                  <c:v>2021M07</c:v>
                </c:pt>
                <c:pt idx="31">
                  <c:v>2021M08</c:v>
                </c:pt>
                <c:pt idx="32">
                  <c:v>2021M09</c:v>
                </c:pt>
                <c:pt idx="33">
                  <c:v>2021M10</c:v>
                </c:pt>
                <c:pt idx="34">
                  <c:v>2021M11</c:v>
                </c:pt>
                <c:pt idx="35">
                  <c:v>2021M12</c:v>
                </c:pt>
                <c:pt idx="36">
                  <c:v>2022M01</c:v>
                </c:pt>
                <c:pt idx="37">
                  <c:v>2022M02</c:v>
                </c:pt>
                <c:pt idx="38">
                  <c:v>2022M03</c:v>
                </c:pt>
                <c:pt idx="39">
                  <c:v>2022M04</c:v>
                </c:pt>
                <c:pt idx="40">
                  <c:v>2022M05</c:v>
                </c:pt>
              </c:strCache>
            </c:strRef>
          </c:cat>
          <c:val>
            <c:numRef>
              <c:f>Sheet1!$B$9:$AP$9</c:f>
              <c:numCache>
                <c:formatCode>0</c:formatCode>
                <c:ptCount val="41"/>
                <c:pt idx="0">
                  <c:v>109</c:v>
                </c:pt>
                <c:pt idx="1">
                  <c:v>109</c:v>
                </c:pt>
                <c:pt idx="2">
                  <c:v>109</c:v>
                </c:pt>
                <c:pt idx="3">
                  <c:v>109</c:v>
                </c:pt>
                <c:pt idx="4">
                  <c:v>109</c:v>
                </c:pt>
                <c:pt idx="5">
                  <c:v>109</c:v>
                </c:pt>
                <c:pt idx="6">
                  <c:v>89.5</c:v>
                </c:pt>
                <c:pt idx="7">
                  <c:v>89.5</c:v>
                </c:pt>
                <c:pt idx="8">
                  <c:v>89.5</c:v>
                </c:pt>
                <c:pt idx="9">
                  <c:v>89.5</c:v>
                </c:pt>
                <c:pt idx="10">
                  <c:v>89.5</c:v>
                </c:pt>
                <c:pt idx="11">
                  <c:v>89.5</c:v>
                </c:pt>
                <c:pt idx="12">
                  <c:v>82.6</c:v>
                </c:pt>
                <c:pt idx="13">
                  <c:v>82.6</c:v>
                </c:pt>
                <c:pt idx="14">
                  <c:v>82.6</c:v>
                </c:pt>
                <c:pt idx="15">
                  <c:v>82.6</c:v>
                </c:pt>
                <c:pt idx="16">
                  <c:v>82.6</c:v>
                </c:pt>
                <c:pt idx="17">
                  <c:v>82.6</c:v>
                </c:pt>
                <c:pt idx="18">
                  <c:v>74.599999999999994</c:v>
                </c:pt>
                <c:pt idx="19">
                  <c:v>74.599999999999994</c:v>
                </c:pt>
                <c:pt idx="20">
                  <c:v>74.599999999999994</c:v>
                </c:pt>
                <c:pt idx="21">
                  <c:v>74.599999999999994</c:v>
                </c:pt>
                <c:pt idx="22">
                  <c:v>74.599999999999994</c:v>
                </c:pt>
                <c:pt idx="23">
                  <c:v>74.599999999999994</c:v>
                </c:pt>
                <c:pt idx="24">
                  <c:v>79.599999999999994</c:v>
                </c:pt>
                <c:pt idx="25">
                  <c:v>79.599999999999994</c:v>
                </c:pt>
                <c:pt idx="26">
                  <c:v>79.599999999999994</c:v>
                </c:pt>
                <c:pt idx="27">
                  <c:v>79.599999999999994</c:v>
                </c:pt>
                <c:pt idx="28">
                  <c:v>79.599999999999994</c:v>
                </c:pt>
                <c:pt idx="29">
                  <c:v>79.599999999999994</c:v>
                </c:pt>
                <c:pt idx="30">
                  <c:v>112.8</c:v>
                </c:pt>
                <c:pt idx="31">
                  <c:v>112.8</c:v>
                </c:pt>
                <c:pt idx="32">
                  <c:v>112.8</c:v>
                </c:pt>
                <c:pt idx="33">
                  <c:v>112.8</c:v>
                </c:pt>
                <c:pt idx="34">
                  <c:v>112.8</c:v>
                </c:pt>
                <c:pt idx="35">
                  <c:v>112.8</c:v>
                </c:pt>
                <c:pt idx="36">
                  <c:v>148.9</c:v>
                </c:pt>
                <c:pt idx="37">
                  <c:v>148.9</c:v>
                </c:pt>
                <c:pt idx="38">
                  <c:v>148.9</c:v>
                </c:pt>
                <c:pt idx="39">
                  <c:v>148.9</c:v>
                </c:pt>
                <c:pt idx="40" formatCode="General">
                  <c:v>188</c:v>
                </c:pt>
              </c:numCache>
            </c:numRef>
          </c:val>
          <c:smooth val="0"/>
          <c:extLst xmlns:c16r2="http://schemas.microsoft.com/office/drawing/2015/06/chart">
            <c:ext xmlns:c16="http://schemas.microsoft.com/office/drawing/2014/chart" uri="{C3380CC4-5D6E-409C-BE32-E72D297353CC}">
              <c16:uniqueId val="{00000003-874B-4450-9E20-E9F32F3C8A07}"/>
            </c:ext>
          </c:extLst>
        </c:ser>
        <c:ser>
          <c:idx val="4"/>
          <c:order val="4"/>
          <c:tx>
            <c:strRef>
              <c:f>Sheet1!$A$10</c:f>
              <c:strCache>
                <c:ptCount val="1"/>
                <c:pt idx="0">
                  <c:v>Cietais kurināmais</c:v>
                </c:pt>
              </c:strCache>
            </c:strRef>
          </c:tx>
          <c:spPr>
            <a:ln w="28575" cap="rnd">
              <a:solidFill>
                <a:schemeClr val="accent2"/>
              </a:solidFill>
              <a:round/>
            </a:ln>
            <a:effectLst/>
          </c:spPr>
          <c:marker>
            <c:symbol val="none"/>
          </c:marker>
          <c:cat>
            <c:strRef>
              <c:f>Sheet1!$B$5:$AP$5</c:f>
              <c:strCache>
                <c:ptCount val="41"/>
                <c:pt idx="0">
                  <c:v>2019M01</c:v>
                </c:pt>
                <c:pt idx="1">
                  <c:v>2019M02</c:v>
                </c:pt>
                <c:pt idx="2">
                  <c:v>2019M03</c:v>
                </c:pt>
                <c:pt idx="3">
                  <c:v>2019M04</c:v>
                </c:pt>
                <c:pt idx="4">
                  <c:v>2019M05</c:v>
                </c:pt>
                <c:pt idx="5">
                  <c:v>2019M06</c:v>
                </c:pt>
                <c:pt idx="6">
                  <c:v>2019M07</c:v>
                </c:pt>
                <c:pt idx="7">
                  <c:v>2019M08</c:v>
                </c:pt>
                <c:pt idx="8">
                  <c:v>2019M09</c:v>
                </c:pt>
                <c:pt idx="9">
                  <c:v>2019M10</c:v>
                </c:pt>
                <c:pt idx="10">
                  <c:v>2019M11</c:v>
                </c:pt>
                <c:pt idx="11">
                  <c:v>2019M12</c:v>
                </c:pt>
                <c:pt idx="12">
                  <c:v>2020M01</c:v>
                </c:pt>
                <c:pt idx="13">
                  <c:v>2020M02</c:v>
                </c:pt>
                <c:pt idx="14">
                  <c:v>2020M03</c:v>
                </c:pt>
                <c:pt idx="15">
                  <c:v>2020M04</c:v>
                </c:pt>
                <c:pt idx="16">
                  <c:v>2020M05</c:v>
                </c:pt>
                <c:pt idx="17">
                  <c:v>2020M06</c:v>
                </c:pt>
                <c:pt idx="18">
                  <c:v>2020M07</c:v>
                </c:pt>
                <c:pt idx="19">
                  <c:v>2020M08</c:v>
                </c:pt>
                <c:pt idx="20">
                  <c:v>2020M09</c:v>
                </c:pt>
                <c:pt idx="21">
                  <c:v>2020M10</c:v>
                </c:pt>
                <c:pt idx="22">
                  <c:v>2020M11</c:v>
                </c:pt>
                <c:pt idx="23">
                  <c:v>2020M12</c:v>
                </c:pt>
                <c:pt idx="24">
                  <c:v>2021M01</c:v>
                </c:pt>
                <c:pt idx="25">
                  <c:v>2021M02</c:v>
                </c:pt>
                <c:pt idx="26">
                  <c:v>2021M03</c:v>
                </c:pt>
                <c:pt idx="27">
                  <c:v>2021M04</c:v>
                </c:pt>
                <c:pt idx="28">
                  <c:v>2021M05</c:v>
                </c:pt>
                <c:pt idx="29">
                  <c:v>2021M06</c:v>
                </c:pt>
                <c:pt idx="30">
                  <c:v>2021M07</c:v>
                </c:pt>
                <c:pt idx="31">
                  <c:v>2021M08</c:v>
                </c:pt>
                <c:pt idx="32">
                  <c:v>2021M09</c:v>
                </c:pt>
                <c:pt idx="33">
                  <c:v>2021M10</c:v>
                </c:pt>
                <c:pt idx="34">
                  <c:v>2021M11</c:v>
                </c:pt>
                <c:pt idx="35">
                  <c:v>2021M12</c:v>
                </c:pt>
                <c:pt idx="36">
                  <c:v>2022M01</c:v>
                </c:pt>
                <c:pt idx="37">
                  <c:v>2022M02</c:v>
                </c:pt>
                <c:pt idx="38">
                  <c:v>2022M03</c:v>
                </c:pt>
                <c:pt idx="39">
                  <c:v>2022M04</c:v>
                </c:pt>
                <c:pt idx="40">
                  <c:v>2022M05</c:v>
                </c:pt>
              </c:strCache>
            </c:strRef>
          </c:cat>
          <c:val>
            <c:numRef>
              <c:f>Sheet1!$B$10:$AP$10</c:f>
              <c:numCache>
                <c:formatCode>0</c:formatCode>
                <c:ptCount val="41"/>
                <c:pt idx="0">
                  <c:v>123</c:v>
                </c:pt>
                <c:pt idx="1">
                  <c:v>122.7</c:v>
                </c:pt>
                <c:pt idx="2">
                  <c:v>121.9</c:v>
                </c:pt>
                <c:pt idx="3">
                  <c:v>121.4</c:v>
                </c:pt>
                <c:pt idx="4">
                  <c:v>120.4</c:v>
                </c:pt>
                <c:pt idx="5">
                  <c:v>120.5</c:v>
                </c:pt>
                <c:pt idx="6">
                  <c:v>120.6</c:v>
                </c:pt>
                <c:pt idx="7">
                  <c:v>121.2</c:v>
                </c:pt>
                <c:pt idx="8">
                  <c:v>121.8</c:v>
                </c:pt>
                <c:pt idx="9">
                  <c:v>121.7</c:v>
                </c:pt>
                <c:pt idx="10">
                  <c:v>119.7</c:v>
                </c:pt>
                <c:pt idx="11">
                  <c:v>119</c:v>
                </c:pt>
                <c:pt idx="12">
                  <c:v>118.3</c:v>
                </c:pt>
                <c:pt idx="13">
                  <c:v>117.9</c:v>
                </c:pt>
                <c:pt idx="14">
                  <c:v>115.9</c:v>
                </c:pt>
                <c:pt idx="15">
                  <c:v>114.8</c:v>
                </c:pt>
                <c:pt idx="16">
                  <c:v>114.8</c:v>
                </c:pt>
                <c:pt idx="17">
                  <c:v>114.2</c:v>
                </c:pt>
                <c:pt idx="18">
                  <c:v>114</c:v>
                </c:pt>
                <c:pt idx="19">
                  <c:v>114</c:v>
                </c:pt>
                <c:pt idx="20">
                  <c:v>114.3</c:v>
                </c:pt>
                <c:pt idx="21">
                  <c:v>114.4</c:v>
                </c:pt>
                <c:pt idx="22">
                  <c:v>116</c:v>
                </c:pt>
                <c:pt idx="23">
                  <c:v>115.8</c:v>
                </c:pt>
                <c:pt idx="24">
                  <c:v>113.2</c:v>
                </c:pt>
                <c:pt idx="25">
                  <c:v>113.4</c:v>
                </c:pt>
                <c:pt idx="26">
                  <c:v>112.9</c:v>
                </c:pt>
                <c:pt idx="27">
                  <c:v>114.2</c:v>
                </c:pt>
                <c:pt idx="28">
                  <c:v>113.9</c:v>
                </c:pt>
                <c:pt idx="29">
                  <c:v>114.5</c:v>
                </c:pt>
                <c:pt idx="30">
                  <c:v>117.6</c:v>
                </c:pt>
                <c:pt idx="31">
                  <c:v>117.9</c:v>
                </c:pt>
                <c:pt idx="32">
                  <c:v>119</c:v>
                </c:pt>
                <c:pt idx="33">
                  <c:v>119.6</c:v>
                </c:pt>
                <c:pt idx="34">
                  <c:v>121.1</c:v>
                </c:pt>
                <c:pt idx="35">
                  <c:v>124.3</c:v>
                </c:pt>
                <c:pt idx="36">
                  <c:v>131.1</c:v>
                </c:pt>
                <c:pt idx="37">
                  <c:v>135.9</c:v>
                </c:pt>
                <c:pt idx="38">
                  <c:v>141.80000000000001</c:v>
                </c:pt>
                <c:pt idx="39">
                  <c:v>166.6</c:v>
                </c:pt>
                <c:pt idx="40" formatCode="General">
                  <c:v>186.7</c:v>
                </c:pt>
              </c:numCache>
            </c:numRef>
          </c:val>
          <c:smooth val="0"/>
          <c:extLst xmlns:c16r2="http://schemas.microsoft.com/office/drawing/2015/06/chart">
            <c:ext xmlns:c16="http://schemas.microsoft.com/office/drawing/2014/chart" uri="{C3380CC4-5D6E-409C-BE32-E72D297353CC}">
              <c16:uniqueId val="{00000004-874B-4450-9E20-E9F32F3C8A07}"/>
            </c:ext>
          </c:extLst>
        </c:ser>
        <c:ser>
          <c:idx val="5"/>
          <c:order val="5"/>
          <c:tx>
            <c:strRef>
              <c:f>Sheet1!$A$11</c:f>
              <c:strCache>
                <c:ptCount val="1"/>
                <c:pt idx="0">
                  <c:v>Elektroenerģija</c:v>
                </c:pt>
              </c:strCache>
            </c:strRef>
          </c:tx>
          <c:spPr>
            <a:ln w="28575" cap="rnd">
              <a:solidFill>
                <a:schemeClr val="accent1"/>
              </a:solidFill>
              <a:round/>
            </a:ln>
            <a:effectLst/>
          </c:spPr>
          <c:marker>
            <c:symbol val="none"/>
          </c:marker>
          <c:cat>
            <c:strRef>
              <c:f>Sheet1!$B$5:$AP$5</c:f>
              <c:strCache>
                <c:ptCount val="41"/>
                <c:pt idx="0">
                  <c:v>2019M01</c:v>
                </c:pt>
                <c:pt idx="1">
                  <c:v>2019M02</c:v>
                </c:pt>
                <c:pt idx="2">
                  <c:v>2019M03</c:v>
                </c:pt>
                <c:pt idx="3">
                  <c:v>2019M04</c:v>
                </c:pt>
                <c:pt idx="4">
                  <c:v>2019M05</c:v>
                </c:pt>
                <c:pt idx="5">
                  <c:v>2019M06</c:v>
                </c:pt>
                <c:pt idx="6">
                  <c:v>2019M07</c:v>
                </c:pt>
                <c:pt idx="7">
                  <c:v>2019M08</c:v>
                </c:pt>
                <c:pt idx="8">
                  <c:v>2019M09</c:v>
                </c:pt>
                <c:pt idx="9">
                  <c:v>2019M10</c:v>
                </c:pt>
                <c:pt idx="10">
                  <c:v>2019M11</c:v>
                </c:pt>
                <c:pt idx="11">
                  <c:v>2019M12</c:v>
                </c:pt>
                <c:pt idx="12">
                  <c:v>2020M01</c:v>
                </c:pt>
                <c:pt idx="13">
                  <c:v>2020M02</c:v>
                </c:pt>
                <c:pt idx="14">
                  <c:v>2020M03</c:v>
                </c:pt>
                <c:pt idx="15">
                  <c:v>2020M04</c:v>
                </c:pt>
                <c:pt idx="16">
                  <c:v>2020M05</c:v>
                </c:pt>
                <c:pt idx="17">
                  <c:v>2020M06</c:v>
                </c:pt>
                <c:pt idx="18">
                  <c:v>2020M07</c:v>
                </c:pt>
                <c:pt idx="19">
                  <c:v>2020M08</c:v>
                </c:pt>
                <c:pt idx="20">
                  <c:v>2020M09</c:v>
                </c:pt>
                <c:pt idx="21">
                  <c:v>2020M10</c:v>
                </c:pt>
                <c:pt idx="22">
                  <c:v>2020M11</c:v>
                </c:pt>
                <c:pt idx="23">
                  <c:v>2020M12</c:v>
                </c:pt>
                <c:pt idx="24">
                  <c:v>2021M01</c:v>
                </c:pt>
                <c:pt idx="25">
                  <c:v>2021M02</c:v>
                </c:pt>
                <c:pt idx="26">
                  <c:v>2021M03</c:v>
                </c:pt>
                <c:pt idx="27">
                  <c:v>2021M04</c:v>
                </c:pt>
                <c:pt idx="28">
                  <c:v>2021M05</c:v>
                </c:pt>
                <c:pt idx="29">
                  <c:v>2021M06</c:v>
                </c:pt>
                <c:pt idx="30">
                  <c:v>2021M07</c:v>
                </c:pt>
                <c:pt idx="31">
                  <c:v>2021M08</c:v>
                </c:pt>
                <c:pt idx="32">
                  <c:v>2021M09</c:v>
                </c:pt>
                <c:pt idx="33">
                  <c:v>2021M10</c:v>
                </c:pt>
                <c:pt idx="34">
                  <c:v>2021M11</c:v>
                </c:pt>
                <c:pt idx="35">
                  <c:v>2021M12</c:v>
                </c:pt>
                <c:pt idx="36">
                  <c:v>2022M01</c:v>
                </c:pt>
                <c:pt idx="37">
                  <c:v>2022M02</c:v>
                </c:pt>
                <c:pt idx="38">
                  <c:v>2022M03</c:v>
                </c:pt>
                <c:pt idx="39">
                  <c:v>2022M04</c:v>
                </c:pt>
                <c:pt idx="40">
                  <c:v>2022M05</c:v>
                </c:pt>
              </c:strCache>
            </c:strRef>
          </c:cat>
          <c:val>
            <c:numRef>
              <c:f>Sheet1!$B$11:$AP$11</c:f>
              <c:numCache>
                <c:formatCode>0</c:formatCode>
                <c:ptCount val="41"/>
                <c:pt idx="0">
                  <c:v>105.5</c:v>
                </c:pt>
                <c:pt idx="1">
                  <c:v>105.2</c:v>
                </c:pt>
                <c:pt idx="2">
                  <c:v>105</c:v>
                </c:pt>
                <c:pt idx="3">
                  <c:v>105.1</c:v>
                </c:pt>
                <c:pt idx="4">
                  <c:v>105.1</c:v>
                </c:pt>
                <c:pt idx="5">
                  <c:v>105.2</c:v>
                </c:pt>
                <c:pt idx="6">
                  <c:v>105.3</c:v>
                </c:pt>
                <c:pt idx="7">
                  <c:v>105.3</c:v>
                </c:pt>
                <c:pt idx="8">
                  <c:v>105.3</c:v>
                </c:pt>
                <c:pt idx="9">
                  <c:v>105.2</c:v>
                </c:pt>
                <c:pt idx="10">
                  <c:v>105.1</c:v>
                </c:pt>
                <c:pt idx="11">
                  <c:v>105</c:v>
                </c:pt>
                <c:pt idx="12">
                  <c:v>102.4</c:v>
                </c:pt>
                <c:pt idx="13">
                  <c:v>102.4</c:v>
                </c:pt>
                <c:pt idx="14">
                  <c:v>102.2</c:v>
                </c:pt>
                <c:pt idx="15">
                  <c:v>102.1</c:v>
                </c:pt>
                <c:pt idx="16">
                  <c:v>102</c:v>
                </c:pt>
                <c:pt idx="17">
                  <c:v>102.4</c:v>
                </c:pt>
                <c:pt idx="18">
                  <c:v>102</c:v>
                </c:pt>
                <c:pt idx="19">
                  <c:v>102.3</c:v>
                </c:pt>
                <c:pt idx="20">
                  <c:v>102.1</c:v>
                </c:pt>
                <c:pt idx="21">
                  <c:v>102</c:v>
                </c:pt>
                <c:pt idx="22">
                  <c:v>102.1</c:v>
                </c:pt>
                <c:pt idx="23">
                  <c:v>102.1</c:v>
                </c:pt>
                <c:pt idx="24">
                  <c:v>101.9</c:v>
                </c:pt>
                <c:pt idx="25">
                  <c:v>102.1</c:v>
                </c:pt>
                <c:pt idx="26">
                  <c:v>101.3</c:v>
                </c:pt>
                <c:pt idx="27">
                  <c:v>101.5</c:v>
                </c:pt>
                <c:pt idx="28">
                  <c:v>102.1</c:v>
                </c:pt>
                <c:pt idx="29">
                  <c:v>104.1</c:v>
                </c:pt>
                <c:pt idx="30">
                  <c:v>105.3</c:v>
                </c:pt>
                <c:pt idx="31">
                  <c:v>110.2</c:v>
                </c:pt>
                <c:pt idx="32">
                  <c:v>114.8</c:v>
                </c:pt>
                <c:pt idx="33">
                  <c:v>120.4</c:v>
                </c:pt>
                <c:pt idx="34">
                  <c:v>126.5</c:v>
                </c:pt>
                <c:pt idx="35">
                  <c:v>135.5</c:v>
                </c:pt>
                <c:pt idx="36">
                  <c:v>83.6</c:v>
                </c:pt>
                <c:pt idx="37">
                  <c:v>83.9</c:v>
                </c:pt>
                <c:pt idx="38">
                  <c:v>96.3</c:v>
                </c:pt>
                <c:pt idx="39">
                  <c:v>95.5</c:v>
                </c:pt>
                <c:pt idx="40" formatCode="General">
                  <c:v>152.5</c:v>
                </c:pt>
              </c:numCache>
            </c:numRef>
          </c:val>
          <c:smooth val="0"/>
          <c:extLst xmlns:c16r2="http://schemas.microsoft.com/office/drawing/2015/06/chart">
            <c:ext xmlns:c16="http://schemas.microsoft.com/office/drawing/2014/chart" uri="{C3380CC4-5D6E-409C-BE32-E72D297353CC}">
              <c16:uniqueId val="{00000005-874B-4450-9E20-E9F32F3C8A07}"/>
            </c:ext>
          </c:extLst>
        </c:ser>
        <c:dLbls>
          <c:showLegendKey val="0"/>
          <c:showVal val="0"/>
          <c:showCatName val="0"/>
          <c:showSerName val="0"/>
          <c:showPercent val="0"/>
          <c:showBubbleSize val="0"/>
        </c:dLbls>
        <c:smooth val="0"/>
        <c:axId val="522307224"/>
        <c:axId val="522308008"/>
      </c:lineChart>
      <c:catAx>
        <c:axId val="52230722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solidFill>
                <a:latin typeface="Arial Nova Cond Light" panose="020B0306020202020204" pitchFamily="34" charset="0"/>
                <a:ea typeface="+mn-ea"/>
                <a:cs typeface="Segoe UI Light" panose="020B0502040204020203" pitchFamily="34" charset="0"/>
              </a:defRPr>
            </a:pPr>
            <a:endParaRPr lang="lv-LV"/>
          </a:p>
        </c:txPr>
        <c:crossAx val="522308008"/>
        <c:crosses val="autoZero"/>
        <c:auto val="1"/>
        <c:lblAlgn val="ctr"/>
        <c:lblOffset val="100"/>
        <c:noMultiLvlLbl val="0"/>
      </c:catAx>
      <c:valAx>
        <c:axId val="522308008"/>
        <c:scaling>
          <c:orientation val="minMax"/>
          <c:min val="7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Nova Cond Light" panose="020B0306020202020204" pitchFamily="34" charset="0"/>
                <a:ea typeface="+mn-ea"/>
                <a:cs typeface="Segoe UI Light" panose="020B0502040204020203" pitchFamily="34" charset="0"/>
              </a:defRPr>
            </a:pPr>
            <a:endParaRPr lang="lv-LV"/>
          </a:p>
        </c:txPr>
        <c:crossAx val="522307224"/>
        <c:crosses val="autoZero"/>
        <c:crossBetween val="between"/>
      </c:valAx>
      <c:spPr>
        <a:noFill/>
        <a:ln>
          <a:noFill/>
        </a:ln>
        <a:effectLst/>
      </c:spPr>
    </c:plotArea>
    <c:legend>
      <c:legendPos val="l"/>
      <c:layout>
        <c:manualLayout>
          <c:xMode val="edge"/>
          <c:yMode val="edge"/>
          <c:x val="8.642745160210677E-2"/>
          <c:y val="5.7628156690785824E-2"/>
          <c:w val="0.78447497754055906"/>
          <c:h val="0.184363896661677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Nova Cond Light" panose="020B0306020202020204" pitchFamily="34" charset="0"/>
              <a:ea typeface="+mn-ea"/>
              <a:cs typeface="Segoe UI Light" panose="020B0502040204020203" pitchFamily="34"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latin typeface="Arial Nova Cond Light" panose="020B0306020202020204" pitchFamily="34" charset="0"/>
          <a:cs typeface="Segoe UI Light" panose="020B0502040204020203" pitchFamily="34"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449284356696791E-2"/>
          <c:y val="6.6299591026919777E-2"/>
          <c:w val="0.36290775393966446"/>
          <c:h val="0.78951590886360634"/>
        </c:manualLayout>
      </c:layout>
      <c:barChart>
        <c:barDir val="col"/>
        <c:grouping val="stacked"/>
        <c:varyColors val="0"/>
        <c:ser>
          <c:idx val="0"/>
          <c:order val="0"/>
          <c:tx>
            <c:strRef>
              <c:f>Sheet1!$C$1</c:f>
              <c:strCache>
                <c:ptCount val="1"/>
                <c:pt idx="0">
                  <c:v>Pārējās grupas</c:v>
                </c:pt>
              </c:strCache>
            </c:strRef>
          </c:tx>
          <c:spPr>
            <a:solidFill>
              <a:srgbClr val="A5A5A5"/>
            </a:solidFill>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046-4E4E-ABB1-746A453A21E6}"/>
                </c:ext>
                <c:ext xmlns:c15="http://schemas.microsoft.com/office/drawing/2012/chart" uri="{CE6537A1-D6FC-4f65-9D91-7224C49458BB}">
                  <c15:layout/>
                </c:ext>
              </c:extLst>
            </c:dLbl>
            <c:dLbl>
              <c:idx val="7"/>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046-4E4E-ABB1-746A453A21E6}"/>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strRef>
              <c:f>Sheet1!$B$2:$B$11</c:f>
              <c:strCache>
                <c:ptCount val="1"/>
                <c:pt idx="0">
                  <c:v>2022.gada maijs</c:v>
                </c:pt>
              </c:strCache>
            </c:strRef>
          </c:cat>
          <c:val>
            <c:numRef>
              <c:f>Sheet1!$C$2:$C$11</c:f>
              <c:numCache>
                <c:formatCode>0.0</c:formatCode>
                <c:ptCount val="1"/>
                <c:pt idx="0">
                  <c:v>3.2</c:v>
                </c:pt>
              </c:numCache>
            </c:numRef>
          </c:val>
          <c:extLst xmlns:c16r2="http://schemas.microsoft.com/office/drawing/2015/06/chart">
            <c:ext xmlns:c16="http://schemas.microsoft.com/office/drawing/2014/chart" uri="{C3380CC4-5D6E-409C-BE32-E72D297353CC}">
              <c16:uniqueId val="{00000002-9046-4E4E-ABB1-746A453A21E6}"/>
            </c:ext>
          </c:extLst>
        </c:ser>
        <c:ser>
          <c:idx val="2"/>
          <c:order val="1"/>
          <c:tx>
            <c:strRef>
              <c:f>Sheet1!$D$1</c:f>
              <c:strCache>
                <c:ptCount val="1"/>
                <c:pt idx="0">
                  <c:v>Elektroenerģija</c:v>
                </c:pt>
              </c:strCache>
            </c:strRef>
          </c:tx>
          <c:spPr>
            <a:solidFill>
              <a:srgbClr val="4472C4"/>
            </a:solidFill>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046-4E4E-ABB1-746A453A21E6}"/>
                </c:ex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strRef>
              <c:f>Sheet1!$B$2:$B$11</c:f>
              <c:strCache>
                <c:ptCount val="1"/>
                <c:pt idx="0">
                  <c:v>2022.gada maijs</c:v>
                </c:pt>
              </c:strCache>
            </c:strRef>
          </c:cat>
          <c:val>
            <c:numRef>
              <c:f>Sheet1!$D$2:$D$11</c:f>
              <c:numCache>
                <c:formatCode>0.0</c:formatCode>
                <c:ptCount val="1"/>
                <c:pt idx="0">
                  <c:v>1.8</c:v>
                </c:pt>
              </c:numCache>
            </c:numRef>
          </c:val>
          <c:extLst xmlns:c16r2="http://schemas.microsoft.com/office/drawing/2015/06/chart">
            <c:ext xmlns:c16="http://schemas.microsoft.com/office/drawing/2014/chart" uri="{C3380CC4-5D6E-409C-BE32-E72D297353CC}">
              <c16:uniqueId val="{00000004-9046-4E4E-ABB1-746A453A21E6}"/>
            </c:ext>
          </c:extLst>
        </c:ser>
        <c:ser>
          <c:idx val="3"/>
          <c:order val="2"/>
          <c:tx>
            <c:strRef>
              <c:f>Sheet1!$E$1</c:f>
              <c:strCache>
                <c:ptCount val="1"/>
                <c:pt idx="0">
                  <c:v>Cietais kurināmais</c:v>
                </c:pt>
              </c:strCache>
            </c:strRef>
          </c:tx>
          <c:spPr>
            <a:solidFill>
              <a:srgbClr val="ED7D31"/>
            </a:solidFill>
          </c:spPr>
          <c:invertIfNegative val="0"/>
          <c:cat>
            <c:strRef>
              <c:f>Sheet1!$B$2:$B$11</c:f>
              <c:strCache>
                <c:ptCount val="1"/>
                <c:pt idx="0">
                  <c:v>2022.gada maijs</c:v>
                </c:pt>
              </c:strCache>
            </c:strRef>
          </c:cat>
          <c:val>
            <c:numRef>
              <c:f>Sheet1!$E$2:$E$11</c:f>
              <c:numCache>
                <c:formatCode>0.0</c:formatCode>
                <c:ptCount val="1"/>
                <c:pt idx="0">
                  <c:v>0.8</c:v>
                </c:pt>
              </c:numCache>
            </c:numRef>
          </c:val>
          <c:extLst xmlns:c16r2="http://schemas.microsoft.com/office/drawing/2015/06/chart">
            <c:ext xmlns:c16="http://schemas.microsoft.com/office/drawing/2014/chart" uri="{C3380CC4-5D6E-409C-BE32-E72D297353CC}">
              <c16:uniqueId val="{00000005-9046-4E4E-ABB1-746A453A21E6}"/>
            </c:ext>
          </c:extLst>
        </c:ser>
        <c:ser>
          <c:idx val="1"/>
          <c:order val="3"/>
          <c:tx>
            <c:strRef>
              <c:f>Sheet1!$F$1</c:f>
              <c:strCache>
                <c:ptCount val="1"/>
                <c:pt idx="0">
                  <c:v>Dabasgāze</c:v>
                </c:pt>
              </c:strCache>
            </c:strRef>
          </c:tx>
          <c:spPr>
            <a:solidFill>
              <a:srgbClr val="FFC000"/>
            </a:solidFill>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046-4E4E-ABB1-746A453A21E6}"/>
                </c:ex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strRef>
              <c:f>Sheet1!$B$2:$B$11</c:f>
              <c:strCache>
                <c:ptCount val="1"/>
                <c:pt idx="0">
                  <c:v>2022.gada maijs</c:v>
                </c:pt>
              </c:strCache>
            </c:strRef>
          </c:cat>
          <c:val>
            <c:numRef>
              <c:f>Sheet1!$F$2:$F$11</c:f>
              <c:numCache>
                <c:formatCode>0.0</c:formatCode>
                <c:ptCount val="1"/>
                <c:pt idx="0">
                  <c:v>1.2</c:v>
                </c:pt>
              </c:numCache>
            </c:numRef>
          </c:val>
          <c:extLst xmlns:c16r2="http://schemas.microsoft.com/office/drawing/2015/06/chart">
            <c:ext xmlns:c16="http://schemas.microsoft.com/office/drawing/2014/chart" uri="{C3380CC4-5D6E-409C-BE32-E72D297353CC}">
              <c16:uniqueId val="{00000007-9046-4E4E-ABB1-746A453A21E6}"/>
            </c:ext>
          </c:extLst>
        </c:ser>
        <c:ser>
          <c:idx val="4"/>
          <c:order val="4"/>
          <c:tx>
            <c:strRef>
              <c:f>Sheet1!$G$1</c:f>
              <c:strCache>
                <c:ptCount val="1"/>
                <c:pt idx="0">
                  <c:v>Siltumenerģija</c:v>
                </c:pt>
              </c:strCache>
            </c:strRef>
          </c:tx>
          <c:spPr>
            <a:solidFill>
              <a:srgbClr val="70AD47"/>
            </a:solidFill>
          </c:spPr>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Sheet1!$B$2:$B$11</c:f>
              <c:strCache>
                <c:ptCount val="1"/>
                <c:pt idx="0">
                  <c:v>2022.gada maijs</c:v>
                </c:pt>
              </c:strCache>
            </c:strRef>
          </c:cat>
          <c:val>
            <c:numRef>
              <c:f>Sheet1!$G$2:$G$11</c:f>
              <c:numCache>
                <c:formatCode>0.0</c:formatCode>
                <c:ptCount val="1"/>
                <c:pt idx="0">
                  <c:v>1.9</c:v>
                </c:pt>
              </c:numCache>
            </c:numRef>
          </c:val>
          <c:extLst xmlns:c16r2="http://schemas.microsoft.com/office/drawing/2015/06/chart">
            <c:ext xmlns:c16="http://schemas.microsoft.com/office/drawing/2014/chart" uri="{C3380CC4-5D6E-409C-BE32-E72D297353CC}">
              <c16:uniqueId val="{00000008-9046-4E4E-ABB1-746A453A21E6}"/>
            </c:ext>
          </c:extLst>
        </c:ser>
        <c:ser>
          <c:idx val="5"/>
          <c:order val="5"/>
          <c:tx>
            <c:strRef>
              <c:f>Sheet1!$H$1</c:f>
              <c:strCache>
                <c:ptCount val="1"/>
                <c:pt idx="0">
                  <c:v>Degviela</c:v>
                </c:pt>
              </c:strCache>
            </c:strRef>
          </c:tx>
          <c:spPr>
            <a:solidFill>
              <a:srgbClr val="C00000"/>
            </a:solidFill>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046-4E4E-ABB1-746A453A21E6}"/>
                </c:ex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strRef>
              <c:f>Sheet1!$B$2:$B$11</c:f>
              <c:strCache>
                <c:ptCount val="1"/>
                <c:pt idx="0">
                  <c:v>2022.gada maijs</c:v>
                </c:pt>
              </c:strCache>
            </c:strRef>
          </c:cat>
          <c:val>
            <c:numRef>
              <c:f>Sheet1!$H$2:$H$11</c:f>
              <c:numCache>
                <c:formatCode>0.0</c:formatCode>
                <c:ptCount val="1"/>
                <c:pt idx="0">
                  <c:v>3.4</c:v>
                </c:pt>
              </c:numCache>
            </c:numRef>
          </c:val>
          <c:extLst xmlns:c16r2="http://schemas.microsoft.com/office/drawing/2015/06/chart">
            <c:ext xmlns:c16="http://schemas.microsoft.com/office/drawing/2014/chart" uri="{C3380CC4-5D6E-409C-BE32-E72D297353CC}">
              <c16:uniqueId val="{0000000A-9046-4E4E-ABB1-746A453A21E6}"/>
            </c:ext>
          </c:extLst>
        </c:ser>
        <c:ser>
          <c:idx val="6"/>
          <c:order val="6"/>
          <c:tx>
            <c:strRef>
              <c:f>Sheet1!$I$1</c:f>
              <c:strCache>
                <c:ptCount val="1"/>
                <c:pt idx="0">
                  <c:v>Pārtika</c:v>
                </c:pt>
              </c:strCache>
            </c:strRef>
          </c:tx>
          <c:spPr>
            <a:solidFill>
              <a:srgbClr val="44546A"/>
            </a:solidFill>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046-4E4E-ABB1-746A453A21E6}"/>
                </c:ext>
                <c:ext xmlns:c15="http://schemas.microsoft.com/office/drawing/2012/chart" uri="{CE6537A1-D6FC-4f65-9D91-7224C49458BB}">
                  <c15:layout/>
                </c:ext>
              </c:extLst>
            </c:dLbl>
            <c:spPr>
              <a:noFill/>
              <a:ln>
                <a:noFill/>
              </a:ln>
              <a:effectLst/>
            </c:spPr>
            <c:txPr>
              <a:bodyPr/>
              <a:lstStyle/>
              <a:p>
                <a:pPr>
                  <a:defRPr>
                    <a:solidFill>
                      <a:schemeClr val="bg1"/>
                    </a:solidFill>
                  </a:defRPr>
                </a:pPr>
                <a:endParaRPr lang="lv-LV"/>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strRef>
              <c:f>Sheet1!$B$2:$B$11</c:f>
              <c:strCache>
                <c:ptCount val="1"/>
                <c:pt idx="0">
                  <c:v>2022.gada maijs</c:v>
                </c:pt>
              </c:strCache>
            </c:strRef>
          </c:cat>
          <c:val>
            <c:numRef>
              <c:f>Sheet1!$I$2:$I$11</c:f>
              <c:numCache>
                <c:formatCode>0.0</c:formatCode>
                <c:ptCount val="1"/>
                <c:pt idx="0">
                  <c:v>4.5999999999999996</c:v>
                </c:pt>
              </c:numCache>
            </c:numRef>
          </c:val>
          <c:extLst xmlns:c16r2="http://schemas.microsoft.com/office/drawing/2015/06/chart">
            <c:ext xmlns:c16="http://schemas.microsoft.com/office/drawing/2014/chart" uri="{C3380CC4-5D6E-409C-BE32-E72D297353CC}">
              <c16:uniqueId val="{0000000C-9046-4E4E-ABB1-746A453A21E6}"/>
            </c:ext>
          </c:extLst>
        </c:ser>
        <c:dLbls>
          <c:showLegendKey val="0"/>
          <c:showVal val="0"/>
          <c:showCatName val="0"/>
          <c:showSerName val="0"/>
          <c:showPercent val="0"/>
          <c:showBubbleSize val="0"/>
        </c:dLbls>
        <c:gapWidth val="20"/>
        <c:overlap val="100"/>
        <c:axId val="522300560"/>
        <c:axId val="522301736"/>
      </c:barChart>
      <c:catAx>
        <c:axId val="522300560"/>
        <c:scaling>
          <c:orientation val="minMax"/>
        </c:scaling>
        <c:delete val="0"/>
        <c:axPos val="b"/>
        <c:numFmt formatCode="General" sourceLinked="1"/>
        <c:majorTickMark val="none"/>
        <c:minorTickMark val="none"/>
        <c:tickLblPos val="low"/>
        <c:spPr>
          <a:ln w="3175"/>
        </c:spPr>
        <c:txPr>
          <a:bodyPr rot="0" vert="horz"/>
          <a:lstStyle/>
          <a:p>
            <a:pPr>
              <a:defRPr/>
            </a:pPr>
            <a:endParaRPr lang="lv-LV"/>
          </a:p>
        </c:txPr>
        <c:crossAx val="522301736"/>
        <c:crosses val="autoZero"/>
        <c:auto val="0"/>
        <c:lblAlgn val="ctr"/>
        <c:lblOffset val="0"/>
        <c:tickLblSkip val="1"/>
        <c:noMultiLvlLbl val="1"/>
      </c:catAx>
      <c:valAx>
        <c:axId val="522301736"/>
        <c:scaling>
          <c:orientation val="minMax"/>
        </c:scaling>
        <c:delete val="0"/>
        <c:axPos val="l"/>
        <c:numFmt formatCode="0.0" sourceLinked="0"/>
        <c:majorTickMark val="out"/>
        <c:minorTickMark val="none"/>
        <c:tickLblPos val="nextTo"/>
        <c:spPr>
          <a:ln w="3175">
            <a:noFill/>
          </a:ln>
        </c:spPr>
        <c:txPr>
          <a:bodyPr rot="0" vert="horz"/>
          <a:lstStyle/>
          <a:p>
            <a:pPr>
              <a:defRPr/>
            </a:pPr>
            <a:endParaRPr lang="lv-LV"/>
          </a:p>
        </c:txPr>
        <c:crossAx val="522300560"/>
        <c:crosses val="autoZero"/>
        <c:crossBetween val="between"/>
      </c:valAx>
      <c:spPr>
        <a:noFill/>
        <a:ln w="24631">
          <a:noFill/>
        </a:ln>
      </c:spPr>
    </c:plotArea>
    <c:legend>
      <c:legendPos val="l"/>
      <c:layout>
        <c:manualLayout>
          <c:xMode val="edge"/>
          <c:yMode val="edge"/>
          <c:x val="0.54698502768125645"/>
          <c:y val="6.93322146207134E-2"/>
          <c:w val="0.396214521767775"/>
          <c:h val="0.83046241258977538"/>
        </c:manualLayout>
      </c:layout>
      <c:overlay val="1"/>
    </c:legend>
    <c:plotVisOnly val="1"/>
    <c:dispBlanksAs val="gap"/>
    <c:showDLblsOverMax val="0"/>
  </c:chart>
  <c:spPr>
    <a:noFill/>
    <a:ln>
      <a:noFill/>
    </a:ln>
  </c:spPr>
  <c:txPr>
    <a:bodyPr/>
    <a:lstStyle/>
    <a:p>
      <a:pPr>
        <a:defRPr sz="800" b="0" i="0" u="none" strike="noStrike" baseline="0">
          <a:solidFill>
            <a:srgbClr val="000000"/>
          </a:solidFill>
          <a:latin typeface="Arial Nova Cond Light" panose="020B0306020202020204" pitchFamily="34" charset="0"/>
          <a:ea typeface="Arial"/>
          <a:cs typeface="Arial"/>
        </a:defRPr>
      </a:pPr>
      <a:endParaRPr lang="lv-LV"/>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a:t>Rīcībā esošie ienākumi vidēji uz vienu mājsaimniecības locekli pa vecuma grupām (eiro mēnesī) 2020.gadā</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'[MIS070_20220604-163321.xlsx]MIS070'!$B$3</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'[MIS070_20220604-163321.xlsx]MIS070'!$A$4:$A$11</c:f>
              <c:strCache>
                <c:ptCount val="8"/>
                <c:pt idx="0">
                  <c:v>Pavisam</c:v>
                </c:pt>
                <c:pt idx="1">
                  <c:v>0–15 gadi</c:v>
                </c:pt>
                <c:pt idx="2">
                  <c:v>16–24 gadi</c:v>
                </c:pt>
                <c:pt idx="3">
                  <c:v>25–34 gadi</c:v>
                </c:pt>
                <c:pt idx="4">
                  <c:v>35–44 gadi</c:v>
                </c:pt>
                <c:pt idx="5">
                  <c:v>45–54 gadi</c:v>
                </c:pt>
                <c:pt idx="6">
                  <c:v>55–64 gadi</c:v>
                </c:pt>
                <c:pt idx="7">
                  <c:v>65 gadi un vairāk</c:v>
                </c:pt>
              </c:strCache>
            </c:strRef>
          </c:cat>
          <c:val>
            <c:numRef>
              <c:f>'[MIS070_20220604-163321.xlsx]MIS070'!$B$4:$B$11</c:f>
              <c:numCache>
                <c:formatCode>0.00</c:formatCode>
                <c:ptCount val="8"/>
                <c:pt idx="0">
                  <c:v>630.04</c:v>
                </c:pt>
                <c:pt idx="1">
                  <c:v>544.83000000000004</c:v>
                </c:pt>
                <c:pt idx="2">
                  <c:v>573.78</c:v>
                </c:pt>
                <c:pt idx="3">
                  <c:v>770.49</c:v>
                </c:pt>
                <c:pt idx="4">
                  <c:v>692.68</c:v>
                </c:pt>
                <c:pt idx="5">
                  <c:v>681.37</c:v>
                </c:pt>
                <c:pt idx="6">
                  <c:v>671.01</c:v>
                </c:pt>
                <c:pt idx="7">
                  <c:v>538.41999999999996</c:v>
                </c:pt>
              </c:numCache>
            </c:numRef>
          </c:val>
          <c:extLst xmlns:c16r2="http://schemas.microsoft.com/office/drawing/2015/06/chart">
            <c:ext xmlns:c16="http://schemas.microsoft.com/office/drawing/2014/chart" uri="{C3380CC4-5D6E-409C-BE32-E72D297353CC}">
              <c16:uniqueId val="{00000000-DBEE-4F1E-8914-80429906881A}"/>
            </c:ext>
          </c:extLst>
        </c:ser>
        <c:dLbls>
          <c:dLblPos val="outEnd"/>
          <c:showLegendKey val="0"/>
          <c:showVal val="1"/>
          <c:showCatName val="0"/>
          <c:showSerName val="0"/>
          <c:showPercent val="0"/>
          <c:showBubbleSize val="0"/>
        </c:dLbls>
        <c:gapWidth val="219"/>
        <c:overlap val="-27"/>
        <c:axId val="522305656"/>
        <c:axId val="522303304"/>
      </c:barChart>
      <c:catAx>
        <c:axId val="522305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2303304"/>
        <c:crosses val="autoZero"/>
        <c:auto val="1"/>
        <c:lblAlgn val="ctr"/>
        <c:lblOffset val="100"/>
        <c:noMultiLvlLbl val="0"/>
      </c:catAx>
      <c:valAx>
        <c:axId val="522303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2305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Mājsaimniecību rīcībā esošie ienākumi vidēji uz vienu mājsaimniecības locekli (eiro mēnesī) 2020</a:t>
            </a:r>
            <a:r>
              <a:rPr lang="lv-LV" sz="1200"/>
              <a:t>.gadā reģionu griezumā</a:t>
            </a:r>
            <a:endParaRPr lang="en-US"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'[MIS0301_20220604-162806.xlsx]MIS0301'!$B$3</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'[MIS0301_20220604-162806.xlsx]MIS0301'!$A$4:$A$10</c:f>
              <c:strCache>
                <c:ptCount val="7"/>
                <c:pt idx="0">
                  <c:v>Rīgas plānošanas reģions (Rīgas + Pierīgas reģions)</c:v>
                </c:pt>
                <c:pt idx="1">
                  <c:v>Rīgas reģions</c:v>
                </c:pt>
                <c:pt idx="2">
                  <c:v>Pierīgas reģions</c:v>
                </c:pt>
                <c:pt idx="3">
                  <c:v>Vidzemes reģions</c:v>
                </c:pt>
                <c:pt idx="4">
                  <c:v>Kurzemes reģions</c:v>
                </c:pt>
                <c:pt idx="5">
                  <c:v>Zemgales reģions</c:v>
                </c:pt>
                <c:pt idx="6">
                  <c:v>Latgales reģions</c:v>
                </c:pt>
              </c:strCache>
            </c:strRef>
          </c:cat>
          <c:val>
            <c:numRef>
              <c:f>'[MIS0301_20220604-162806.xlsx]MIS0301'!$B$4:$B$10</c:f>
              <c:numCache>
                <c:formatCode>0.00</c:formatCode>
                <c:ptCount val="7"/>
                <c:pt idx="0">
                  <c:v>737.87</c:v>
                </c:pt>
                <c:pt idx="1">
                  <c:v>750.64</c:v>
                </c:pt>
                <c:pt idx="2">
                  <c:v>718.15</c:v>
                </c:pt>
                <c:pt idx="3">
                  <c:v>517.82000000000005</c:v>
                </c:pt>
                <c:pt idx="4">
                  <c:v>526.83000000000004</c:v>
                </c:pt>
                <c:pt idx="5">
                  <c:v>557.17999999999995</c:v>
                </c:pt>
                <c:pt idx="6">
                  <c:v>445.03</c:v>
                </c:pt>
              </c:numCache>
            </c:numRef>
          </c:val>
          <c:extLst xmlns:c16r2="http://schemas.microsoft.com/office/drawing/2015/06/chart">
            <c:ext xmlns:c16="http://schemas.microsoft.com/office/drawing/2014/chart" uri="{C3380CC4-5D6E-409C-BE32-E72D297353CC}">
              <c16:uniqueId val="{00000000-9D8D-4DBD-847A-1F2AE1CDB586}"/>
            </c:ext>
          </c:extLst>
        </c:ser>
        <c:dLbls>
          <c:dLblPos val="outEnd"/>
          <c:showLegendKey val="0"/>
          <c:showVal val="1"/>
          <c:showCatName val="0"/>
          <c:showSerName val="0"/>
          <c:showPercent val="0"/>
          <c:showBubbleSize val="0"/>
        </c:dLbls>
        <c:gapWidth val="219"/>
        <c:overlap val="-27"/>
        <c:axId val="522311928"/>
        <c:axId val="522303696"/>
      </c:barChart>
      <c:catAx>
        <c:axId val="522311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2303696"/>
        <c:crosses val="autoZero"/>
        <c:auto val="1"/>
        <c:lblAlgn val="ctr"/>
        <c:lblOffset val="100"/>
        <c:noMultiLvlLbl val="0"/>
      </c:catAx>
      <c:valAx>
        <c:axId val="5223036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2311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5A12-F1C3-4B04-B2D9-471228C7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49</Pages>
  <Words>75866</Words>
  <Characters>43244</Characters>
  <Application>Microsoft Office Word</Application>
  <DocSecurity>0</DocSecurity>
  <Lines>360</Lines>
  <Paragraphs>237</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118873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Vasiljeva</dc:creator>
  <cp:keywords/>
  <dc:description/>
  <cp:lastModifiedBy>Evija Kūla</cp:lastModifiedBy>
  <cp:revision>23</cp:revision>
  <cp:lastPrinted>2022-06-20T09:52:00Z</cp:lastPrinted>
  <dcterms:created xsi:type="dcterms:W3CDTF">2022-06-20T10:17:00Z</dcterms:created>
  <dcterms:modified xsi:type="dcterms:W3CDTF">2022-06-20T11:50:00Z</dcterms:modified>
</cp:coreProperties>
</file>