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5A1" w:rsidRPr="003C4B15" w:rsidRDefault="001715A1" w:rsidP="001715A1">
      <w:pPr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1715A1" w:rsidRPr="002C729D" w:rsidRDefault="001715A1" w:rsidP="002C729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>Vienošanās Nr.</w:t>
      </w:r>
      <w:r w:rsidR="009D712B"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>5</w:t>
      </w:r>
      <w:r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</w:p>
    <w:p w:rsidR="003A7D3E" w:rsidRPr="002C729D" w:rsidRDefault="003A7D3E" w:rsidP="003A7D3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par grozījumiem </w:t>
      </w:r>
      <w:r w:rsidR="001715A1"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>2023.gada 14.februāra valsts pārvaldes deleģētā uzdevuma veikšanas līgumā</w:t>
      </w:r>
      <w:r w:rsidRPr="003A7D3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>Nr.LM2023/24-1-04/19</w:t>
      </w:r>
    </w:p>
    <w:p w:rsidR="001715A1" w:rsidRPr="002C729D" w:rsidRDefault="001715A1" w:rsidP="001715A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1715A1" w:rsidRPr="002C729D" w:rsidRDefault="001715A1" w:rsidP="001715A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1715A1" w:rsidRPr="002C729D" w:rsidRDefault="001715A1" w:rsidP="001715A1">
      <w:pPr>
        <w:shd w:val="clear" w:color="auto" w:fill="FFFFFF"/>
        <w:tabs>
          <w:tab w:val="left" w:pos="5670"/>
        </w:tabs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</w:pPr>
      <w:r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>Rīga</w:t>
      </w:r>
      <w:r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2C729D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Vienošanās</w:t>
      </w:r>
      <w:r w:rsidRPr="002C729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C729D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datums ir pēdējā pievienotā</w:t>
      </w:r>
      <w:r w:rsidR="00DF7E4E" w:rsidRPr="002C729D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 xml:space="preserve"> </w:t>
      </w:r>
      <w:r w:rsidRPr="002C729D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 xml:space="preserve">droša </w:t>
      </w:r>
    </w:p>
    <w:p w:rsidR="001715A1" w:rsidRPr="002C729D" w:rsidRDefault="001715A1" w:rsidP="001715A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C729D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elektroniskā paraksta un laika zīmoga datums</w:t>
      </w:r>
    </w:p>
    <w:p w:rsidR="001715A1" w:rsidRPr="002C729D" w:rsidRDefault="001715A1" w:rsidP="001715A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1715A1" w:rsidRPr="002C729D" w:rsidRDefault="001715A1" w:rsidP="005E701C">
      <w:pPr>
        <w:widowControl w:val="0"/>
        <w:shd w:val="clear" w:color="auto" w:fill="FFFFFF"/>
        <w:tabs>
          <w:tab w:val="left" w:pos="941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C729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Labklājības ministrija</w:t>
      </w:r>
      <w:r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(turpmāk - Ministrija), </w:t>
      </w:r>
      <w:r w:rsidR="002B3CE3"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valsts sekretāra Ingus </w:t>
      </w:r>
      <w:proofErr w:type="spellStart"/>
      <w:r w:rsidR="002B3CE3"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>Allika</w:t>
      </w:r>
      <w:proofErr w:type="spellEnd"/>
      <w:r w:rsidR="003A47F9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personā</w:t>
      </w:r>
      <w:bookmarkStart w:id="0" w:name="_GoBack"/>
      <w:bookmarkEnd w:id="0"/>
      <w:r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>, kur</w:t>
      </w:r>
      <w:r w:rsidR="002B3CE3"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>š</w:t>
      </w:r>
      <w:r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rīkojas saskaņā ar Ministru kabineta 2004.gada 27.janvāra noteikumiem Nr.49 „Labklājības ministrijas nolikums", no vienas puses, un </w:t>
      </w:r>
    </w:p>
    <w:p w:rsidR="001715A1" w:rsidRPr="002C729D" w:rsidRDefault="001715A1" w:rsidP="00DF7E4E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C729D">
        <w:rPr>
          <w:rFonts w:ascii="Times New Roman" w:hAnsi="Times New Roman" w:cs="Times New Roman"/>
          <w:b/>
          <w:sz w:val="28"/>
          <w:szCs w:val="28"/>
        </w:rPr>
        <w:t xml:space="preserve">Onkoloģisko slimnieku atbalsta biedrība “Dzīvības koks” </w:t>
      </w:r>
      <w:r w:rsidRPr="002C729D">
        <w:rPr>
          <w:rFonts w:ascii="Times New Roman" w:hAnsi="Times New Roman" w:cs="Times New Roman"/>
          <w:sz w:val="28"/>
          <w:szCs w:val="28"/>
        </w:rPr>
        <w:t>(turpmāk — Biedrība)</w:t>
      </w:r>
      <w:r w:rsidRPr="002C729D">
        <w:rPr>
          <w:rFonts w:ascii="Times New Roman" w:hAnsi="Times New Roman" w:cs="Times New Roman"/>
          <w:bCs/>
          <w:sz w:val="28"/>
          <w:szCs w:val="28"/>
        </w:rPr>
        <w:t xml:space="preserve"> valdes priekšsēdētājas Gunitas Berķes personā, kura rīkojas saskaņā ar Biedrības statūtiem,</w:t>
      </w:r>
      <w:r w:rsidRPr="002C72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729D">
        <w:rPr>
          <w:rFonts w:ascii="Times New Roman" w:hAnsi="Times New Roman" w:cs="Times New Roman"/>
          <w:sz w:val="28"/>
          <w:szCs w:val="28"/>
        </w:rPr>
        <w:t>no otras puses, turpmāk kopā – Puses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</w:p>
    <w:p w:rsidR="000C775C" w:rsidRPr="002C729D" w:rsidRDefault="001715A1" w:rsidP="00DF7E4E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>pamatojoties uz 2023.gada 14.februāra valsts pārvaldes deleģētā uzdevuma veikšanas līguma Nr.LM2023/24-1-04/19 (turpmāk – Līgums) 41.</w:t>
      </w:r>
      <w:r w:rsidR="000C775C"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42. </w:t>
      </w:r>
      <w:r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punktu, </w:t>
      </w:r>
      <w:r w:rsidR="000C775C"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>un</w:t>
      </w:r>
    </w:p>
    <w:p w:rsidR="002D56CE" w:rsidRPr="002C729D" w:rsidRDefault="002D56CE" w:rsidP="002D56C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likumā “Par valsts budžetu 2025. gadam un budžeta ietvaru 2025., 2026. un 2027. gadam” ietverto Ministrijas fiskāli neitrālo pasākumu “Sociālo pakalpojumu pieejamības nodrošināšana” īstenošanai - sociālo pakalpojumu nodrošināšanai saistībā ar pakalpojumu izmaksu sadārdzinājumu un pakalpojumu pieprasījumu palielināšanos, kā arī sociālo pakalpojumu turpināšanai bērniem ar </w:t>
      </w:r>
      <w:proofErr w:type="spellStart"/>
      <w:r w:rsidRPr="002C729D">
        <w:rPr>
          <w:rFonts w:ascii="Times New Roman" w:eastAsia="Times New Roman" w:hAnsi="Times New Roman" w:cs="Times New Roman"/>
          <w:sz w:val="28"/>
          <w:szCs w:val="28"/>
        </w:rPr>
        <w:t>autiskā</w:t>
      </w:r>
      <w:proofErr w:type="spellEnd"/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spektra traucējumiem (atbalstīts Ministru kabineta 19.09.2024. sēdē (sēdes protokola Nr.38 2.§ 24.1.apakšpunkts);</w:t>
      </w:r>
    </w:p>
    <w:p w:rsidR="002D56CE" w:rsidRPr="002C729D" w:rsidRDefault="002D56CE" w:rsidP="002D56C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Ministrijas 22.01.2025. rīkojumu Nr. 5 ”Par biedrības “Onkoloģisko pacientu atbalsta biedrības „Dzīvības koks””  sniegtā </w:t>
      </w:r>
      <w:proofErr w:type="spellStart"/>
      <w:r w:rsidRPr="002C729D">
        <w:rPr>
          <w:rFonts w:ascii="Times New Roman" w:eastAsia="Times New Roman" w:hAnsi="Times New Roman" w:cs="Times New Roman"/>
          <w:sz w:val="28"/>
          <w:szCs w:val="28"/>
        </w:rPr>
        <w:t>psihosociālās</w:t>
      </w:r>
      <w:proofErr w:type="spellEnd"/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rehabilitācijas pakalpojuma  (cenas kalkulācijas) apstiprināšanu  un pakalpojumu cenas noteikšanu”;</w:t>
      </w:r>
    </w:p>
    <w:p w:rsidR="000C775C" w:rsidRPr="002C729D" w:rsidRDefault="002D56CE" w:rsidP="002D56CE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29D">
        <w:rPr>
          <w:rFonts w:ascii="Times New Roman" w:eastAsia="Times New Roman" w:hAnsi="Times New Roman" w:cs="Times New Roman"/>
          <w:sz w:val="28"/>
          <w:szCs w:val="28"/>
        </w:rPr>
        <w:t>grozījumiem Grāmatvedības likumā, kas nosaka, ka rēķinu aprite starp uzņēmumiem (tai skaitā biedrībām un nodibinājumiem) un valsts vai pašvaldību budžeta iestādēm no 2025. gada 1. janvāra notiek tikai strukturēto e-rēķinu formā,</w:t>
      </w:r>
    </w:p>
    <w:p w:rsidR="001715A1" w:rsidRPr="002C729D" w:rsidRDefault="001715A1" w:rsidP="00DF7E4E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C729D">
        <w:rPr>
          <w:rFonts w:ascii="Times New Roman" w:eastAsia="Times New Roman" w:hAnsi="Times New Roman" w:cs="Times New Roman"/>
          <w:sz w:val="28"/>
          <w:szCs w:val="28"/>
          <w:lang w:eastAsia="lv-LV"/>
        </w:rPr>
        <w:t>vienojas izdarīt Līgumā šādus grozījumus (turpmāk – Vienošanās):</w:t>
      </w:r>
    </w:p>
    <w:p w:rsidR="00BC7A15" w:rsidRPr="002C729D" w:rsidRDefault="00D95F5B" w:rsidP="00116A0C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29D">
        <w:rPr>
          <w:rFonts w:ascii="Times New Roman" w:eastAsia="Times New Roman" w:hAnsi="Times New Roman" w:cs="Times New Roman"/>
          <w:sz w:val="28"/>
          <w:szCs w:val="28"/>
        </w:rPr>
        <w:t>Papildināt</w:t>
      </w:r>
      <w:r w:rsidR="00BC7A15" w:rsidRPr="002C729D">
        <w:rPr>
          <w:rFonts w:ascii="Times New Roman" w:eastAsia="Times New Roman" w:hAnsi="Times New Roman" w:cs="Times New Roman"/>
          <w:sz w:val="28"/>
          <w:szCs w:val="28"/>
        </w:rPr>
        <w:t xml:space="preserve"> Līgum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>u ar</w:t>
      </w:r>
      <w:r w:rsidR="00BC7A15" w:rsidRPr="002C729D">
        <w:rPr>
          <w:rFonts w:ascii="Times New Roman" w:eastAsia="Times New Roman" w:hAnsi="Times New Roman" w:cs="Times New Roman"/>
          <w:sz w:val="28"/>
          <w:szCs w:val="28"/>
        </w:rPr>
        <w:t xml:space="preserve"> 4.</w:t>
      </w:r>
      <w:r w:rsidR="000C775C" w:rsidRPr="002C729D">
        <w:rPr>
          <w:rFonts w:ascii="Times New Roman" w:eastAsia="Times New Roman" w:hAnsi="Times New Roman" w:cs="Times New Roman"/>
          <w:sz w:val="28"/>
          <w:szCs w:val="28"/>
        </w:rPr>
        <w:t>5</w:t>
      </w:r>
      <w:r w:rsidR="00BC7A15" w:rsidRPr="002C729D">
        <w:rPr>
          <w:rFonts w:ascii="Times New Roman" w:eastAsia="Times New Roman" w:hAnsi="Times New Roman" w:cs="Times New Roman"/>
          <w:sz w:val="28"/>
          <w:szCs w:val="28"/>
        </w:rPr>
        <w:t>.apakšpunktu:</w:t>
      </w:r>
    </w:p>
    <w:p w:rsidR="00BC7A15" w:rsidRPr="002C729D" w:rsidRDefault="00BC7A15" w:rsidP="00E81CD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29D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043B33" w:rsidRPr="002C729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5757E" w:rsidRPr="002C729D">
        <w:rPr>
          <w:rFonts w:ascii="Times New Roman" w:eastAsia="Times New Roman" w:hAnsi="Times New Roman" w:cs="Times New Roman"/>
          <w:sz w:val="28"/>
          <w:szCs w:val="28"/>
        </w:rPr>
        <w:t>5</w:t>
      </w:r>
      <w:r w:rsidR="00043B33" w:rsidRPr="002C72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>Par Pakalpojuma nodrošināšanu 202</w:t>
      </w:r>
      <w:r w:rsidR="009D712B" w:rsidRPr="002C729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.gadā, kas noteikts Līguma </w:t>
      </w:r>
      <w:r w:rsidR="009D712B" w:rsidRPr="002C729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>.pielikumā „Pakalpojuma "Psihosociālā rehabilitācija personām ar onkoloģisku slimību un to tuviniekiem" kvantitatīvie un kvalitatīvie rādītāji 202</w:t>
      </w:r>
      <w:r w:rsidR="009D712B" w:rsidRPr="002C729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. gadam”, ir </w:t>
      </w:r>
      <w:r w:rsidR="00FD1C6A" w:rsidRPr="002C729D">
        <w:rPr>
          <w:rFonts w:ascii="Times New Roman" w:eastAsia="Times New Roman" w:hAnsi="Times New Roman" w:cs="Times New Roman"/>
          <w:b/>
          <w:sz w:val="28"/>
          <w:szCs w:val="28"/>
        </w:rPr>
        <w:t>253 880,54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29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(divi simti </w:t>
      </w:r>
      <w:r w:rsidR="00FD1C6A" w:rsidRPr="002C729D">
        <w:rPr>
          <w:rFonts w:ascii="Times New Roman" w:eastAsia="Times New Roman" w:hAnsi="Times New Roman" w:cs="Times New Roman"/>
          <w:sz w:val="28"/>
          <w:szCs w:val="28"/>
        </w:rPr>
        <w:t>piec</w:t>
      </w:r>
      <w:r w:rsidR="00E76D5E" w:rsidRPr="002C729D">
        <w:rPr>
          <w:rFonts w:ascii="Times New Roman" w:eastAsia="Times New Roman" w:hAnsi="Times New Roman" w:cs="Times New Roman"/>
          <w:sz w:val="28"/>
          <w:szCs w:val="28"/>
        </w:rPr>
        <w:t>desmit</w:t>
      </w:r>
      <w:r w:rsidR="00FD1C6A" w:rsidRPr="002C729D">
        <w:rPr>
          <w:rFonts w:ascii="Times New Roman" w:eastAsia="Times New Roman" w:hAnsi="Times New Roman" w:cs="Times New Roman"/>
          <w:sz w:val="28"/>
          <w:szCs w:val="28"/>
        </w:rPr>
        <w:t xml:space="preserve"> trīs</w:t>
      </w:r>
      <w:r w:rsidR="001C4230">
        <w:rPr>
          <w:rFonts w:ascii="Times New Roman" w:eastAsia="Times New Roman" w:hAnsi="Times New Roman" w:cs="Times New Roman"/>
          <w:sz w:val="28"/>
          <w:szCs w:val="28"/>
        </w:rPr>
        <w:t xml:space="preserve"> tūkstoši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C6A" w:rsidRPr="002C729D">
        <w:rPr>
          <w:rFonts w:ascii="Times New Roman" w:eastAsia="Times New Roman" w:hAnsi="Times New Roman" w:cs="Times New Roman"/>
          <w:sz w:val="28"/>
          <w:szCs w:val="28"/>
        </w:rPr>
        <w:t>astoņi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simt</w:t>
      </w:r>
      <w:r w:rsidR="00D95F5B" w:rsidRPr="002C729D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C6A" w:rsidRPr="002C729D">
        <w:rPr>
          <w:rFonts w:ascii="Times New Roman" w:eastAsia="Times New Roman" w:hAnsi="Times New Roman" w:cs="Times New Roman"/>
          <w:sz w:val="28"/>
          <w:szCs w:val="28"/>
        </w:rPr>
        <w:t>astoņ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>desmit</w:t>
      </w:r>
      <w:r w:rsidR="006F72D0" w:rsidRPr="002C7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29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r w:rsidR="00FD1C6A" w:rsidRPr="002C729D">
        <w:rPr>
          <w:rFonts w:ascii="Times New Roman" w:eastAsia="Times New Roman" w:hAnsi="Times New Roman" w:cs="Times New Roman"/>
          <w:sz w:val="28"/>
          <w:szCs w:val="28"/>
        </w:rPr>
        <w:t>54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centi), tai skaitā </w:t>
      </w:r>
      <w:r w:rsidR="00FD1C6A" w:rsidRPr="002C729D">
        <w:rPr>
          <w:rFonts w:ascii="Times New Roman" w:eastAsia="Times New Roman" w:hAnsi="Times New Roman" w:cs="Times New Roman"/>
          <w:b/>
          <w:sz w:val="28"/>
          <w:szCs w:val="28"/>
        </w:rPr>
        <w:t>230 800,49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29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76D5E" w:rsidRPr="002C729D">
        <w:rPr>
          <w:rFonts w:ascii="Times New Roman" w:eastAsia="Times New Roman" w:hAnsi="Times New Roman" w:cs="Times New Roman"/>
          <w:sz w:val="28"/>
          <w:szCs w:val="28"/>
        </w:rPr>
        <w:t>divi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simt</w:t>
      </w:r>
      <w:r w:rsidR="00E76D5E" w:rsidRPr="002C729D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="00FD1C6A" w:rsidRPr="002C729D">
        <w:rPr>
          <w:rFonts w:ascii="Times New Roman" w:eastAsia="Times New Roman" w:hAnsi="Times New Roman" w:cs="Times New Roman"/>
          <w:sz w:val="28"/>
          <w:szCs w:val="28"/>
        </w:rPr>
        <w:t>trīsdesmit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tūkstoši </w:t>
      </w:r>
      <w:r w:rsidR="00FD1C6A" w:rsidRPr="002C729D">
        <w:rPr>
          <w:rFonts w:ascii="Times New Roman" w:eastAsia="Times New Roman" w:hAnsi="Times New Roman" w:cs="Times New Roman"/>
          <w:sz w:val="28"/>
          <w:szCs w:val="28"/>
        </w:rPr>
        <w:t>astoņi</w:t>
      </w:r>
      <w:r w:rsidR="00E76D5E" w:rsidRPr="002C729D">
        <w:rPr>
          <w:rFonts w:ascii="Times New Roman" w:eastAsia="Times New Roman" w:hAnsi="Times New Roman" w:cs="Times New Roman"/>
          <w:sz w:val="28"/>
          <w:szCs w:val="28"/>
        </w:rPr>
        <w:t xml:space="preserve"> simti </w:t>
      </w:r>
      <w:proofErr w:type="spellStart"/>
      <w:r w:rsidRPr="002C729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r w:rsidR="00D95F5B" w:rsidRPr="002C729D">
        <w:rPr>
          <w:rFonts w:ascii="Times New Roman" w:eastAsia="Times New Roman" w:hAnsi="Times New Roman" w:cs="Times New Roman"/>
          <w:sz w:val="28"/>
          <w:szCs w:val="28"/>
        </w:rPr>
        <w:t>4</w:t>
      </w:r>
      <w:r w:rsidR="00FD1C6A" w:rsidRPr="002C729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centi)</w:t>
      </w:r>
      <w:r w:rsidRPr="002C729D" w:rsidDel="0048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par Pakalpojumu sniegšanu un  </w:t>
      </w:r>
      <w:r w:rsidR="00471283" w:rsidRPr="002C729D">
        <w:rPr>
          <w:rFonts w:ascii="Times New Roman" w:eastAsia="Times New Roman" w:hAnsi="Times New Roman" w:cs="Times New Roman"/>
          <w:b/>
          <w:sz w:val="28"/>
          <w:szCs w:val="28"/>
        </w:rPr>
        <w:t>23 080,05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29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16A0C" w:rsidRPr="002C729D">
        <w:rPr>
          <w:rFonts w:ascii="Times New Roman" w:eastAsia="Times New Roman" w:hAnsi="Times New Roman" w:cs="Times New Roman"/>
          <w:sz w:val="28"/>
          <w:szCs w:val="28"/>
        </w:rPr>
        <w:t>d</w:t>
      </w:r>
      <w:r w:rsidR="00E76D5E" w:rsidRPr="002C729D">
        <w:rPr>
          <w:rFonts w:ascii="Times New Roman" w:eastAsia="Times New Roman" w:hAnsi="Times New Roman" w:cs="Times New Roman"/>
          <w:sz w:val="28"/>
          <w:szCs w:val="28"/>
        </w:rPr>
        <w:t>ivdesmit</w:t>
      </w:r>
      <w:r w:rsidR="00471283" w:rsidRPr="002C729D">
        <w:rPr>
          <w:rFonts w:ascii="Times New Roman" w:eastAsia="Times New Roman" w:hAnsi="Times New Roman" w:cs="Times New Roman"/>
          <w:sz w:val="28"/>
          <w:szCs w:val="28"/>
        </w:rPr>
        <w:t xml:space="preserve"> trīs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tūkstoši </w:t>
      </w:r>
      <w:r w:rsidR="00471283" w:rsidRPr="002C729D">
        <w:rPr>
          <w:rFonts w:ascii="Times New Roman" w:eastAsia="Times New Roman" w:hAnsi="Times New Roman" w:cs="Times New Roman"/>
          <w:sz w:val="28"/>
          <w:szCs w:val="28"/>
        </w:rPr>
        <w:t>astoņdesmit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29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r w:rsidR="00471283" w:rsidRPr="002C729D">
        <w:rPr>
          <w:rFonts w:ascii="Times New Roman" w:eastAsia="Times New Roman" w:hAnsi="Times New Roman" w:cs="Times New Roman"/>
          <w:sz w:val="28"/>
          <w:szCs w:val="28"/>
        </w:rPr>
        <w:t>0</w:t>
      </w:r>
      <w:r w:rsidR="00116A0C" w:rsidRPr="002C729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centi) Pakalpojuma administrēšanas izdevumiem</w:t>
      </w:r>
      <w:r w:rsidRPr="002C729D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 xml:space="preserve">. 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0C775C" w:rsidRPr="002C729D" w:rsidRDefault="000C775C" w:rsidP="000C775C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29D">
        <w:rPr>
          <w:rFonts w:ascii="Times New Roman" w:eastAsia="Times New Roman" w:hAnsi="Times New Roman" w:cs="Times New Roman"/>
          <w:sz w:val="28"/>
          <w:szCs w:val="28"/>
        </w:rPr>
        <w:t>Papildināt Līgumu ar 4.</w:t>
      </w:r>
      <w:r w:rsidR="0005757E" w:rsidRPr="002C729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>.apakšpunktu:</w:t>
      </w:r>
    </w:p>
    <w:p w:rsidR="000C775C" w:rsidRPr="002C729D" w:rsidRDefault="000C775C" w:rsidP="000C77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29D">
        <w:rPr>
          <w:rFonts w:ascii="Times New Roman" w:eastAsia="Times New Roman" w:hAnsi="Times New Roman" w:cs="Times New Roman"/>
          <w:sz w:val="28"/>
          <w:szCs w:val="28"/>
        </w:rPr>
        <w:t>“4.</w:t>
      </w:r>
      <w:r w:rsidR="0005757E" w:rsidRPr="002C729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>. Pakalpojuma nodrošināšanai 202</w:t>
      </w:r>
      <w:r w:rsidR="0005757E" w:rsidRPr="002C729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. gadā (kvantitatīvie un kvalitatīvie rādītāji iekļauti Līguma </w:t>
      </w:r>
      <w:r w:rsidR="0005757E" w:rsidRPr="002C729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>.pielikumā 202</w:t>
      </w:r>
      <w:r w:rsidR="0005757E" w:rsidRPr="002C729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>.gadam noteiktajos rādītājos) novirzītais atlikums par 202</w:t>
      </w:r>
      <w:r w:rsidR="0005757E" w:rsidRPr="002C729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>.gadu (uz 202</w:t>
      </w:r>
      <w:r w:rsidR="0005757E" w:rsidRPr="002C729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.gada 1. janvāri) ir </w:t>
      </w:r>
      <w:r w:rsidR="00124620" w:rsidRPr="002C729D">
        <w:rPr>
          <w:rFonts w:ascii="Times New Roman" w:eastAsia="Times New Roman" w:hAnsi="Times New Roman" w:cs="Times New Roman"/>
          <w:b/>
          <w:sz w:val="28"/>
          <w:szCs w:val="28"/>
        </w:rPr>
        <w:t>8 241,97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29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24620" w:rsidRPr="002C729D">
        <w:rPr>
          <w:rFonts w:ascii="Times New Roman" w:eastAsia="Times New Roman" w:hAnsi="Times New Roman" w:cs="Times New Roman"/>
          <w:sz w:val="28"/>
          <w:szCs w:val="28"/>
        </w:rPr>
        <w:t>astoņi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tūkstoši </w:t>
      </w:r>
      <w:r w:rsidR="00124620" w:rsidRPr="002C729D">
        <w:rPr>
          <w:rFonts w:ascii="Times New Roman" w:eastAsia="Times New Roman" w:hAnsi="Times New Roman" w:cs="Times New Roman"/>
          <w:sz w:val="28"/>
          <w:szCs w:val="28"/>
        </w:rPr>
        <w:t>divi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simti </w:t>
      </w:r>
      <w:r w:rsidR="00124620" w:rsidRPr="002C729D">
        <w:rPr>
          <w:rFonts w:ascii="Times New Roman" w:eastAsia="Times New Roman" w:hAnsi="Times New Roman" w:cs="Times New Roman"/>
          <w:sz w:val="28"/>
          <w:szCs w:val="28"/>
        </w:rPr>
        <w:t>četr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desmit </w:t>
      </w:r>
      <w:r w:rsidR="00124620" w:rsidRPr="002C729D">
        <w:rPr>
          <w:rFonts w:ascii="Times New Roman" w:eastAsia="Times New Roman" w:hAnsi="Times New Roman" w:cs="Times New Roman"/>
          <w:sz w:val="28"/>
          <w:szCs w:val="28"/>
        </w:rPr>
        <w:t>viens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29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r w:rsidR="00124620" w:rsidRPr="002C729D">
        <w:rPr>
          <w:rFonts w:ascii="Times New Roman" w:eastAsia="Times New Roman" w:hAnsi="Times New Roman" w:cs="Times New Roman"/>
          <w:sz w:val="28"/>
          <w:szCs w:val="28"/>
        </w:rPr>
        <w:t>97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729D">
        <w:rPr>
          <w:rFonts w:ascii="Times New Roman" w:eastAsia="Times New Roman" w:hAnsi="Times New Roman" w:cs="Times New Roman"/>
          <w:i/>
          <w:sz w:val="28"/>
          <w:szCs w:val="28"/>
        </w:rPr>
        <w:t>centi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), tai skaitā </w:t>
      </w:r>
      <w:r w:rsidR="00124620" w:rsidRPr="002C729D">
        <w:rPr>
          <w:rFonts w:ascii="Times New Roman" w:eastAsia="Times New Roman" w:hAnsi="Times New Roman" w:cs="Times New Roman"/>
          <w:b/>
          <w:sz w:val="28"/>
          <w:szCs w:val="28"/>
        </w:rPr>
        <w:t>7 492,70</w:t>
      </w:r>
      <w:r w:rsidRPr="002C72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729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24620" w:rsidRPr="002C729D">
        <w:rPr>
          <w:rFonts w:ascii="Times New Roman" w:eastAsia="Times New Roman" w:hAnsi="Times New Roman" w:cs="Times New Roman"/>
          <w:sz w:val="28"/>
          <w:szCs w:val="28"/>
        </w:rPr>
        <w:t>septiņi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tūkstoši četri simti </w:t>
      </w:r>
      <w:r w:rsidR="00124620" w:rsidRPr="002C729D">
        <w:rPr>
          <w:rFonts w:ascii="Times New Roman" w:eastAsia="Times New Roman" w:hAnsi="Times New Roman" w:cs="Times New Roman"/>
          <w:sz w:val="28"/>
          <w:szCs w:val="28"/>
        </w:rPr>
        <w:t>deviņdesmit divi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29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r w:rsidR="00124620" w:rsidRPr="002C729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2C729D">
        <w:rPr>
          <w:rFonts w:ascii="Times New Roman" w:eastAsia="Times New Roman" w:hAnsi="Times New Roman" w:cs="Times New Roman"/>
          <w:i/>
          <w:sz w:val="28"/>
          <w:szCs w:val="28"/>
        </w:rPr>
        <w:t>centi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) par Pakalpojumu sniegšanu un </w:t>
      </w:r>
      <w:r w:rsidR="00124620" w:rsidRPr="002C729D">
        <w:rPr>
          <w:rFonts w:ascii="Times New Roman" w:eastAsia="Times New Roman" w:hAnsi="Times New Roman" w:cs="Times New Roman"/>
          <w:b/>
          <w:sz w:val="28"/>
          <w:szCs w:val="28"/>
        </w:rPr>
        <w:t>749,27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29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24620" w:rsidRPr="002C729D">
        <w:rPr>
          <w:rFonts w:ascii="Times New Roman" w:eastAsia="Times New Roman" w:hAnsi="Times New Roman" w:cs="Times New Roman"/>
          <w:sz w:val="28"/>
          <w:szCs w:val="28"/>
        </w:rPr>
        <w:t>septiņi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simti četrdesmit </w:t>
      </w:r>
      <w:r w:rsidR="00124620" w:rsidRPr="002C729D">
        <w:rPr>
          <w:rFonts w:ascii="Times New Roman" w:eastAsia="Times New Roman" w:hAnsi="Times New Roman" w:cs="Times New Roman"/>
          <w:sz w:val="28"/>
          <w:szCs w:val="28"/>
        </w:rPr>
        <w:t>deviņi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29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r w:rsidR="00124620" w:rsidRPr="002C729D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729D">
        <w:rPr>
          <w:rFonts w:ascii="Times New Roman" w:eastAsia="Times New Roman" w:hAnsi="Times New Roman" w:cs="Times New Roman"/>
          <w:i/>
          <w:sz w:val="28"/>
          <w:szCs w:val="28"/>
        </w:rPr>
        <w:t>centi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>) Pakalpojuma administrēšanas izdevumiem.”</w:t>
      </w:r>
    </w:p>
    <w:p w:rsidR="00401260" w:rsidRPr="002C729D" w:rsidRDefault="0071671E" w:rsidP="00401260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29D">
        <w:rPr>
          <w:rFonts w:ascii="Times New Roman" w:eastAsia="Times New Roman" w:hAnsi="Times New Roman" w:cs="Times New Roman"/>
          <w:sz w:val="28"/>
          <w:szCs w:val="28"/>
        </w:rPr>
        <w:t>Izteikt Līguma 11.punktu jaunā redakcijā:</w:t>
      </w:r>
    </w:p>
    <w:p w:rsidR="00401260" w:rsidRPr="002C729D" w:rsidRDefault="0071671E" w:rsidP="0071671E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“11. </w:t>
      </w:r>
      <w:r w:rsidR="00401260" w:rsidRPr="002C729D">
        <w:rPr>
          <w:rFonts w:ascii="Times New Roman" w:eastAsia="Times New Roman" w:hAnsi="Times New Roman" w:cs="Times New Roman"/>
          <w:sz w:val="28"/>
          <w:szCs w:val="28"/>
        </w:rPr>
        <w:t xml:space="preserve">Ministrija 5 (piecu) darba dienu laikā pēc finansēšanas grafika saskaņošanas atbilstoši finansēšanas grafikam, pamatojoties uz Biedrības iesniegto rēķinu, pārskaita Biedrībai kārtējā gada janvārim paredzēto finansējumu. Turpmāk Ministrija katru mēnesi 5 (piecu) darba dienu laikā 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>no</w:t>
      </w:r>
      <w:r w:rsidR="00401260" w:rsidRPr="002C729D">
        <w:rPr>
          <w:rFonts w:ascii="Times New Roman" w:eastAsia="Times New Roman" w:hAnsi="Times New Roman" w:cs="Times New Roman"/>
          <w:sz w:val="28"/>
          <w:szCs w:val="28"/>
        </w:rPr>
        <w:t xml:space="preserve"> Līguma 25.punktā minētā pārskata saņemšanas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no Biedrības to izskata</w:t>
      </w:r>
      <w:r w:rsidR="00401260" w:rsidRPr="002C729D">
        <w:rPr>
          <w:rFonts w:ascii="Times New Roman" w:eastAsia="Times New Roman" w:hAnsi="Times New Roman" w:cs="Times New Roman"/>
          <w:sz w:val="28"/>
          <w:szCs w:val="28"/>
        </w:rPr>
        <w:t xml:space="preserve"> un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pēc</w:t>
      </w:r>
      <w:r w:rsidR="00401260" w:rsidRPr="002C729D">
        <w:rPr>
          <w:rFonts w:ascii="Times New Roman" w:eastAsia="Times New Roman" w:hAnsi="Times New Roman" w:cs="Times New Roman"/>
          <w:sz w:val="28"/>
          <w:szCs w:val="28"/>
        </w:rPr>
        <w:t xml:space="preserve"> tā atzīšanas par atbilstošu Līguma no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>teikumiem</w:t>
      </w:r>
      <w:r w:rsidR="00401260" w:rsidRPr="002C729D">
        <w:rPr>
          <w:rFonts w:ascii="Times New Roman" w:eastAsia="Times New Roman" w:hAnsi="Times New Roman" w:cs="Times New Roman"/>
          <w:sz w:val="28"/>
          <w:szCs w:val="28"/>
        </w:rPr>
        <w:t xml:space="preserve"> pārskaita Biedrībai finansējumu Deleģētā uzdevuma nodrošināšanai kārtējā mēnesī saskaņā ar finansēšanas grafiku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01260" w:rsidRPr="002C7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>pamatojoties uz Biedrības iesniegto rēķinu. Puses vienojas, ka rēķini, kas saistīti ar Līguma izpildi, tiks izrakstīti kā strukturētie e-rēķini atbilstoši spēkā esošo normatīvo aktu prasībām un nosūtīti uz e-adresi Labklājības ministrija EINVOICE@90000022064.”</w:t>
      </w:r>
    </w:p>
    <w:p w:rsidR="00BA5C38" w:rsidRPr="002C729D" w:rsidRDefault="00BA5C38" w:rsidP="00BA5C38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29D">
        <w:rPr>
          <w:rFonts w:ascii="Times New Roman" w:eastAsia="Times New Roman" w:hAnsi="Times New Roman" w:cs="Times New Roman"/>
          <w:sz w:val="28"/>
          <w:szCs w:val="28"/>
        </w:rPr>
        <w:t>Izteikt Līguma 3</w:t>
      </w:r>
      <w:r w:rsidR="00347B90" w:rsidRPr="002C729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>.1. apakšpunktu jaunā redakcijā:</w:t>
      </w:r>
    </w:p>
    <w:p w:rsidR="00BA5C38" w:rsidRPr="002C729D" w:rsidRDefault="00BA5C38" w:rsidP="00BA5C38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29D">
        <w:rPr>
          <w:rFonts w:ascii="Times New Roman" w:eastAsia="Times New Roman" w:hAnsi="Times New Roman" w:cs="Times New Roman"/>
          <w:sz w:val="28"/>
          <w:szCs w:val="28"/>
        </w:rPr>
        <w:t>“33.1. Ministrija - deleģētā uzdevuma jautājumos: Inese Veinberga (e-pasts: Inese.Veinberga@lm.gov.lv, kontakttālrunis: 20688326),, finanšu jautājumos: Ieva Lismente (e-pasts: Ieva.Lismente@lm.gov.lv, kontakttālrunis: 20688360), Sandra Strēle (e-pasts: Sandra.Strele@lm.gov.lv kontakttālrunis: 20688355);”</w:t>
      </w:r>
    </w:p>
    <w:p w:rsidR="003C4B15" w:rsidRPr="002C729D" w:rsidRDefault="003C4B15" w:rsidP="003C4B15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29D">
        <w:rPr>
          <w:rFonts w:ascii="Times New Roman" w:eastAsia="Times New Roman" w:hAnsi="Times New Roman" w:cs="Times New Roman"/>
          <w:sz w:val="28"/>
          <w:szCs w:val="28"/>
        </w:rPr>
        <w:t>Papildināt Līgumu ar 49.9. apakšpunktu:</w:t>
      </w:r>
    </w:p>
    <w:p w:rsidR="003C4B15" w:rsidRPr="002C729D" w:rsidRDefault="003C4B15" w:rsidP="003C4B15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29D">
        <w:rPr>
          <w:rFonts w:ascii="Times New Roman" w:eastAsia="Times New Roman" w:hAnsi="Times New Roman" w:cs="Times New Roman"/>
          <w:sz w:val="28"/>
          <w:szCs w:val="28"/>
        </w:rPr>
        <w:t>“49.9. 9.pielikums „Kvantitatīvie un kvalitatīvie rādītāji 2025.gadam”.”</w:t>
      </w:r>
    </w:p>
    <w:p w:rsidR="00D337C8" w:rsidRPr="002C729D" w:rsidRDefault="00F151F9" w:rsidP="00004901">
      <w:pPr>
        <w:pStyle w:val="ListParagraph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29D">
        <w:rPr>
          <w:rFonts w:ascii="Times New Roman" w:eastAsia="Times New Roman" w:hAnsi="Times New Roman" w:cs="Times New Roman"/>
          <w:sz w:val="28"/>
          <w:szCs w:val="28"/>
        </w:rPr>
        <w:t>Izteikt Līguma 4.pielikumu “Pakalpojuma "</w:t>
      </w:r>
      <w:proofErr w:type="spellStart"/>
      <w:r w:rsidRPr="002C729D">
        <w:rPr>
          <w:rFonts w:ascii="Times New Roman" w:eastAsia="Times New Roman" w:hAnsi="Times New Roman" w:cs="Times New Roman"/>
          <w:sz w:val="28"/>
          <w:szCs w:val="28"/>
        </w:rPr>
        <w:t>Psihosociālā</w:t>
      </w:r>
      <w:proofErr w:type="spellEnd"/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rehabilitācija personām ar onkoloģisku slimību un viņu tuviniekiem” groza izmaksu aprēķins un tā izmaksu aprēķina tehnoloģijas pamatprincipi” jaunā redakcijā </w:t>
      </w:r>
      <w:r w:rsidR="00116A0C" w:rsidRPr="002C729D">
        <w:rPr>
          <w:rFonts w:ascii="Times New Roman" w:eastAsia="Times New Roman" w:hAnsi="Times New Roman" w:cs="Times New Roman"/>
          <w:sz w:val="28"/>
          <w:szCs w:val="28"/>
        </w:rPr>
        <w:t xml:space="preserve">(Vienošanās </w:t>
      </w:r>
      <w:r w:rsidR="0005757E" w:rsidRPr="002C729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16A0C" w:rsidRPr="002C729D">
        <w:rPr>
          <w:rFonts w:ascii="Times New Roman" w:eastAsia="Times New Roman" w:hAnsi="Times New Roman" w:cs="Times New Roman"/>
          <w:sz w:val="28"/>
          <w:szCs w:val="28"/>
        </w:rPr>
        <w:t>pielikums)</w:t>
      </w:r>
      <w:r w:rsidR="00B011AA" w:rsidRPr="002C72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0AA2" w:rsidRPr="002C729D" w:rsidRDefault="006A0AA2" w:rsidP="00481E2C">
      <w:pPr>
        <w:pStyle w:val="ListParagraph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51F9" w:rsidRPr="002C729D">
        <w:rPr>
          <w:rFonts w:ascii="Times New Roman" w:eastAsia="Times New Roman" w:hAnsi="Times New Roman" w:cs="Times New Roman"/>
          <w:sz w:val="28"/>
          <w:szCs w:val="28"/>
        </w:rPr>
        <w:t>Papildināt Līgumu ar 9.pielikumu „</w:t>
      </w:r>
      <w:r w:rsidR="0005757E" w:rsidRPr="002C729D">
        <w:rPr>
          <w:rFonts w:ascii="Times New Roman" w:eastAsia="Times New Roman" w:hAnsi="Times New Roman" w:cs="Times New Roman"/>
          <w:sz w:val="28"/>
          <w:szCs w:val="28"/>
        </w:rPr>
        <w:t>Pakalpojuma "</w:t>
      </w:r>
      <w:proofErr w:type="spellStart"/>
      <w:r w:rsidR="0005757E" w:rsidRPr="002C729D">
        <w:rPr>
          <w:rFonts w:ascii="Times New Roman" w:eastAsia="Times New Roman" w:hAnsi="Times New Roman" w:cs="Times New Roman"/>
          <w:sz w:val="28"/>
          <w:szCs w:val="28"/>
        </w:rPr>
        <w:t>Psihosociālā</w:t>
      </w:r>
      <w:proofErr w:type="spellEnd"/>
      <w:r w:rsidR="0005757E" w:rsidRPr="002C729D">
        <w:rPr>
          <w:rFonts w:ascii="Times New Roman" w:eastAsia="Times New Roman" w:hAnsi="Times New Roman" w:cs="Times New Roman"/>
          <w:sz w:val="28"/>
          <w:szCs w:val="28"/>
        </w:rPr>
        <w:t xml:space="preserve"> rehabilitācija personām ar onkoloģisku slimību un to tuviniekiem" kvantitatīvie un kvalitatīvie rādītāji 2025. gadam</w:t>
      </w:r>
      <w:r w:rsidR="00F151F9" w:rsidRPr="002C729D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 xml:space="preserve">(Vienošanās </w:t>
      </w:r>
      <w:r w:rsidR="0005757E" w:rsidRPr="002C729D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C729D">
        <w:rPr>
          <w:rFonts w:ascii="Times New Roman" w:eastAsia="Times New Roman" w:hAnsi="Times New Roman" w:cs="Times New Roman"/>
          <w:sz w:val="28"/>
          <w:szCs w:val="28"/>
        </w:rPr>
        <w:t>pielikums).</w:t>
      </w:r>
    </w:p>
    <w:p w:rsidR="0005757E" w:rsidRPr="002C729D" w:rsidRDefault="0005757E" w:rsidP="00D62E78">
      <w:pPr>
        <w:pStyle w:val="ListParagraph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84734622"/>
      <w:r w:rsidRPr="002C729D">
        <w:rPr>
          <w:rFonts w:ascii="Times New Roman" w:eastAsia="Times New Roman" w:hAnsi="Times New Roman" w:cs="Times New Roman"/>
          <w:sz w:val="28"/>
          <w:szCs w:val="28"/>
        </w:rPr>
        <w:t>Pārējie Līguma noteikumi paliek nemainīgi.</w:t>
      </w:r>
      <w:bookmarkEnd w:id="1"/>
    </w:p>
    <w:p w:rsidR="0005757E" w:rsidRPr="002C729D" w:rsidRDefault="0005757E" w:rsidP="00D62E78">
      <w:pPr>
        <w:pStyle w:val="ListParagraph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29D">
        <w:rPr>
          <w:rFonts w:ascii="Times New Roman" w:eastAsia="Times New Roman" w:hAnsi="Times New Roman" w:cs="Times New Roman"/>
          <w:sz w:val="28"/>
          <w:szCs w:val="28"/>
        </w:rPr>
        <w:t>Vienošanās stājas spēkā brīdī, kad to parakstījusi pēdējā no Pusēm, un piemērojama Pušu saistībām par periodu no 2025.gada 1.janvāra.</w:t>
      </w:r>
    </w:p>
    <w:p w:rsidR="0005757E" w:rsidRPr="002C729D" w:rsidRDefault="0005757E" w:rsidP="00D62E78">
      <w:pPr>
        <w:pStyle w:val="ListParagraph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29D">
        <w:rPr>
          <w:rFonts w:ascii="Times New Roman" w:eastAsia="Times New Roman" w:hAnsi="Times New Roman" w:cs="Times New Roman"/>
          <w:sz w:val="28"/>
          <w:szCs w:val="28"/>
        </w:rPr>
        <w:lastRenderedPageBreak/>
        <w:t>Vienošanās ir sagatavota latviešu valodā, ar diviem pielikumiem, parakstīta ar drošu elektronisko parakstu un satur laika zīmogu. Pusēm ir pieejama abpusēji parakstīta Vienošanās elektroniskā formā.</w:t>
      </w:r>
    </w:p>
    <w:p w:rsidR="00D62E78" w:rsidRPr="002C729D" w:rsidRDefault="00D62E78" w:rsidP="00D62E78">
      <w:pPr>
        <w:pStyle w:val="ListParagraph"/>
        <w:numPr>
          <w:ilvl w:val="0"/>
          <w:numId w:val="1"/>
        </w:numPr>
        <w:spacing w:after="12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729D">
        <w:rPr>
          <w:rFonts w:ascii="Times New Roman" w:eastAsia="Times New Roman" w:hAnsi="Times New Roman" w:cs="Times New Roman"/>
          <w:sz w:val="28"/>
          <w:szCs w:val="28"/>
        </w:rPr>
        <w:t>Pušu rekvizīti un paraksti: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807"/>
        <w:gridCol w:w="4515"/>
      </w:tblGrid>
      <w:tr w:rsidR="001715A1" w:rsidRPr="002C729D" w:rsidTr="00AF78B5">
        <w:trPr>
          <w:trHeight w:val="3811"/>
        </w:trPr>
        <w:tc>
          <w:tcPr>
            <w:tcW w:w="4807" w:type="dxa"/>
            <w:shd w:val="clear" w:color="auto" w:fill="auto"/>
          </w:tcPr>
          <w:p w:rsidR="00D62E78" w:rsidRPr="002C729D" w:rsidRDefault="00D62E78" w:rsidP="001715A1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715A1" w:rsidRPr="002C729D" w:rsidRDefault="001715A1" w:rsidP="001715A1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C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Ministrija</w:t>
            </w:r>
          </w:p>
          <w:p w:rsidR="001715A1" w:rsidRPr="002C729D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Labklājības ministrija</w:t>
            </w:r>
          </w:p>
          <w:p w:rsidR="001715A1" w:rsidRPr="002C729D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NMR Nr.90000022064</w:t>
            </w:r>
          </w:p>
          <w:p w:rsidR="001715A1" w:rsidRPr="002C729D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Adrese - Skolas iela 28, Rīga, </w:t>
            </w:r>
          </w:p>
          <w:p w:rsidR="001715A1" w:rsidRPr="002C729D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LV-1331</w:t>
            </w:r>
          </w:p>
          <w:p w:rsidR="001715A1" w:rsidRPr="002C729D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Bankas rekvizīti: </w:t>
            </w:r>
          </w:p>
          <w:p w:rsidR="001715A1" w:rsidRPr="002C729D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Valsts kase, kods: TRELLV22</w:t>
            </w:r>
          </w:p>
          <w:p w:rsidR="001715A1" w:rsidRPr="002C729D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Konts Nr.LV11TREL2180396039000</w:t>
            </w:r>
          </w:p>
          <w:p w:rsidR="001715A1" w:rsidRPr="002C729D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13FFA" w:rsidRPr="002C729D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valsts sekretār</w:t>
            </w:r>
            <w:r w:rsidR="002B3CE3"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213FFA"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1715A1" w:rsidRPr="002C729D" w:rsidRDefault="002B3CE3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I.Alliks</w:t>
            </w:r>
            <w:proofErr w:type="spellEnd"/>
          </w:p>
        </w:tc>
        <w:tc>
          <w:tcPr>
            <w:tcW w:w="4515" w:type="dxa"/>
            <w:shd w:val="clear" w:color="auto" w:fill="auto"/>
          </w:tcPr>
          <w:p w:rsidR="00D62E78" w:rsidRPr="002C729D" w:rsidRDefault="00D62E78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715A1" w:rsidRPr="002C729D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72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Onkoloģisko slimnieku atbalsta biedrība </w:t>
            </w:r>
          </w:p>
          <w:p w:rsidR="001715A1" w:rsidRPr="002C729D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72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“Dzīvības koks”</w:t>
            </w:r>
          </w:p>
          <w:p w:rsidR="001715A1" w:rsidRPr="002C729D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NMR Nr.40008087144</w:t>
            </w:r>
          </w:p>
          <w:p w:rsidR="001715A1" w:rsidRPr="002C729D" w:rsidRDefault="001715A1" w:rsidP="00171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Adrese: </w:t>
            </w:r>
          </w:p>
          <w:p w:rsidR="001715A1" w:rsidRPr="002C729D" w:rsidRDefault="001715A1" w:rsidP="00171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juridiskā: Liepu aleja 11, Babīte, Babītes pagasts, Mārupes novads, LV 2101</w:t>
            </w:r>
          </w:p>
          <w:p w:rsidR="001715A1" w:rsidRPr="002C729D" w:rsidRDefault="001715A1" w:rsidP="00171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biroja: Skolas iela 3, Rīga, LV-1010  </w:t>
            </w:r>
          </w:p>
          <w:p w:rsidR="001715A1" w:rsidRPr="002C729D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Bankas rekvizīti: </w:t>
            </w:r>
          </w:p>
          <w:p w:rsidR="001715A1" w:rsidRPr="002C729D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Valsts kase, kods: TRELLV22</w:t>
            </w:r>
          </w:p>
          <w:p w:rsidR="001715A1" w:rsidRPr="002C729D" w:rsidRDefault="001715A1" w:rsidP="00DF7E4E">
            <w:pPr>
              <w:spacing w:after="120" w:line="240" w:lineRule="auto"/>
              <w:ind w:right="-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Konts Nr.LV34TREL990510400400B</w:t>
            </w:r>
          </w:p>
          <w:p w:rsidR="001715A1" w:rsidRPr="002C729D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valdes priekšsēdētāja</w:t>
            </w:r>
          </w:p>
          <w:p w:rsidR="001715A1" w:rsidRDefault="001715A1" w:rsidP="00160E8A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G.Berķe</w:t>
            </w:r>
            <w:proofErr w:type="spellEnd"/>
          </w:p>
          <w:p w:rsidR="0073169A" w:rsidRPr="002C729D" w:rsidRDefault="0073169A" w:rsidP="00160E8A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715A1" w:rsidRPr="002C729D" w:rsidRDefault="001715A1" w:rsidP="001715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</w:pPr>
      <w:r w:rsidRPr="002C729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DOKUMENTS IR PARAKSTĪTS AR DROŠU ELEKTRONISKO PARAKSTU UN SATUR LAIKA ZĪMOGU</w:t>
      </w:r>
    </w:p>
    <w:p w:rsidR="00982E9E" w:rsidRDefault="00982E9E" w:rsidP="001715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  <w:sectPr w:rsidR="00982E9E" w:rsidSect="002C729D">
          <w:footerReference w:type="default" r:id="rId8"/>
          <w:pgSz w:w="11906" w:h="16838"/>
          <w:pgMar w:top="1134" w:right="1304" w:bottom="1304" w:left="1418" w:header="709" w:footer="709" w:gutter="0"/>
          <w:cols w:space="708"/>
          <w:docGrid w:linePitch="360"/>
        </w:sectPr>
      </w:pPr>
    </w:p>
    <w:p w:rsidR="001715A1" w:rsidRPr="001715A1" w:rsidRDefault="001715A1" w:rsidP="001715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D0F0E" w:rsidRDefault="00720B73" w:rsidP="00020011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Vienošanās p</w:t>
      </w:r>
      <w:r w:rsidR="00CD0F0E">
        <w:rPr>
          <w:rFonts w:ascii="Times New Roman" w:eastAsia="Times New Roman" w:hAnsi="Times New Roman" w:cs="Times New Roman"/>
          <w:sz w:val="24"/>
          <w:szCs w:val="24"/>
        </w:rPr>
        <w:t xml:space="preserve">ielikums </w:t>
      </w:r>
      <w:r w:rsidR="00982E9E">
        <w:rPr>
          <w:rFonts w:ascii="Times New Roman" w:eastAsia="Times New Roman" w:hAnsi="Times New Roman" w:cs="Times New Roman"/>
          <w:sz w:val="24"/>
          <w:szCs w:val="24"/>
        </w:rPr>
        <w:t>Nr.1</w:t>
      </w:r>
    </w:p>
    <w:p w:rsidR="00043B33" w:rsidRDefault="00043B33" w:rsidP="00043B33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3B33" w:rsidRPr="008A79FC" w:rsidRDefault="00245D36" w:rsidP="00043B33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43B33" w:rsidRPr="008A79FC">
        <w:rPr>
          <w:rFonts w:ascii="Times New Roman" w:eastAsia="Times New Roman" w:hAnsi="Times New Roman" w:cs="Times New Roman"/>
          <w:sz w:val="24"/>
          <w:szCs w:val="24"/>
        </w:rPr>
        <w:t xml:space="preserve">.pielikums </w:t>
      </w:r>
    </w:p>
    <w:p w:rsidR="00043B33" w:rsidRPr="008A79FC" w:rsidRDefault="00043B33" w:rsidP="00043B33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79FC">
        <w:rPr>
          <w:rFonts w:ascii="Times New Roman" w:eastAsia="Times New Roman" w:hAnsi="Times New Roman" w:cs="Times New Roman"/>
          <w:sz w:val="24"/>
          <w:szCs w:val="24"/>
        </w:rPr>
        <w:t xml:space="preserve">2023.gada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8A79FC">
        <w:rPr>
          <w:rFonts w:ascii="Times New Roman" w:eastAsia="Times New Roman" w:hAnsi="Times New Roman" w:cs="Times New Roman"/>
          <w:sz w:val="24"/>
          <w:szCs w:val="24"/>
        </w:rPr>
        <w:t>.februāra valsts pārvaldes deleģēto</w:t>
      </w:r>
    </w:p>
    <w:p w:rsidR="00043B33" w:rsidRDefault="00043B33" w:rsidP="00043B33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79FC">
        <w:rPr>
          <w:rFonts w:ascii="Times New Roman" w:eastAsia="Times New Roman" w:hAnsi="Times New Roman" w:cs="Times New Roman"/>
          <w:sz w:val="24"/>
          <w:szCs w:val="24"/>
        </w:rPr>
        <w:tab/>
      </w:r>
      <w:r w:rsidRPr="008A79FC">
        <w:rPr>
          <w:rFonts w:ascii="Times New Roman" w:eastAsia="Times New Roman" w:hAnsi="Times New Roman" w:cs="Times New Roman"/>
          <w:sz w:val="24"/>
          <w:szCs w:val="24"/>
        </w:rPr>
        <w:tab/>
      </w:r>
      <w:r w:rsidRPr="008A79FC">
        <w:rPr>
          <w:rFonts w:ascii="Times New Roman" w:eastAsia="Times New Roman" w:hAnsi="Times New Roman" w:cs="Times New Roman"/>
          <w:sz w:val="24"/>
          <w:szCs w:val="24"/>
        </w:rPr>
        <w:tab/>
      </w:r>
      <w:r w:rsidRPr="008A79FC">
        <w:rPr>
          <w:rFonts w:ascii="Times New Roman" w:eastAsia="Times New Roman" w:hAnsi="Times New Roman" w:cs="Times New Roman"/>
          <w:sz w:val="24"/>
          <w:szCs w:val="24"/>
        </w:rPr>
        <w:tab/>
        <w:t>uzdevumu veikšanas līgumam Nr. LM2023/24-1-04/1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9D7F59" w:rsidRDefault="009D7F59" w:rsidP="009D7F59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7F59" w:rsidRDefault="009D7F59" w:rsidP="009D7F59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AA2">
        <w:rPr>
          <w:rFonts w:ascii="Times New Roman" w:eastAsia="Times New Roman" w:hAnsi="Times New Roman" w:cs="Times New Roman"/>
          <w:b/>
          <w:sz w:val="24"/>
          <w:szCs w:val="24"/>
        </w:rPr>
        <w:t>Pakalpojuma "</w:t>
      </w:r>
      <w:proofErr w:type="spellStart"/>
      <w:r w:rsidRPr="006A0AA2">
        <w:rPr>
          <w:rFonts w:ascii="Times New Roman" w:eastAsia="Times New Roman" w:hAnsi="Times New Roman" w:cs="Times New Roman"/>
          <w:b/>
          <w:sz w:val="24"/>
          <w:szCs w:val="24"/>
        </w:rPr>
        <w:t>Psihosociālā</w:t>
      </w:r>
      <w:proofErr w:type="spellEnd"/>
      <w:r w:rsidRPr="006A0AA2">
        <w:rPr>
          <w:rFonts w:ascii="Times New Roman" w:eastAsia="Times New Roman" w:hAnsi="Times New Roman" w:cs="Times New Roman"/>
          <w:b/>
          <w:sz w:val="24"/>
          <w:szCs w:val="24"/>
        </w:rPr>
        <w:t xml:space="preserve"> rehabilitācija personām ar onkoloģisku slimību un viņu tuviniekiem” groza izmaksu aprēķins un tā izmaksu aprēķina tehnoloģijas pamatprincipi</w:t>
      </w:r>
    </w:p>
    <w:p w:rsidR="0079646A" w:rsidRDefault="0079646A" w:rsidP="000200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B4E06" w:rsidRDefault="00894C1E" w:rsidP="000200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4C1E">
        <w:rPr>
          <w:noProof/>
        </w:rPr>
        <w:drawing>
          <wp:inline distT="0" distB="0" distL="0" distR="0">
            <wp:extent cx="9467850" cy="3910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0" cy="391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333" w:rsidRDefault="00FB4E06" w:rsidP="000200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4E06">
        <w:rPr>
          <w:noProof/>
        </w:rPr>
        <w:lastRenderedPageBreak/>
        <w:drawing>
          <wp:inline distT="0" distB="0" distL="0" distR="0">
            <wp:extent cx="9467850" cy="513932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0" cy="513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333" w:rsidRDefault="00F83333" w:rsidP="000200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B4E06" w:rsidRDefault="00894C1E" w:rsidP="000200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4C1E">
        <w:rPr>
          <w:noProof/>
        </w:rPr>
        <w:lastRenderedPageBreak/>
        <w:drawing>
          <wp:inline distT="0" distB="0" distL="0" distR="0">
            <wp:extent cx="9467850" cy="5598576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0" cy="559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E06" w:rsidRDefault="00950694" w:rsidP="000200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0694">
        <w:rPr>
          <w:noProof/>
        </w:rPr>
        <w:lastRenderedPageBreak/>
        <w:drawing>
          <wp:inline distT="0" distB="0" distL="0" distR="0">
            <wp:extent cx="9467850" cy="491587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0" cy="491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333" w:rsidRPr="0079646A" w:rsidRDefault="00F83333" w:rsidP="000200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2E9E" w:rsidRDefault="00982E9E" w:rsidP="00116A0C">
      <w:pPr>
        <w:spacing w:after="0" w:line="240" w:lineRule="auto"/>
        <w:ind w:right="43"/>
        <w:rPr>
          <w:sz w:val="24"/>
        </w:rPr>
        <w:sectPr w:rsidR="00982E9E" w:rsidSect="009D7F59">
          <w:pgSz w:w="16838" w:h="11906" w:orient="landscape"/>
          <w:pgMar w:top="907" w:right="1021" w:bottom="964" w:left="907" w:header="709" w:footer="709" w:gutter="0"/>
          <w:cols w:space="708"/>
          <w:docGrid w:linePitch="360"/>
        </w:sectPr>
      </w:pPr>
    </w:p>
    <w:p w:rsidR="00982E9E" w:rsidRPr="00685C97" w:rsidRDefault="00982E9E" w:rsidP="00982E9E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5C97">
        <w:rPr>
          <w:rFonts w:ascii="Times New Roman" w:eastAsia="Times New Roman" w:hAnsi="Times New Roman" w:cs="Times New Roman"/>
          <w:sz w:val="28"/>
          <w:szCs w:val="28"/>
        </w:rPr>
        <w:lastRenderedPageBreak/>
        <w:t>Vienošanās pielikums Nr.</w:t>
      </w:r>
      <w:r w:rsidR="00D337C8" w:rsidRPr="00685C97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982E9E" w:rsidRPr="00685C97" w:rsidRDefault="00982E9E" w:rsidP="00982E9E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82E9E" w:rsidRPr="00685C97" w:rsidRDefault="009D7F59" w:rsidP="00982E9E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5C97">
        <w:rPr>
          <w:rFonts w:ascii="Times New Roman" w:eastAsia="Times New Roman" w:hAnsi="Times New Roman" w:cs="Times New Roman"/>
          <w:sz w:val="28"/>
          <w:szCs w:val="28"/>
        </w:rPr>
        <w:t>9</w:t>
      </w:r>
      <w:r w:rsidR="00982E9E" w:rsidRPr="00685C97">
        <w:rPr>
          <w:rFonts w:ascii="Times New Roman" w:eastAsia="Times New Roman" w:hAnsi="Times New Roman" w:cs="Times New Roman"/>
          <w:sz w:val="28"/>
          <w:szCs w:val="28"/>
        </w:rPr>
        <w:t xml:space="preserve">.pielikums </w:t>
      </w:r>
    </w:p>
    <w:p w:rsidR="00982E9E" w:rsidRPr="00685C97" w:rsidRDefault="00982E9E" w:rsidP="00982E9E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5C97">
        <w:rPr>
          <w:rFonts w:ascii="Times New Roman" w:eastAsia="Times New Roman" w:hAnsi="Times New Roman" w:cs="Times New Roman"/>
          <w:sz w:val="28"/>
          <w:szCs w:val="28"/>
        </w:rPr>
        <w:t>2023.gada 14.februāra valsts pārvaldes deleģēto</w:t>
      </w:r>
    </w:p>
    <w:p w:rsidR="00982E9E" w:rsidRPr="00685C97" w:rsidRDefault="00982E9E" w:rsidP="00982E9E">
      <w:pPr>
        <w:spacing w:after="0" w:line="240" w:lineRule="auto"/>
        <w:ind w:right="4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5C97">
        <w:rPr>
          <w:rFonts w:ascii="Times New Roman" w:eastAsia="Times New Roman" w:hAnsi="Times New Roman" w:cs="Times New Roman"/>
          <w:sz w:val="28"/>
          <w:szCs w:val="28"/>
        </w:rPr>
        <w:tab/>
      </w:r>
      <w:r w:rsidRPr="00685C97">
        <w:rPr>
          <w:rFonts w:ascii="Times New Roman" w:eastAsia="Times New Roman" w:hAnsi="Times New Roman" w:cs="Times New Roman"/>
          <w:sz w:val="28"/>
          <w:szCs w:val="28"/>
        </w:rPr>
        <w:tab/>
      </w:r>
      <w:r w:rsidRPr="00685C97">
        <w:rPr>
          <w:rFonts w:ascii="Times New Roman" w:eastAsia="Times New Roman" w:hAnsi="Times New Roman" w:cs="Times New Roman"/>
          <w:sz w:val="28"/>
          <w:szCs w:val="28"/>
        </w:rPr>
        <w:tab/>
      </w:r>
      <w:r w:rsidRPr="00685C97">
        <w:rPr>
          <w:rFonts w:ascii="Times New Roman" w:eastAsia="Times New Roman" w:hAnsi="Times New Roman" w:cs="Times New Roman"/>
          <w:sz w:val="28"/>
          <w:szCs w:val="28"/>
        </w:rPr>
        <w:tab/>
        <w:t>uzdevumu veikšanas līgumam Nr. LM2023/24-1-04/19</w:t>
      </w:r>
    </w:p>
    <w:p w:rsidR="009D7F59" w:rsidRPr="00685C97" w:rsidRDefault="009D7F59" w:rsidP="006A0AA2">
      <w:pPr>
        <w:spacing w:after="0" w:line="240" w:lineRule="auto"/>
        <w:ind w:right="43"/>
        <w:jc w:val="center"/>
        <w:rPr>
          <w:b/>
          <w:sz w:val="28"/>
          <w:szCs w:val="28"/>
        </w:rPr>
      </w:pPr>
    </w:p>
    <w:tbl>
      <w:tblPr>
        <w:tblW w:w="9080" w:type="dxa"/>
        <w:tblInd w:w="108" w:type="dxa"/>
        <w:tblLook w:val="04A0" w:firstRow="1" w:lastRow="0" w:firstColumn="1" w:lastColumn="0" w:noHBand="0" w:noVBand="1"/>
      </w:tblPr>
      <w:tblGrid>
        <w:gridCol w:w="1002"/>
        <w:gridCol w:w="4960"/>
        <w:gridCol w:w="1480"/>
        <w:gridCol w:w="1480"/>
        <w:gridCol w:w="439"/>
      </w:tblGrid>
      <w:tr w:rsidR="009D7F59" w:rsidRPr="00685C97" w:rsidTr="00B04207">
        <w:trPr>
          <w:trHeight w:val="1470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F59" w:rsidRPr="00685C97" w:rsidRDefault="009D7F59" w:rsidP="00B0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D7F59" w:rsidRPr="00685C97" w:rsidRDefault="009D7F59" w:rsidP="00B0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685C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Pakalpojuma "</w:t>
            </w:r>
            <w:proofErr w:type="spellStart"/>
            <w:r w:rsidRPr="00685C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Psihosociālā</w:t>
            </w:r>
            <w:proofErr w:type="spellEnd"/>
            <w:r w:rsidRPr="00685C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rehabilitācija personām ar onkoloģisku slimību un to tuviniekiem" kvantitatīvie un kvalitatīvie rādītāji 2025. gadam</w:t>
            </w:r>
          </w:p>
        </w:tc>
      </w:tr>
      <w:tr w:rsidR="009D7F59" w:rsidRPr="00685C97" w:rsidTr="00B04207">
        <w:trPr>
          <w:trHeight w:val="645"/>
        </w:trPr>
        <w:tc>
          <w:tcPr>
            <w:tcW w:w="9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F59" w:rsidRPr="00685C97" w:rsidRDefault="009D7F59" w:rsidP="00B0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Kvantitatīvie rādītāji</w:t>
            </w:r>
          </w:p>
        </w:tc>
      </w:tr>
      <w:tr w:rsidR="009D7F59" w:rsidRPr="00685C97" w:rsidTr="00B04207">
        <w:trPr>
          <w:trHeight w:val="360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59" w:rsidRPr="00685C97" w:rsidRDefault="009D7F59" w:rsidP="00B0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5C97">
              <w:rPr>
                <w:rFonts w:ascii="Times New Roman" w:eastAsia="Times New Roman" w:hAnsi="Times New Roman" w:cs="Times New Roman"/>
                <w:sz w:val="28"/>
                <w:szCs w:val="28"/>
              </w:rPr>
              <w:t>Nr.p.k</w:t>
            </w:r>
            <w:proofErr w:type="spellEnd"/>
            <w:r w:rsidRPr="00685C9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59" w:rsidRPr="00685C97" w:rsidRDefault="009D7F59" w:rsidP="00B0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Sniegtie </w:t>
            </w:r>
            <w:proofErr w:type="spellStart"/>
            <w:r w:rsidRPr="00685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psihosociālās</w:t>
            </w:r>
            <w:proofErr w:type="spellEnd"/>
            <w:r w:rsidRPr="00685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rehabilitācijas pakalpojumi un to rādītāji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59" w:rsidRPr="00685C97" w:rsidRDefault="009D7F59" w:rsidP="00B0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Apjoms gadam</w:t>
            </w:r>
          </w:p>
        </w:tc>
      </w:tr>
      <w:tr w:rsidR="009D7F59" w:rsidRPr="00685C97" w:rsidTr="00B04207">
        <w:trPr>
          <w:trHeight w:val="37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F59" w:rsidRPr="00685C97" w:rsidRDefault="009D7F59" w:rsidP="00B0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F59" w:rsidRPr="00685C97" w:rsidRDefault="009D7F59" w:rsidP="00B042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59" w:rsidRPr="00685C97" w:rsidRDefault="009D7F59" w:rsidP="00B0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apjoms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59" w:rsidRPr="00685C97" w:rsidRDefault="009D7F59" w:rsidP="00B0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mērvienība</w:t>
            </w:r>
          </w:p>
        </w:tc>
      </w:tr>
      <w:tr w:rsidR="009D7F59" w:rsidRPr="00685C97" w:rsidTr="00B04207">
        <w:trPr>
          <w:trHeight w:val="58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59" w:rsidRPr="00685C97" w:rsidRDefault="009D7F59" w:rsidP="00B0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59" w:rsidRPr="00685C97" w:rsidRDefault="009D7F59" w:rsidP="00B0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sniegta </w:t>
            </w:r>
            <w:proofErr w:type="spellStart"/>
            <w:r w:rsidRPr="00685C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psihosociāla</w:t>
            </w:r>
            <w:proofErr w:type="spellEnd"/>
            <w:r w:rsidRPr="00685C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rehabilitācija personām ar onkoloģisku slimību un to tuviniekiem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F59" w:rsidRPr="00685C97" w:rsidRDefault="009D7F59" w:rsidP="00B0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A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59" w:rsidRPr="00685C97" w:rsidRDefault="007A6C0F" w:rsidP="00B0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personas</w:t>
            </w:r>
          </w:p>
        </w:tc>
      </w:tr>
      <w:tr w:rsidR="009D7F59" w:rsidRPr="00685C97" w:rsidTr="00B04207">
        <w:trPr>
          <w:trHeight w:val="58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59" w:rsidRPr="00685C97" w:rsidRDefault="009D7F59" w:rsidP="00B0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59" w:rsidRPr="00685C97" w:rsidRDefault="009D7F59" w:rsidP="00B0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pakalpojuma nodrošināšanai organizēti kursi </w:t>
            </w:r>
            <w:r w:rsidRPr="00685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(kurss - 6 dienu programma)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F59" w:rsidRPr="00685C97" w:rsidRDefault="009D7F59" w:rsidP="00B0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A6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59" w:rsidRPr="00685C97" w:rsidRDefault="007A6C0F" w:rsidP="00B0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kursi</w:t>
            </w:r>
          </w:p>
        </w:tc>
      </w:tr>
      <w:tr w:rsidR="009D7F59" w:rsidRPr="00685C97" w:rsidTr="00EB7329">
        <w:trPr>
          <w:trHeight w:val="3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F59" w:rsidRPr="00685C97" w:rsidRDefault="009D7F59" w:rsidP="00B0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F59" w:rsidRPr="00685C97" w:rsidRDefault="009D7F59" w:rsidP="00B0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Klientu dienu skaits gadā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F59" w:rsidRPr="00685C97" w:rsidRDefault="009D7F59" w:rsidP="00B0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1 680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F59" w:rsidRPr="00685C97" w:rsidRDefault="009D7F59" w:rsidP="00B0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dienas</w:t>
            </w:r>
          </w:p>
        </w:tc>
      </w:tr>
      <w:tr w:rsidR="005432A1" w:rsidRPr="00AE59E1" w:rsidTr="00353F66">
        <w:trPr>
          <w:trHeight w:val="300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32A1" w:rsidRPr="00AE59E1" w:rsidRDefault="005432A1" w:rsidP="00EB7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AE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 gada laikā kursos piedalās mazāk dalībnieku kā plānotie 14, līdz ar to ir mazāks klientu dienu skaits nekā plānot</w:t>
            </w:r>
            <w:r w:rsidR="006D6366" w:rsidRPr="00AE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ais</w:t>
            </w:r>
            <w:r w:rsidR="00236A66" w:rsidRPr="00AE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1 680</w:t>
            </w:r>
            <w:r w:rsidRPr="00AE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un rodas finansējuma atlikums, tad finansējuma atlikuma, tajā skaitā arī Līguma 4.6. apakšpunktā minēt</w:t>
            </w:r>
            <w:r w:rsidR="006D6366" w:rsidRPr="00AE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ā</w:t>
            </w:r>
            <w:r w:rsidRPr="00AE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atlikum</w:t>
            </w:r>
            <w:r w:rsidR="006D6366" w:rsidRPr="00AE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AE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uz 2025. gada 1.janvāri, ietvaros ir iespēja noorganizēt papildu kursu.</w:t>
            </w:r>
          </w:p>
          <w:p w:rsidR="005432A1" w:rsidRPr="00AE59E1" w:rsidRDefault="005432A1" w:rsidP="00B0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7F59" w:rsidRPr="00685C97" w:rsidTr="00B04207">
        <w:trPr>
          <w:gridAfter w:val="1"/>
          <w:wAfter w:w="439" w:type="dxa"/>
          <w:trHeight w:val="765"/>
        </w:trPr>
        <w:tc>
          <w:tcPr>
            <w:tcW w:w="8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59" w:rsidRPr="00685C97" w:rsidRDefault="009D7F59" w:rsidP="00B0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Kvalitatīvie rādītāji</w:t>
            </w:r>
          </w:p>
        </w:tc>
      </w:tr>
      <w:tr w:rsidR="009D7F59" w:rsidRPr="00685C97" w:rsidTr="00B04207">
        <w:trPr>
          <w:gridAfter w:val="1"/>
          <w:wAfter w:w="439" w:type="dxa"/>
          <w:trHeight w:val="7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59" w:rsidRPr="00685C97" w:rsidRDefault="009D7F59" w:rsidP="00B0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59" w:rsidRPr="00685C97" w:rsidRDefault="009D7F59" w:rsidP="00B0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sz w:val="28"/>
                <w:szCs w:val="28"/>
              </w:rPr>
              <w:t>Saņemto  iesniegumu skaits par atteikšanos no pakalpojuma.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59" w:rsidRPr="00685C97" w:rsidRDefault="009D7F59" w:rsidP="00B0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sz w:val="28"/>
                <w:szCs w:val="28"/>
              </w:rPr>
              <w:t>Gada laikā  nepārsniedz 2% no kopējā skaita.</w:t>
            </w:r>
          </w:p>
        </w:tc>
      </w:tr>
      <w:tr w:rsidR="009D7F59" w:rsidRPr="00685C97" w:rsidTr="00B04207">
        <w:trPr>
          <w:gridAfter w:val="1"/>
          <w:wAfter w:w="439" w:type="dxa"/>
          <w:trHeight w:val="163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59" w:rsidRPr="00685C97" w:rsidRDefault="009D7F59" w:rsidP="00B0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59" w:rsidRPr="00685C97" w:rsidRDefault="009D7F59" w:rsidP="00B0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Saņemtas pamatotas sūdzības par </w:t>
            </w:r>
            <w:proofErr w:type="spellStart"/>
            <w:r w:rsidRPr="00685C97">
              <w:rPr>
                <w:rFonts w:ascii="Times New Roman" w:eastAsia="Times New Roman" w:hAnsi="Times New Roman" w:cs="Times New Roman"/>
                <w:sz w:val="28"/>
                <w:szCs w:val="28"/>
              </w:rPr>
              <w:t>psihosociālās</w:t>
            </w:r>
            <w:proofErr w:type="spellEnd"/>
            <w:r w:rsidRPr="00685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rehabilitācijas pakalpojumu sniegšanu neatbilstoši Ministru kabineta noteikumiem par </w:t>
            </w:r>
            <w:proofErr w:type="spellStart"/>
            <w:r w:rsidRPr="00685C97">
              <w:rPr>
                <w:rFonts w:ascii="Times New Roman" w:eastAsia="Times New Roman" w:hAnsi="Times New Roman" w:cs="Times New Roman"/>
                <w:sz w:val="28"/>
                <w:szCs w:val="28"/>
              </w:rPr>
              <w:t>psihosociālās</w:t>
            </w:r>
            <w:proofErr w:type="spellEnd"/>
            <w:r w:rsidRPr="00685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rehabilitācijas pakalpojumu personām ar onkoloģisku slimību un to  tuviniekiem.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F59" w:rsidRPr="00685C97" w:rsidRDefault="009D7F59" w:rsidP="00B0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5C97">
              <w:rPr>
                <w:rFonts w:ascii="Times New Roman" w:eastAsia="Times New Roman" w:hAnsi="Times New Roman" w:cs="Times New Roman"/>
                <w:sz w:val="28"/>
                <w:szCs w:val="28"/>
              </w:rPr>
              <w:t>Gada laikā  nepārsniedz  2 % no kopējā iesniegumu un sūdzību skaita.</w:t>
            </w:r>
          </w:p>
        </w:tc>
      </w:tr>
    </w:tbl>
    <w:p w:rsidR="009D7F59" w:rsidRPr="00685C97" w:rsidRDefault="009D7F59" w:rsidP="009D7F59">
      <w:pPr>
        <w:spacing w:after="0" w:line="240" w:lineRule="auto"/>
        <w:ind w:right="43"/>
        <w:rPr>
          <w:sz w:val="28"/>
          <w:szCs w:val="28"/>
        </w:rPr>
      </w:pPr>
    </w:p>
    <w:p w:rsidR="009D7F59" w:rsidRPr="00685C97" w:rsidRDefault="009D7F59" w:rsidP="006A0AA2">
      <w:pPr>
        <w:spacing w:after="0" w:line="240" w:lineRule="auto"/>
        <w:ind w:right="43"/>
        <w:jc w:val="center"/>
        <w:rPr>
          <w:b/>
          <w:sz w:val="28"/>
          <w:szCs w:val="28"/>
        </w:rPr>
      </w:pPr>
    </w:p>
    <w:sectPr w:rsidR="009D7F59" w:rsidRPr="00685C97" w:rsidSect="009D7F59">
      <w:pgSz w:w="11906" w:h="16838"/>
      <w:pgMar w:top="1021" w:right="964" w:bottom="90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458" w:rsidRDefault="00AA1458" w:rsidP="00B526C8">
      <w:pPr>
        <w:spacing w:after="0" w:line="240" w:lineRule="auto"/>
      </w:pPr>
      <w:r>
        <w:separator/>
      </w:r>
    </w:p>
  </w:endnote>
  <w:endnote w:type="continuationSeparator" w:id="0">
    <w:p w:rsidR="00AA1458" w:rsidRDefault="00AA1458" w:rsidP="00B5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E06" w:rsidRDefault="00FB4E06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FB4E06" w:rsidRDefault="00FB4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458" w:rsidRDefault="00AA1458" w:rsidP="00B526C8">
      <w:pPr>
        <w:spacing w:after="0" w:line="240" w:lineRule="auto"/>
      </w:pPr>
      <w:r>
        <w:separator/>
      </w:r>
    </w:p>
  </w:footnote>
  <w:footnote w:type="continuationSeparator" w:id="0">
    <w:p w:rsidR="00AA1458" w:rsidRDefault="00AA1458" w:rsidP="00B52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4C94"/>
    <w:multiLevelType w:val="multilevel"/>
    <w:tmpl w:val="ED2C5E1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</w:rPr>
    </w:lvl>
  </w:abstractNum>
  <w:abstractNum w:abstractNumId="1" w15:restartNumberingAfterBreak="0">
    <w:nsid w:val="1F257F1E"/>
    <w:multiLevelType w:val="hybridMultilevel"/>
    <w:tmpl w:val="D5C2FC30"/>
    <w:lvl w:ilvl="0" w:tplc="4C2A3F7E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23DA2"/>
    <w:multiLevelType w:val="hybridMultilevel"/>
    <w:tmpl w:val="5EB0E6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63378"/>
    <w:multiLevelType w:val="hybridMultilevel"/>
    <w:tmpl w:val="5880BD62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C3500"/>
    <w:multiLevelType w:val="hybridMultilevel"/>
    <w:tmpl w:val="71D0DBCE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F0A07"/>
    <w:multiLevelType w:val="hybridMultilevel"/>
    <w:tmpl w:val="60C61F84"/>
    <w:lvl w:ilvl="0" w:tplc="7DB4D1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A38F8"/>
    <w:multiLevelType w:val="hybridMultilevel"/>
    <w:tmpl w:val="93B4E380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A1"/>
    <w:rsid w:val="00004901"/>
    <w:rsid w:val="00011C2A"/>
    <w:rsid w:val="00020011"/>
    <w:rsid w:val="00043B33"/>
    <w:rsid w:val="0005757E"/>
    <w:rsid w:val="000A1253"/>
    <w:rsid w:val="000C775C"/>
    <w:rsid w:val="00116A0C"/>
    <w:rsid w:val="00124620"/>
    <w:rsid w:val="001354C4"/>
    <w:rsid w:val="00140FD1"/>
    <w:rsid w:val="00160E8A"/>
    <w:rsid w:val="001715A1"/>
    <w:rsid w:val="001C4230"/>
    <w:rsid w:val="00213FFA"/>
    <w:rsid w:val="00236A66"/>
    <w:rsid w:val="00245D36"/>
    <w:rsid w:val="0024695B"/>
    <w:rsid w:val="002B3CE3"/>
    <w:rsid w:val="002C4697"/>
    <w:rsid w:val="002C729D"/>
    <w:rsid w:val="002D56CE"/>
    <w:rsid w:val="00347B90"/>
    <w:rsid w:val="003800BF"/>
    <w:rsid w:val="003A47F9"/>
    <w:rsid w:val="003A7D3E"/>
    <w:rsid w:val="003C4B15"/>
    <w:rsid w:val="00401260"/>
    <w:rsid w:val="004218E0"/>
    <w:rsid w:val="004457FA"/>
    <w:rsid w:val="00471283"/>
    <w:rsid w:val="00481E2C"/>
    <w:rsid w:val="00506BCE"/>
    <w:rsid w:val="00535ED8"/>
    <w:rsid w:val="005432A1"/>
    <w:rsid w:val="005E701C"/>
    <w:rsid w:val="005F2EB2"/>
    <w:rsid w:val="00682140"/>
    <w:rsid w:val="00685C97"/>
    <w:rsid w:val="006A0AA2"/>
    <w:rsid w:val="006D6366"/>
    <w:rsid w:val="006F1736"/>
    <w:rsid w:val="006F72D0"/>
    <w:rsid w:val="0071671E"/>
    <w:rsid w:val="00720B73"/>
    <w:rsid w:val="0073169A"/>
    <w:rsid w:val="0074626E"/>
    <w:rsid w:val="00785E8A"/>
    <w:rsid w:val="0079646A"/>
    <w:rsid w:val="007A6C0F"/>
    <w:rsid w:val="007F2E2F"/>
    <w:rsid w:val="00854B2B"/>
    <w:rsid w:val="0089420C"/>
    <w:rsid w:val="00894C1E"/>
    <w:rsid w:val="008A052D"/>
    <w:rsid w:val="008B0A93"/>
    <w:rsid w:val="00926860"/>
    <w:rsid w:val="00932321"/>
    <w:rsid w:val="009364A3"/>
    <w:rsid w:val="00950694"/>
    <w:rsid w:val="0095309C"/>
    <w:rsid w:val="00982E9E"/>
    <w:rsid w:val="009D712B"/>
    <w:rsid w:val="009D7F59"/>
    <w:rsid w:val="00A176B5"/>
    <w:rsid w:val="00AA1458"/>
    <w:rsid w:val="00AA757F"/>
    <w:rsid w:val="00AB370E"/>
    <w:rsid w:val="00AE59E1"/>
    <w:rsid w:val="00B011AA"/>
    <w:rsid w:val="00B42CD6"/>
    <w:rsid w:val="00B526C8"/>
    <w:rsid w:val="00BA5C38"/>
    <w:rsid w:val="00BB01E8"/>
    <w:rsid w:val="00BC7A15"/>
    <w:rsid w:val="00C863F0"/>
    <w:rsid w:val="00C9388A"/>
    <w:rsid w:val="00C96558"/>
    <w:rsid w:val="00CC1D6F"/>
    <w:rsid w:val="00CD0F0E"/>
    <w:rsid w:val="00CF2A62"/>
    <w:rsid w:val="00D06742"/>
    <w:rsid w:val="00D31396"/>
    <w:rsid w:val="00D337C8"/>
    <w:rsid w:val="00D40220"/>
    <w:rsid w:val="00D62E78"/>
    <w:rsid w:val="00D95F5B"/>
    <w:rsid w:val="00DF7E28"/>
    <w:rsid w:val="00DF7E4E"/>
    <w:rsid w:val="00E16E25"/>
    <w:rsid w:val="00E32C0A"/>
    <w:rsid w:val="00E76D5E"/>
    <w:rsid w:val="00E81CD7"/>
    <w:rsid w:val="00E87C95"/>
    <w:rsid w:val="00EB7329"/>
    <w:rsid w:val="00ED1793"/>
    <w:rsid w:val="00F151F9"/>
    <w:rsid w:val="00F701EF"/>
    <w:rsid w:val="00F81E24"/>
    <w:rsid w:val="00F83333"/>
    <w:rsid w:val="00FB4E06"/>
    <w:rsid w:val="00FD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586CFE"/>
  <w15:docId w15:val="{B3EB38B5-8B58-4DB0-8967-7F9F7836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2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6C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C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965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558"/>
  </w:style>
  <w:style w:type="paragraph" w:styleId="Footer">
    <w:name w:val="footer"/>
    <w:basedOn w:val="Normal"/>
    <w:link w:val="FooterChar"/>
    <w:uiPriority w:val="99"/>
    <w:unhideWhenUsed/>
    <w:rsid w:val="00C965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558"/>
  </w:style>
  <w:style w:type="paragraph" w:styleId="BodyTextIndent">
    <w:name w:val="Body Text Indent"/>
    <w:basedOn w:val="Normal"/>
    <w:link w:val="BodyTextIndentChar"/>
    <w:rsid w:val="0040126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401260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6061C-BFD1-4C66-8051-598243FE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</Pages>
  <Words>4733</Words>
  <Characters>2699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Koluža</dc:creator>
  <cp:lastModifiedBy>Ieva Lismente</cp:lastModifiedBy>
  <cp:revision>36</cp:revision>
  <dcterms:created xsi:type="dcterms:W3CDTF">2024-10-07T10:28:00Z</dcterms:created>
  <dcterms:modified xsi:type="dcterms:W3CDTF">2025-01-31T15:19:00Z</dcterms:modified>
</cp:coreProperties>
</file>