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C1D9" w14:textId="77777777" w:rsidR="008758FB" w:rsidRPr="008758FB" w:rsidRDefault="00BE2CF2" w:rsidP="00102658">
      <w:pPr>
        <w:pStyle w:val="Bezatstarpm"/>
        <w:jc w:val="center"/>
        <w:rPr>
          <w:b/>
          <w:sz w:val="52"/>
          <w:szCs w:val="52"/>
          <w:lang w:val="lv-LV"/>
        </w:rPr>
      </w:pPr>
      <w:r w:rsidRPr="008758FB">
        <w:rPr>
          <w:b/>
          <w:sz w:val="52"/>
          <w:szCs w:val="52"/>
          <w:lang w:val="lv-LV"/>
        </w:rPr>
        <w:t>RĪKOJUMS</w:t>
      </w:r>
    </w:p>
    <w:p w14:paraId="36F35E4D" w14:textId="77777777" w:rsidR="001C6FBA" w:rsidRPr="00AE4838" w:rsidRDefault="00BE2CF2" w:rsidP="00102658">
      <w:pPr>
        <w:pStyle w:val="Bezatstarpm"/>
        <w:jc w:val="center"/>
        <w:rPr>
          <w:lang w:val="lv-LV"/>
        </w:rPr>
      </w:pPr>
      <w:r w:rsidRPr="00AE4838">
        <w:rPr>
          <w:lang w:val="lv-LV"/>
        </w:rPr>
        <w:t>Rīgā</w:t>
      </w:r>
    </w:p>
    <w:p w14:paraId="317579DA" w14:textId="77777777" w:rsidR="001C6FBA" w:rsidRPr="00AE4838" w:rsidRDefault="001C6FBA" w:rsidP="00102658">
      <w:pPr>
        <w:pStyle w:val="Bezatstarpm"/>
        <w:rPr>
          <w:lang w:val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4962"/>
        <w:gridCol w:w="1967"/>
      </w:tblGrid>
      <w:tr w:rsidR="004B2238" w14:paraId="3A1E17CB" w14:textId="77777777" w:rsidTr="008758FB">
        <w:trPr>
          <w:trHeight w:val="399"/>
        </w:trPr>
        <w:tc>
          <w:tcPr>
            <w:tcW w:w="284" w:type="dxa"/>
            <w:shd w:val="clear" w:color="auto" w:fill="auto"/>
          </w:tcPr>
          <w:p w14:paraId="02D07DC9" w14:textId="77777777" w:rsidR="00F340ED" w:rsidRPr="00F340ED" w:rsidRDefault="00F340ED" w:rsidP="00102658">
            <w:pPr>
              <w:pStyle w:val="Bezatstarpm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376367A" w14:textId="77777777" w:rsidR="00F340ED" w:rsidRPr="00F340ED" w:rsidRDefault="00BE2CF2" w:rsidP="00102658">
            <w:pPr>
              <w:pStyle w:val="Bezatstarpm"/>
            </w:pPr>
            <w:r w:rsidRPr="00F340ED">
              <w:t>09.09.2025.</w:t>
            </w:r>
          </w:p>
        </w:tc>
        <w:tc>
          <w:tcPr>
            <w:tcW w:w="4962" w:type="dxa"/>
            <w:shd w:val="clear" w:color="auto" w:fill="auto"/>
          </w:tcPr>
          <w:p w14:paraId="3914B17A" w14:textId="77777777" w:rsidR="00F340ED" w:rsidRPr="00F340ED" w:rsidRDefault="00BE2CF2" w:rsidP="008758FB">
            <w:pPr>
              <w:pStyle w:val="Bezatstarpm"/>
              <w:jc w:val="right"/>
            </w:pPr>
            <w:r w:rsidRPr="00F340ED">
              <w:t>Nr.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</w:tcPr>
          <w:p w14:paraId="69E966EA" w14:textId="77777777" w:rsidR="00F340ED" w:rsidRPr="00F340ED" w:rsidRDefault="00BE2CF2" w:rsidP="008758FB">
            <w:pPr>
              <w:pStyle w:val="Bezatstarpm"/>
              <w:jc w:val="left"/>
            </w:pPr>
            <w:r w:rsidRPr="00F340ED">
              <w:t>139</w:t>
            </w:r>
          </w:p>
        </w:tc>
      </w:tr>
    </w:tbl>
    <w:p w14:paraId="2F839918" w14:textId="77777777" w:rsidR="005C7576" w:rsidRDefault="005C7576" w:rsidP="00102658">
      <w:pPr>
        <w:pStyle w:val="Bezatstarpm"/>
        <w:rPr>
          <w:lang w:val="lv-LV"/>
        </w:rPr>
      </w:pPr>
    </w:p>
    <w:p w14:paraId="6694F918" w14:textId="77777777" w:rsidR="005C7576" w:rsidRDefault="005C7576" w:rsidP="00102658">
      <w:pPr>
        <w:pStyle w:val="Bezatstarpm"/>
        <w:rPr>
          <w:lang w:val="lv-LV"/>
        </w:rPr>
      </w:pPr>
    </w:p>
    <w:tbl>
      <w:tblPr>
        <w:tblW w:w="0" w:type="auto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</w:tblGrid>
      <w:tr w:rsidR="004B2238" w14:paraId="7827A53A" w14:textId="77777777" w:rsidTr="00E64D67">
        <w:tc>
          <w:tcPr>
            <w:tcW w:w="4200" w:type="dxa"/>
          </w:tcPr>
          <w:p w14:paraId="7C250394" w14:textId="77777777" w:rsidR="007F393E" w:rsidRDefault="00BE2CF2" w:rsidP="00102658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>Par rīcības plānu koplīguma  sarunu veicināšanai</w:t>
            </w:r>
          </w:p>
          <w:p w14:paraId="33073A41" w14:textId="77777777" w:rsidR="00E26F29" w:rsidRDefault="00BE2CF2" w:rsidP="00200031">
            <w:pPr>
              <w:pStyle w:val="Bezatstarpm"/>
              <w:rPr>
                <w:lang w:val="lv-LV"/>
              </w:rPr>
            </w:pPr>
            <w:r>
              <w:rPr>
                <w:lang w:val="lv-LV"/>
              </w:rPr>
              <w:t xml:space="preserve">          </w:t>
            </w:r>
          </w:p>
          <w:p w14:paraId="3752A243" w14:textId="77777777" w:rsidR="00E26F29" w:rsidRDefault="00E26F29" w:rsidP="00E26F29">
            <w:pPr>
              <w:pStyle w:val="Bezatstarpm"/>
              <w:jc w:val="right"/>
              <w:rPr>
                <w:lang w:val="lv-LV"/>
              </w:rPr>
            </w:pPr>
          </w:p>
        </w:tc>
      </w:tr>
    </w:tbl>
    <w:p w14:paraId="23FA8773" w14:textId="77777777" w:rsidR="00200031" w:rsidRPr="00200031" w:rsidRDefault="00BE2CF2" w:rsidP="007E23B5">
      <w:pPr>
        <w:pStyle w:val="Bezatstarpm"/>
        <w:jc w:val="right"/>
        <w:rPr>
          <w:lang w:val="lv-LV"/>
        </w:rPr>
      </w:pPr>
      <w:r w:rsidRPr="00200031">
        <w:rPr>
          <w:lang w:val="lv-LV"/>
        </w:rPr>
        <w:t>Izdots saskaņā ar Ministru kabineta</w:t>
      </w:r>
    </w:p>
    <w:p w14:paraId="5D2B1779" w14:textId="77777777" w:rsidR="00200031" w:rsidRPr="00200031" w:rsidRDefault="00BE2CF2" w:rsidP="007E23B5">
      <w:pPr>
        <w:pStyle w:val="Bezatstarpm"/>
        <w:jc w:val="right"/>
        <w:rPr>
          <w:lang w:val="lv-LV"/>
        </w:rPr>
      </w:pPr>
      <w:r w:rsidRPr="00200031">
        <w:rPr>
          <w:lang w:val="lv-LV"/>
        </w:rPr>
        <w:t>2004. gada 27. janvāra noteikumu Nr. 49</w:t>
      </w:r>
    </w:p>
    <w:p w14:paraId="59306ED9" w14:textId="77777777" w:rsidR="00200031" w:rsidRPr="00200031" w:rsidRDefault="00BE2CF2" w:rsidP="007E23B5">
      <w:pPr>
        <w:pStyle w:val="Bezatstarpm"/>
        <w:jc w:val="right"/>
        <w:rPr>
          <w:lang w:val="lv-LV"/>
        </w:rPr>
      </w:pPr>
      <w:r w:rsidRPr="00200031">
        <w:rPr>
          <w:lang w:val="lv-LV"/>
        </w:rPr>
        <w:t>“Labklājības ministrijas nolikums”</w:t>
      </w:r>
    </w:p>
    <w:p w14:paraId="32195845" w14:textId="77777777" w:rsidR="005C7576" w:rsidRDefault="00BE2CF2" w:rsidP="007E23B5">
      <w:pPr>
        <w:pStyle w:val="Bezatstarpm"/>
        <w:jc w:val="right"/>
        <w:rPr>
          <w:lang w:val="lv-LV"/>
        </w:rPr>
      </w:pPr>
      <w:r w:rsidRPr="00200031">
        <w:rPr>
          <w:lang w:val="lv-LV"/>
        </w:rPr>
        <w:t>9.3. apakšpunktu</w:t>
      </w:r>
    </w:p>
    <w:p w14:paraId="115C15F4" w14:textId="77777777" w:rsidR="007E23B5" w:rsidRDefault="007E23B5" w:rsidP="007E23B5">
      <w:pPr>
        <w:pStyle w:val="Bezatstarpm"/>
        <w:jc w:val="right"/>
        <w:rPr>
          <w:lang w:val="lv-LV"/>
        </w:rPr>
      </w:pPr>
    </w:p>
    <w:p w14:paraId="14C2DEAD" w14:textId="77777777" w:rsidR="006522BA" w:rsidRPr="00247083" w:rsidRDefault="00BE2CF2" w:rsidP="006522BA">
      <w:pPr>
        <w:pStyle w:val="Bezatstarpm"/>
        <w:ind w:firstLine="720"/>
        <w:rPr>
          <w:lang w:val="lv-LV"/>
        </w:rPr>
      </w:pPr>
      <w:r w:rsidRPr="00247083">
        <w:rPr>
          <w:iCs/>
          <w:szCs w:val="28"/>
          <w:lang w:val="lv-LV"/>
        </w:rPr>
        <w:t xml:space="preserve">Lai </w:t>
      </w:r>
      <w:r w:rsidRPr="00247083">
        <w:rPr>
          <w:iCs/>
          <w:szCs w:val="28"/>
          <w:lang w:val="lv-LV"/>
        </w:rPr>
        <w:t>nodrošinātu Eiropas Parlamenta un Padomes 2022.</w:t>
      </w:r>
      <w:bookmarkStart w:id="0" w:name="_Hlk180056953"/>
      <w:r>
        <w:fldChar w:fldCharType="begin"/>
      </w:r>
      <w:r>
        <w:instrText xml:space="preserve"> HYPERLINK "https://taurid.saeima.lv/LIVS14/saeimalivs14.nsf/webSasaiste?OpenView&amp;restricttocategory=" \t "_blank" </w:instrText>
      </w:r>
      <w:r>
        <w:fldChar w:fldCharType="separate"/>
      </w:r>
      <w:r w:rsidRPr="00247083">
        <w:rPr>
          <w:rFonts w:eastAsia="Times New Roman"/>
          <w:iCs/>
          <w:lang w:val="lv-LV" w:eastAsia="lv-LV"/>
        </w:rPr>
        <w:t> </w:t>
      </w:r>
      <w:r>
        <w:rPr>
          <w:rFonts w:eastAsia="Times New Roman"/>
          <w:iCs/>
          <w:lang w:val="lv-LV" w:eastAsia="lv-LV"/>
        </w:rPr>
        <w:fldChar w:fldCharType="end"/>
      </w:r>
      <w:bookmarkEnd w:id="0"/>
      <w:r w:rsidRPr="00247083">
        <w:rPr>
          <w:iCs/>
          <w:szCs w:val="28"/>
          <w:lang w:val="lv-LV"/>
        </w:rPr>
        <w:t>gada 19.</w:t>
      </w:r>
      <w:hyperlink r:id="rId8" w:tgtFrame="_blank" w:history="1">
        <w:r w:rsidRPr="00247083">
          <w:rPr>
            <w:rFonts w:eastAsia="Times New Roman"/>
            <w:iCs/>
            <w:lang w:val="lv-LV" w:eastAsia="lv-LV"/>
          </w:rPr>
          <w:t> </w:t>
        </w:r>
      </w:hyperlink>
      <w:r w:rsidRPr="00247083">
        <w:rPr>
          <w:iCs/>
          <w:szCs w:val="28"/>
          <w:lang w:val="lv-LV"/>
        </w:rPr>
        <w:t>oktobra direktīvas (ES) 2022/2041 par adekvātām minimālajām algām Eiropas Savienībā pienācīgu pārņemšanu un ieviešanu attiecībā uz Eiropas Savienības dalībvalstu pienākumu veicināt koplīguma sarunas,</w:t>
      </w:r>
      <w:r w:rsidRPr="00247083">
        <w:rPr>
          <w:i/>
          <w:iCs/>
          <w:szCs w:val="28"/>
          <w:lang w:val="lv-LV"/>
        </w:rPr>
        <w:t xml:space="preserve"> </w:t>
      </w:r>
      <w:r w:rsidRPr="00247083">
        <w:rPr>
          <w:szCs w:val="28"/>
          <w:lang w:val="lv-LV"/>
        </w:rPr>
        <w:t xml:space="preserve">kā arī: </w:t>
      </w:r>
    </w:p>
    <w:p w14:paraId="12E54CB2" w14:textId="77777777" w:rsidR="006522BA" w:rsidRPr="00247083" w:rsidRDefault="00BE2CF2" w:rsidP="006522BA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247083">
        <w:rPr>
          <w:i w:val="0"/>
          <w:sz w:val="28"/>
          <w:szCs w:val="28"/>
          <w:lang w:val="lv-LV"/>
        </w:rPr>
        <w:t>1) </w:t>
      </w:r>
      <w:r w:rsidRPr="00247083">
        <w:rPr>
          <w:i w:val="0"/>
          <w:iCs/>
          <w:sz w:val="28"/>
          <w:szCs w:val="28"/>
          <w:lang w:val="lv-LV"/>
        </w:rPr>
        <w:t>ņemot vērā, ka Latvijā ir izveidots tiesiskais satvars koplīgumu slēgšanai, grozīšanai un izbeigšanai</w:t>
      </w:r>
      <w:r w:rsidRPr="00247083">
        <w:rPr>
          <w:i w:val="0"/>
          <w:sz w:val="28"/>
          <w:szCs w:val="28"/>
          <w:lang w:val="lv-LV"/>
        </w:rPr>
        <w:t>;</w:t>
      </w:r>
    </w:p>
    <w:p w14:paraId="01BC04D6" w14:textId="77777777" w:rsidR="006522BA" w:rsidRPr="00247083" w:rsidRDefault="00BE2CF2" w:rsidP="006522BA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247083">
        <w:rPr>
          <w:i w:val="0"/>
          <w:sz w:val="28"/>
          <w:szCs w:val="28"/>
          <w:lang w:val="lv-LV"/>
        </w:rPr>
        <w:t>2) </w:t>
      </w:r>
      <w:hyperlink r:id="rId9" w:tgtFrame="_blank" w:history="1">
        <w:r w:rsidRPr="00247083">
          <w:rPr>
            <w:rFonts w:eastAsia="Times New Roman"/>
            <w:i w:val="0"/>
            <w:sz w:val="28"/>
            <w:szCs w:val="28"/>
            <w:lang w:val="lv-LV" w:eastAsia="lv-LV"/>
          </w:rPr>
          <w:t> </w:t>
        </w:r>
      </w:hyperlink>
      <w:r w:rsidRPr="00247083">
        <w:rPr>
          <w:i w:val="0"/>
          <w:sz w:val="28"/>
          <w:szCs w:val="28"/>
          <w:lang w:val="lv-LV"/>
        </w:rPr>
        <w:t>atzīstot, ka darba koplīgums ir</w:t>
      </w:r>
      <w:r w:rsidRPr="00247083">
        <w:rPr>
          <w:i w:val="0"/>
          <w:sz w:val="28"/>
          <w:szCs w:val="28"/>
          <w:lang w:val="lv-LV"/>
        </w:rPr>
        <w:t xml:space="preserve"> efektīvs instruments darba tiesisko attiecību noregulēšanai gan nozaru, gan uzņēmumu līmenī; </w:t>
      </w:r>
    </w:p>
    <w:p w14:paraId="251233C0" w14:textId="77777777" w:rsidR="006522BA" w:rsidRPr="00247083" w:rsidRDefault="00BE2CF2" w:rsidP="006522BA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247083">
        <w:rPr>
          <w:i w:val="0"/>
          <w:sz w:val="28"/>
          <w:szCs w:val="28"/>
          <w:lang w:val="lv-LV"/>
        </w:rPr>
        <w:t>3) </w:t>
      </w:r>
      <w:hyperlink r:id="rId10" w:tgtFrame="_blank" w:history="1">
        <w:r w:rsidRPr="00247083">
          <w:rPr>
            <w:rFonts w:eastAsia="Times New Roman"/>
            <w:i w:val="0"/>
            <w:sz w:val="28"/>
            <w:szCs w:val="28"/>
            <w:lang w:val="lv-LV" w:eastAsia="lv-LV"/>
          </w:rPr>
          <w:t> </w:t>
        </w:r>
      </w:hyperlink>
      <w:r w:rsidRPr="00247083">
        <w:rPr>
          <w:i w:val="0"/>
          <w:sz w:val="28"/>
          <w:szCs w:val="28"/>
          <w:lang w:val="lv-LV"/>
        </w:rPr>
        <w:t>ņemot vērā, ka darba devējiem un darbin</w:t>
      </w:r>
      <w:r w:rsidRPr="00247083">
        <w:rPr>
          <w:i w:val="0"/>
          <w:sz w:val="28"/>
          <w:szCs w:val="28"/>
          <w:lang w:val="lv-LV"/>
        </w:rPr>
        <w:t>ieku arodbiedrībām vai darbinieku pilnvarotajiem pārstāvjiem, savstarpēji vienojoties, ir iespēja divpusēji noteikt konkrētai nozarei vai uzņēmuma specifikai pielāgotu risinājumu, kas var veicināt godīgu, taisnīgu, iekļaujošu un ilgtspējīgu attīstību;</w:t>
      </w:r>
    </w:p>
    <w:p w14:paraId="46581475" w14:textId="77777777" w:rsidR="006522BA" w:rsidRPr="00247083" w:rsidRDefault="00BE2CF2" w:rsidP="006522BA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247083">
        <w:rPr>
          <w:i w:val="0"/>
          <w:sz w:val="28"/>
          <w:szCs w:val="28"/>
          <w:lang w:val="lv-LV"/>
        </w:rPr>
        <w:t>4) </w:t>
      </w:r>
      <w:hyperlink r:id="rId11" w:tgtFrame="_blank" w:history="1">
        <w:r w:rsidRPr="00247083">
          <w:rPr>
            <w:rFonts w:eastAsia="Times New Roman"/>
            <w:i w:val="0"/>
            <w:sz w:val="28"/>
            <w:szCs w:val="28"/>
            <w:lang w:val="lv-LV" w:eastAsia="lv-LV"/>
          </w:rPr>
          <w:t> </w:t>
        </w:r>
      </w:hyperlink>
      <w:r w:rsidRPr="00247083">
        <w:rPr>
          <w:i w:val="0"/>
          <w:sz w:val="28"/>
          <w:szCs w:val="28"/>
          <w:lang w:val="lv-LV"/>
        </w:rPr>
        <w:t xml:space="preserve">atzīstot pušu autonomiju koplīgumu sarunu un noslēgšanas procesā; </w:t>
      </w:r>
    </w:p>
    <w:p w14:paraId="3C15B6D4" w14:textId="77777777" w:rsidR="006522BA" w:rsidRPr="00247083" w:rsidRDefault="00BE2CF2" w:rsidP="006522BA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247083">
        <w:rPr>
          <w:i w:val="0"/>
          <w:sz w:val="28"/>
          <w:szCs w:val="28"/>
          <w:lang w:val="lv-LV"/>
        </w:rPr>
        <w:t>5) atzīstot, ka publiski tiesiskais regulējums var ietekmēt un veicināt</w:t>
      </w:r>
      <w:r w:rsidRPr="00247083">
        <w:rPr>
          <w:i w:val="0"/>
          <w:sz w:val="28"/>
          <w:szCs w:val="28"/>
          <w:lang w:val="lv-LV"/>
        </w:rPr>
        <w:t xml:space="preserve"> pušu vēlmi slēgt koplīgumus, tādēļ ir iespēja arī turpmāk pilnveidot noteikumus dažādās jomās, kuriem varētu būt pozitīva ietekme uz koplīgumu aptvēruma palielināšanu;</w:t>
      </w:r>
    </w:p>
    <w:p w14:paraId="2813B331" w14:textId="77777777" w:rsidR="006522BA" w:rsidRPr="00247083" w:rsidRDefault="00BE2CF2" w:rsidP="006522BA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247083">
        <w:rPr>
          <w:i w:val="0"/>
          <w:sz w:val="28"/>
          <w:szCs w:val="28"/>
          <w:lang w:val="lv-LV"/>
        </w:rPr>
        <w:t>6) ņemot vērā, ka publiskais atbalsts, tai skaitā jau patlaban Latvijas Darba devēju ko</w:t>
      </w:r>
      <w:r w:rsidRPr="00247083">
        <w:rPr>
          <w:i w:val="0"/>
          <w:sz w:val="28"/>
          <w:szCs w:val="28"/>
          <w:lang w:val="lv-LV"/>
        </w:rPr>
        <w:t xml:space="preserve">nfederācijai un Latvijas Brīvo arodbiedrību savienībai piešķirtais, pozitīvi ietekmē organizāciju veiktspēju un turpmāku rīcību koplīgumu sarunu veicināšanā; </w:t>
      </w:r>
    </w:p>
    <w:p w14:paraId="16CE1FEB" w14:textId="77777777" w:rsidR="006522BA" w:rsidRPr="00247083" w:rsidRDefault="00BE2CF2" w:rsidP="006522BA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247083">
        <w:rPr>
          <w:i w:val="0"/>
          <w:sz w:val="28"/>
          <w:szCs w:val="28"/>
          <w:lang w:val="lv-LV"/>
        </w:rPr>
        <w:t>7) </w:t>
      </w:r>
      <w:hyperlink r:id="rId12" w:tgtFrame="_blank" w:history="1">
        <w:r w:rsidRPr="00247083">
          <w:rPr>
            <w:rFonts w:eastAsia="Times New Roman"/>
            <w:i w:val="0"/>
            <w:sz w:val="28"/>
            <w:szCs w:val="28"/>
            <w:lang w:val="lv-LV" w:eastAsia="lv-LV"/>
          </w:rPr>
          <w:t> </w:t>
        </w:r>
      </w:hyperlink>
      <w:r w:rsidRPr="00247083">
        <w:rPr>
          <w:i w:val="0"/>
          <w:sz w:val="28"/>
          <w:szCs w:val="28"/>
          <w:lang w:val="lv-LV"/>
        </w:rPr>
        <w:t xml:space="preserve">atzīstot, ka situācijas novērtēšanai būtiska ir objektīvu un pilnīgu datu </w:t>
      </w:r>
      <w:r w:rsidRPr="00247083">
        <w:rPr>
          <w:i w:val="0"/>
          <w:sz w:val="28"/>
          <w:szCs w:val="28"/>
          <w:lang w:val="lv-LV"/>
        </w:rPr>
        <w:lastRenderedPageBreak/>
        <w:t xml:space="preserve">pieejamība par darba devēju un darbinieku arodbiedrību īstenotajām koplīgumu sarunām un noslēgtajiem koplīgumiem; </w:t>
      </w:r>
    </w:p>
    <w:p w14:paraId="7CAB27ED" w14:textId="77777777" w:rsidR="006522BA" w:rsidRPr="00247083" w:rsidRDefault="00BE2CF2" w:rsidP="006522BA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247083">
        <w:rPr>
          <w:i w:val="0"/>
          <w:sz w:val="28"/>
          <w:szCs w:val="28"/>
          <w:lang w:val="lv-LV"/>
        </w:rPr>
        <w:t>8) atzīstot, ka patlaban Latvijā koplīgumu</w:t>
      </w:r>
      <w:r w:rsidRPr="00247083">
        <w:rPr>
          <w:i w:val="0"/>
          <w:sz w:val="28"/>
          <w:szCs w:val="28"/>
          <w:lang w:val="lv-LV"/>
        </w:rPr>
        <w:t xml:space="preserve"> slēgšanas aptvēruma rādītājs ir zemāks par 80% slieksni, kas </w:t>
      </w:r>
      <w:r w:rsidRPr="00247083">
        <w:rPr>
          <w:rFonts w:eastAsia="Times New Roman"/>
          <w:i w:val="0"/>
          <w:sz w:val="28"/>
          <w:szCs w:val="28"/>
          <w:lang w:val="lv-LV" w:eastAsia="lv-LV"/>
        </w:rPr>
        <w:t xml:space="preserve">kā priekšnosacījums koplīgumu veicināšanas plāna izstrādei </w:t>
      </w:r>
      <w:r w:rsidRPr="00247083">
        <w:rPr>
          <w:i w:val="0"/>
          <w:sz w:val="28"/>
          <w:szCs w:val="28"/>
          <w:lang w:val="lv-LV"/>
        </w:rPr>
        <w:t>minēts Eiropas Parlamenta un Padomes 2022.</w:t>
      </w:r>
      <w:hyperlink r:id="rId13" w:tgtFrame="_blank" w:history="1">
        <w:r w:rsidRPr="00247083">
          <w:rPr>
            <w:rFonts w:eastAsia="Times New Roman"/>
            <w:i w:val="0"/>
            <w:sz w:val="28"/>
            <w:szCs w:val="28"/>
            <w:lang w:val="lv-LV" w:eastAsia="lv-LV"/>
          </w:rPr>
          <w:t> </w:t>
        </w:r>
      </w:hyperlink>
      <w:r w:rsidRPr="00247083">
        <w:rPr>
          <w:i w:val="0"/>
          <w:sz w:val="28"/>
          <w:szCs w:val="28"/>
          <w:lang w:val="lv-LV"/>
        </w:rPr>
        <w:t>gada 19.</w:t>
      </w:r>
      <w:hyperlink r:id="rId14" w:tgtFrame="_blank" w:history="1">
        <w:r w:rsidRPr="00247083">
          <w:rPr>
            <w:rFonts w:eastAsia="Times New Roman"/>
            <w:i w:val="0"/>
            <w:sz w:val="28"/>
            <w:szCs w:val="28"/>
            <w:lang w:val="lv-LV" w:eastAsia="lv-LV"/>
          </w:rPr>
          <w:t> </w:t>
        </w:r>
      </w:hyperlink>
      <w:r w:rsidRPr="00247083">
        <w:rPr>
          <w:i w:val="0"/>
          <w:sz w:val="28"/>
          <w:szCs w:val="28"/>
          <w:lang w:val="lv-LV"/>
        </w:rPr>
        <w:t xml:space="preserve">oktobra direktīvā (ES) 2022/2041 par </w:t>
      </w:r>
      <w:r w:rsidRPr="00247083">
        <w:rPr>
          <w:rFonts w:eastAsia="Times New Roman"/>
          <w:i w:val="0"/>
          <w:sz w:val="28"/>
          <w:szCs w:val="28"/>
          <w:lang w:val="lv-LV" w:eastAsia="lv-LV"/>
        </w:rPr>
        <w:t xml:space="preserve">adekvātām minimālajām algām Eiropas Savienībā; </w:t>
      </w:r>
    </w:p>
    <w:p w14:paraId="4D2799B8" w14:textId="77777777" w:rsidR="006522BA" w:rsidRPr="00247083" w:rsidRDefault="00BE2CF2" w:rsidP="006522BA">
      <w:pPr>
        <w:spacing w:after="0" w:line="240" w:lineRule="auto"/>
        <w:ind w:firstLine="720"/>
        <w:jc w:val="both"/>
        <w:rPr>
          <w:i w:val="0"/>
          <w:sz w:val="28"/>
          <w:szCs w:val="28"/>
          <w:lang w:val="lv-LV"/>
        </w:rPr>
      </w:pPr>
      <w:r w:rsidRPr="00247083">
        <w:rPr>
          <w:rFonts w:eastAsia="Times New Roman"/>
          <w:i w:val="0"/>
          <w:sz w:val="28"/>
          <w:szCs w:val="28"/>
          <w:lang w:val="lv-LV" w:eastAsia="lv-LV"/>
        </w:rPr>
        <w:t>9) apzinoties to, ka līdz 2025.</w:t>
      </w:r>
      <w:hyperlink r:id="rId15" w:tgtFrame="_blank" w:history="1">
        <w:r w:rsidRPr="00247083">
          <w:rPr>
            <w:rFonts w:eastAsia="Times New Roman"/>
            <w:i w:val="0"/>
            <w:sz w:val="28"/>
            <w:szCs w:val="28"/>
            <w:lang w:val="lv-LV" w:eastAsia="lv-LV"/>
          </w:rPr>
          <w:t> </w:t>
        </w:r>
      </w:hyperlink>
      <w:r w:rsidRPr="00247083">
        <w:rPr>
          <w:rFonts w:eastAsia="Times New Roman"/>
          <w:i w:val="0"/>
          <w:sz w:val="28"/>
          <w:szCs w:val="28"/>
          <w:lang w:val="lv-LV" w:eastAsia="lv-LV"/>
        </w:rPr>
        <w:t>gada 1.</w:t>
      </w:r>
      <w:hyperlink r:id="rId16" w:tgtFrame="_blank" w:history="1">
        <w:r w:rsidRPr="00247083">
          <w:rPr>
            <w:rFonts w:eastAsia="Times New Roman"/>
            <w:i w:val="0"/>
            <w:sz w:val="28"/>
            <w:szCs w:val="28"/>
            <w:lang w:val="lv-LV" w:eastAsia="lv-LV"/>
          </w:rPr>
          <w:t> </w:t>
        </w:r>
      </w:hyperlink>
      <w:r w:rsidRPr="00247083">
        <w:rPr>
          <w:rFonts w:eastAsia="Times New Roman"/>
          <w:i w:val="0"/>
          <w:sz w:val="28"/>
          <w:szCs w:val="28"/>
          <w:lang w:val="lv-LV" w:eastAsia="lv-LV"/>
        </w:rPr>
        <w:t>oktobrim Latvijai kā Eiropas Savienības dalībvalstij ir pienākums paziņot Eiropas Komisijai informāciju par koplīgumu sarunu aptvērumu un attīstību;</w:t>
      </w:r>
    </w:p>
    <w:p w14:paraId="034113F8" w14:textId="77777777" w:rsidR="006522BA" w:rsidRDefault="00BE2CF2" w:rsidP="006522BA">
      <w:pPr>
        <w:spacing w:after="0" w:line="240" w:lineRule="auto"/>
        <w:ind w:firstLine="720"/>
        <w:jc w:val="both"/>
        <w:rPr>
          <w:rFonts w:eastAsia="Times New Roman"/>
          <w:i w:val="0"/>
          <w:sz w:val="28"/>
          <w:szCs w:val="28"/>
          <w:lang w:val="lv-LV" w:eastAsia="lv-LV"/>
        </w:rPr>
      </w:pPr>
      <w:r w:rsidRPr="00247083">
        <w:rPr>
          <w:rFonts w:eastAsia="Times New Roman"/>
          <w:i w:val="0"/>
          <w:sz w:val="28"/>
          <w:szCs w:val="28"/>
          <w:lang w:val="lv-LV" w:eastAsia="lv-LV"/>
        </w:rPr>
        <w:t xml:space="preserve">10) vienlaikus, ņemot vērā, ka ar nacionālā līmeņa sociālajiem partneriem </w:t>
      </w:r>
      <w:r w:rsidRPr="00247083">
        <w:rPr>
          <w:rFonts w:eastAsia="Times New Roman"/>
          <w:i w:val="0"/>
          <w:sz w:val="28"/>
          <w:szCs w:val="28"/>
          <w:lang w:val="lv-LV" w:eastAsia="lv-LV"/>
        </w:rPr>
        <w:t>(Latvijas Brīvo arodbiedrību savienību un Latvijas Darba devēju konfederāciju) ir notikušas konsultācijas par koplīguma sarunu veicināšanu, bet nav panākta vienošanās par rīcības plāna koplīguma sarunu veicināšanai apstiprināšanu Nacionālajā trīspusējās sa</w:t>
      </w:r>
      <w:r w:rsidRPr="00247083">
        <w:rPr>
          <w:rFonts w:eastAsia="Times New Roman"/>
          <w:i w:val="0"/>
          <w:sz w:val="28"/>
          <w:szCs w:val="28"/>
          <w:lang w:val="lv-LV" w:eastAsia="lv-LV"/>
        </w:rPr>
        <w:t>darbības padomē:</w:t>
      </w:r>
    </w:p>
    <w:p w14:paraId="72A7C8B0" w14:textId="77777777" w:rsidR="006522BA" w:rsidRPr="00247083" w:rsidRDefault="006522BA" w:rsidP="006522BA">
      <w:pPr>
        <w:spacing w:after="0" w:line="240" w:lineRule="auto"/>
        <w:ind w:firstLine="720"/>
        <w:jc w:val="both"/>
        <w:rPr>
          <w:rFonts w:eastAsia="Times New Roman"/>
          <w:i w:val="0"/>
          <w:sz w:val="28"/>
          <w:szCs w:val="28"/>
          <w:lang w:val="lv-LV" w:eastAsia="lv-LV"/>
        </w:rPr>
      </w:pPr>
    </w:p>
    <w:p w14:paraId="29CAFF9A" w14:textId="77777777" w:rsidR="006522BA" w:rsidRDefault="00BE2CF2" w:rsidP="006522BA">
      <w:pPr>
        <w:spacing w:after="0" w:line="240" w:lineRule="auto"/>
        <w:ind w:firstLine="720"/>
        <w:jc w:val="both"/>
        <w:rPr>
          <w:i w:val="0"/>
          <w:iCs/>
          <w:sz w:val="28"/>
          <w:szCs w:val="28"/>
          <w:lang w:val="lv-LV"/>
        </w:rPr>
      </w:pPr>
      <w:r w:rsidRPr="00247083">
        <w:rPr>
          <w:i w:val="0"/>
          <w:iCs/>
          <w:sz w:val="28"/>
          <w:szCs w:val="28"/>
          <w:lang w:val="lv-LV"/>
        </w:rPr>
        <w:t>1. Apstiprināt rīcības plānu koplīguma sarunu veicināšanai 2025.–</w:t>
      </w:r>
      <w:r>
        <w:rPr>
          <w:i w:val="0"/>
          <w:iCs/>
          <w:sz w:val="28"/>
          <w:szCs w:val="28"/>
          <w:lang w:val="lv-LV"/>
        </w:rPr>
        <w:t>2</w:t>
      </w:r>
      <w:r w:rsidRPr="00247083">
        <w:rPr>
          <w:i w:val="0"/>
          <w:iCs/>
          <w:sz w:val="28"/>
          <w:szCs w:val="28"/>
          <w:lang w:val="lv-LV"/>
        </w:rPr>
        <w:t>027.</w:t>
      </w:r>
      <w:r>
        <w:rPr>
          <w:i w:val="0"/>
          <w:iCs/>
          <w:sz w:val="28"/>
          <w:szCs w:val="28"/>
          <w:lang w:val="lv-LV"/>
        </w:rPr>
        <w:t> </w:t>
      </w:r>
      <w:r w:rsidRPr="00247083">
        <w:rPr>
          <w:i w:val="0"/>
          <w:iCs/>
          <w:sz w:val="28"/>
          <w:szCs w:val="28"/>
          <w:lang w:val="lv-LV"/>
        </w:rPr>
        <w:t>gadam (pielikums);</w:t>
      </w:r>
    </w:p>
    <w:p w14:paraId="6BBC847E" w14:textId="77777777" w:rsidR="006522BA" w:rsidRPr="00247083" w:rsidRDefault="006522BA" w:rsidP="006522BA">
      <w:pPr>
        <w:spacing w:after="0" w:line="240" w:lineRule="auto"/>
        <w:ind w:firstLine="720"/>
        <w:jc w:val="both"/>
        <w:rPr>
          <w:i w:val="0"/>
          <w:iCs/>
          <w:sz w:val="28"/>
          <w:szCs w:val="28"/>
          <w:lang w:val="lv-LV"/>
        </w:rPr>
      </w:pPr>
    </w:p>
    <w:p w14:paraId="3A33D5E7" w14:textId="77777777" w:rsidR="006522BA" w:rsidRPr="00247083" w:rsidRDefault="00BE2CF2" w:rsidP="006522BA">
      <w:pPr>
        <w:spacing w:after="0" w:line="240" w:lineRule="auto"/>
        <w:ind w:firstLine="720"/>
        <w:jc w:val="both"/>
        <w:rPr>
          <w:i w:val="0"/>
          <w:iCs/>
          <w:sz w:val="28"/>
          <w:szCs w:val="28"/>
          <w:lang w:val="lv-LV"/>
        </w:rPr>
      </w:pPr>
      <w:r w:rsidRPr="00247083">
        <w:rPr>
          <w:i w:val="0"/>
          <w:iCs/>
          <w:sz w:val="28"/>
          <w:szCs w:val="28"/>
          <w:lang w:val="lv-LV"/>
        </w:rPr>
        <w:t>2. Uzdot Darba attiecību un darba aizsardzības politikas departamenta direktoram nodrošināt:</w:t>
      </w:r>
    </w:p>
    <w:p w14:paraId="71A1C9C5" w14:textId="77777777" w:rsidR="006522BA" w:rsidRPr="00247083" w:rsidRDefault="00BE2CF2" w:rsidP="006522BA">
      <w:pPr>
        <w:spacing w:after="0" w:line="240" w:lineRule="auto"/>
        <w:ind w:firstLine="720"/>
        <w:jc w:val="both"/>
        <w:rPr>
          <w:i w:val="0"/>
          <w:iCs/>
          <w:sz w:val="28"/>
          <w:szCs w:val="28"/>
          <w:lang w:val="lv-LV"/>
        </w:rPr>
      </w:pPr>
      <w:r w:rsidRPr="00247083">
        <w:rPr>
          <w:i w:val="0"/>
          <w:iCs/>
          <w:sz w:val="28"/>
          <w:szCs w:val="28"/>
          <w:lang w:val="lv-LV"/>
        </w:rPr>
        <w:t>2.1. rīcības plānā koplīguma sarunu veicināšanai ietve</w:t>
      </w:r>
      <w:r w:rsidRPr="00247083">
        <w:rPr>
          <w:i w:val="0"/>
          <w:iCs/>
          <w:sz w:val="28"/>
          <w:szCs w:val="28"/>
          <w:lang w:val="lv-LV"/>
        </w:rPr>
        <w:t>rto pasākumu īstenošanu, nepieciešamības gadījumā iesaistot arī citas Labklājības ministrijas struktūrvienības, kā arī aicinot Latvijas Brīvo arodbiedrību savienību un Latvijas Darba devēju konfederāciju un citas ministrijas iesaistīties rīcības plānā kopl</w:t>
      </w:r>
      <w:r w:rsidRPr="00247083">
        <w:rPr>
          <w:i w:val="0"/>
          <w:iCs/>
          <w:sz w:val="28"/>
          <w:szCs w:val="28"/>
          <w:lang w:val="lv-LV"/>
        </w:rPr>
        <w:t xml:space="preserve">īguma sarunu veicināšanai ietverto pasākumu īstenošanā. </w:t>
      </w:r>
    </w:p>
    <w:p w14:paraId="66C67603" w14:textId="77777777" w:rsidR="006522BA" w:rsidRDefault="00BE2CF2" w:rsidP="006522BA">
      <w:pPr>
        <w:spacing w:after="0" w:line="240" w:lineRule="auto"/>
        <w:ind w:firstLine="720"/>
        <w:jc w:val="both"/>
        <w:rPr>
          <w:i w:val="0"/>
          <w:iCs/>
          <w:sz w:val="28"/>
          <w:szCs w:val="28"/>
          <w:lang w:val="lv-LV"/>
        </w:rPr>
      </w:pPr>
      <w:r w:rsidRPr="00247083">
        <w:rPr>
          <w:i w:val="0"/>
          <w:iCs/>
          <w:sz w:val="28"/>
          <w:szCs w:val="28"/>
          <w:lang w:val="lv-LV"/>
        </w:rPr>
        <w:t>2.2. ik gadu līdz 1.</w:t>
      </w:r>
      <w:r>
        <w:rPr>
          <w:i w:val="0"/>
          <w:iCs/>
          <w:sz w:val="28"/>
          <w:szCs w:val="28"/>
          <w:lang w:val="lv-LV"/>
        </w:rPr>
        <w:t> </w:t>
      </w:r>
      <w:r w:rsidRPr="00247083">
        <w:rPr>
          <w:i w:val="0"/>
          <w:iCs/>
          <w:sz w:val="28"/>
          <w:szCs w:val="28"/>
          <w:lang w:val="lv-LV"/>
        </w:rPr>
        <w:t>maijam  informācijas par veiktajām darbībām rīcības plānā koplīguma sarunu veicināšanai ietverto pasākumu īstenošanai sagatavošanu un iesniegšanu labklājības ministram</w:t>
      </w:r>
      <w:r>
        <w:rPr>
          <w:i w:val="0"/>
          <w:iCs/>
          <w:sz w:val="28"/>
          <w:szCs w:val="28"/>
          <w:lang w:val="lv-LV"/>
        </w:rPr>
        <w:t>;</w:t>
      </w:r>
    </w:p>
    <w:p w14:paraId="66AA3D36" w14:textId="77777777" w:rsidR="006522BA" w:rsidRPr="00247083" w:rsidRDefault="006522BA" w:rsidP="006522BA">
      <w:pPr>
        <w:spacing w:after="0" w:line="240" w:lineRule="auto"/>
        <w:ind w:firstLine="720"/>
        <w:jc w:val="both"/>
        <w:rPr>
          <w:i w:val="0"/>
          <w:iCs/>
          <w:sz w:val="28"/>
          <w:szCs w:val="28"/>
          <w:lang w:val="lv-LV"/>
        </w:rPr>
      </w:pPr>
    </w:p>
    <w:p w14:paraId="2BFB1E94" w14:textId="77777777" w:rsidR="006522BA" w:rsidRPr="00247083" w:rsidRDefault="00BE2CF2" w:rsidP="006522BA">
      <w:pPr>
        <w:spacing w:after="0" w:line="240" w:lineRule="auto"/>
        <w:ind w:firstLine="720"/>
        <w:jc w:val="both"/>
        <w:rPr>
          <w:i w:val="0"/>
          <w:iCs/>
          <w:sz w:val="28"/>
          <w:szCs w:val="28"/>
          <w:lang w:val="lv-LV"/>
        </w:rPr>
      </w:pPr>
      <w:r w:rsidRPr="00247083">
        <w:rPr>
          <w:i w:val="0"/>
          <w:iCs/>
          <w:sz w:val="28"/>
          <w:szCs w:val="28"/>
          <w:lang w:val="lv-LV"/>
        </w:rPr>
        <w:t>3. Kontr</w:t>
      </w:r>
      <w:r w:rsidRPr="00247083">
        <w:rPr>
          <w:i w:val="0"/>
          <w:iCs/>
          <w:sz w:val="28"/>
          <w:szCs w:val="28"/>
          <w:lang w:val="lv-LV"/>
        </w:rPr>
        <w:t>oli par šī rīkojuma izpildi uzdodu Labklājības ministrijas valsts sekretāra vietniecei, kuras kompetences jomā ietilpst Sociālo pakalpojumu, invaliditātes, sociālā darba, sociālās palīdzības, darba attiecību un darba aizsardzības politikas jautājumi.</w:t>
      </w:r>
    </w:p>
    <w:p w14:paraId="5BD0E510" w14:textId="77777777" w:rsidR="006522BA" w:rsidRDefault="006522BA" w:rsidP="006522BA">
      <w:pPr>
        <w:spacing w:line="240" w:lineRule="auto"/>
        <w:jc w:val="both"/>
        <w:rPr>
          <w:rFonts w:eastAsia="Times New Roman"/>
          <w:sz w:val="28"/>
          <w:szCs w:val="28"/>
          <w:lang w:val="lv-LV" w:eastAsia="lv-LV"/>
        </w:rPr>
      </w:pPr>
    </w:p>
    <w:p w14:paraId="77F073B8" w14:textId="77777777" w:rsidR="007E23B5" w:rsidRDefault="007E23B5" w:rsidP="007E23B5">
      <w:pPr>
        <w:pStyle w:val="Bezatstarpm"/>
        <w:rPr>
          <w:lang w:val="lv-LV"/>
        </w:rPr>
      </w:pPr>
    </w:p>
    <w:p w14:paraId="5E946309" w14:textId="77777777" w:rsidR="007E23B5" w:rsidRDefault="007E23B5" w:rsidP="007E23B5">
      <w:pPr>
        <w:pStyle w:val="Bezatstarpm"/>
        <w:jc w:val="right"/>
        <w:rPr>
          <w:lang w:val="lv-LV"/>
        </w:rPr>
      </w:pPr>
    </w:p>
    <w:p w14:paraId="7DA84095" w14:textId="77777777" w:rsidR="007E23B5" w:rsidRDefault="007E23B5" w:rsidP="007E23B5">
      <w:pPr>
        <w:pStyle w:val="Bezatstarpm"/>
        <w:jc w:val="right"/>
        <w:rPr>
          <w:lang w:val="lv-LV"/>
        </w:rPr>
      </w:pPr>
    </w:p>
    <w:p w14:paraId="3AC29F0C" w14:textId="77777777" w:rsidR="005C7576" w:rsidRDefault="005C7576" w:rsidP="00102658">
      <w:pPr>
        <w:pStyle w:val="Bezatstarpm"/>
        <w:rPr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6025"/>
      </w:tblGrid>
      <w:tr w:rsidR="004B2238" w14:paraId="72192A09" w14:textId="77777777" w:rsidTr="00075F52">
        <w:tc>
          <w:tcPr>
            <w:tcW w:w="3297" w:type="dxa"/>
            <w:hideMark/>
          </w:tcPr>
          <w:p w14:paraId="575C6035" w14:textId="77777777" w:rsidR="00663F42" w:rsidRPr="00663F42" w:rsidRDefault="00BE2CF2" w:rsidP="00663F42">
            <w:pPr>
              <w:pStyle w:val="Bezatstarpm"/>
              <w:rPr>
                <w:lang w:val="lv-LV"/>
              </w:rPr>
            </w:pPr>
            <w:r w:rsidRPr="00663F42">
              <w:rPr>
                <w:lang w:val="lv-LV"/>
              </w:rPr>
              <w:t>Ministrs</w:t>
            </w:r>
          </w:p>
        </w:tc>
        <w:tc>
          <w:tcPr>
            <w:tcW w:w="6025" w:type="dxa"/>
            <w:hideMark/>
          </w:tcPr>
          <w:p w14:paraId="0DE3AAB9" w14:textId="77777777" w:rsidR="00663F42" w:rsidRPr="00663F42" w:rsidRDefault="00BE2CF2" w:rsidP="00663F42">
            <w:pPr>
              <w:pStyle w:val="Bezatstarpm"/>
              <w:jc w:val="right"/>
              <w:rPr>
                <w:lang w:val="lv-LV"/>
              </w:rPr>
            </w:pPr>
            <w:r w:rsidRPr="00663F42">
              <w:rPr>
                <w:lang w:val="lv-LV"/>
              </w:rPr>
              <w:t>R.Uzulnieks</w:t>
            </w:r>
          </w:p>
        </w:tc>
      </w:tr>
    </w:tbl>
    <w:p w14:paraId="4A6E8944" w14:textId="77777777" w:rsidR="005C7576" w:rsidRDefault="005C7576" w:rsidP="00102658">
      <w:pPr>
        <w:pStyle w:val="Bezatstarpm"/>
        <w:rPr>
          <w:lang w:val="lv-LV"/>
        </w:rPr>
      </w:pPr>
    </w:p>
    <w:p w14:paraId="0D94C20F" w14:textId="77777777" w:rsidR="005C7576" w:rsidRDefault="005C7576" w:rsidP="00102658">
      <w:pPr>
        <w:pStyle w:val="Bezatstarpm"/>
        <w:rPr>
          <w:lang w:val="lv-LV"/>
        </w:rPr>
      </w:pPr>
    </w:p>
    <w:p w14:paraId="1EE57073" w14:textId="77777777" w:rsidR="005C7576" w:rsidRDefault="00BE2CF2" w:rsidP="00102658">
      <w:pPr>
        <w:pStyle w:val="Bezatstarpm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Vjatere 20683936</w:t>
      </w:r>
    </w:p>
    <w:p w14:paraId="6317ABB0" w14:textId="77777777" w:rsidR="005C7576" w:rsidRDefault="00BE2CF2" w:rsidP="00102658">
      <w:pPr>
        <w:pStyle w:val="Bezatstarpm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astra.vjatere@lm.gov.lv</w:t>
      </w:r>
    </w:p>
    <w:p w14:paraId="1E227CD2" w14:textId="77777777" w:rsidR="005C7576" w:rsidRDefault="00BE2CF2" w:rsidP="00102658">
      <w:pPr>
        <w:pStyle w:val="Bezatstarpm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</w:t>
      </w:r>
    </w:p>
    <w:p w14:paraId="2C1B3DC3" w14:textId="77777777" w:rsidR="005C7576" w:rsidRDefault="005C7576" w:rsidP="00102658">
      <w:pPr>
        <w:pStyle w:val="Bezatstarpm"/>
        <w:rPr>
          <w:sz w:val="20"/>
          <w:szCs w:val="20"/>
          <w:lang w:val="lv-LV"/>
        </w:rPr>
      </w:pPr>
    </w:p>
    <w:sectPr w:rsidR="005C7576" w:rsidSect="00236649">
      <w:footerReference w:type="default" r:id="rId17"/>
      <w:headerReference w:type="first" r:id="rId18"/>
      <w:footerReference w:type="first" r:id="rId19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AC6BE" w14:textId="77777777" w:rsidR="00000000" w:rsidRDefault="00BE2CF2">
      <w:pPr>
        <w:spacing w:after="0" w:line="240" w:lineRule="auto"/>
      </w:pPr>
      <w:r>
        <w:separator/>
      </w:r>
    </w:p>
  </w:endnote>
  <w:endnote w:type="continuationSeparator" w:id="0">
    <w:p w14:paraId="5E64E663" w14:textId="77777777" w:rsidR="00000000" w:rsidRDefault="00BE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56EC" w14:textId="77777777" w:rsidR="004B2238" w:rsidRDefault="00BE2CF2">
    <w:r>
      <w:rPr>
        <w:rFonts w:eastAsia="Times New Roman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27B7" w14:textId="77777777" w:rsidR="004B2238" w:rsidRDefault="00BE2CF2">
    <w:r>
      <w:rPr>
        <w:rFonts w:eastAsia="Times New Roman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C2104" w14:textId="77777777" w:rsidR="00000000" w:rsidRDefault="00BE2CF2">
      <w:pPr>
        <w:spacing w:after="0" w:line="240" w:lineRule="auto"/>
      </w:pPr>
      <w:r>
        <w:separator/>
      </w:r>
    </w:p>
  </w:footnote>
  <w:footnote w:type="continuationSeparator" w:id="0">
    <w:p w14:paraId="62BFFF3B" w14:textId="77777777" w:rsidR="00000000" w:rsidRDefault="00BE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A4AE" w14:textId="77777777" w:rsidR="00236649" w:rsidRPr="00D64E88" w:rsidRDefault="00236649" w:rsidP="00D64E88">
    <w:pPr>
      <w:pStyle w:val="Bezatstarpm"/>
      <w:rPr>
        <w:sz w:val="22"/>
      </w:rPr>
    </w:pPr>
  </w:p>
  <w:p w14:paraId="6B4C7941" w14:textId="77777777" w:rsidR="00236649" w:rsidRPr="00D64E88" w:rsidRDefault="00236649" w:rsidP="00D64E88">
    <w:pPr>
      <w:pStyle w:val="Bezatstarpm"/>
      <w:rPr>
        <w:sz w:val="22"/>
      </w:rPr>
    </w:pPr>
  </w:p>
  <w:p w14:paraId="6FD4AED8" w14:textId="77777777" w:rsidR="00236649" w:rsidRPr="00D64E88" w:rsidRDefault="00236649" w:rsidP="00D64E88">
    <w:pPr>
      <w:pStyle w:val="Bezatstarpm"/>
      <w:rPr>
        <w:sz w:val="22"/>
      </w:rPr>
    </w:pPr>
  </w:p>
  <w:p w14:paraId="4D44749A" w14:textId="77777777" w:rsidR="00236649" w:rsidRPr="00D64E88" w:rsidRDefault="00236649" w:rsidP="00D64E88">
    <w:pPr>
      <w:pStyle w:val="Bezatstarpm"/>
      <w:rPr>
        <w:sz w:val="22"/>
      </w:rPr>
    </w:pPr>
  </w:p>
  <w:p w14:paraId="563A1395" w14:textId="77777777" w:rsidR="00236649" w:rsidRPr="00D64E88" w:rsidRDefault="00236649" w:rsidP="00D64E88">
    <w:pPr>
      <w:pStyle w:val="Bezatstarpm"/>
      <w:rPr>
        <w:sz w:val="22"/>
      </w:rPr>
    </w:pPr>
  </w:p>
  <w:p w14:paraId="0D0E1A97" w14:textId="77777777" w:rsidR="00236649" w:rsidRPr="00D64E88" w:rsidRDefault="00236649" w:rsidP="00D64E88">
    <w:pPr>
      <w:pStyle w:val="Bezatstarpm"/>
      <w:rPr>
        <w:sz w:val="22"/>
      </w:rPr>
    </w:pPr>
  </w:p>
  <w:p w14:paraId="711ED610" w14:textId="77777777" w:rsidR="00236649" w:rsidRPr="00D64E88" w:rsidRDefault="00236649" w:rsidP="00D64E88">
    <w:pPr>
      <w:pStyle w:val="Bezatstarpm"/>
      <w:rPr>
        <w:sz w:val="22"/>
      </w:rPr>
    </w:pPr>
  </w:p>
  <w:p w14:paraId="47072164" w14:textId="77777777" w:rsidR="00236649" w:rsidRPr="00D64E88" w:rsidRDefault="00236649" w:rsidP="00D64E88">
    <w:pPr>
      <w:pStyle w:val="Bezatstarpm"/>
      <w:rPr>
        <w:sz w:val="22"/>
      </w:rPr>
    </w:pPr>
  </w:p>
  <w:p w14:paraId="7798E3A6" w14:textId="77777777" w:rsidR="00236649" w:rsidRPr="00D64E88" w:rsidRDefault="00236649" w:rsidP="00D64E88">
    <w:pPr>
      <w:pStyle w:val="Bezatstarpm"/>
      <w:rPr>
        <w:sz w:val="22"/>
      </w:rPr>
    </w:pPr>
  </w:p>
  <w:p w14:paraId="3F624DD7" w14:textId="77777777" w:rsidR="00236649" w:rsidRPr="00D64E88" w:rsidRDefault="00236649" w:rsidP="00D64E88">
    <w:pPr>
      <w:pStyle w:val="Bezatstarpm"/>
      <w:rPr>
        <w:sz w:val="22"/>
      </w:rPr>
    </w:pPr>
  </w:p>
  <w:p w14:paraId="395118BB" w14:textId="77777777" w:rsidR="00236649" w:rsidRPr="00D64E88" w:rsidRDefault="00BE2CF2" w:rsidP="00D64E88">
    <w:pPr>
      <w:pStyle w:val="Bezatstarpm"/>
      <w:rPr>
        <w:sz w:val="22"/>
      </w:rPr>
    </w:pPr>
    <w:r w:rsidRPr="00D64E88">
      <w:rPr>
        <w:noProof/>
        <w:sz w:val="22"/>
      </w:rPr>
      <w:drawing>
        <wp:anchor distT="0" distB="0" distL="114300" distR="114300" simplePos="0" relativeHeight="251658240" behindDoc="1" locked="0" layoutInCell="1" allowOverlap="1" wp14:anchorId="1F9231F8" wp14:editId="4693AEB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D64E88">
      <w:rPr>
        <w:noProof/>
        <w:sz w:val="2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AA18D99" wp14:editId="12C2037F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87606" w14:textId="77777777" w:rsidR="00236649" w:rsidRPr="00FC5C15" w:rsidRDefault="00BE2CF2" w:rsidP="00FC5C15">
                          <w:pPr>
                            <w:pStyle w:val="Bezatstarpm"/>
                            <w:jc w:val="center"/>
                            <w:rPr>
                              <w:sz w:val="17"/>
                              <w:szCs w:val="17"/>
                              <w:lang w:val="lv-LV"/>
                            </w:rPr>
                          </w:pPr>
                          <w:r w:rsidRPr="00FC5C15">
                            <w:rPr>
                              <w:sz w:val="17"/>
                              <w:szCs w:val="17"/>
                              <w:lang w:val="lv-LV"/>
                            </w:rPr>
                            <w:t xml:space="preserve">Skolas iela 28, Rīga, LV - 1331, tālr. </w:t>
                          </w:r>
                          <w:r w:rsidR="005F5C66">
                            <w:rPr>
                              <w:sz w:val="17"/>
                              <w:szCs w:val="17"/>
                              <w:lang w:val="lv-LV"/>
                            </w:rPr>
                            <w:t>20688267</w:t>
                          </w:r>
                          <w:r w:rsidRPr="00FC5C15">
                            <w:rPr>
                              <w:sz w:val="17"/>
                              <w:szCs w:val="17"/>
                              <w:lang w:val="lv-LV"/>
                            </w:rPr>
                            <w:t xml:space="preserve">, e-pasts </w:t>
                          </w:r>
                          <w:r w:rsidRPr="00FC5C15">
                            <w:rPr>
                              <w:sz w:val="17"/>
                              <w:szCs w:val="17"/>
                              <w:lang w:val="lv-LV"/>
                            </w:rPr>
                            <w:t>lm@lm.gov.lv,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236649" w:rsidRPr="00FC5C15" w:rsidP="00FC5C15">
                    <w:pPr>
                      <w:jc w:val="center"/>
                      <w:rPr>
                        <w:sz w:val="17"/>
                        <w:szCs w:val="17"/>
                        <w:lang w:val="lv-LV"/>
                      </w:rPr>
                    </w:pPr>
                    <w:r w:rsidRPr="00FC5C15">
                      <w:rPr>
                        <w:sz w:val="17"/>
                        <w:szCs w:val="17"/>
                        <w:lang w:val="lv-LV"/>
                      </w:rPr>
                      <w:t xml:space="preserve">Skolas iela 28, Rīga, LV - 1331, tālr. </w:t>
                    </w:r>
                    <w:r w:rsidR="005F5C66">
                      <w:rPr>
                        <w:sz w:val="17"/>
                        <w:szCs w:val="17"/>
                        <w:lang w:val="lv-LV"/>
                      </w:rPr>
                      <w:t>20688267</w:t>
                    </w:r>
                    <w:r w:rsidRPr="00FC5C15">
                      <w:rPr>
                        <w:sz w:val="17"/>
                        <w:szCs w:val="17"/>
                        <w:lang w:val="lv-LV"/>
                      </w:rPr>
                      <w:t>, e-pasts lm@lm.gov.lv, www.lm.gov.lv</w:t>
                    </w:r>
                  </w:p>
                </w:txbxContent>
              </v:textbox>
            </v:shape>
          </w:pict>
        </mc:Fallback>
      </mc:AlternateContent>
    </w:r>
    <w:r w:rsidRPr="00D64E88"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80CDB9B" wp14:editId="60519330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772E9FC9" w14:textId="77777777" w:rsidR="00236649" w:rsidRPr="00D64E88" w:rsidRDefault="00236649" w:rsidP="00D64E88">
    <w:pPr>
      <w:pStyle w:val="Bezatstarpm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72B59"/>
    <w:rsid w:val="000D7D77"/>
    <w:rsid w:val="00102658"/>
    <w:rsid w:val="00124173"/>
    <w:rsid w:val="00153879"/>
    <w:rsid w:val="001617D5"/>
    <w:rsid w:val="001C6FBA"/>
    <w:rsid w:val="00200031"/>
    <w:rsid w:val="00236649"/>
    <w:rsid w:val="002455DD"/>
    <w:rsid w:val="00247083"/>
    <w:rsid w:val="00275B9E"/>
    <w:rsid w:val="002B2C71"/>
    <w:rsid w:val="002B3077"/>
    <w:rsid w:val="002E1474"/>
    <w:rsid w:val="00335032"/>
    <w:rsid w:val="00452615"/>
    <w:rsid w:val="004562A9"/>
    <w:rsid w:val="00457099"/>
    <w:rsid w:val="00480B06"/>
    <w:rsid w:val="00493308"/>
    <w:rsid w:val="004B2238"/>
    <w:rsid w:val="004C72F0"/>
    <w:rsid w:val="004E7CAF"/>
    <w:rsid w:val="00535564"/>
    <w:rsid w:val="005C7576"/>
    <w:rsid w:val="005E2710"/>
    <w:rsid w:val="005F0DAD"/>
    <w:rsid w:val="005F5C66"/>
    <w:rsid w:val="00632B8C"/>
    <w:rsid w:val="006522BA"/>
    <w:rsid w:val="00663C3A"/>
    <w:rsid w:val="00663F42"/>
    <w:rsid w:val="00681E0A"/>
    <w:rsid w:val="006C1639"/>
    <w:rsid w:val="00747CCB"/>
    <w:rsid w:val="00753A86"/>
    <w:rsid w:val="007704BD"/>
    <w:rsid w:val="00783A1D"/>
    <w:rsid w:val="007B3BA5"/>
    <w:rsid w:val="007B48EC"/>
    <w:rsid w:val="007E23B5"/>
    <w:rsid w:val="007E4D1F"/>
    <w:rsid w:val="007F0676"/>
    <w:rsid w:val="007F1787"/>
    <w:rsid w:val="007F393E"/>
    <w:rsid w:val="00815277"/>
    <w:rsid w:val="008758FB"/>
    <w:rsid w:val="00876C21"/>
    <w:rsid w:val="008C0B9D"/>
    <w:rsid w:val="008F6FA5"/>
    <w:rsid w:val="00954D5A"/>
    <w:rsid w:val="0096621C"/>
    <w:rsid w:val="00AC7CD7"/>
    <w:rsid w:val="00AE4838"/>
    <w:rsid w:val="00AF0D2C"/>
    <w:rsid w:val="00AF35BB"/>
    <w:rsid w:val="00AF60F1"/>
    <w:rsid w:val="00BE2CF2"/>
    <w:rsid w:val="00C47F57"/>
    <w:rsid w:val="00C91D24"/>
    <w:rsid w:val="00CA7FB1"/>
    <w:rsid w:val="00CE2BA7"/>
    <w:rsid w:val="00D103BD"/>
    <w:rsid w:val="00D21FA6"/>
    <w:rsid w:val="00D35CF4"/>
    <w:rsid w:val="00D55B4B"/>
    <w:rsid w:val="00D64E88"/>
    <w:rsid w:val="00E23DE7"/>
    <w:rsid w:val="00E26F29"/>
    <w:rsid w:val="00E365CE"/>
    <w:rsid w:val="00E61559"/>
    <w:rsid w:val="00E64D67"/>
    <w:rsid w:val="00F340ED"/>
    <w:rsid w:val="00F60586"/>
    <w:rsid w:val="00FC5C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811BFC"/>
  <w15:chartTrackingRefBased/>
  <w15:docId w15:val="{59C4FED7-E7CF-432A-AA6E-929E2CAF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7CAF"/>
    <w:pPr>
      <w:widowControl w:val="0"/>
      <w:spacing w:after="200" w:line="276" w:lineRule="auto"/>
      <w:jc w:val="center"/>
    </w:pPr>
    <w:rPr>
      <w:rFonts w:ascii="Times New Roman" w:hAnsi="Times New Roman"/>
      <w:i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102658"/>
    <w:pPr>
      <w:widowControl w:val="0"/>
      <w:jc w:val="both"/>
    </w:pPr>
    <w:rPr>
      <w:rFonts w:ascii="Times New Roman" w:hAnsi="Times New Roman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urid.saeima.lv/LIVS14/saeimalivs14.nsf/webSasaiste?OpenView&amp;restricttocategory=" TargetMode="External"/><Relationship Id="rId13" Type="http://schemas.openxmlformats.org/officeDocument/2006/relationships/hyperlink" Target="https://taurid.saeima.lv/LIVS14/saeimalivs14.nsf/webSasaiste?OpenView&amp;restricttocategory=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aurid.saeima.lv/LIVS14/saeimalivs14.nsf/webSasaiste?OpenView&amp;restricttocategory=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taurid.saeima.lv/LIVS14/saeimalivs14.nsf/webSasaiste?OpenView&amp;restricttocategor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urid.saeima.lv/LIVS14/saeimalivs14.nsf/webSasaiste?OpenView&amp;restricttocategor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urid.saeima.lv/LIVS14/saeimalivs14.nsf/webSasaiste?OpenView&amp;restricttocategory=" TargetMode="External"/><Relationship Id="rId10" Type="http://schemas.openxmlformats.org/officeDocument/2006/relationships/hyperlink" Target="https://taurid.saeima.lv/LIVS14/saeimalivs14.nsf/webSasaiste?OpenView&amp;restricttocategory=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taurid.saeima.lv/LIVS14/saeimalivs14.nsf/webSasaiste?OpenView&amp;restricttocategory=" TargetMode="External"/><Relationship Id="rId14" Type="http://schemas.openxmlformats.org/officeDocument/2006/relationships/hyperlink" Target="https://taurid.saeima.lv/LIVS14/saeimalivs14.nsf/webSasaiste?OpenView&amp;restricttocategory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D03D1-83D5-43D1-BEFC-49715871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3103</Words>
  <Characters>1769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 Vjatere</dc:creator>
  <cp:lastModifiedBy>Astra Vjatere</cp:lastModifiedBy>
  <cp:revision>2</cp:revision>
  <dcterms:created xsi:type="dcterms:W3CDTF">2025-09-12T08:51:00Z</dcterms:created>
  <dcterms:modified xsi:type="dcterms:W3CDTF">2025-09-12T08:51:00Z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