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707DD" w14:textId="742F6941" w:rsidR="00A07C63" w:rsidRPr="00721FBC" w:rsidRDefault="00A07C63" w:rsidP="00A07C63">
      <w:pPr>
        <w:jc w:val="center"/>
        <w:rPr>
          <w:rFonts w:ascii="Times New Roman" w:hAnsi="Times New Roman" w:cs="Times New Roman"/>
          <w:b/>
          <w:color w:val="000000" w:themeColor="text1"/>
          <w:sz w:val="24"/>
          <w:szCs w:val="24"/>
          <w:u w:val="single"/>
        </w:rPr>
      </w:pPr>
      <w:r w:rsidRPr="00721FBC">
        <w:rPr>
          <w:rFonts w:ascii="Times New Roman" w:hAnsi="Times New Roman" w:cs="Times New Roman"/>
          <w:b/>
          <w:color w:val="000000" w:themeColor="text1"/>
          <w:sz w:val="24"/>
          <w:szCs w:val="24"/>
          <w:u w:val="single"/>
        </w:rPr>
        <w:t>Reģistrētā bezdarba prognoze 20</w:t>
      </w:r>
      <w:r w:rsidR="00AC0897" w:rsidRPr="00721FBC">
        <w:rPr>
          <w:rFonts w:ascii="Times New Roman" w:hAnsi="Times New Roman" w:cs="Times New Roman"/>
          <w:b/>
          <w:color w:val="000000" w:themeColor="text1"/>
          <w:sz w:val="24"/>
          <w:szCs w:val="24"/>
          <w:u w:val="single"/>
        </w:rPr>
        <w:t>2</w:t>
      </w:r>
      <w:r w:rsidR="00457A75" w:rsidRPr="00721FBC">
        <w:rPr>
          <w:rFonts w:ascii="Times New Roman" w:hAnsi="Times New Roman" w:cs="Times New Roman"/>
          <w:b/>
          <w:color w:val="000000" w:themeColor="text1"/>
          <w:sz w:val="24"/>
          <w:szCs w:val="24"/>
          <w:u w:val="single"/>
        </w:rPr>
        <w:t>6</w:t>
      </w:r>
      <w:r w:rsidRPr="00721FBC">
        <w:rPr>
          <w:rFonts w:ascii="Times New Roman" w:hAnsi="Times New Roman" w:cs="Times New Roman"/>
          <w:b/>
          <w:color w:val="000000" w:themeColor="text1"/>
          <w:sz w:val="24"/>
          <w:szCs w:val="24"/>
          <w:u w:val="single"/>
        </w:rPr>
        <w:t>.gadam</w:t>
      </w:r>
    </w:p>
    <w:p w14:paraId="5D6C1F5E" w14:textId="040E83C9" w:rsidR="00A50C5A" w:rsidRPr="00721FBC" w:rsidRDefault="00A50C5A" w:rsidP="00A07C63">
      <w:pPr>
        <w:jc w:val="center"/>
        <w:rPr>
          <w:rFonts w:ascii="Times New Roman" w:hAnsi="Times New Roman" w:cs="Times New Roman"/>
          <w:b/>
          <w:color w:val="000000" w:themeColor="text1"/>
          <w:sz w:val="24"/>
          <w:szCs w:val="24"/>
        </w:rPr>
      </w:pPr>
      <w:r w:rsidRPr="00721FBC">
        <w:rPr>
          <w:rFonts w:ascii="Times New Roman" w:hAnsi="Times New Roman" w:cs="Times New Roman"/>
          <w:b/>
          <w:color w:val="000000" w:themeColor="text1"/>
          <w:sz w:val="24"/>
          <w:szCs w:val="24"/>
        </w:rPr>
        <w:t>(</w:t>
      </w:r>
      <w:r w:rsidR="009B4022" w:rsidRPr="00721FBC">
        <w:rPr>
          <w:rFonts w:ascii="Times New Roman" w:hAnsi="Times New Roman" w:cs="Times New Roman"/>
          <w:b/>
          <w:color w:val="000000" w:themeColor="text1"/>
          <w:sz w:val="24"/>
          <w:szCs w:val="24"/>
        </w:rPr>
        <w:t>1</w:t>
      </w:r>
      <w:r w:rsidR="00457A75" w:rsidRPr="00721FBC">
        <w:rPr>
          <w:rFonts w:ascii="Times New Roman" w:hAnsi="Times New Roman" w:cs="Times New Roman"/>
          <w:b/>
          <w:color w:val="000000" w:themeColor="text1"/>
          <w:sz w:val="24"/>
          <w:szCs w:val="24"/>
        </w:rPr>
        <w:t>6</w:t>
      </w:r>
      <w:r w:rsidRPr="00721FBC">
        <w:rPr>
          <w:rFonts w:ascii="Times New Roman" w:hAnsi="Times New Roman" w:cs="Times New Roman"/>
          <w:b/>
          <w:color w:val="000000" w:themeColor="text1"/>
          <w:sz w:val="24"/>
          <w:szCs w:val="24"/>
        </w:rPr>
        <w:t>/0</w:t>
      </w:r>
      <w:r w:rsidR="009B4022" w:rsidRPr="00721FBC">
        <w:rPr>
          <w:rFonts w:ascii="Times New Roman" w:hAnsi="Times New Roman" w:cs="Times New Roman"/>
          <w:b/>
          <w:color w:val="000000" w:themeColor="text1"/>
          <w:sz w:val="24"/>
          <w:szCs w:val="24"/>
        </w:rPr>
        <w:t>1</w:t>
      </w:r>
      <w:r w:rsidRPr="00721FBC">
        <w:rPr>
          <w:rFonts w:ascii="Times New Roman" w:hAnsi="Times New Roman" w:cs="Times New Roman"/>
          <w:b/>
          <w:color w:val="000000" w:themeColor="text1"/>
          <w:sz w:val="24"/>
          <w:szCs w:val="24"/>
        </w:rPr>
        <w:t>/202</w:t>
      </w:r>
      <w:r w:rsidR="001C15A2">
        <w:rPr>
          <w:rFonts w:ascii="Times New Roman" w:hAnsi="Times New Roman" w:cs="Times New Roman"/>
          <w:b/>
          <w:color w:val="000000" w:themeColor="text1"/>
          <w:sz w:val="24"/>
          <w:szCs w:val="24"/>
        </w:rPr>
        <w:t>6</w:t>
      </w:r>
      <w:r w:rsidRPr="00721FBC">
        <w:rPr>
          <w:rFonts w:ascii="Times New Roman" w:hAnsi="Times New Roman" w:cs="Times New Roman"/>
          <w:b/>
          <w:color w:val="000000" w:themeColor="text1"/>
          <w:sz w:val="24"/>
          <w:szCs w:val="24"/>
        </w:rPr>
        <w:t>)</w:t>
      </w:r>
    </w:p>
    <w:p w14:paraId="2B485855" w14:textId="10027F6F" w:rsidR="00074F27" w:rsidRPr="00721FBC" w:rsidRDefault="00320885" w:rsidP="000A70F3">
      <w:pPr>
        <w:spacing w:after="120"/>
        <w:ind w:firstLine="720"/>
        <w:jc w:val="both"/>
        <w:rPr>
          <w:rFonts w:ascii="Times New Roman" w:hAnsi="Times New Roman" w:cs="Times New Roman"/>
          <w:color w:val="000000" w:themeColor="text1"/>
          <w:sz w:val="24"/>
          <w:szCs w:val="24"/>
        </w:rPr>
      </w:pPr>
      <w:r w:rsidRPr="00721FBC">
        <w:rPr>
          <w:rFonts w:ascii="Times New Roman" w:hAnsi="Times New Roman" w:cs="Times New Roman"/>
          <w:color w:val="000000" w:themeColor="text1"/>
          <w:sz w:val="24"/>
          <w:szCs w:val="24"/>
        </w:rPr>
        <w:t>Darba tirgus situācija Latvijā 2025. gadā turpināja uzlaboties – saglabājās salīdzinoši augsts ekonomiskās aktivitātes līmenis (84,8</w:t>
      </w:r>
      <w:r w:rsidR="00BC1622" w:rsidRPr="00721FBC">
        <w:rPr>
          <w:rFonts w:ascii="Times New Roman" w:hAnsi="Times New Roman" w:cs="Times New Roman"/>
          <w:color w:val="000000" w:themeColor="text1"/>
          <w:sz w:val="24"/>
          <w:szCs w:val="24"/>
        </w:rPr>
        <w:t xml:space="preserve"> </w:t>
      </w:r>
      <w:r w:rsidRPr="00721FBC">
        <w:rPr>
          <w:rFonts w:ascii="Times New Roman" w:hAnsi="Times New Roman" w:cs="Times New Roman"/>
          <w:color w:val="000000" w:themeColor="text1"/>
          <w:sz w:val="24"/>
          <w:szCs w:val="24"/>
        </w:rPr>
        <w:t xml:space="preserve">% </w:t>
      </w:r>
      <w:r w:rsidR="000A70F3" w:rsidRPr="00721FBC">
        <w:rPr>
          <w:rFonts w:ascii="Times New Roman" w:hAnsi="Times New Roman" w:cs="Times New Roman"/>
          <w:color w:val="000000" w:themeColor="text1"/>
          <w:sz w:val="24"/>
          <w:szCs w:val="24"/>
        </w:rPr>
        <w:t xml:space="preserve">salīdzinājumā </w:t>
      </w:r>
      <w:r w:rsidR="00FE51A1" w:rsidRPr="00721FBC">
        <w:rPr>
          <w:rFonts w:ascii="Times New Roman" w:hAnsi="Times New Roman" w:cs="Times New Roman"/>
          <w:color w:val="000000" w:themeColor="text1"/>
          <w:sz w:val="24"/>
          <w:szCs w:val="24"/>
        </w:rPr>
        <w:t>pret</w:t>
      </w:r>
      <w:r w:rsidR="000A70F3" w:rsidRPr="00721FBC">
        <w:rPr>
          <w:rFonts w:ascii="Times New Roman" w:hAnsi="Times New Roman" w:cs="Times New Roman"/>
          <w:color w:val="000000" w:themeColor="text1"/>
          <w:sz w:val="24"/>
          <w:szCs w:val="24"/>
        </w:rPr>
        <w:t xml:space="preserve"> </w:t>
      </w:r>
      <w:r w:rsidR="0074282E" w:rsidRPr="00721FBC">
        <w:rPr>
          <w:rFonts w:ascii="Times New Roman" w:hAnsi="Times New Roman" w:cs="Times New Roman"/>
          <w:color w:val="000000" w:themeColor="text1"/>
          <w:sz w:val="24"/>
          <w:szCs w:val="24"/>
        </w:rPr>
        <w:t>81,0</w:t>
      </w:r>
      <w:r w:rsidR="00BC1622" w:rsidRPr="00721FBC">
        <w:rPr>
          <w:rFonts w:ascii="Times New Roman" w:hAnsi="Times New Roman" w:cs="Times New Roman"/>
          <w:color w:val="000000" w:themeColor="text1"/>
          <w:sz w:val="24"/>
          <w:szCs w:val="24"/>
        </w:rPr>
        <w:t xml:space="preserve"> </w:t>
      </w:r>
      <w:r w:rsidR="0074282E" w:rsidRPr="00721FBC">
        <w:rPr>
          <w:rFonts w:ascii="Times New Roman" w:hAnsi="Times New Roman" w:cs="Times New Roman"/>
          <w:color w:val="000000" w:themeColor="text1"/>
          <w:sz w:val="24"/>
          <w:szCs w:val="24"/>
        </w:rPr>
        <w:t xml:space="preserve">% </w:t>
      </w:r>
      <w:r w:rsidR="000A70F3" w:rsidRPr="00721FBC">
        <w:rPr>
          <w:rFonts w:ascii="Times New Roman" w:hAnsi="Times New Roman" w:cs="Times New Roman"/>
          <w:color w:val="000000" w:themeColor="text1"/>
          <w:sz w:val="24"/>
          <w:szCs w:val="24"/>
        </w:rPr>
        <w:t>Eiropas Savienības (</w:t>
      </w:r>
      <w:r w:rsidR="0074282E" w:rsidRPr="00721FBC">
        <w:rPr>
          <w:rFonts w:ascii="Times New Roman" w:hAnsi="Times New Roman" w:cs="Times New Roman"/>
          <w:color w:val="000000" w:themeColor="text1"/>
          <w:sz w:val="24"/>
          <w:szCs w:val="24"/>
        </w:rPr>
        <w:t xml:space="preserve">turpmāk - </w:t>
      </w:r>
      <w:r w:rsidR="000A70F3" w:rsidRPr="00721FBC">
        <w:rPr>
          <w:rFonts w:ascii="Times New Roman" w:hAnsi="Times New Roman" w:cs="Times New Roman"/>
          <w:color w:val="000000" w:themeColor="text1"/>
          <w:sz w:val="24"/>
          <w:szCs w:val="24"/>
        </w:rPr>
        <w:t>ES) vidējo līmeni</w:t>
      </w:r>
      <w:r w:rsidRPr="00721FBC">
        <w:rPr>
          <w:rFonts w:ascii="Times New Roman" w:hAnsi="Times New Roman" w:cs="Times New Roman"/>
          <w:color w:val="000000" w:themeColor="text1"/>
          <w:sz w:val="24"/>
          <w:szCs w:val="24"/>
        </w:rPr>
        <w:t>)</w:t>
      </w:r>
      <w:r w:rsidRPr="00721FBC">
        <w:rPr>
          <w:rStyle w:val="FootnoteReference"/>
          <w:rFonts w:ascii="Times New Roman" w:hAnsi="Times New Roman" w:cs="Times New Roman"/>
          <w:color w:val="000000" w:themeColor="text1"/>
          <w:sz w:val="24"/>
          <w:szCs w:val="24"/>
        </w:rPr>
        <w:footnoteReference w:id="1"/>
      </w:r>
      <w:r w:rsidR="00303E85" w:rsidRPr="00721FBC">
        <w:rPr>
          <w:rFonts w:ascii="Times New Roman" w:hAnsi="Times New Roman" w:cs="Times New Roman"/>
          <w:color w:val="000000" w:themeColor="text1"/>
          <w:sz w:val="24"/>
          <w:szCs w:val="24"/>
        </w:rPr>
        <w:t xml:space="preserve"> </w:t>
      </w:r>
      <w:r w:rsidR="00A759E5" w:rsidRPr="00721FBC">
        <w:rPr>
          <w:rFonts w:ascii="Times New Roman" w:hAnsi="Times New Roman" w:cs="Times New Roman"/>
          <w:color w:val="000000" w:themeColor="text1"/>
          <w:sz w:val="24"/>
          <w:szCs w:val="24"/>
        </w:rPr>
        <w:t>un</w:t>
      </w:r>
      <w:r w:rsidR="00AA4472" w:rsidRPr="00721FBC">
        <w:rPr>
          <w:rFonts w:ascii="Times New Roman" w:hAnsi="Times New Roman" w:cs="Times New Roman"/>
          <w:color w:val="000000" w:themeColor="text1"/>
          <w:sz w:val="24"/>
          <w:szCs w:val="24"/>
        </w:rPr>
        <w:t xml:space="preserve"> </w:t>
      </w:r>
      <w:r w:rsidRPr="00721FBC">
        <w:rPr>
          <w:rFonts w:ascii="Times New Roman" w:hAnsi="Times New Roman" w:cs="Times New Roman"/>
          <w:color w:val="000000" w:themeColor="text1"/>
          <w:sz w:val="24"/>
          <w:szCs w:val="24"/>
        </w:rPr>
        <w:t>pieauga nodarbinātības līmenis (78,8</w:t>
      </w:r>
      <w:r w:rsidR="00BC1622" w:rsidRPr="00721FBC">
        <w:rPr>
          <w:rFonts w:ascii="Times New Roman" w:hAnsi="Times New Roman" w:cs="Times New Roman"/>
          <w:color w:val="000000" w:themeColor="text1"/>
          <w:sz w:val="24"/>
          <w:szCs w:val="24"/>
        </w:rPr>
        <w:t xml:space="preserve"> </w:t>
      </w:r>
      <w:r w:rsidRPr="00721FBC">
        <w:rPr>
          <w:rFonts w:ascii="Times New Roman" w:hAnsi="Times New Roman" w:cs="Times New Roman"/>
          <w:color w:val="000000" w:themeColor="text1"/>
          <w:sz w:val="24"/>
          <w:szCs w:val="24"/>
        </w:rPr>
        <w:t xml:space="preserve">% </w:t>
      </w:r>
      <w:r w:rsidR="00FE51A1" w:rsidRPr="00721FBC">
        <w:rPr>
          <w:rFonts w:ascii="Times New Roman" w:hAnsi="Times New Roman" w:cs="Times New Roman"/>
          <w:color w:val="000000" w:themeColor="text1"/>
          <w:sz w:val="24"/>
          <w:szCs w:val="24"/>
        </w:rPr>
        <w:t>pret 76,4</w:t>
      </w:r>
      <w:r w:rsidR="00BC1622" w:rsidRPr="00721FBC">
        <w:rPr>
          <w:rFonts w:ascii="Times New Roman" w:hAnsi="Times New Roman" w:cs="Times New Roman"/>
          <w:color w:val="000000" w:themeColor="text1"/>
          <w:sz w:val="24"/>
          <w:szCs w:val="24"/>
        </w:rPr>
        <w:t xml:space="preserve"> </w:t>
      </w:r>
      <w:r w:rsidR="00AA4472" w:rsidRPr="00721FBC">
        <w:rPr>
          <w:rFonts w:ascii="Times New Roman" w:hAnsi="Times New Roman" w:cs="Times New Roman"/>
          <w:color w:val="000000" w:themeColor="text1"/>
          <w:sz w:val="24"/>
          <w:szCs w:val="24"/>
        </w:rPr>
        <w:t>%</w:t>
      </w:r>
      <w:r w:rsidR="00FE51A1" w:rsidRPr="00721FBC">
        <w:rPr>
          <w:rFonts w:ascii="Times New Roman" w:hAnsi="Times New Roman" w:cs="Times New Roman"/>
          <w:color w:val="000000" w:themeColor="text1"/>
          <w:sz w:val="24"/>
          <w:szCs w:val="24"/>
        </w:rPr>
        <w:t xml:space="preserve"> ES vidējo līmeni</w:t>
      </w:r>
      <w:r w:rsidRPr="00721FBC">
        <w:rPr>
          <w:rFonts w:ascii="Times New Roman" w:hAnsi="Times New Roman" w:cs="Times New Roman"/>
          <w:color w:val="000000" w:themeColor="text1"/>
          <w:sz w:val="24"/>
          <w:szCs w:val="24"/>
        </w:rPr>
        <w:t>)</w:t>
      </w:r>
      <w:r w:rsidR="00815EAA" w:rsidRPr="00721FBC">
        <w:rPr>
          <w:rStyle w:val="FootnoteReference"/>
          <w:rFonts w:ascii="Times New Roman" w:hAnsi="Times New Roman" w:cs="Times New Roman"/>
          <w:color w:val="000000" w:themeColor="text1"/>
          <w:sz w:val="24"/>
          <w:szCs w:val="24"/>
        </w:rPr>
        <w:footnoteReference w:id="2"/>
      </w:r>
      <w:r w:rsidR="00A759E5" w:rsidRPr="00721FBC">
        <w:rPr>
          <w:rFonts w:ascii="Times New Roman" w:hAnsi="Times New Roman" w:cs="Times New Roman"/>
          <w:color w:val="000000" w:themeColor="text1"/>
          <w:sz w:val="24"/>
          <w:szCs w:val="24"/>
        </w:rPr>
        <w:t xml:space="preserve">. Savukārt </w:t>
      </w:r>
      <w:r w:rsidR="00AA4472" w:rsidRPr="00721FBC">
        <w:rPr>
          <w:rFonts w:ascii="Times New Roman" w:hAnsi="Times New Roman" w:cs="Times New Roman"/>
          <w:color w:val="000000" w:themeColor="text1"/>
          <w:sz w:val="24"/>
          <w:szCs w:val="24"/>
        </w:rPr>
        <w:t xml:space="preserve">bezdarba līmenis </w:t>
      </w:r>
      <w:r w:rsidR="00A759E5" w:rsidRPr="00721FBC">
        <w:rPr>
          <w:rFonts w:ascii="Times New Roman" w:hAnsi="Times New Roman" w:cs="Times New Roman"/>
          <w:color w:val="000000" w:themeColor="text1"/>
          <w:sz w:val="24"/>
          <w:szCs w:val="24"/>
        </w:rPr>
        <w:t xml:space="preserve">būtiski nav mainījies </w:t>
      </w:r>
      <w:r w:rsidR="00AA4472" w:rsidRPr="00721FBC">
        <w:rPr>
          <w:rFonts w:ascii="Times New Roman" w:hAnsi="Times New Roman" w:cs="Times New Roman"/>
          <w:color w:val="000000" w:themeColor="text1"/>
          <w:sz w:val="24"/>
          <w:szCs w:val="24"/>
        </w:rPr>
        <w:t>(</w:t>
      </w:r>
      <w:r w:rsidR="00A759E5" w:rsidRPr="00721FBC">
        <w:rPr>
          <w:rFonts w:ascii="Times New Roman" w:hAnsi="Times New Roman" w:cs="Times New Roman"/>
          <w:color w:val="000000" w:themeColor="text1"/>
          <w:sz w:val="24"/>
          <w:szCs w:val="24"/>
        </w:rPr>
        <w:t>6,9</w:t>
      </w:r>
      <w:r w:rsidR="00BC1622" w:rsidRPr="00721FBC">
        <w:rPr>
          <w:rFonts w:ascii="Times New Roman" w:hAnsi="Times New Roman" w:cs="Times New Roman"/>
          <w:color w:val="000000" w:themeColor="text1"/>
          <w:sz w:val="24"/>
          <w:szCs w:val="24"/>
        </w:rPr>
        <w:t xml:space="preserve"> </w:t>
      </w:r>
      <w:r w:rsidR="00A759E5" w:rsidRPr="00721FBC">
        <w:rPr>
          <w:rFonts w:ascii="Times New Roman" w:hAnsi="Times New Roman" w:cs="Times New Roman"/>
          <w:color w:val="000000" w:themeColor="text1"/>
          <w:sz w:val="24"/>
          <w:szCs w:val="24"/>
        </w:rPr>
        <w:t>% pret 6,0</w:t>
      </w:r>
      <w:r w:rsidR="00BC1622" w:rsidRPr="00721FBC">
        <w:rPr>
          <w:rFonts w:ascii="Times New Roman" w:hAnsi="Times New Roman" w:cs="Times New Roman"/>
          <w:color w:val="000000" w:themeColor="text1"/>
          <w:sz w:val="24"/>
          <w:szCs w:val="24"/>
        </w:rPr>
        <w:t xml:space="preserve"> </w:t>
      </w:r>
      <w:r w:rsidR="00B35064" w:rsidRPr="00721FBC">
        <w:rPr>
          <w:rFonts w:ascii="Times New Roman" w:hAnsi="Times New Roman" w:cs="Times New Roman"/>
          <w:color w:val="000000" w:themeColor="text1"/>
          <w:sz w:val="24"/>
          <w:szCs w:val="24"/>
        </w:rPr>
        <w:t>%</w:t>
      </w:r>
      <w:r w:rsidR="00A759E5" w:rsidRPr="00721FBC">
        <w:rPr>
          <w:rFonts w:ascii="Times New Roman" w:hAnsi="Times New Roman" w:cs="Times New Roman"/>
          <w:color w:val="000000" w:themeColor="text1"/>
          <w:sz w:val="24"/>
          <w:szCs w:val="24"/>
        </w:rPr>
        <w:t xml:space="preserve"> ES vidējo līmeni</w:t>
      </w:r>
      <w:r w:rsidR="00AA4472" w:rsidRPr="00721FBC">
        <w:rPr>
          <w:rFonts w:ascii="Times New Roman" w:hAnsi="Times New Roman" w:cs="Times New Roman"/>
          <w:color w:val="000000" w:themeColor="text1"/>
          <w:sz w:val="24"/>
          <w:szCs w:val="24"/>
        </w:rPr>
        <w:t>)</w:t>
      </w:r>
      <w:r w:rsidR="00EA4D4F" w:rsidRPr="00721FBC">
        <w:rPr>
          <w:rStyle w:val="FootnoteReference"/>
          <w:rFonts w:ascii="Times New Roman" w:hAnsi="Times New Roman" w:cs="Times New Roman"/>
          <w:color w:val="000000" w:themeColor="text1"/>
          <w:sz w:val="24"/>
          <w:szCs w:val="24"/>
        </w:rPr>
        <w:footnoteReference w:id="3"/>
      </w:r>
      <w:r w:rsidRPr="00721FBC">
        <w:rPr>
          <w:rFonts w:ascii="Times New Roman" w:hAnsi="Times New Roman" w:cs="Times New Roman"/>
          <w:color w:val="000000" w:themeColor="text1"/>
          <w:sz w:val="24"/>
          <w:szCs w:val="24"/>
        </w:rPr>
        <w:t>. Neskatoties uz nenoteiktību globālajos tirgos</w:t>
      </w:r>
      <w:r w:rsidR="008F5792" w:rsidRPr="00721FBC">
        <w:rPr>
          <w:rFonts w:ascii="Times New Roman" w:hAnsi="Times New Roman" w:cs="Times New Roman"/>
          <w:color w:val="000000" w:themeColor="text1"/>
          <w:sz w:val="24"/>
          <w:szCs w:val="24"/>
        </w:rPr>
        <w:t xml:space="preserve"> (tirdzniecības politika un protekcionisma pieaugums</w:t>
      </w:r>
      <w:r w:rsidRPr="00721FBC">
        <w:rPr>
          <w:rFonts w:ascii="Times New Roman" w:hAnsi="Times New Roman" w:cs="Times New Roman"/>
          <w:color w:val="000000" w:themeColor="text1"/>
          <w:sz w:val="24"/>
          <w:szCs w:val="24"/>
        </w:rPr>
        <w:t>,</w:t>
      </w:r>
      <w:r w:rsidR="008F5792" w:rsidRPr="00721FBC">
        <w:rPr>
          <w:rFonts w:ascii="Times New Roman" w:hAnsi="Times New Roman" w:cs="Times New Roman"/>
          <w:color w:val="000000" w:themeColor="text1"/>
          <w:sz w:val="24"/>
          <w:szCs w:val="24"/>
        </w:rPr>
        <w:t xml:space="preserve"> inflācija, ģeopolitiskie riski, </w:t>
      </w:r>
      <w:r w:rsidR="001C472E" w:rsidRPr="00721FBC">
        <w:rPr>
          <w:rFonts w:ascii="Times New Roman" w:hAnsi="Times New Roman" w:cs="Times New Roman"/>
          <w:color w:val="000000" w:themeColor="text1"/>
          <w:sz w:val="24"/>
          <w:szCs w:val="24"/>
        </w:rPr>
        <w:t xml:space="preserve">svārstības </w:t>
      </w:r>
      <w:r w:rsidR="008F5792" w:rsidRPr="00721FBC">
        <w:rPr>
          <w:rFonts w:ascii="Times New Roman" w:hAnsi="Times New Roman" w:cs="Times New Roman"/>
          <w:color w:val="000000" w:themeColor="text1"/>
          <w:sz w:val="24"/>
          <w:szCs w:val="24"/>
        </w:rPr>
        <w:t>finanšu tirg</w:t>
      </w:r>
      <w:r w:rsidR="001C472E" w:rsidRPr="00721FBC">
        <w:rPr>
          <w:rFonts w:ascii="Times New Roman" w:hAnsi="Times New Roman" w:cs="Times New Roman"/>
          <w:color w:val="000000" w:themeColor="text1"/>
          <w:sz w:val="24"/>
          <w:szCs w:val="24"/>
        </w:rPr>
        <w:t>os</w:t>
      </w:r>
      <w:r w:rsidR="008F5792" w:rsidRPr="00721FBC">
        <w:rPr>
          <w:rFonts w:ascii="Times New Roman" w:hAnsi="Times New Roman" w:cs="Times New Roman"/>
          <w:color w:val="000000" w:themeColor="text1"/>
          <w:sz w:val="24"/>
          <w:szCs w:val="24"/>
        </w:rPr>
        <w:t xml:space="preserve"> u.c.)</w:t>
      </w:r>
      <w:r w:rsidRPr="00721FBC">
        <w:rPr>
          <w:rFonts w:ascii="Times New Roman" w:hAnsi="Times New Roman" w:cs="Times New Roman"/>
          <w:color w:val="000000" w:themeColor="text1"/>
          <w:sz w:val="24"/>
          <w:szCs w:val="24"/>
        </w:rPr>
        <w:t xml:space="preserve"> </w:t>
      </w:r>
      <w:r w:rsidR="00B35064" w:rsidRPr="00721FBC">
        <w:rPr>
          <w:rFonts w:ascii="Times New Roman" w:hAnsi="Times New Roman" w:cs="Times New Roman"/>
          <w:color w:val="000000" w:themeColor="text1"/>
          <w:sz w:val="24"/>
          <w:szCs w:val="24"/>
        </w:rPr>
        <w:t xml:space="preserve">līdzīga dinamika prognozējama arī 2026. gadā un </w:t>
      </w:r>
      <w:r w:rsidRPr="00721FBC">
        <w:rPr>
          <w:rFonts w:ascii="Times New Roman" w:hAnsi="Times New Roman" w:cs="Times New Roman"/>
          <w:color w:val="000000" w:themeColor="text1"/>
          <w:sz w:val="24"/>
          <w:szCs w:val="24"/>
        </w:rPr>
        <w:t xml:space="preserve">būtiskas izmaiņas bezdarba </w:t>
      </w:r>
      <w:r w:rsidR="00B35064" w:rsidRPr="00721FBC">
        <w:rPr>
          <w:rFonts w:ascii="Times New Roman" w:hAnsi="Times New Roman" w:cs="Times New Roman"/>
          <w:color w:val="000000" w:themeColor="text1"/>
          <w:sz w:val="24"/>
          <w:szCs w:val="24"/>
        </w:rPr>
        <w:t>situācijā</w:t>
      </w:r>
      <w:r w:rsidRPr="00721FBC">
        <w:rPr>
          <w:rFonts w:ascii="Times New Roman" w:hAnsi="Times New Roman" w:cs="Times New Roman"/>
          <w:color w:val="000000" w:themeColor="text1"/>
          <w:sz w:val="24"/>
          <w:szCs w:val="24"/>
        </w:rPr>
        <w:t xml:space="preserve"> kopumā netiek gaidītas</w:t>
      </w:r>
      <w:r w:rsidR="00032040" w:rsidRPr="00721FBC">
        <w:rPr>
          <w:rFonts w:ascii="Times New Roman" w:hAnsi="Times New Roman" w:cs="Times New Roman"/>
          <w:color w:val="000000" w:themeColor="text1"/>
          <w:sz w:val="24"/>
          <w:szCs w:val="24"/>
        </w:rPr>
        <w:t>:</w:t>
      </w:r>
      <w:r w:rsidR="004416E7" w:rsidRPr="00721FBC">
        <w:rPr>
          <w:rFonts w:ascii="Times New Roman" w:hAnsi="Times New Roman" w:cs="Times New Roman"/>
          <w:color w:val="000000" w:themeColor="text1"/>
          <w:sz w:val="24"/>
          <w:szCs w:val="24"/>
        </w:rPr>
        <w:t xml:space="preserve"> </w:t>
      </w:r>
    </w:p>
    <w:p w14:paraId="4FA50887" w14:textId="5D280463" w:rsidR="00E74E46" w:rsidRPr="00721FBC" w:rsidRDefault="00A07C63" w:rsidP="00E74E46">
      <w:pPr>
        <w:pStyle w:val="ListParagraph"/>
        <w:numPr>
          <w:ilvl w:val="0"/>
          <w:numId w:val="3"/>
        </w:numPr>
        <w:spacing w:before="120" w:after="120"/>
        <w:ind w:left="714" w:hanging="357"/>
        <w:jc w:val="both"/>
        <w:rPr>
          <w:rFonts w:ascii="Times New Roman" w:hAnsi="Times New Roman" w:cs="Times New Roman"/>
          <w:color w:val="000000" w:themeColor="text1"/>
          <w:sz w:val="24"/>
          <w:szCs w:val="24"/>
        </w:rPr>
      </w:pPr>
      <w:r w:rsidRPr="00721FBC">
        <w:rPr>
          <w:rFonts w:ascii="Times New Roman" w:hAnsi="Times New Roman" w:cs="Times New Roman"/>
          <w:b/>
          <w:color w:val="000000" w:themeColor="text1"/>
          <w:sz w:val="24"/>
          <w:szCs w:val="24"/>
        </w:rPr>
        <w:t>Eiropas Komisijas</w:t>
      </w:r>
      <w:r w:rsidRPr="00721FBC">
        <w:rPr>
          <w:rFonts w:ascii="Times New Roman" w:hAnsi="Times New Roman" w:cs="Times New Roman"/>
          <w:color w:val="000000" w:themeColor="text1"/>
          <w:sz w:val="24"/>
          <w:szCs w:val="24"/>
        </w:rPr>
        <w:t xml:space="preserve"> </w:t>
      </w:r>
      <w:r w:rsidR="00407181" w:rsidRPr="00721FBC">
        <w:rPr>
          <w:rFonts w:ascii="Times New Roman" w:hAnsi="Times New Roman" w:cs="Times New Roman"/>
          <w:color w:val="000000" w:themeColor="text1"/>
          <w:sz w:val="24"/>
          <w:szCs w:val="24"/>
        </w:rPr>
        <w:t xml:space="preserve">(EK) </w:t>
      </w:r>
      <w:r w:rsidRPr="00721FBC">
        <w:rPr>
          <w:rFonts w:ascii="Times New Roman" w:hAnsi="Times New Roman" w:cs="Times New Roman"/>
          <w:color w:val="000000" w:themeColor="text1"/>
          <w:sz w:val="24"/>
          <w:szCs w:val="24"/>
        </w:rPr>
        <w:t>prognoze</w:t>
      </w:r>
      <w:r w:rsidRPr="00721FBC">
        <w:rPr>
          <w:rStyle w:val="FootnoteReference"/>
          <w:rFonts w:ascii="Times New Roman" w:hAnsi="Times New Roman" w:cs="Times New Roman"/>
          <w:color w:val="000000" w:themeColor="text1"/>
          <w:sz w:val="24"/>
          <w:szCs w:val="24"/>
        </w:rPr>
        <w:footnoteReference w:id="4"/>
      </w:r>
      <w:r w:rsidRPr="00721FBC">
        <w:rPr>
          <w:rFonts w:ascii="Times New Roman" w:hAnsi="Times New Roman" w:cs="Times New Roman"/>
          <w:color w:val="000000" w:themeColor="text1"/>
          <w:sz w:val="24"/>
          <w:szCs w:val="24"/>
        </w:rPr>
        <w:t xml:space="preserve"> bezdarba līmenim (CSP Darbaspēka </w:t>
      </w:r>
      <w:proofErr w:type="spellStart"/>
      <w:r w:rsidRPr="00721FBC">
        <w:rPr>
          <w:rFonts w:ascii="Times New Roman" w:hAnsi="Times New Roman" w:cs="Times New Roman"/>
          <w:color w:val="000000" w:themeColor="text1"/>
          <w:sz w:val="24"/>
          <w:szCs w:val="24"/>
        </w:rPr>
        <w:t>apsekojumā</w:t>
      </w:r>
      <w:proofErr w:type="spellEnd"/>
      <w:r w:rsidRPr="00721FBC">
        <w:rPr>
          <w:rFonts w:ascii="Times New Roman" w:hAnsi="Times New Roman" w:cs="Times New Roman"/>
          <w:color w:val="000000" w:themeColor="text1"/>
          <w:sz w:val="24"/>
          <w:szCs w:val="24"/>
        </w:rPr>
        <w:t xml:space="preserve"> iegūstamie dati) Latvijai </w:t>
      </w:r>
      <w:r w:rsidR="00FD0E74" w:rsidRPr="00721FBC">
        <w:rPr>
          <w:rFonts w:ascii="Times New Roman" w:hAnsi="Times New Roman" w:cs="Times New Roman"/>
          <w:color w:val="000000" w:themeColor="text1"/>
          <w:sz w:val="24"/>
          <w:szCs w:val="24"/>
        </w:rPr>
        <w:t>202</w:t>
      </w:r>
      <w:r w:rsidR="00CC7ED4" w:rsidRPr="00721FBC">
        <w:rPr>
          <w:rFonts w:ascii="Times New Roman" w:hAnsi="Times New Roman" w:cs="Times New Roman"/>
          <w:color w:val="000000" w:themeColor="text1"/>
          <w:sz w:val="24"/>
          <w:szCs w:val="24"/>
        </w:rPr>
        <w:t>6</w:t>
      </w:r>
      <w:r w:rsidR="00FD0E74" w:rsidRPr="00721FBC">
        <w:rPr>
          <w:rFonts w:ascii="Times New Roman" w:hAnsi="Times New Roman" w:cs="Times New Roman"/>
          <w:color w:val="000000" w:themeColor="text1"/>
          <w:sz w:val="24"/>
          <w:szCs w:val="24"/>
        </w:rPr>
        <w:t>.</w:t>
      </w:r>
      <w:r w:rsidR="00DE0E33" w:rsidRPr="00721FBC">
        <w:rPr>
          <w:rFonts w:ascii="Times New Roman" w:hAnsi="Times New Roman" w:cs="Times New Roman"/>
          <w:color w:val="000000" w:themeColor="text1"/>
          <w:sz w:val="24"/>
          <w:szCs w:val="24"/>
        </w:rPr>
        <w:t> </w:t>
      </w:r>
      <w:r w:rsidR="00FD0E74" w:rsidRPr="00721FBC">
        <w:rPr>
          <w:rFonts w:ascii="Times New Roman" w:hAnsi="Times New Roman" w:cs="Times New Roman"/>
          <w:color w:val="000000" w:themeColor="text1"/>
          <w:sz w:val="24"/>
          <w:szCs w:val="24"/>
        </w:rPr>
        <w:t xml:space="preserve">gadam </w:t>
      </w:r>
      <w:r w:rsidR="009464AE" w:rsidRPr="00721FBC">
        <w:rPr>
          <w:rFonts w:ascii="Times New Roman" w:hAnsi="Times New Roman" w:cs="Times New Roman"/>
          <w:color w:val="000000" w:themeColor="text1"/>
          <w:sz w:val="24"/>
          <w:szCs w:val="24"/>
        </w:rPr>
        <w:t xml:space="preserve">ir </w:t>
      </w:r>
      <w:r w:rsidR="009E5418" w:rsidRPr="00721FBC">
        <w:rPr>
          <w:rFonts w:ascii="Times New Roman" w:hAnsi="Times New Roman" w:cs="Times New Roman"/>
          <w:color w:val="000000" w:themeColor="text1"/>
          <w:sz w:val="24"/>
          <w:szCs w:val="24"/>
        </w:rPr>
        <w:t>6,</w:t>
      </w:r>
      <w:r w:rsidR="00610F83" w:rsidRPr="00721FBC">
        <w:rPr>
          <w:rFonts w:ascii="Times New Roman" w:hAnsi="Times New Roman" w:cs="Times New Roman"/>
          <w:color w:val="000000" w:themeColor="text1"/>
          <w:sz w:val="24"/>
          <w:szCs w:val="24"/>
        </w:rPr>
        <w:t>6</w:t>
      </w:r>
      <w:r w:rsidR="00BC1622" w:rsidRPr="00721FBC">
        <w:rPr>
          <w:rFonts w:ascii="Times New Roman" w:hAnsi="Times New Roman" w:cs="Times New Roman"/>
          <w:color w:val="000000" w:themeColor="text1"/>
          <w:sz w:val="24"/>
          <w:szCs w:val="24"/>
        </w:rPr>
        <w:t xml:space="preserve"> </w:t>
      </w:r>
      <w:r w:rsidR="00FD0E74" w:rsidRPr="00721FBC">
        <w:rPr>
          <w:rFonts w:ascii="Times New Roman" w:hAnsi="Times New Roman" w:cs="Times New Roman"/>
          <w:color w:val="000000" w:themeColor="text1"/>
          <w:sz w:val="24"/>
          <w:szCs w:val="24"/>
        </w:rPr>
        <w:t>%</w:t>
      </w:r>
      <w:r w:rsidR="00F91670" w:rsidRPr="00721FBC">
        <w:rPr>
          <w:rFonts w:ascii="Times New Roman" w:hAnsi="Times New Roman" w:cs="Times New Roman"/>
          <w:color w:val="000000" w:themeColor="text1"/>
          <w:sz w:val="24"/>
          <w:szCs w:val="24"/>
        </w:rPr>
        <w:t xml:space="preserve"> jeb </w:t>
      </w:r>
      <w:r w:rsidR="00610F83" w:rsidRPr="00721FBC">
        <w:rPr>
          <w:rFonts w:ascii="Times New Roman" w:hAnsi="Times New Roman" w:cs="Times New Roman"/>
          <w:color w:val="000000" w:themeColor="text1"/>
          <w:sz w:val="24"/>
          <w:szCs w:val="24"/>
        </w:rPr>
        <w:t>par 0,2 procentpunktiem zemāk</w:t>
      </w:r>
      <w:r w:rsidR="00437DC6" w:rsidRPr="00721FBC">
        <w:rPr>
          <w:rFonts w:ascii="Times New Roman" w:hAnsi="Times New Roman" w:cs="Times New Roman"/>
          <w:color w:val="000000" w:themeColor="text1"/>
          <w:sz w:val="24"/>
          <w:szCs w:val="24"/>
        </w:rPr>
        <w:t xml:space="preserve"> salīdzinājumā ar 2025. gad</w:t>
      </w:r>
      <w:r w:rsidR="00B10580" w:rsidRPr="00721FBC">
        <w:rPr>
          <w:rFonts w:ascii="Times New Roman" w:hAnsi="Times New Roman" w:cs="Times New Roman"/>
          <w:color w:val="000000" w:themeColor="text1"/>
          <w:sz w:val="24"/>
          <w:szCs w:val="24"/>
        </w:rPr>
        <w:t>u</w:t>
      </w:r>
      <w:r w:rsidR="001C15A2">
        <w:rPr>
          <w:rFonts w:ascii="Times New Roman" w:hAnsi="Times New Roman" w:cs="Times New Roman"/>
          <w:color w:val="000000" w:themeColor="text1"/>
          <w:sz w:val="24"/>
          <w:szCs w:val="24"/>
        </w:rPr>
        <w:t xml:space="preserve"> (6,8 %)</w:t>
      </w:r>
      <w:r w:rsidR="00FD0D45" w:rsidRPr="00721FBC">
        <w:rPr>
          <w:rFonts w:ascii="Times New Roman" w:hAnsi="Times New Roman" w:cs="Times New Roman"/>
          <w:color w:val="000000" w:themeColor="text1"/>
          <w:sz w:val="24"/>
          <w:szCs w:val="24"/>
        </w:rPr>
        <w:t xml:space="preserve">. </w:t>
      </w:r>
      <w:r w:rsidR="00407181" w:rsidRPr="00721FBC">
        <w:rPr>
          <w:rFonts w:ascii="Times New Roman" w:hAnsi="Times New Roman" w:cs="Times New Roman"/>
          <w:color w:val="000000" w:themeColor="text1"/>
          <w:sz w:val="24"/>
          <w:szCs w:val="24"/>
        </w:rPr>
        <w:t xml:space="preserve">EK norāda, ka </w:t>
      </w:r>
      <w:r w:rsidR="00AC7F15" w:rsidRPr="00721FBC">
        <w:rPr>
          <w:rFonts w:ascii="Times New Roman" w:hAnsi="Times New Roman" w:cs="Times New Roman"/>
          <w:color w:val="000000" w:themeColor="text1"/>
          <w:sz w:val="24"/>
          <w:szCs w:val="24"/>
        </w:rPr>
        <w:t xml:space="preserve">ekonomiskā izaugsme </w:t>
      </w:r>
      <w:r w:rsidR="00700B25">
        <w:rPr>
          <w:rFonts w:ascii="Times New Roman" w:hAnsi="Times New Roman" w:cs="Times New Roman"/>
          <w:color w:val="000000" w:themeColor="text1"/>
          <w:sz w:val="24"/>
          <w:szCs w:val="24"/>
        </w:rPr>
        <w:t xml:space="preserve">sāka </w:t>
      </w:r>
      <w:r w:rsidR="00AC7F15" w:rsidRPr="00721FBC">
        <w:rPr>
          <w:rFonts w:ascii="Times New Roman" w:hAnsi="Times New Roman" w:cs="Times New Roman"/>
          <w:color w:val="000000" w:themeColor="text1"/>
          <w:sz w:val="24"/>
          <w:szCs w:val="24"/>
        </w:rPr>
        <w:t>atjaunosies 2025. gad</w:t>
      </w:r>
      <w:r w:rsidR="00700B25">
        <w:rPr>
          <w:rFonts w:ascii="Times New Roman" w:hAnsi="Times New Roman" w:cs="Times New Roman"/>
          <w:color w:val="000000" w:themeColor="text1"/>
          <w:sz w:val="24"/>
          <w:szCs w:val="24"/>
        </w:rPr>
        <w:t>ā</w:t>
      </w:r>
      <w:r w:rsidR="00AC7F15" w:rsidRPr="00721FBC">
        <w:rPr>
          <w:rFonts w:ascii="Times New Roman" w:hAnsi="Times New Roman" w:cs="Times New Roman"/>
          <w:color w:val="000000" w:themeColor="text1"/>
          <w:sz w:val="24"/>
          <w:szCs w:val="24"/>
        </w:rPr>
        <w:t xml:space="preserve"> un attiecīgi bezdarba līmenis 202</w:t>
      </w:r>
      <w:r w:rsidR="00700B25">
        <w:rPr>
          <w:rFonts w:ascii="Times New Roman" w:hAnsi="Times New Roman" w:cs="Times New Roman"/>
          <w:color w:val="000000" w:themeColor="text1"/>
          <w:sz w:val="24"/>
          <w:szCs w:val="24"/>
        </w:rPr>
        <w:t>5</w:t>
      </w:r>
      <w:r w:rsidR="00AC7F15" w:rsidRPr="00721FBC">
        <w:rPr>
          <w:rFonts w:ascii="Times New Roman" w:hAnsi="Times New Roman" w:cs="Times New Roman"/>
          <w:color w:val="000000" w:themeColor="text1"/>
          <w:sz w:val="24"/>
          <w:szCs w:val="24"/>
        </w:rPr>
        <w:t>. gadā varētu samazināsies līdz 6,8</w:t>
      </w:r>
      <w:r w:rsidR="00BC1622" w:rsidRPr="00721FBC">
        <w:rPr>
          <w:rFonts w:ascii="Times New Roman" w:hAnsi="Times New Roman" w:cs="Times New Roman"/>
          <w:color w:val="000000" w:themeColor="text1"/>
          <w:sz w:val="24"/>
          <w:szCs w:val="24"/>
        </w:rPr>
        <w:t xml:space="preserve"> </w:t>
      </w:r>
      <w:r w:rsidR="00AC7F15" w:rsidRPr="00721FBC">
        <w:rPr>
          <w:rFonts w:ascii="Times New Roman" w:hAnsi="Times New Roman" w:cs="Times New Roman"/>
          <w:color w:val="000000" w:themeColor="text1"/>
          <w:sz w:val="24"/>
          <w:szCs w:val="24"/>
        </w:rPr>
        <w:t>% un</w:t>
      </w:r>
      <w:r w:rsidR="00D04037" w:rsidRPr="00721FBC">
        <w:rPr>
          <w:rFonts w:ascii="Times New Roman" w:hAnsi="Times New Roman" w:cs="Times New Roman"/>
          <w:color w:val="000000" w:themeColor="text1"/>
          <w:sz w:val="24"/>
          <w:szCs w:val="24"/>
        </w:rPr>
        <w:t>,</w:t>
      </w:r>
      <w:r w:rsidR="00AC7F15" w:rsidRPr="00721FBC">
        <w:rPr>
          <w:rFonts w:ascii="Times New Roman" w:hAnsi="Times New Roman" w:cs="Times New Roman"/>
          <w:color w:val="000000" w:themeColor="text1"/>
          <w:sz w:val="24"/>
          <w:szCs w:val="24"/>
        </w:rPr>
        <w:t xml:space="preserve"> </w:t>
      </w:r>
      <w:r w:rsidR="00D65E32" w:rsidRPr="00721FBC">
        <w:rPr>
          <w:rFonts w:ascii="Times New Roman" w:hAnsi="Times New Roman" w:cs="Times New Roman"/>
          <w:color w:val="000000" w:themeColor="text1"/>
          <w:sz w:val="24"/>
          <w:szCs w:val="24"/>
        </w:rPr>
        <w:t>pieaugot darbaspēka pieprasījumam</w:t>
      </w:r>
      <w:r w:rsidR="00D04037" w:rsidRPr="00721FBC">
        <w:rPr>
          <w:rFonts w:ascii="Times New Roman" w:hAnsi="Times New Roman" w:cs="Times New Roman"/>
          <w:color w:val="000000" w:themeColor="text1"/>
          <w:sz w:val="24"/>
          <w:szCs w:val="24"/>
        </w:rPr>
        <w:t>,</w:t>
      </w:r>
      <w:r w:rsidR="00D65E32" w:rsidRPr="00721FBC">
        <w:rPr>
          <w:rFonts w:ascii="Times New Roman" w:hAnsi="Times New Roman" w:cs="Times New Roman"/>
          <w:color w:val="000000" w:themeColor="text1"/>
          <w:sz w:val="24"/>
          <w:szCs w:val="24"/>
        </w:rPr>
        <w:t xml:space="preserve"> </w:t>
      </w:r>
      <w:r w:rsidR="00D53BEF" w:rsidRPr="00721FBC">
        <w:rPr>
          <w:rFonts w:ascii="Times New Roman" w:hAnsi="Times New Roman" w:cs="Times New Roman"/>
          <w:color w:val="000000" w:themeColor="text1"/>
          <w:sz w:val="24"/>
          <w:szCs w:val="24"/>
        </w:rPr>
        <w:t>tendence saglabāsies</w:t>
      </w:r>
      <w:r w:rsidR="00D65E32" w:rsidRPr="00721FBC">
        <w:rPr>
          <w:rFonts w:ascii="Times New Roman" w:hAnsi="Times New Roman" w:cs="Times New Roman"/>
          <w:color w:val="000000" w:themeColor="text1"/>
          <w:sz w:val="24"/>
          <w:szCs w:val="24"/>
        </w:rPr>
        <w:t xml:space="preserve"> arī </w:t>
      </w:r>
      <w:r w:rsidR="00AC7F15" w:rsidRPr="00721FBC">
        <w:rPr>
          <w:rFonts w:ascii="Times New Roman" w:hAnsi="Times New Roman" w:cs="Times New Roman"/>
          <w:color w:val="000000" w:themeColor="text1"/>
          <w:sz w:val="24"/>
          <w:szCs w:val="24"/>
        </w:rPr>
        <w:t>2026. un 2027. gadā.</w:t>
      </w:r>
      <w:r w:rsidR="00A2091A" w:rsidRPr="00721FBC">
        <w:rPr>
          <w:rFonts w:ascii="Times New Roman" w:hAnsi="Times New Roman" w:cs="Times New Roman"/>
          <w:color w:val="000000" w:themeColor="text1"/>
          <w:sz w:val="24"/>
          <w:szCs w:val="24"/>
        </w:rPr>
        <w:t xml:space="preserve"> </w:t>
      </w:r>
    </w:p>
    <w:p w14:paraId="4FF0F22F" w14:textId="6ABF802C" w:rsidR="00DB34FF" w:rsidRPr="00721FBC" w:rsidRDefault="00DB34FF" w:rsidP="00E74E46">
      <w:pPr>
        <w:pStyle w:val="ListParagraph"/>
        <w:numPr>
          <w:ilvl w:val="0"/>
          <w:numId w:val="3"/>
        </w:numPr>
        <w:spacing w:before="120" w:after="120"/>
        <w:ind w:left="714" w:hanging="357"/>
        <w:jc w:val="both"/>
        <w:rPr>
          <w:rFonts w:ascii="Times New Roman" w:hAnsi="Times New Roman" w:cs="Times New Roman"/>
          <w:color w:val="000000" w:themeColor="text1"/>
          <w:sz w:val="24"/>
          <w:szCs w:val="24"/>
        </w:rPr>
      </w:pPr>
      <w:r w:rsidRPr="00721FBC">
        <w:rPr>
          <w:rFonts w:ascii="Times New Roman" w:hAnsi="Times New Roman" w:cs="Times New Roman"/>
          <w:b/>
          <w:color w:val="000000" w:themeColor="text1"/>
          <w:sz w:val="24"/>
          <w:szCs w:val="24"/>
        </w:rPr>
        <w:t xml:space="preserve">OECD </w:t>
      </w:r>
      <w:r w:rsidRPr="00721FBC">
        <w:rPr>
          <w:rFonts w:ascii="Times New Roman" w:hAnsi="Times New Roman" w:cs="Times New Roman"/>
          <w:color w:val="000000" w:themeColor="text1"/>
          <w:sz w:val="24"/>
          <w:szCs w:val="24"/>
        </w:rPr>
        <w:t>prognoze</w:t>
      </w:r>
      <w:r w:rsidRPr="00721FBC">
        <w:rPr>
          <w:rStyle w:val="FootnoteReference"/>
          <w:rFonts w:ascii="Times New Roman" w:hAnsi="Times New Roman" w:cs="Times New Roman"/>
          <w:color w:val="000000" w:themeColor="text1"/>
          <w:sz w:val="24"/>
          <w:szCs w:val="24"/>
        </w:rPr>
        <w:footnoteReference w:id="5"/>
      </w:r>
      <w:r w:rsidRPr="00721FBC">
        <w:rPr>
          <w:rFonts w:ascii="Times New Roman" w:hAnsi="Times New Roman" w:cs="Times New Roman"/>
          <w:color w:val="000000" w:themeColor="text1"/>
          <w:sz w:val="24"/>
          <w:szCs w:val="24"/>
        </w:rPr>
        <w:t xml:space="preserve"> bezdarba līmenim (CSP Darbaspēka </w:t>
      </w:r>
      <w:proofErr w:type="spellStart"/>
      <w:r w:rsidRPr="00721FBC">
        <w:rPr>
          <w:rFonts w:ascii="Times New Roman" w:hAnsi="Times New Roman" w:cs="Times New Roman"/>
          <w:color w:val="000000" w:themeColor="text1"/>
          <w:sz w:val="24"/>
          <w:szCs w:val="24"/>
        </w:rPr>
        <w:t>apsekojumā</w:t>
      </w:r>
      <w:proofErr w:type="spellEnd"/>
      <w:r w:rsidRPr="00721FBC">
        <w:rPr>
          <w:rFonts w:ascii="Times New Roman" w:hAnsi="Times New Roman" w:cs="Times New Roman"/>
          <w:color w:val="000000" w:themeColor="text1"/>
          <w:sz w:val="24"/>
          <w:szCs w:val="24"/>
        </w:rPr>
        <w:t xml:space="preserve"> iegūstamie dati) 202</w:t>
      </w:r>
      <w:r w:rsidR="00E065DF" w:rsidRPr="00721FBC">
        <w:rPr>
          <w:rFonts w:ascii="Times New Roman" w:hAnsi="Times New Roman" w:cs="Times New Roman"/>
          <w:color w:val="000000" w:themeColor="text1"/>
          <w:sz w:val="24"/>
          <w:szCs w:val="24"/>
        </w:rPr>
        <w:t>6</w:t>
      </w:r>
      <w:r w:rsidRPr="00721FBC">
        <w:rPr>
          <w:rFonts w:ascii="Times New Roman" w:hAnsi="Times New Roman" w:cs="Times New Roman"/>
          <w:color w:val="000000" w:themeColor="text1"/>
          <w:sz w:val="24"/>
          <w:szCs w:val="24"/>
        </w:rPr>
        <w:t>.</w:t>
      </w:r>
      <w:r w:rsidR="00DE0E33" w:rsidRPr="00721FBC">
        <w:rPr>
          <w:rFonts w:ascii="Times New Roman" w:hAnsi="Times New Roman" w:cs="Times New Roman"/>
          <w:color w:val="000000" w:themeColor="text1"/>
          <w:sz w:val="24"/>
          <w:szCs w:val="24"/>
        </w:rPr>
        <w:t> </w:t>
      </w:r>
      <w:r w:rsidRPr="00721FBC">
        <w:rPr>
          <w:rFonts w:ascii="Times New Roman" w:hAnsi="Times New Roman" w:cs="Times New Roman"/>
          <w:color w:val="000000" w:themeColor="text1"/>
          <w:sz w:val="24"/>
          <w:szCs w:val="24"/>
        </w:rPr>
        <w:t xml:space="preserve">gadam </w:t>
      </w:r>
      <w:r w:rsidR="00312744" w:rsidRPr="00721FBC">
        <w:rPr>
          <w:rFonts w:ascii="Times New Roman" w:hAnsi="Times New Roman" w:cs="Times New Roman"/>
          <w:color w:val="000000" w:themeColor="text1"/>
          <w:sz w:val="24"/>
          <w:szCs w:val="24"/>
        </w:rPr>
        <w:t>ir</w:t>
      </w:r>
      <w:r w:rsidRPr="00721FBC">
        <w:rPr>
          <w:rFonts w:ascii="Times New Roman" w:hAnsi="Times New Roman" w:cs="Times New Roman"/>
          <w:color w:val="000000" w:themeColor="text1"/>
          <w:sz w:val="24"/>
          <w:szCs w:val="24"/>
        </w:rPr>
        <w:t xml:space="preserve"> 6,</w:t>
      </w:r>
      <w:r w:rsidR="00E065DF" w:rsidRPr="00721FBC">
        <w:rPr>
          <w:rFonts w:ascii="Times New Roman" w:hAnsi="Times New Roman" w:cs="Times New Roman"/>
          <w:color w:val="000000" w:themeColor="text1"/>
          <w:sz w:val="24"/>
          <w:szCs w:val="24"/>
        </w:rPr>
        <w:t>5</w:t>
      </w:r>
      <w:r w:rsidR="001A7993" w:rsidRPr="00721FBC">
        <w:rPr>
          <w:rFonts w:ascii="Times New Roman" w:hAnsi="Times New Roman" w:cs="Times New Roman"/>
          <w:color w:val="000000" w:themeColor="text1"/>
          <w:sz w:val="24"/>
          <w:szCs w:val="24"/>
        </w:rPr>
        <w:t xml:space="preserve"> </w:t>
      </w:r>
      <w:r w:rsidRPr="00721FBC">
        <w:rPr>
          <w:rFonts w:ascii="Times New Roman" w:hAnsi="Times New Roman" w:cs="Times New Roman"/>
          <w:color w:val="000000" w:themeColor="text1"/>
          <w:sz w:val="24"/>
          <w:szCs w:val="24"/>
        </w:rPr>
        <w:t>%</w:t>
      </w:r>
      <w:r w:rsidR="003209B4" w:rsidRPr="00721FBC">
        <w:rPr>
          <w:rFonts w:ascii="Times New Roman" w:hAnsi="Times New Roman" w:cs="Times New Roman"/>
          <w:color w:val="000000" w:themeColor="text1"/>
          <w:sz w:val="24"/>
          <w:szCs w:val="24"/>
        </w:rPr>
        <w:t>, kas ir par 0,</w:t>
      </w:r>
      <w:r w:rsidR="00395CC9" w:rsidRPr="00721FBC">
        <w:rPr>
          <w:rFonts w:ascii="Times New Roman" w:hAnsi="Times New Roman" w:cs="Times New Roman"/>
          <w:color w:val="000000" w:themeColor="text1"/>
          <w:sz w:val="24"/>
          <w:szCs w:val="24"/>
        </w:rPr>
        <w:t>2</w:t>
      </w:r>
      <w:r w:rsidR="003209B4" w:rsidRPr="00721FBC">
        <w:rPr>
          <w:rFonts w:ascii="Times New Roman" w:hAnsi="Times New Roman" w:cs="Times New Roman"/>
          <w:color w:val="000000" w:themeColor="text1"/>
          <w:sz w:val="24"/>
          <w:szCs w:val="24"/>
        </w:rPr>
        <w:t xml:space="preserve"> procentpunkt</w:t>
      </w:r>
      <w:r w:rsidR="00395CC9" w:rsidRPr="00721FBC">
        <w:rPr>
          <w:rFonts w:ascii="Times New Roman" w:hAnsi="Times New Roman" w:cs="Times New Roman"/>
          <w:color w:val="000000" w:themeColor="text1"/>
          <w:sz w:val="24"/>
          <w:szCs w:val="24"/>
        </w:rPr>
        <w:t>iem</w:t>
      </w:r>
      <w:r w:rsidR="003209B4" w:rsidRPr="00721FBC">
        <w:rPr>
          <w:rFonts w:ascii="Times New Roman" w:hAnsi="Times New Roman" w:cs="Times New Roman"/>
          <w:color w:val="000000" w:themeColor="text1"/>
          <w:sz w:val="24"/>
          <w:szCs w:val="24"/>
        </w:rPr>
        <w:t xml:space="preserve"> </w:t>
      </w:r>
      <w:r w:rsidR="00395CC9" w:rsidRPr="00721FBC">
        <w:rPr>
          <w:rFonts w:ascii="Times New Roman" w:hAnsi="Times New Roman" w:cs="Times New Roman"/>
          <w:color w:val="000000" w:themeColor="text1"/>
          <w:sz w:val="24"/>
          <w:szCs w:val="24"/>
        </w:rPr>
        <w:t>zemāk</w:t>
      </w:r>
      <w:r w:rsidR="003209B4" w:rsidRPr="00721FBC">
        <w:rPr>
          <w:rFonts w:ascii="Times New Roman" w:hAnsi="Times New Roman" w:cs="Times New Roman"/>
          <w:color w:val="000000" w:themeColor="text1"/>
          <w:sz w:val="24"/>
          <w:szCs w:val="24"/>
        </w:rPr>
        <w:t xml:space="preserve"> </w:t>
      </w:r>
      <w:r w:rsidR="00F13944" w:rsidRPr="00721FBC">
        <w:rPr>
          <w:rFonts w:ascii="Times New Roman" w:hAnsi="Times New Roman" w:cs="Times New Roman"/>
          <w:color w:val="000000" w:themeColor="text1"/>
          <w:sz w:val="24"/>
          <w:szCs w:val="24"/>
        </w:rPr>
        <w:t>par prognozēm</w:t>
      </w:r>
      <w:r w:rsidR="003209B4" w:rsidRPr="00721FBC">
        <w:rPr>
          <w:rFonts w:ascii="Times New Roman" w:hAnsi="Times New Roman" w:cs="Times New Roman"/>
          <w:color w:val="000000" w:themeColor="text1"/>
          <w:sz w:val="24"/>
          <w:szCs w:val="24"/>
        </w:rPr>
        <w:t xml:space="preserve"> 202</w:t>
      </w:r>
      <w:r w:rsidR="00395CC9" w:rsidRPr="00721FBC">
        <w:rPr>
          <w:rFonts w:ascii="Times New Roman" w:hAnsi="Times New Roman" w:cs="Times New Roman"/>
          <w:color w:val="000000" w:themeColor="text1"/>
          <w:sz w:val="24"/>
          <w:szCs w:val="24"/>
        </w:rPr>
        <w:t>5</w:t>
      </w:r>
      <w:r w:rsidR="003209B4" w:rsidRPr="00721FBC">
        <w:rPr>
          <w:rFonts w:ascii="Times New Roman" w:hAnsi="Times New Roman" w:cs="Times New Roman"/>
          <w:color w:val="000000" w:themeColor="text1"/>
          <w:sz w:val="24"/>
          <w:szCs w:val="24"/>
        </w:rPr>
        <w:t>.</w:t>
      </w:r>
      <w:r w:rsidR="00DE0E33" w:rsidRPr="00721FBC">
        <w:rPr>
          <w:rFonts w:ascii="Times New Roman" w:hAnsi="Times New Roman" w:cs="Times New Roman"/>
          <w:color w:val="000000" w:themeColor="text1"/>
          <w:sz w:val="24"/>
          <w:szCs w:val="24"/>
        </w:rPr>
        <w:t> </w:t>
      </w:r>
      <w:r w:rsidR="003209B4" w:rsidRPr="00721FBC">
        <w:rPr>
          <w:rFonts w:ascii="Times New Roman" w:hAnsi="Times New Roman" w:cs="Times New Roman"/>
          <w:color w:val="000000" w:themeColor="text1"/>
          <w:sz w:val="24"/>
          <w:szCs w:val="24"/>
        </w:rPr>
        <w:t>gadam</w:t>
      </w:r>
      <w:r w:rsidR="00395CC9" w:rsidRPr="00721FBC">
        <w:rPr>
          <w:rFonts w:ascii="Times New Roman" w:hAnsi="Times New Roman" w:cs="Times New Roman"/>
          <w:color w:val="000000" w:themeColor="text1"/>
          <w:sz w:val="24"/>
          <w:szCs w:val="24"/>
        </w:rPr>
        <w:t xml:space="preserve"> (6,7</w:t>
      </w:r>
      <w:r w:rsidR="001A7993" w:rsidRPr="00721FBC">
        <w:rPr>
          <w:rFonts w:ascii="Times New Roman" w:hAnsi="Times New Roman" w:cs="Times New Roman"/>
          <w:color w:val="000000" w:themeColor="text1"/>
          <w:sz w:val="24"/>
          <w:szCs w:val="24"/>
        </w:rPr>
        <w:t xml:space="preserve"> </w:t>
      </w:r>
      <w:r w:rsidR="00395CC9" w:rsidRPr="00721FBC">
        <w:rPr>
          <w:rFonts w:ascii="Times New Roman" w:hAnsi="Times New Roman" w:cs="Times New Roman"/>
          <w:color w:val="000000" w:themeColor="text1"/>
          <w:sz w:val="24"/>
          <w:szCs w:val="24"/>
        </w:rPr>
        <w:t>%)</w:t>
      </w:r>
      <w:r w:rsidR="003209B4" w:rsidRPr="00721FBC">
        <w:rPr>
          <w:rFonts w:ascii="Times New Roman" w:hAnsi="Times New Roman" w:cs="Times New Roman"/>
          <w:color w:val="000000" w:themeColor="text1"/>
          <w:sz w:val="24"/>
          <w:szCs w:val="24"/>
        </w:rPr>
        <w:t>.</w:t>
      </w:r>
    </w:p>
    <w:p w14:paraId="48C7D90A" w14:textId="3A26C26B" w:rsidR="005F4DE3" w:rsidRPr="00721FBC" w:rsidRDefault="009342F3" w:rsidP="005F4DE3">
      <w:pPr>
        <w:pStyle w:val="ListParagraph"/>
        <w:numPr>
          <w:ilvl w:val="0"/>
          <w:numId w:val="3"/>
        </w:numPr>
        <w:spacing w:after="120"/>
        <w:jc w:val="both"/>
        <w:rPr>
          <w:rFonts w:ascii="Times New Roman" w:hAnsi="Times New Roman" w:cs="Times New Roman"/>
          <w:color w:val="000000" w:themeColor="text1"/>
          <w:sz w:val="24"/>
          <w:szCs w:val="24"/>
        </w:rPr>
      </w:pPr>
      <w:r w:rsidRPr="00721FBC">
        <w:rPr>
          <w:rFonts w:ascii="Times New Roman" w:hAnsi="Times New Roman" w:cs="Times New Roman"/>
          <w:b/>
          <w:color w:val="000000" w:themeColor="text1"/>
          <w:sz w:val="24"/>
          <w:szCs w:val="24"/>
        </w:rPr>
        <w:t xml:space="preserve">Latvijas </w:t>
      </w:r>
      <w:r w:rsidR="008F4DCD" w:rsidRPr="00721FBC">
        <w:rPr>
          <w:rFonts w:ascii="Times New Roman" w:hAnsi="Times New Roman" w:cs="Times New Roman"/>
          <w:b/>
          <w:color w:val="000000" w:themeColor="text1"/>
          <w:sz w:val="24"/>
          <w:szCs w:val="24"/>
        </w:rPr>
        <w:t>B</w:t>
      </w:r>
      <w:r w:rsidRPr="00721FBC">
        <w:rPr>
          <w:rFonts w:ascii="Times New Roman" w:hAnsi="Times New Roman" w:cs="Times New Roman"/>
          <w:b/>
          <w:color w:val="000000" w:themeColor="text1"/>
          <w:sz w:val="24"/>
          <w:szCs w:val="24"/>
        </w:rPr>
        <w:t>ankas</w:t>
      </w:r>
      <w:r w:rsidRPr="00721FBC">
        <w:rPr>
          <w:rFonts w:ascii="Times New Roman" w:hAnsi="Times New Roman" w:cs="Times New Roman"/>
          <w:color w:val="000000" w:themeColor="text1"/>
          <w:sz w:val="24"/>
          <w:szCs w:val="24"/>
        </w:rPr>
        <w:t xml:space="preserve"> ekspert</w:t>
      </w:r>
      <w:r w:rsidR="0072730C" w:rsidRPr="00721FBC">
        <w:rPr>
          <w:rFonts w:ascii="Times New Roman" w:hAnsi="Times New Roman" w:cs="Times New Roman"/>
          <w:color w:val="000000" w:themeColor="text1"/>
          <w:sz w:val="24"/>
          <w:szCs w:val="24"/>
        </w:rPr>
        <w:t>i</w:t>
      </w:r>
      <w:r w:rsidRPr="00721FBC">
        <w:rPr>
          <w:rFonts w:ascii="Times New Roman" w:hAnsi="Times New Roman" w:cs="Times New Roman"/>
          <w:color w:val="000000" w:themeColor="text1"/>
          <w:sz w:val="24"/>
          <w:szCs w:val="24"/>
        </w:rPr>
        <w:t xml:space="preserve"> </w:t>
      </w:r>
      <w:r w:rsidR="00F46212" w:rsidRPr="00721FBC">
        <w:rPr>
          <w:rFonts w:ascii="Times New Roman" w:hAnsi="Times New Roman" w:cs="Times New Roman"/>
          <w:color w:val="000000" w:themeColor="text1"/>
          <w:sz w:val="24"/>
          <w:szCs w:val="24"/>
        </w:rPr>
        <w:t>202</w:t>
      </w:r>
      <w:r w:rsidR="008F6B55" w:rsidRPr="00721FBC">
        <w:rPr>
          <w:rFonts w:ascii="Times New Roman" w:hAnsi="Times New Roman" w:cs="Times New Roman"/>
          <w:color w:val="000000" w:themeColor="text1"/>
          <w:sz w:val="24"/>
          <w:szCs w:val="24"/>
        </w:rPr>
        <w:t>6</w:t>
      </w:r>
      <w:r w:rsidR="00F46212" w:rsidRPr="00721FBC">
        <w:rPr>
          <w:rFonts w:ascii="Times New Roman" w:hAnsi="Times New Roman" w:cs="Times New Roman"/>
          <w:color w:val="000000" w:themeColor="text1"/>
          <w:sz w:val="24"/>
          <w:szCs w:val="24"/>
        </w:rPr>
        <w:t>.</w:t>
      </w:r>
      <w:r w:rsidR="00DE0E33" w:rsidRPr="00721FBC">
        <w:rPr>
          <w:rFonts w:ascii="Times New Roman" w:hAnsi="Times New Roman" w:cs="Times New Roman"/>
          <w:color w:val="000000" w:themeColor="text1"/>
          <w:sz w:val="24"/>
          <w:szCs w:val="24"/>
        </w:rPr>
        <w:t> </w:t>
      </w:r>
      <w:r w:rsidR="00F46212" w:rsidRPr="00721FBC">
        <w:rPr>
          <w:rFonts w:ascii="Times New Roman" w:hAnsi="Times New Roman" w:cs="Times New Roman"/>
          <w:color w:val="000000" w:themeColor="text1"/>
          <w:sz w:val="24"/>
          <w:szCs w:val="24"/>
        </w:rPr>
        <w:t>gadā salīdzinājumā ar 202</w:t>
      </w:r>
      <w:r w:rsidR="008F6B55" w:rsidRPr="00721FBC">
        <w:rPr>
          <w:rFonts w:ascii="Times New Roman" w:hAnsi="Times New Roman" w:cs="Times New Roman"/>
          <w:color w:val="000000" w:themeColor="text1"/>
          <w:sz w:val="24"/>
          <w:szCs w:val="24"/>
        </w:rPr>
        <w:t>5</w:t>
      </w:r>
      <w:r w:rsidR="00F46212" w:rsidRPr="00721FBC">
        <w:rPr>
          <w:rFonts w:ascii="Times New Roman" w:hAnsi="Times New Roman" w:cs="Times New Roman"/>
          <w:color w:val="000000" w:themeColor="text1"/>
          <w:sz w:val="24"/>
          <w:szCs w:val="24"/>
        </w:rPr>
        <w:t>.</w:t>
      </w:r>
      <w:r w:rsidR="00DE0E33" w:rsidRPr="00721FBC">
        <w:rPr>
          <w:rFonts w:ascii="Times New Roman" w:hAnsi="Times New Roman" w:cs="Times New Roman"/>
          <w:color w:val="000000" w:themeColor="text1"/>
          <w:sz w:val="24"/>
          <w:szCs w:val="24"/>
        </w:rPr>
        <w:t> </w:t>
      </w:r>
      <w:r w:rsidR="00F46212" w:rsidRPr="00721FBC">
        <w:rPr>
          <w:rFonts w:ascii="Times New Roman" w:hAnsi="Times New Roman" w:cs="Times New Roman"/>
          <w:color w:val="000000" w:themeColor="text1"/>
          <w:sz w:val="24"/>
          <w:szCs w:val="24"/>
        </w:rPr>
        <w:t>gadu prognozē bezdarba līmeņa samazinājumu par 0,</w:t>
      </w:r>
      <w:r w:rsidR="006739E9" w:rsidRPr="00721FBC">
        <w:rPr>
          <w:rFonts w:ascii="Times New Roman" w:hAnsi="Times New Roman" w:cs="Times New Roman"/>
          <w:color w:val="000000" w:themeColor="text1"/>
          <w:sz w:val="24"/>
          <w:szCs w:val="24"/>
        </w:rPr>
        <w:t>3 procentpunkt</w:t>
      </w:r>
      <w:r w:rsidR="005F4DE3" w:rsidRPr="00721FBC">
        <w:rPr>
          <w:rFonts w:ascii="Times New Roman" w:hAnsi="Times New Roman" w:cs="Times New Roman"/>
          <w:color w:val="000000" w:themeColor="text1"/>
          <w:sz w:val="24"/>
          <w:szCs w:val="24"/>
        </w:rPr>
        <w:t>iem</w:t>
      </w:r>
      <w:r w:rsidR="00132332" w:rsidRPr="00721FBC">
        <w:rPr>
          <w:rFonts w:ascii="Times New Roman" w:hAnsi="Times New Roman" w:cs="Times New Roman"/>
          <w:color w:val="000000" w:themeColor="text1"/>
          <w:sz w:val="24"/>
          <w:szCs w:val="24"/>
        </w:rPr>
        <w:t xml:space="preserve"> un</w:t>
      </w:r>
      <w:r w:rsidR="00C5716D" w:rsidRPr="00721FBC">
        <w:rPr>
          <w:rFonts w:ascii="Times New Roman" w:hAnsi="Times New Roman" w:cs="Times New Roman"/>
          <w:color w:val="000000" w:themeColor="text1"/>
          <w:sz w:val="24"/>
          <w:szCs w:val="24"/>
        </w:rPr>
        <w:t xml:space="preserve"> </w:t>
      </w:r>
      <w:r w:rsidR="00F46212" w:rsidRPr="00721FBC">
        <w:rPr>
          <w:rFonts w:ascii="Times New Roman" w:hAnsi="Times New Roman" w:cs="Times New Roman"/>
          <w:color w:val="000000" w:themeColor="text1"/>
          <w:sz w:val="24"/>
          <w:szCs w:val="24"/>
        </w:rPr>
        <w:t xml:space="preserve">attiecīgi </w:t>
      </w:r>
      <w:r w:rsidR="008460D6" w:rsidRPr="00721FBC">
        <w:rPr>
          <w:rFonts w:ascii="Times New Roman" w:hAnsi="Times New Roman" w:cs="Times New Roman"/>
          <w:color w:val="000000" w:themeColor="text1"/>
          <w:sz w:val="24"/>
          <w:szCs w:val="24"/>
        </w:rPr>
        <w:t xml:space="preserve">tas varētu būt </w:t>
      </w:r>
      <w:r w:rsidR="00C5716D" w:rsidRPr="00721FBC">
        <w:rPr>
          <w:rFonts w:ascii="Times New Roman" w:hAnsi="Times New Roman" w:cs="Times New Roman"/>
          <w:color w:val="000000" w:themeColor="text1"/>
          <w:sz w:val="24"/>
          <w:szCs w:val="24"/>
        </w:rPr>
        <w:t>6,</w:t>
      </w:r>
      <w:r w:rsidR="008F6B55" w:rsidRPr="00721FBC">
        <w:rPr>
          <w:rFonts w:ascii="Times New Roman" w:hAnsi="Times New Roman" w:cs="Times New Roman"/>
          <w:color w:val="000000" w:themeColor="text1"/>
          <w:sz w:val="24"/>
          <w:szCs w:val="24"/>
        </w:rPr>
        <w:t>6</w:t>
      </w:r>
      <w:r w:rsidR="001A7993" w:rsidRPr="00721FBC">
        <w:rPr>
          <w:rFonts w:ascii="Times New Roman" w:hAnsi="Times New Roman" w:cs="Times New Roman"/>
          <w:color w:val="000000" w:themeColor="text1"/>
          <w:sz w:val="24"/>
          <w:szCs w:val="24"/>
        </w:rPr>
        <w:t xml:space="preserve"> </w:t>
      </w:r>
      <w:r w:rsidR="00C5716D" w:rsidRPr="00721FBC">
        <w:rPr>
          <w:rFonts w:ascii="Times New Roman" w:hAnsi="Times New Roman" w:cs="Times New Roman"/>
          <w:color w:val="000000" w:themeColor="text1"/>
          <w:sz w:val="24"/>
          <w:szCs w:val="24"/>
        </w:rPr>
        <w:t xml:space="preserve">%, </w:t>
      </w:r>
      <w:r w:rsidR="00132332" w:rsidRPr="00721FBC">
        <w:rPr>
          <w:rFonts w:ascii="Times New Roman" w:hAnsi="Times New Roman" w:cs="Times New Roman"/>
          <w:color w:val="000000" w:themeColor="text1"/>
          <w:sz w:val="24"/>
          <w:szCs w:val="24"/>
        </w:rPr>
        <w:t xml:space="preserve">kā arī pakāpenisku </w:t>
      </w:r>
      <w:r w:rsidR="00BE633A" w:rsidRPr="00721FBC">
        <w:rPr>
          <w:rFonts w:ascii="Times New Roman" w:hAnsi="Times New Roman" w:cs="Times New Roman"/>
          <w:color w:val="000000" w:themeColor="text1"/>
          <w:sz w:val="24"/>
          <w:szCs w:val="24"/>
        </w:rPr>
        <w:t>situācijas uzlabošanos</w:t>
      </w:r>
      <w:r w:rsidR="00132332" w:rsidRPr="00721FBC">
        <w:rPr>
          <w:rFonts w:ascii="Times New Roman" w:hAnsi="Times New Roman" w:cs="Times New Roman"/>
          <w:color w:val="000000" w:themeColor="text1"/>
          <w:sz w:val="24"/>
          <w:szCs w:val="24"/>
        </w:rPr>
        <w:t xml:space="preserve"> turpmākajos gados</w:t>
      </w:r>
      <w:r w:rsidR="00B714E4" w:rsidRPr="00721FBC">
        <w:rPr>
          <w:rFonts w:ascii="Times New Roman" w:hAnsi="Times New Roman" w:cs="Times New Roman"/>
          <w:color w:val="000000" w:themeColor="text1"/>
          <w:sz w:val="24"/>
          <w:szCs w:val="24"/>
        </w:rPr>
        <w:t xml:space="preserve"> (līdz 6,</w:t>
      </w:r>
      <w:r w:rsidR="00D53BEF" w:rsidRPr="00721FBC">
        <w:rPr>
          <w:rFonts w:ascii="Times New Roman" w:hAnsi="Times New Roman" w:cs="Times New Roman"/>
          <w:color w:val="000000" w:themeColor="text1"/>
          <w:sz w:val="24"/>
          <w:szCs w:val="24"/>
        </w:rPr>
        <w:t>4</w:t>
      </w:r>
      <w:r w:rsidR="001A7993" w:rsidRPr="00721FBC">
        <w:rPr>
          <w:rFonts w:ascii="Times New Roman" w:hAnsi="Times New Roman" w:cs="Times New Roman"/>
          <w:color w:val="000000" w:themeColor="text1"/>
          <w:sz w:val="24"/>
          <w:szCs w:val="24"/>
        </w:rPr>
        <w:t xml:space="preserve"> </w:t>
      </w:r>
      <w:r w:rsidR="00B714E4" w:rsidRPr="00721FBC">
        <w:rPr>
          <w:rFonts w:ascii="Times New Roman" w:hAnsi="Times New Roman" w:cs="Times New Roman"/>
          <w:color w:val="000000" w:themeColor="text1"/>
          <w:sz w:val="24"/>
          <w:szCs w:val="24"/>
        </w:rPr>
        <w:t>% 202</w:t>
      </w:r>
      <w:r w:rsidR="00D53BEF" w:rsidRPr="00721FBC">
        <w:rPr>
          <w:rFonts w:ascii="Times New Roman" w:hAnsi="Times New Roman" w:cs="Times New Roman"/>
          <w:color w:val="000000" w:themeColor="text1"/>
          <w:sz w:val="24"/>
          <w:szCs w:val="24"/>
        </w:rPr>
        <w:t>7</w:t>
      </w:r>
      <w:r w:rsidR="00B714E4" w:rsidRPr="00721FBC">
        <w:rPr>
          <w:rFonts w:ascii="Times New Roman" w:hAnsi="Times New Roman" w:cs="Times New Roman"/>
          <w:color w:val="000000" w:themeColor="text1"/>
          <w:sz w:val="24"/>
          <w:szCs w:val="24"/>
        </w:rPr>
        <w:t>.</w:t>
      </w:r>
      <w:r w:rsidR="00F8133B" w:rsidRPr="00721FBC">
        <w:rPr>
          <w:rFonts w:ascii="Times New Roman" w:hAnsi="Times New Roman" w:cs="Times New Roman"/>
          <w:color w:val="000000" w:themeColor="text1"/>
          <w:sz w:val="24"/>
          <w:szCs w:val="24"/>
        </w:rPr>
        <w:t> </w:t>
      </w:r>
      <w:r w:rsidR="00B714E4" w:rsidRPr="00721FBC">
        <w:rPr>
          <w:rFonts w:ascii="Times New Roman" w:hAnsi="Times New Roman" w:cs="Times New Roman"/>
          <w:color w:val="000000" w:themeColor="text1"/>
          <w:sz w:val="24"/>
          <w:szCs w:val="24"/>
        </w:rPr>
        <w:t>gadā)</w:t>
      </w:r>
      <w:r w:rsidR="00132332" w:rsidRPr="00721FBC">
        <w:rPr>
          <w:rFonts w:ascii="Times New Roman" w:hAnsi="Times New Roman" w:cs="Times New Roman"/>
          <w:color w:val="000000" w:themeColor="text1"/>
          <w:sz w:val="24"/>
          <w:szCs w:val="24"/>
        </w:rPr>
        <w:t>.</w:t>
      </w:r>
      <w:r w:rsidR="006238CE" w:rsidRPr="00721FBC">
        <w:rPr>
          <w:rStyle w:val="FootnoteReference"/>
          <w:rFonts w:ascii="Times New Roman" w:hAnsi="Times New Roman" w:cs="Times New Roman"/>
          <w:color w:val="000000" w:themeColor="text1"/>
          <w:sz w:val="24"/>
          <w:szCs w:val="24"/>
        </w:rPr>
        <w:footnoteReference w:id="6"/>
      </w:r>
      <w:r w:rsidR="00132332" w:rsidRPr="00721FBC">
        <w:rPr>
          <w:rFonts w:ascii="Times New Roman" w:hAnsi="Times New Roman" w:cs="Times New Roman"/>
          <w:color w:val="000000" w:themeColor="text1"/>
          <w:sz w:val="24"/>
          <w:szCs w:val="24"/>
        </w:rPr>
        <w:t xml:space="preserve"> </w:t>
      </w:r>
      <w:r w:rsidR="006A5F65" w:rsidRPr="00721FBC">
        <w:rPr>
          <w:rFonts w:ascii="Times New Roman" w:hAnsi="Times New Roman" w:cs="Times New Roman"/>
          <w:color w:val="000000" w:themeColor="text1"/>
          <w:sz w:val="24"/>
          <w:szCs w:val="24"/>
        </w:rPr>
        <w:t>Latvijas Banka</w:t>
      </w:r>
      <w:r w:rsidR="008460D6" w:rsidRPr="00721FBC">
        <w:rPr>
          <w:rFonts w:ascii="Times New Roman" w:hAnsi="Times New Roman" w:cs="Times New Roman"/>
          <w:color w:val="000000" w:themeColor="text1"/>
          <w:sz w:val="24"/>
          <w:szCs w:val="24"/>
        </w:rPr>
        <w:t>s eksperti</w:t>
      </w:r>
      <w:r w:rsidR="001D059E" w:rsidRPr="00721FBC">
        <w:rPr>
          <w:rFonts w:ascii="Times New Roman" w:hAnsi="Times New Roman" w:cs="Times New Roman"/>
          <w:color w:val="000000" w:themeColor="text1"/>
          <w:sz w:val="24"/>
          <w:szCs w:val="24"/>
        </w:rPr>
        <w:t xml:space="preserve"> norād</w:t>
      </w:r>
      <w:r w:rsidR="005F4DE3" w:rsidRPr="00721FBC">
        <w:rPr>
          <w:rFonts w:ascii="Times New Roman" w:hAnsi="Times New Roman" w:cs="Times New Roman"/>
          <w:color w:val="000000" w:themeColor="text1"/>
          <w:sz w:val="24"/>
          <w:szCs w:val="24"/>
        </w:rPr>
        <w:t>a</w:t>
      </w:r>
      <w:r w:rsidR="001D059E" w:rsidRPr="00721FBC">
        <w:rPr>
          <w:rFonts w:ascii="Times New Roman" w:hAnsi="Times New Roman" w:cs="Times New Roman"/>
          <w:color w:val="000000" w:themeColor="text1"/>
          <w:sz w:val="24"/>
          <w:szCs w:val="24"/>
        </w:rPr>
        <w:t xml:space="preserve"> uz </w:t>
      </w:r>
      <w:r w:rsidR="008341D0" w:rsidRPr="00721FBC">
        <w:rPr>
          <w:rFonts w:ascii="Times New Roman" w:hAnsi="Times New Roman" w:cs="Times New Roman"/>
          <w:color w:val="000000" w:themeColor="text1"/>
          <w:sz w:val="24"/>
          <w:szCs w:val="24"/>
        </w:rPr>
        <w:t>noturīgu p</w:t>
      </w:r>
      <w:r w:rsidR="0087382A" w:rsidRPr="00721FBC">
        <w:rPr>
          <w:rFonts w:ascii="Times New Roman" w:hAnsi="Times New Roman" w:cs="Times New Roman"/>
          <w:color w:val="000000" w:themeColor="text1"/>
          <w:sz w:val="24"/>
          <w:szCs w:val="24"/>
        </w:rPr>
        <w:t>ieprasījum</w:t>
      </w:r>
      <w:r w:rsidR="008341D0" w:rsidRPr="00721FBC">
        <w:rPr>
          <w:rFonts w:ascii="Times New Roman" w:hAnsi="Times New Roman" w:cs="Times New Roman"/>
          <w:color w:val="000000" w:themeColor="text1"/>
          <w:sz w:val="24"/>
          <w:szCs w:val="24"/>
        </w:rPr>
        <w:t>u</w:t>
      </w:r>
      <w:r w:rsidR="0087382A" w:rsidRPr="00721FBC">
        <w:rPr>
          <w:rFonts w:ascii="Times New Roman" w:hAnsi="Times New Roman" w:cs="Times New Roman"/>
          <w:color w:val="000000" w:themeColor="text1"/>
          <w:sz w:val="24"/>
          <w:szCs w:val="24"/>
        </w:rPr>
        <w:t xml:space="preserve"> pēc darbaspēka </w:t>
      </w:r>
      <w:r w:rsidR="008341D0" w:rsidRPr="00721FBC">
        <w:rPr>
          <w:rFonts w:ascii="Times New Roman" w:hAnsi="Times New Roman" w:cs="Times New Roman"/>
          <w:color w:val="000000" w:themeColor="text1"/>
          <w:sz w:val="24"/>
          <w:szCs w:val="24"/>
        </w:rPr>
        <w:t>tuvākajos gados</w:t>
      </w:r>
      <w:r w:rsidR="0087382A" w:rsidRPr="00721FBC">
        <w:rPr>
          <w:rFonts w:ascii="Times New Roman" w:hAnsi="Times New Roman" w:cs="Times New Roman"/>
          <w:color w:val="000000" w:themeColor="text1"/>
          <w:sz w:val="24"/>
          <w:szCs w:val="24"/>
        </w:rPr>
        <w:t>. To vidējā termiņā veicinās gaidāmo lielo investīciju projektu īstenošana</w:t>
      </w:r>
      <w:r w:rsidR="008341D0" w:rsidRPr="00721FBC">
        <w:rPr>
          <w:rFonts w:ascii="Times New Roman" w:hAnsi="Times New Roman" w:cs="Times New Roman"/>
          <w:color w:val="000000" w:themeColor="text1"/>
          <w:sz w:val="24"/>
          <w:szCs w:val="24"/>
        </w:rPr>
        <w:t>,</w:t>
      </w:r>
      <w:r w:rsidR="0087382A" w:rsidRPr="00721FBC">
        <w:rPr>
          <w:rFonts w:ascii="Times New Roman" w:hAnsi="Times New Roman" w:cs="Times New Roman"/>
          <w:color w:val="000000" w:themeColor="text1"/>
          <w:sz w:val="24"/>
          <w:szCs w:val="24"/>
        </w:rPr>
        <w:t xml:space="preserve"> nodarbinātības gaidu uzlabošanās, pakāpeniska ārējās vides atkopšanās un turpmāka tautsaimniecības atveseļošanās.</w:t>
      </w:r>
    </w:p>
    <w:p w14:paraId="36AB611A" w14:textId="77777777" w:rsidR="00407181" w:rsidRPr="00721FBC" w:rsidRDefault="00A07C63" w:rsidP="00756C11">
      <w:pPr>
        <w:pStyle w:val="ListParagraph"/>
        <w:numPr>
          <w:ilvl w:val="0"/>
          <w:numId w:val="3"/>
        </w:numPr>
        <w:spacing w:after="120"/>
        <w:jc w:val="both"/>
        <w:rPr>
          <w:rFonts w:ascii="Times New Roman" w:hAnsi="Times New Roman" w:cs="Times New Roman"/>
          <w:color w:val="000000" w:themeColor="text1"/>
          <w:sz w:val="24"/>
          <w:szCs w:val="24"/>
        </w:rPr>
      </w:pPr>
      <w:r w:rsidRPr="00721FBC">
        <w:rPr>
          <w:rFonts w:ascii="Times New Roman" w:hAnsi="Times New Roman" w:cs="Times New Roman"/>
          <w:b/>
          <w:color w:val="000000" w:themeColor="text1"/>
          <w:sz w:val="24"/>
          <w:szCs w:val="24"/>
        </w:rPr>
        <w:t>Ekonomikas ministrija</w:t>
      </w:r>
      <w:r w:rsidRPr="00721FBC">
        <w:rPr>
          <w:rFonts w:ascii="Times New Roman" w:hAnsi="Times New Roman" w:cs="Times New Roman"/>
          <w:color w:val="000000" w:themeColor="text1"/>
          <w:sz w:val="24"/>
          <w:szCs w:val="24"/>
        </w:rPr>
        <w:t xml:space="preserve"> prognozē, ka bezdarba līmenis</w:t>
      </w:r>
      <w:r w:rsidR="00CF0251" w:rsidRPr="00721FBC">
        <w:rPr>
          <w:rFonts w:ascii="Times New Roman" w:hAnsi="Times New Roman" w:cs="Times New Roman"/>
          <w:color w:val="000000" w:themeColor="text1"/>
          <w:sz w:val="24"/>
          <w:szCs w:val="24"/>
        </w:rPr>
        <w:t xml:space="preserve"> turpinās pakāpeniski samazināties un </w:t>
      </w:r>
      <w:r w:rsidRPr="00721FBC">
        <w:rPr>
          <w:rFonts w:ascii="Times New Roman" w:hAnsi="Times New Roman" w:cs="Times New Roman"/>
          <w:color w:val="000000" w:themeColor="text1"/>
          <w:sz w:val="24"/>
          <w:szCs w:val="24"/>
        </w:rPr>
        <w:t>20</w:t>
      </w:r>
      <w:r w:rsidR="006818F6" w:rsidRPr="00721FBC">
        <w:rPr>
          <w:rFonts w:ascii="Times New Roman" w:hAnsi="Times New Roman" w:cs="Times New Roman"/>
          <w:color w:val="000000" w:themeColor="text1"/>
          <w:sz w:val="24"/>
          <w:szCs w:val="24"/>
        </w:rPr>
        <w:t>2</w:t>
      </w:r>
      <w:r w:rsidR="00BE633A" w:rsidRPr="00721FBC">
        <w:rPr>
          <w:rFonts w:ascii="Times New Roman" w:hAnsi="Times New Roman" w:cs="Times New Roman"/>
          <w:color w:val="000000" w:themeColor="text1"/>
          <w:sz w:val="24"/>
          <w:szCs w:val="24"/>
        </w:rPr>
        <w:t>6</w:t>
      </w:r>
      <w:r w:rsidRPr="00721FBC">
        <w:rPr>
          <w:rFonts w:ascii="Times New Roman" w:hAnsi="Times New Roman" w:cs="Times New Roman"/>
          <w:color w:val="000000" w:themeColor="text1"/>
          <w:sz w:val="24"/>
          <w:szCs w:val="24"/>
        </w:rPr>
        <w:t>.</w:t>
      </w:r>
      <w:r w:rsidR="00F8133B" w:rsidRPr="00721FBC">
        <w:rPr>
          <w:rFonts w:ascii="Times New Roman" w:hAnsi="Times New Roman" w:cs="Times New Roman"/>
          <w:color w:val="000000" w:themeColor="text1"/>
          <w:sz w:val="24"/>
          <w:szCs w:val="24"/>
        </w:rPr>
        <w:t> </w:t>
      </w:r>
      <w:r w:rsidRPr="00721FBC">
        <w:rPr>
          <w:rFonts w:ascii="Times New Roman" w:hAnsi="Times New Roman" w:cs="Times New Roman"/>
          <w:color w:val="000000" w:themeColor="text1"/>
          <w:sz w:val="24"/>
          <w:szCs w:val="24"/>
        </w:rPr>
        <w:t>gadā varēt</w:t>
      </w:r>
      <w:r w:rsidR="00BC1622" w:rsidRPr="00721FBC">
        <w:rPr>
          <w:rFonts w:ascii="Times New Roman" w:hAnsi="Times New Roman" w:cs="Times New Roman"/>
          <w:color w:val="000000" w:themeColor="text1"/>
          <w:sz w:val="24"/>
          <w:szCs w:val="24"/>
        </w:rPr>
        <w:t xml:space="preserve">u veidot </w:t>
      </w:r>
      <w:r w:rsidR="00F02B12" w:rsidRPr="00721FBC">
        <w:rPr>
          <w:rFonts w:ascii="Times New Roman" w:hAnsi="Times New Roman" w:cs="Times New Roman"/>
          <w:color w:val="000000" w:themeColor="text1"/>
          <w:sz w:val="24"/>
          <w:szCs w:val="24"/>
        </w:rPr>
        <w:t>6,</w:t>
      </w:r>
      <w:r w:rsidR="00BC1622" w:rsidRPr="00721FBC">
        <w:rPr>
          <w:rFonts w:ascii="Times New Roman" w:hAnsi="Times New Roman" w:cs="Times New Roman"/>
          <w:color w:val="000000" w:themeColor="text1"/>
          <w:sz w:val="24"/>
          <w:szCs w:val="24"/>
        </w:rPr>
        <w:t>1</w:t>
      </w:r>
      <w:r w:rsidR="00F8133B" w:rsidRPr="00721FBC">
        <w:rPr>
          <w:rFonts w:ascii="Times New Roman" w:hAnsi="Times New Roman" w:cs="Times New Roman"/>
          <w:color w:val="000000" w:themeColor="text1"/>
          <w:sz w:val="24"/>
          <w:szCs w:val="24"/>
        </w:rPr>
        <w:t> </w:t>
      </w:r>
      <w:r w:rsidR="00E85CD3" w:rsidRPr="00721FBC">
        <w:rPr>
          <w:rFonts w:ascii="Times New Roman" w:hAnsi="Times New Roman" w:cs="Times New Roman"/>
          <w:color w:val="000000" w:themeColor="text1"/>
          <w:sz w:val="24"/>
          <w:szCs w:val="24"/>
        </w:rPr>
        <w:t>%</w:t>
      </w:r>
      <w:r w:rsidR="00AB7ACE" w:rsidRPr="00721FBC">
        <w:rPr>
          <w:rFonts w:ascii="Times New Roman" w:hAnsi="Times New Roman" w:cs="Times New Roman"/>
          <w:color w:val="000000" w:themeColor="text1"/>
          <w:sz w:val="24"/>
          <w:szCs w:val="24"/>
        </w:rPr>
        <w:t>.</w:t>
      </w:r>
      <w:r w:rsidR="00E848C0" w:rsidRPr="00721FBC">
        <w:rPr>
          <w:rStyle w:val="FootnoteReference"/>
          <w:rFonts w:ascii="Times New Roman" w:hAnsi="Times New Roman" w:cs="Times New Roman"/>
          <w:color w:val="000000" w:themeColor="text1"/>
          <w:sz w:val="24"/>
          <w:szCs w:val="24"/>
        </w:rPr>
        <w:footnoteReference w:id="7"/>
      </w:r>
      <w:r w:rsidR="00AB7ACE" w:rsidRPr="00721FBC">
        <w:rPr>
          <w:rFonts w:ascii="Times New Roman" w:hAnsi="Times New Roman" w:cs="Times New Roman"/>
          <w:color w:val="000000" w:themeColor="text1"/>
          <w:sz w:val="24"/>
          <w:szCs w:val="24"/>
        </w:rPr>
        <w:t xml:space="preserve"> </w:t>
      </w:r>
      <w:r w:rsidR="00C75A32" w:rsidRPr="00721FBC">
        <w:rPr>
          <w:rFonts w:ascii="Times New Roman" w:hAnsi="Times New Roman" w:cs="Times New Roman"/>
          <w:color w:val="000000" w:themeColor="text1"/>
          <w:sz w:val="24"/>
          <w:szCs w:val="24"/>
        </w:rPr>
        <w:t xml:space="preserve">Atbilstoši Ekonomikas ministrijas </w:t>
      </w:r>
      <w:r w:rsidR="00D00800" w:rsidRPr="00721FBC">
        <w:rPr>
          <w:rFonts w:ascii="Times New Roman" w:hAnsi="Times New Roman" w:cs="Times New Roman"/>
          <w:color w:val="000000" w:themeColor="text1"/>
          <w:sz w:val="24"/>
          <w:szCs w:val="24"/>
        </w:rPr>
        <w:t>makroekonomiskajam apskatam</w:t>
      </w:r>
      <w:r w:rsidR="00C75A32" w:rsidRPr="00721FBC">
        <w:rPr>
          <w:rStyle w:val="FootnoteReference"/>
          <w:rFonts w:ascii="Times New Roman" w:hAnsi="Times New Roman" w:cs="Times New Roman"/>
          <w:color w:val="000000" w:themeColor="text1"/>
          <w:sz w:val="24"/>
          <w:szCs w:val="24"/>
        </w:rPr>
        <w:footnoteReference w:id="8"/>
      </w:r>
      <w:r w:rsidR="00C75A32" w:rsidRPr="00721FBC">
        <w:rPr>
          <w:rFonts w:ascii="Times New Roman" w:hAnsi="Times New Roman" w:cs="Times New Roman"/>
          <w:color w:val="000000" w:themeColor="text1"/>
          <w:sz w:val="24"/>
          <w:szCs w:val="24"/>
        </w:rPr>
        <w:t xml:space="preserve">, </w:t>
      </w:r>
      <w:r w:rsidR="00351052" w:rsidRPr="00721FBC">
        <w:rPr>
          <w:rFonts w:ascii="Times New Roman" w:hAnsi="Times New Roman" w:cs="Times New Roman"/>
          <w:color w:val="000000" w:themeColor="text1"/>
          <w:sz w:val="24"/>
          <w:szCs w:val="24"/>
        </w:rPr>
        <w:t>Latvijas tautsaimniecība ir veiksmīgi pārvarējusi iepriekšējo</w:t>
      </w:r>
      <w:r w:rsidR="001A50BD" w:rsidRPr="00721FBC">
        <w:rPr>
          <w:rFonts w:ascii="Times New Roman" w:hAnsi="Times New Roman" w:cs="Times New Roman"/>
          <w:color w:val="000000" w:themeColor="text1"/>
          <w:sz w:val="24"/>
          <w:szCs w:val="24"/>
        </w:rPr>
        <w:t xml:space="preserve"> </w:t>
      </w:r>
      <w:r w:rsidR="00351052" w:rsidRPr="00721FBC">
        <w:rPr>
          <w:rFonts w:ascii="Times New Roman" w:hAnsi="Times New Roman" w:cs="Times New Roman"/>
          <w:color w:val="000000" w:themeColor="text1"/>
          <w:sz w:val="24"/>
          <w:szCs w:val="24"/>
        </w:rPr>
        <w:t>gadu satricinājumus</w:t>
      </w:r>
      <w:r w:rsidR="001A50BD" w:rsidRPr="00721FBC">
        <w:rPr>
          <w:rFonts w:ascii="Times New Roman" w:hAnsi="Times New Roman" w:cs="Times New Roman"/>
          <w:color w:val="000000" w:themeColor="text1"/>
          <w:sz w:val="24"/>
          <w:szCs w:val="24"/>
        </w:rPr>
        <w:t xml:space="preserve"> </w:t>
      </w:r>
      <w:r w:rsidR="00351052" w:rsidRPr="00721FBC">
        <w:rPr>
          <w:rFonts w:ascii="Times New Roman" w:hAnsi="Times New Roman" w:cs="Times New Roman"/>
          <w:color w:val="000000" w:themeColor="text1"/>
          <w:sz w:val="24"/>
          <w:szCs w:val="24"/>
        </w:rPr>
        <w:t>un ekonomika pakāpeniski atgriežas</w:t>
      </w:r>
      <w:r w:rsidR="001A50BD" w:rsidRPr="00721FBC">
        <w:rPr>
          <w:rFonts w:ascii="Times New Roman" w:hAnsi="Times New Roman" w:cs="Times New Roman"/>
          <w:color w:val="000000" w:themeColor="text1"/>
          <w:sz w:val="24"/>
          <w:szCs w:val="24"/>
        </w:rPr>
        <w:t xml:space="preserve"> </w:t>
      </w:r>
      <w:r w:rsidR="00351052" w:rsidRPr="00721FBC">
        <w:rPr>
          <w:rFonts w:ascii="Times New Roman" w:hAnsi="Times New Roman" w:cs="Times New Roman"/>
          <w:color w:val="000000" w:themeColor="text1"/>
          <w:sz w:val="24"/>
          <w:szCs w:val="24"/>
        </w:rPr>
        <w:t xml:space="preserve">pie </w:t>
      </w:r>
      <w:r w:rsidR="001A50BD" w:rsidRPr="00721FBC">
        <w:rPr>
          <w:rFonts w:ascii="Times New Roman" w:hAnsi="Times New Roman" w:cs="Times New Roman"/>
          <w:color w:val="000000" w:themeColor="text1"/>
          <w:sz w:val="24"/>
          <w:szCs w:val="24"/>
        </w:rPr>
        <w:t>izaugsmes</w:t>
      </w:r>
      <w:r w:rsidR="00D65C55" w:rsidRPr="00721FBC">
        <w:rPr>
          <w:rFonts w:ascii="Times New Roman" w:hAnsi="Times New Roman" w:cs="Times New Roman"/>
          <w:color w:val="000000" w:themeColor="text1"/>
          <w:sz w:val="24"/>
          <w:szCs w:val="24"/>
        </w:rPr>
        <w:t>.</w:t>
      </w:r>
      <w:r w:rsidR="001A50BD" w:rsidRPr="00721FBC">
        <w:rPr>
          <w:rFonts w:ascii="Times New Roman" w:hAnsi="Times New Roman" w:cs="Times New Roman"/>
          <w:color w:val="000000" w:themeColor="text1"/>
          <w:sz w:val="24"/>
          <w:szCs w:val="24"/>
        </w:rPr>
        <w:t xml:space="preserve"> </w:t>
      </w:r>
      <w:r w:rsidR="00D65C55" w:rsidRPr="00721FBC">
        <w:rPr>
          <w:rFonts w:ascii="Times New Roman" w:hAnsi="Times New Roman" w:cs="Times New Roman"/>
          <w:color w:val="000000" w:themeColor="text1"/>
          <w:sz w:val="24"/>
          <w:szCs w:val="24"/>
        </w:rPr>
        <w:t xml:space="preserve"> </w:t>
      </w:r>
      <w:r w:rsidR="000E5A3E" w:rsidRPr="00721FBC">
        <w:rPr>
          <w:rFonts w:ascii="Times New Roman" w:hAnsi="Times New Roman" w:cs="Times New Roman"/>
          <w:color w:val="000000" w:themeColor="text1"/>
          <w:sz w:val="24"/>
          <w:szCs w:val="24"/>
        </w:rPr>
        <w:t>Pieaugot ekonomiskajai aktivitātei, darba tirgū nostiprinās pozitīvās tendences, tomēr līdz ar darbaspēka pieprasījuma kāpumu palielinās arī darbaspēka nepietiekamības risks. Ilgstoša tendence rāda, ka darba tirgū spiedienu joprojām uztur piedāvājuma puses faktori un nevienmērīgais brīvo darba resursu reģionālais sadalījums, tādēļ vairākas tautsaimniecības nozares turpina saskarties ar</w:t>
      </w:r>
      <w:r w:rsidR="006A1B3C" w:rsidRPr="00721FBC">
        <w:rPr>
          <w:rFonts w:ascii="Times New Roman" w:hAnsi="Times New Roman" w:cs="Times New Roman"/>
          <w:color w:val="000000" w:themeColor="text1"/>
          <w:sz w:val="24"/>
          <w:szCs w:val="24"/>
        </w:rPr>
        <w:t xml:space="preserve"> </w:t>
      </w:r>
      <w:r w:rsidR="000E5A3E" w:rsidRPr="00721FBC">
        <w:rPr>
          <w:rFonts w:ascii="Times New Roman" w:hAnsi="Times New Roman" w:cs="Times New Roman"/>
          <w:color w:val="000000" w:themeColor="text1"/>
          <w:sz w:val="24"/>
          <w:szCs w:val="24"/>
        </w:rPr>
        <w:t>darba roku trūkumu. Situāciju pastiprina arī nelabvēlīgās</w:t>
      </w:r>
      <w:r w:rsidR="006A1B3C" w:rsidRPr="00721FBC">
        <w:rPr>
          <w:rFonts w:ascii="Times New Roman" w:hAnsi="Times New Roman" w:cs="Times New Roman"/>
          <w:color w:val="000000" w:themeColor="text1"/>
          <w:sz w:val="24"/>
          <w:szCs w:val="24"/>
        </w:rPr>
        <w:t xml:space="preserve"> </w:t>
      </w:r>
      <w:r w:rsidR="000E5A3E" w:rsidRPr="00721FBC">
        <w:rPr>
          <w:rFonts w:ascii="Times New Roman" w:hAnsi="Times New Roman" w:cs="Times New Roman"/>
          <w:color w:val="000000" w:themeColor="text1"/>
          <w:sz w:val="24"/>
          <w:szCs w:val="24"/>
        </w:rPr>
        <w:t>demogrāfiskās tendences, kas ierobežo darbaspēka</w:t>
      </w:r>
      <w:r w:rsidR="006A1B3C" w:rsidRPr="00721FBC">
        <w:rPr>
          <w:rFonts w:ascii="Times New Roman" w:hAnsi="Times New Roman" w:cs="Times New Roman"/>
          <w:color w:val="000000" w:themeColor="text1"/>
          <w:sz w:val="24"/>
          <w:szCs w:val="24"/>
        </w:rPr>
        <w:t xml:space="preserve"> </w:t>
      </w:r>
      <w:r w:rsidR="000E5A3E" w:rsidRPr="00721FBC">
        <w:rPr>
          <w:rFonts w:ascii="Times New Roman" w:hAnsi="Times New Roman" w:cs="Times New Roman"/>
          <w:color w:val="000000" w:themeColor="text1"/>
          <w:sz w:val="24"/>
          <w:szCs w:val="24"/>
        </w:rPr>
        <w:t>pieejamību un ietekmē darba tirgus attīstības potenciālu.</w:t>
      </w:r>
    </w:p>
    <w:p w14:paraId="2ED8C8F0" w14:textId="4C17EF76" w:rsidR="003C3D6C" w:rsidRPr="00721FBC" w:rsidRDefault="000521E8" w:rsidP="00756C11">
      <w:pPr>
        <w:pStyle w:val="ListParagraph"/>
        <w:numPr>
          <w:ilvl w:val="0"/>
          <w:numId w:val="3"/>
        </w:numPr>
        <w:spacing w:after="120"/>
        <w:jc w:val="both"/>
        <w:rPr>
          <w:rFonts w:ascii="Times New Roman" w:hAnsi="Times New Roman" w:cs="Times New Roman"/>
          <w:color w:val="000000" w:themeColor="text1"/>
          <w:sz w:val="24"/>
          <w:szCs w:val="24"/>
        </w:rPr>
      </w:pPr>
      <w:r w:rsidRPr="00721FBC">
        <w:rPr>
          <w:rFonts w:ascii="Times New Roman" w:hAnsi="Times New Roman" w:cs="Times New Roman"/>
          <w:b/>
          <w:color w:val="000000" w:themeColor="text1"/>
          <w:sz w:val="24"/>
          <w:szCs w:val="24"/>
        </w:rPr>
        <w:lastRenderedPageBreak/>
        <w:t>Finanšu ministrija</w:t>
      </w:r>
      <w:r w:rsidRPr="00721FBC">
        <w:rPr>
          <w:rFonts w:ascii="Times New Roman" w:hAnsi="Times New Roman" w:cs="Times New Roman"/>
          <w:color w:val="000000" w:themeColor="text1"/>
          <w:sz w:val="24"/>
          <w:szCs w:val="24"/>
        </w:rPr>
        <w:t xml:space="preserve"> prognozē, ka </w:t>
      </w:r>
      <w:r w:rsidR="001734D9" w:rsidRPr="00721FBC">
        <w:rPr>
          <w:rFonts w:ascii="Times New Roman" w:hAnsi="Times New Roman" w:cs="Times New Roman"/>
          <w:color w:val="000000" w:themeColor="text1"/>
          <w:sz w:val="24"/>
          <w:szCs w:val="24"/>
        </w:rPr>
        <w:t>202</w:t>
      </w:r>
      <w:r w:rsidR="006A1B3C" w:rsidRPr="00721FBC">
        <w:rPr>
          <w:rFonts w:ascii="Times New Roman" w:hAnsi="Times New Roman" w:cs="Times New Roman"/>
          <w:color w:val="000000" w:themeColor="text1"/>
          <w:sz w:val="24"/>
          <w:szCs w:val="24"/>
        </w:rPr>
        <w:t>6</w:t>
      </w:r>
      <w:r w:rsidR="001734D9" w:rsidRPr="00721FBC">
        <w:rPr>
          <w:rFonts w:ascii="Times New Roman" w:hAnsi="Times New Roman" w:cs="Times New Roman"/>
          <w:color w:val="000000" w:themeColor="text1"/>
          <w:sz w:val="24"/>
          <w:szCs w:val="24"/>
        </w:rPr>
        <w:t>.</w:t>
      </w:r>
      <w:r w:rsidR="00F8133B" w:rsidRPr="00721FBC">
        <w:rPr>
          <w:rFonts w:ascii="Times New Roman" w:hAnsi="Times New Roman" w:cs="Times New Roman"/>
          <w:color w:val="000000" w:themeColor="text1"/>
          <w:sz w:val="24"/>
          <w:szCs w:val="24"/>
        </w:rPr>
        <w:t> </w:t>
      </w:r>
      <w:r w:rsidR="001734D9" w:rsidRPr="00721FBC">
        <w:rPr>
          <w:rFonts w:ascii="Times New Roman" w:hAnsi="Times New Roman" w:cs="Times New Roman"/>
          <w:color w:val="000000" w:themeColor="text1"/>
          <w:sz w:val="24"/>
          <w:szCs w:val="24"/>
        </w:rPr>
        <w:t xml:space="preserve">gadā </w:t>
      </w:r>
      <w:r w:rsidRPr="00721FBC">
        <w:rPr>
          <w:rFonts w:ascii="Times New Roman" w:hAnsi="Times New Roman" w:cs="Times New Roman"/>
          <w:color w:val="000000" w:themeColor="text1"/>
          <w:sz w:val="24"/>
          <w:szCs w:val="24"/>
        </w:rPr>
        <w:t xml:space="preserve">bezdarba līmenis varētu būt </w:t>
      </w:r>
      <w:r w:rsidR="004B47CD" w:rsidRPr="00721FBC">
        <w:rPr>
          <w:rFonts w:ascii="Times New Roman" w:hAnsi="Times New Roman" w:cs="Times New Roman"/>
          <w:color w:val="000000" w:themeColor="text1"/>
          <w:sz w:val="24"/>
          <w:szCs w:val="24"/>
        </w:rPr>
        <w:t>6,</w:t>
      </w:r>
      <w:r w:rsidR="006A1B3C" w:rsidRPr="00721FBC">
        <w:rPr>
          <w:rFonts w:ascii="Times New Roman" w:hAnsi="Times New Roman" w:cs="Times New Roman"/>
          <w:color w:val="000000" w:themeColor="text1"/>
          <w:sz w:val="24"/>
          <w:szCs w:val="24"/>
        </w:rPr>
        <w:t>3</w:t>
      </w:r>
      <w:r w:rsidR="00F8133B" w:rsidRPr="00721FBC">
        <w:rPr>
          <w:rFonts w:ascii="Times New Roman" w:hAnsi="Times New Roman" w:cs="Times New Roman"/>
          <w:color w:val="000000" w:themeColor="text1"/>
          <w:sz w:val="24"/>
          <w:szCs w:val="24"/>
        </w:rPr>
        <w:t> </w:t>
      </w:r>
      <w:r w:rsidR="003D331C" w:rsidRPr="00721FBC">
        <w:rPr>
          <w:rFonts w:ascii="Times New Roman" w:hAnsi="Times New Roman" w:cs="Times New Roman"/>
          <w:color w:val="000000" w:themeColor="text1"/>
          <w:sz w:val="24"/>
          <w:szCs w:val="24"/>
        </w:rPr>
        <w:t>%</w:t>
      </w:r>
      <w:r w:rsidR="00110398" w:rsidRPr="00721FBC">
        <w:rPr>
          <w:rFonts w:ascii="Times New Roman" w:hAnsi="Times New Roman" w:cs="Times New Roman"/>
          <w:color w:val="000000" w:themeColor="text1"/>
          <w:sz w:val="24"/>
          <w:szCs w:val="24"/>
        </w:rPr>
        <w:t xml:space="preserve"> un 202</w:t>
      </w:r>
      <w:r w:rsidR="006A1B3C" w:rsidRPr="00721FBC">
        <w:rPr>
          <w:rFonts w:ascii="Times New Roman" w:hAnsi="Times New Roman" w:cs="Times New Roman"/>
          <w:color w:val="000000" w:themeColor="text1"/>
          <w:sz w:val="24"/>
          <w:szCs w:val="24"/>
        </w:rPr>
        <w:t>7</w:t>
      </w:r>
      <w:r w:rsidR="00110398" w:rsidRPr="00721FBC">
        <w:rPr>
          <w:rFonts w:ascii="Times New Roman" w:hAnsi="Times New Roman" w:cs="Times New Roman"/>
          <w:color w:val="000000" w:themeColor="text1"/>
          <w:sz w:val="24"/>
          <w:szCs w:val="24"/>
        </w:rPr>
        <w:t>.</w:t>
      </w:r>
      <w:r w:rsidR="00F8133B" w:rsidRPr="00721FBC">
        <w:rPr>
          <w:rFonts w:ascii="Times New Roman" w:hAnsi="Times New Roman" w:cs="Times New Roman"/>
          <w:color w:val="000000" w:themeColor="text1"/>
          <w:sz w:val="24"/>
          <w:szCs w:val="24"/>
        </w:rPr>
        <w:t> </w:t>
      </w:r>
      <w:r w:rsidR="00110398" w:rsidRPr="00721FBC">
        <w:rPr>
          <w:rFonts w:ascii="Times New Roman" w:hAnsi="Times New Roman" w:cs="Times New Roman"/>
          <w:color w:val="000000" w:themeColor="text1"/>
          <w:sz w:val="24"/>
          <w:szCs w:val="24"/>
        </w:rPr>
        <w:t xml:space="preserve">gadā </w:t>
      </w:r>
      <w:r w:rsidR="003D331C" w:rsidRPr="00721FBC">
        <w:rPr>
          <w:rFonts w:ascii="Times New Roman" w:hAnsi="Times New Roman" w:cs="Times New Roman"/>
          <w:color w:val="000000" w:themeColor="text1"/>
          <w:sz w:val="24"/>
          <w:szCs w:val="24"/>
        </w:rPr>
        <w:t xml:space="preserve">samazināties līdz </w:t>
      </w:r>
      <w:r w:rsidR="005A592D" w:rsidRPr="00721FBC">
        <w:rPr>
          <w:rFonts w:ascii="Times New Roman" w:hAnsi="Times New Roman" w:cs="Times New Roman"/>
          <w:color w:val="000000" w:themeColor="text1"/>
          <w:sz w:val="24"/>
          <w:szCs w:val="24"/>
        </w:rPr>
        <w:t>5,8</w:t>
      </w:r>
      <w:r w:rsidR="00F8133B" w:rsidRPr="00721FBC">
        <w:rPr>
          <w:rFonts w:ascii="Times New Roman" w:hAnsi="Times New Roman" w:cs="Times New Roman"/>
          <w:color w:val="000000" w:themeColor="text1"/>
          <w:sz w:val="24"/>
          <w:szCs w:val="24"/>
        </w:rPr>
        <w:t> </w:t>
      </w:r>
      <w:r w:rsidR="00110398" w:rsidRPr="00721FBC">
        <w:rPr>
          <w:rFonts w:ascii="Times New Roman" w:hAnsi="Times New Roman" w:cs="Times New Roman"/>
          <w:color w:val="000000" w:themeColor="text1"/>
          <w:sz w:val="24"/>
          <w:szCs w:val="24"/>
        </w:rPr>
        <w:t>%</w:t>
      </w:r>
      <w:r w:rsidRPr="00721FBC">
        <w:rPr>
          <w:rFonts w:ascii="Times New Roman" w:hAnsi="Times New Roman" w:cs="Times New Roman"/>
          <w:color w:val="000000" w:themeColor="text1"/>
          <w:sz w:val="24"/>
          <w:szCs w:val="24"/>
        </w:rPr>
        <w:t>.</w:t>
      </w:r>
      <w:r w:rsidR="003D331C" w:rsidRPr="00721FBC">
        <w:rPr>
          <w:rStyle w:val="FootnoteReference"/>
          <w:rFonts w:ascii="Times New Roman" w:hAnsi="Times New Roman" w:cs="Times New Roman"/>
          <w:color w:val="000000" w:themeColor="text1"/>
          <w:sz w:val="24"/>
          <w:szCs w:val="24"/>
        </w:rPr>
        <w:footnoteReference w:id="9"/>
      </w:r>
      <w:r w:rsidR="00C047B1" w:rsidRPr="00721FBC">
        <w:rPr>
          <w:color w:val="000000" w:themeColor="text1"/>
        </w:rPr>
        <w:t xml:space="preserve"> </w:t>
      </w:r>
      <w:r w:rsidR="005B6748" w:rsidRPr="00721FBC">
        <w:rPr>
          <w:rFonts w:ascii="Times New Roman" w:hAnsi="Times New Roman" w:cs="Times New Roman"/>
          <w:color w:val="000000" w:themeColor="text1"/>
          <w:sz w:val="24"/>
          <w:szCs w:val="24"/>
        </w:rPr>
        <w:t xml:space="preserve">Finanšu ministrijas eksperti </w:t>
      </w:r>
      <w:r w:rsidR="00407181" w:rsidRPr="00721FBC">
        <w:rPr>
          <w:rFonts w:ascii="Times New Roman" w:hAnsi="Times New Roman" w:cs="Times New Roman"/>
          <w:color w:val="000000" w:themeColor="text1"/>
          <w:sz w:val="24"/>
          <w:szCs w:val="24"/>
        </w:rPr>
        <w:t>akcentē</w:t>
      </w:r>
      <w:r w:rsidR="006B1C45" w:rsidRPr="00721FBC">
        <w:rPr>
          <w:rFonts w:ascii="Times New Roman" w:hAnsi="Times New Roman" w:cs="Times New Roman"/>
          <w:color w:val="000000" w:themeColor="text1"/>
          <w:sz w:val="24"/>
          <w:szCs w:val="24"/>
        </w:rPr>
        <w:t xml:space="preserve"> negatīvas demogrāfiskās tendences darba tirgū un </w:t>
      </w:r>
      <w:r w:rsidR="00AC20F5" w:rsidRPr="00721FBC">
        <w:rPr>
          <w:rFonts w:ascii="Times New Roman" w:hAnsi="Times New Roman" w:cs="Times New Roman"/>
          <w:color w:val="000000" w:themeColor="text1"/>
          <w:sz w:val="24"/>
          <w:szCs w:val="24"/>
        </w:rPr>
        <w:t>norāda</w:t>
      </w:r>
      <w:r w:rsidR="006B1C45" w:rsidRPr="00721FBC">
        <w:rPr>
          <w:rFonts w:ascii="Times New Roman" w:hAnsi="Times New Roman" w:cs="Times New Roman"/>
          <w:color w:val="000000" w:themeColor="text1"/>
          <w:sz w:val="24"/>
          <w:szCs w:val="24"/>
        </w:rPr>
        <w:t xml:space="preserve">, ka turpmākajos gados ir svarīgi </w:t>
      </w:r>
      <w:r w:rsidR="00AC20F5" w:rsidRPr="00721FBC">
        <w:rPr>
          <w:rFonts w:ascii="Times New Roman" w:hAnsi="Times New Roman" w:cs="Times New Roman"/>
          <w:color w:val="000000" w:themeColor="text1"/>
          <w:sz w:val="24"/>
          <w:szCs w:val="24"/>
        </w:rPr>
        <w:t>aktivizēt esošās darbaspēka rezerves, lai uzlabotu situāciju darba tirgū</w:t>
      </w:r>
      <w:r w:rsidR="003C3D6C" w:rsidRPr="00721FBC">
        <w:rPr>
          <w:rStyle w:val="FootnoteReference"/>
          <w:rFonts w:ascii="Times New Roman" w:hAnsi="Times New Roman" w:cs="Times New Roman"/>
          <w:color w:val="000000" w:themeColor="text1"/>
          <w:sz w:val="24"/>
          <w:szCs w:val="24"/>
        </w:rPr>
        <w:footnoteReference w:id="10"/>
      </w:r>
      <w:r w:rsidR="00AC20F5" w:rsidRPr="00721FBC">
        <w:rPr>
          <w:rFonts w:ascii="Times New Roman" w:hAnsi="Times New Roman" w:cs="Times New Roman"/>
          <w:color w:val="000000" w:themeColor="text1"/>
          <w:sz w:val="24"/>
          <w:szCs w:val="24"/>
        </w:rPr>
        <w:t>.</w:t>
      </w:r>
    </w:p>
    <w:p w14:paraId="2B49A414" w14:textId="0C39D5FE" w:rsidR="00213CCD" w:rsidRPr="00721FBC" w:rsidRDefault="00213CCD" w:rsidP="007E2503">
      <w:pPr>
        <w:spacing w:after="120"/>
        <w:ind w:firstLine="709"/>
        <w:jc w:val="both"/>
        <w:rPr>
          <w:rFonts w:ascii="Times New Roman" w:hAnsi="Times New Roman" w:cs="Times New Roman"/>
          <w:color w:val="000000" w:themeColor="text1"/>
          <w:sz w:val="24"/>
          <w:szCs w:val="24"/>
        </w:rPr>
      </w:pPr>
      <w:r w:rsidRPr="00721FBC">
        <w:rPr>
          <w:rFonts w:ascii="Times New Roman" w:hAnsi="Times New Roman" w:cs="Times New Roman"/>
          <w:color w:val="000000" w:themeColor="text1"/>
          <w:sz w:val="24"/>
          <w:szCs w:val="24"/>
        </w:rPr>
        <w:t xml:space="preserve">Ņemot vērā iepriekš </w:t>
      </w:r>
      <w:r w:rsidR="005F4DE3" w:rsidRPr="00721FBC">
        <w:rPr>
          <w:rFonts w:ascii="Times New Roman" w:hAnsi="Times New Roman" w:cs="Times New Roman"/>
          <w:color w:val="000000" w:themeColor="text1"/>
          <w:sz w:val="24"/>
          <w:szCs w:val="24"/>
        </w:rPr>
        <w:t>minēto</w:t>
      </w:r>
      <w:r w:rsidRPr="00721FBC">
        <w:rPr>
          <w:rFonts w:ascii="Times New Roman" w:hAnsi="Times New Roman" w:cs="Times New Roman"/>
          <w:color w:val="000000" w:themeColor="text1"/>
          <w:sz w:val="24"/>
          <w:szCs w:val="24"/>
        </w:rPr>
        <w:t xml:space="preserve"> </w:t>
      </w:r>
      <w:r w:rsidR="00BE537C" w:rsidRPr="00721FBC">
        <w:rPr>
          <w:rFonts w:ascii="Times New Roman" w:hAnsi="Times New Roman" w:cs="Times New Roman"/>
          <w:color w:val="000000" w:themeColor="text1"/>
          <w:sz w:val="24"/>
          <w:szCs w:val="24"/>
        </w:rPr>
        <w:t xml:space="preserve">institūciju </w:t>
      </w:r>
      <w:r w:rsidRPr="00721FBC">
        <w:rPr>
          <w:rFonts w:ascii="Times New Roman" w:hAnsi="Times New Roman" w:cs="Times New Roman"/>
          <w:color w:val="000000" w:themeColor="text1"/>
          <w:sz w:val="24"/>
          <w:szCs w:val="24"/>
        </w:rPr>
        <w:t xml:space="preserve">informāciju, </w:t>
      </w:r>
      <w:r w:rsidRPr="00721FBC">
        <w:rPr>
          <w:rFonts w:ascii="Times New Roman" w:hAnsi="Times New Roman" w:cs="Times New Roman"/>
          <w:b/>
          <w:bCs/>
          <w:color w:val="000000" w:themeColor="text1"/>
          <w:sz w:val="24"/>
          <w:szCs w:val="24"/>
        </w:rPr>
        <w:t>bezdarba līmenis 202</w:t>
      </w:r>
      <w:r w:rsidR="003E31FC" w:rsidRPr="00721FBC">
        <w:rPr>
          <w:rFonts w:ascii="Times New Roman" w:hAnsi="Times New Roman" w:cs="Times New Roman"/>
          <w:b/>
          <w:bCs/>
          <w:color w:val="000000" w:themeColor="text1"/>
          <w:sz w:val="24"/>
          <w:szCs w:val="24"/>
        </w:rPr>
        <w:t>6</w:t>
      </w:r>
      <w:r w:rsidRPr="00721FBC">
        <w:rPr>
          <w:rFonts w:ascii="Times New Roman" w:hAnsi="Times New Roman" w:cs="Times New Roman"/>
          <w:b/>
          <w:bCs/>
          <w:color w:val="000000" w:themeColor="text1"/>
          <w:sz w:val="24"/>
          <w:szCs w:val="24"/>
        </w:rPr>
        <w:t>.</w:t>
      </w:r>
      <w:r w:rsidR="00F8133B" w:rsidRPr="00721FBC">
        <w:rPr>
          <w:rFonts w:ascii="Times New Roman" w:hAnsi="Times New Roman" w:cs="Times New Roman"/>
          <w:b/>
          <w:bCs/>
          <w:color w:val="000000" w:themeColor="text1"/>
          <w:sz w:val="24"/>
          <w:szCs w:val="24"/>
        </w:rPr>
        <w:t> </w:t>
      </w:r>
      <w:r w:rsidRPr="00721FBC">
        <w:rPr>
          <w:rFonts w:ascii="Times New Roman" w:hAnsi="Times New Roman" w:cs="Times New Roman"/>
          <w:b/>
          <w:bCs/>
          <w:color w:val="000000" w:themeColor="text1"/>
          <w:sz w:val="24"/>
          <w:szCs w:val="24"/>
        </w:rPr>
        <w:t>gadā</w:t>
      </w:r>
      <w:r w:rsidRPr="00721FBC">
        <w:rPr>
          <w:rFonts w:ascii="Times New Roman" w:hAnsi="Times New Roman" w:cs="Times New Roman"/>
          <w:color w:val="000000" w:themeColor="text1"/>
          <w:sz w:val="24"/>
          <w:szCs w:val="24"/>
        </w:rPr>
        <w:t xml:space="preserve"> (atbilstoši Darbaspēka </w:t>
      </w:r>
      <w:proofErr w:type="spellStart"/>
      <w:r w:rsidRPr="00721FBC">
        <w:rPr>
          <w:rFonts w:ascii="Times New Roman" w:hAnsi="Times New Roman" w:cs="Times New Roman"/>
          <w:color w:val="000000" w:themeColor="text1"/>
          <w:sz w:val="24"/>
          <w:szCs w:val="24"/>
        </w:rPr>
        <w:t>apsekojuma</w:t>
      </w:r>
      <w:proofErr w:type="spellEnd"/>
      <w:r w:rsidRPr="00721FBC">
        <w:rPr>
          <w:rFonts w:ascii="Times New Roman" w:hAnsi="Times New Roman" w:cs="Times New Roman"/>
          <w:color w:val="000000" w:themeColor="text1"/>
          <w:sz w:val="24"/>
          <w:szCs w:val="24"/>
        </w:rPr>
        <w:t xml:space="preserve"> metodikai) </w:t>
      </w:r>
      <w:r w:rsidR="00FF5D31" w:rsidRPr="00721FBC">
        <w:rPr>
          <w:rFonts w:ascii="Times New Roman" w:hAnsi="Times New Roman" w:cs="Times New Roman"/>
          <w:color w:val="000000" w:themeColor="text1"/>
          <w:sz w:val="24"/>
          <w:szCs w:val="24"/>
        </w:rPr>
        <w:t xml:space="preserve">varētu būt </w:t>
      </w:r>
      <w:r w:rsidR="00FF5D31" w:rsidRPr="00721FBC">
        <w:rPr>
          <w:rFonts w:ascii="Times New Roman" w:hAnsi="Times New Roman" w:cs="Times New Roman"/>
          <w:b/>
          <w:bCs/>
          <w:color w:val="000000" w:themeColor="text1"/>
          <w:sz w:val="24"/>
          <w:szCs w:val="24"/>
        </w:rPr>
        <w:t>robežās no 6,</w:t>
      </w:r>
      <w:r w:rsidR="003E31FC" w:rsidRPr="00721FBC">
        <w:rPr>
          <w:rFonts w:ascii="Times New Roman" w:hAnsi="Times New Roman" w:cs="Times New Roman"/>
          <w:b/>
          <w:bCs/>
          <w:color w:val="000000" w:themeColor="text1"/>
          <w:sz w:val="24"/>
          <w:szCs w:val="24"/>
        </w:rPr>
        <w:t xml:space="preserve">1 </w:t>
      </w:r>
      <w:r w:rsidR="00FF5D31" w:rsidRPr="00721FBC">
        <w:rPr>
          <w:rFonts w:ascii="Times New Roman" w:hAnsi="Times New Roman" w:cs="Times New Roman"/>
          <w:b/>
          <w:bCs/>
          <w:color w:val="000000" w:themeColor="text1"/>
          <w:sz w:val="24"/>
          <w:szCs w:val="24"/>
        </w:rPr>
        <w:t xml:space="preserve">% līdz </w:t>
      </w:r>
      <w:r w:rsidR="00E85CD3" w:rsidRPr="00721FBC">
        <w:rPr>
          <w:rFonts w:ascii="Times New Roman" w:hAnsi="Times New Roman" w:cs="Times New Roman"/>
          <w:b/>
          <w:bCs/>
          <w:color w:val="000000" w:themeColor="text1"/>
          <w:sz w:val="24"/>
          <w:szCs w:val="24"/>
        </w:rPr>
        <w:t>6,</w:t>
      </w:r>
      <w:r w:rsidR="003E31FC" w:rsidRPr="00721FBC">
        <w:rPr>
          <w:rFonts w:ascii="Times New Roman" w:hAnsi="Times New Roman" w:cs="Times New Roman"/>
          <w:b/>
          <w:bCs/>
          <w:color w:val="000000" w:themeColor="text1"/>
          <w:sz w:val="24"/>
          <w:szCs w:val="24"/>
        </w:rPr>
        <w:t xml:space="preserve">6 </w:t>
      </w:r>
      <w:r w:rsidR="00FF5D31" w:rsidRPr="00721FBC">
        <w:rPr>
          <w:rFonts w:ascii="Times New Roman" w:hAnsi="Times New Roman" w:cs="Times New Roman"/>
          <w:b/>
          <w:bCs/>
          <w:color w:val="000000" w:themeColor="text1"/>
          <w:sz w:val="24"/>
          <w:szCs w:val="24"/>
        </w:rPr>
        <w:t>%</w:t>
      </w:r>
      <w:r w:rsidR="00FF5D31" w:rsidRPr="00721FBC">
        <w:rPr>
          <w:rFonts w:ascii="Times New Roman" w:hAnsi="Times New Roman" w:cs="Times New Roman"/>
          <w:color w:val="000000" w:themeColor="text1"/>
          <w:sz w:val="24"/>
          <w:szCs w:val="24"/>
        </w:rPr>
        <w:t>.</w:t>
      </w:r>
    </w:p>
    <w:p w14:paraId="3600B292" w14:textId="2C3788BD" w:rsidR="00FB435C" w:rsidRPr="00721FBC" w:rsidRDefault="00B14CE2" w:rsidP="00965E8E">
      <w:pPr>
        <w:spacing w:after="120"/>
        <w:ind w:firstLine="720"/>
        <w:jc w:val="both"/>
        <w:rPr>
          <w:rFonts w:ascii="Times New Roman" w:hAnsi="Times New Roman" w:cs="Times New Roman"/>
          <w:color w:val="000000" w:themeColor="text1"/>
          <w:sz w:val="24"/>
          <w:szCs w:val="24"/>
        </w:rPr>
      </w:pPr>
      <w:r w:rsidRPr="00721FBC">
        <w:rPr>
          <w:rFonts w:ascii="Times New Roman" w:hAnsi="Times New Roman" w:cs="Times New Roman"/>
          <w:color w:val="000000" w:themeColor="text1"/>
          <w:sz w:val="24"/>
          <w:szCs w:val="24"/>
        </w:rPr>
        <w:t xml:space="preserve">Atbilstoši Nodarbinātības valsts aģentūras (turpmāk – NVA) datiem, </w:t>
      </w:r>
      <w:r w:rsidR="009C7835" w:rsidRPr="00721FBC">
        <w:rPr>
          <w:rFonts w:ascii="Times New Roman" w:hAnsi="Times New Roman" w:cs="Times New Roman"/>
          <w:color w:val="000000" w:themeColor="text1"/>
          <w:sz w:val="24"/>
          <w:szCs w:val="24"/>
        </w:rPr>
        <w:t>202</w:t>
      </w:r>
      <w:r w:rsidR="003F7834" w:rsidRPr="00721FBC">
        <w:rPr>
          <w:rFonts w:ascii="Times New Roman" w:hAnsi="Times New Roman" w:cs="Times New Roman"/>
          <w:color w:val="000000" w:themeColor="text1"/>
          <w:sz w:val="24"/>
          <w:szCs w:val="24"/>
        </w:rPr>
        <w:t>5</w:t>
      </w:r>
      <w:r w:rsidR="009342F3" w:rsidRPr="00721FBC">
        <w:rPr>
          <w:rFonts w:ascii="Times New Roman" w:hAnsi="Times New Roman" w:cs="Times New Roman"/>
          <w:color w:val="000000" w:themeColor="text1"/>
          <w:sz w:val="24"/>
          <w:szCs w:val="24"/>
        </w:rPr>
        <w:t>.</w:t>
      </w:r>
      <w:r w:rsidR="00F8133B" w:rsidRPr="00721FBC">
        <w:rPr>
          <w:rFonts w:ascii="Times New Roman" w:hAnsi="Times New Roman" w:cs="Times New Roman"/>
          <w:color w:val="000000" w:themeColor="text1"/>
          <w:sz w:val="24"/>
          <w:szCs w:val="24"/>
        </w:rPr>
        <w:t> </w:t>
      </w:r>
      <w:r w:rsidR="009342F3" w:rsidRPr="00721FBC">
        <w:rPr>
          <w:rFonts w:ascii="Times New Roman" w:hAnsi="Times New Roman" w:cs="Times New Roman"/>
          <w:color w:val="000000" w:themeColor="text1"/>
          <w:sz w:val="24"/>
          <w:szCs w:val="24"/>
        </w:rPr>
        <w:t xml:space="preserve">gadā vidējais </w:t>
      </w:r>
      <w:r w:rsidR="0053244E" w:rsidRPr="00721FBC">
        <w:rPr>
          <w:rFonts w:ascii="Times New Roman" w:hAnsi="Times New Roman" w:cs="Times New Roman"/>
          <w:color w:val="000000" w:themeColor="text1"/>
          <w:sz w:val="24"/>
          <w:szCs w:val="24"/>
        </w:rPr>
        <w:t>reģistrēt</w:t>
      </w:r>
      <w:r w:rsidR="00393461" w:rsidRPr="00721FBC">
        <w:rPr>
          <w:rFonts w:ascii="Times New Roman" w:hAnsi="Times New Roman" w:cs="Times New Roman"/>
          <w:color w:val="000000" w:themeColor="text1"/>
          <w:sz w:val="24"/>
          <w:szCs w:val="24"/>
        </w:rPr>
        <w:t>ā</w:t>
      </w:r>
      <w:r w:rsidR="0053244E" w:rsidRPr="00721FBC">
        <w:rPr>
          <w:rFonts w:ascii="Times New Roman" w:hAnsi="Times New Roman" w:cs="Times New Roman"/>
          <w:color w:val="000000" w:themeColor="text1"/>
          <w:sz w:val="24"/>
          <w:szCs w:val="24"/>
        </w:rPr>
        <w:t xml:space="preserve"> </w:t>
      </w:r>
      <w:r w:rsidR="009342F3" w:rsidRPr="00721FBC">
        <w:rPr>
          <w:rFonts w:ascii="Times New Roman" w:hAnsi="Times New Roman" w:cs="Times New Roman"/>
          <w:color w:val="000000" w:themeColor="text1"/>
          <w:sz w:val="24"/>
          <w:szCs w:val="24"/>
        </w:rPr>
        <w:t>bezdarba līmenis</w:t>
      </w:r>
      <w:r w:rsidR="009C7835" w:rsidRPr="00721FBC">
        <w:rPr>
          <w:rFonts w:ascii="Times New Roman" w:hAnsi="Times New Roman" w:cs="Times New Roman"/>
          <w:color w:val="000000" w:themeColor="text1"/>
          <w:sz w:val="24"/>
          <w:szCs w:val="24"/>
        </w:rPr>
        <w:t xml:space="preserve"> (mēnešu griezumā)</w:t>
      </w:r>
      <w:r w:rsidR="009342F3" w:rsidRPr="00721FBC">
        <w:rPr>
          <w:rFonts w:ascii="Times New Roman" w:hAnsi="Times New Roman" w:cs="Times New Roman"/>
          <w:color w:val="000000" w:themeColor="text1"/>
          <w:sz w:val="24"/>
          <w:szCs w:val="24"/>
        </w:rPr>
        <w:t xml:space="preserve"> bija </w:t>
      </w:r>
      <w:r w:rsidR="002448CA" w:rsidRPr="00721FBC">
        <w:rPr>
          <w:rFonts w:ascii="Times New Roman" w:hAnsi="Times New Roman" w:cs="Times New Roman"/>
          <w:color w:val="000000" w:themeColor="text1"/>
          <w:sz w:val="24"/>
          <w:szCs w:val="24"/>
        </w:rPr>
        <w:t>5,</w:t>
      </w:r>
      <w:r w:rsidR="00715833" w:rsidRPr="00721FBC">
        <w:rPr>
          <w:rFonts w:ascii="Times New Roman" w:hAnsi="Times New Roman" w:cs="Times New Roman"/>
          <w:color w:val="000000" w:themeColor="text1"/>
          <w:sz w:val="24"/>
          <w:szCs w:val="24"/>
        </w:rPr>
        <w:t xml:space="preserve">1 </w:t>
      </w:r>
      <w:r w:rsidR="009342F3" w:rsidRPr="00721FBC">
        <w:rPr>
          <w:rFonts w:ascii="Times New Roman" w:hAnsi="Times New Roman" w:cs="Times New Roman"/>
          <w:color w:val="000000" w:themeColor="text1"/>
          <w:sz w:val="24"/>
          <w:szCs w:val="24"/>
        </w:rPr>
        <w:t>%</w:t>
      </w:r>
      <w:r w:rsidR="00003384" w:rsidRPr="00721FBC">
        <w:rPr>
          <w:rFonts w:ascii="Times New Roman" w:hAnsi="Times New Roman" w:cs="Times New Roman"/>
          <w:color w:val="000000" w:themeColor="text1"/>
          <w:sz w:val="24"/>
          <w:szCs w:val="24"/>
        </w:rPr>
        <w:t>, savukārt vidējais reģistrēto bezdarbnieku skaits – 4</w:t>
      </w:r>
      <w:r w:rsidR="00715833" w:rsidRPr="00721FBC">
        <w:rPr>
          <w:rFonts w:ascii="Times New Roman" w:hAnsi="Times New Roman" w:cs="Times New Roman"/>
          <w:color w:val="000000" w:themeColor="text1"/>
          <w:sz w:val="24"/>
          <w:szCs w:val="24"/>
        </w:rPr>
        <w:t>4 347</w:t>
      </w:r>
      <w:r w:rsidR="002448CA" w:rsidRPr="00721FBC">
        <w:rPr>
          <w:rFonts w:ascii="Times New Roman" w:hAnsi="Times New Roman" w:cs="Times New Roman"/>
          <w:color w:val="000000" w:themeColor="text1"/>
          <w:sz w:val="24"/>
          <w:szCs w:val="24"/>
        </w:rPr>
        <w:t xml:space="preserve"> </w:t>
      </w:r>
      <w:r w:rsidR="00003384" w:rsidRPr="00721FBC">
        <w:rPr>
          <w:rFonts w:ascii="Times New Roman" w:hAnsi="Times New Roman" w:cs="Times New Roman"/>
          <w:color w:val="000000" w:themeColor="text1"/>
          <w:sz w:val="24"/>
          <w:szCs w:val="24"/>
        </w:rPr>
        <w:t>personas</w:t>
      </w:r>
      <w:r w:rsidR="009342F3" w:rsidRPr="00721FBC">
        <w:rPr>
          <w:rFonts w:ascii="Times New Roman" w:hAnsi="Times New Roman" w:cs="Times New Roman"/>
          <w:color w:val="000000" w:themeColor="text1"/>
          <w:sz w:val="24"/>
          <w:szCs w:val="24"/>
        </w:rPr>
        <w:t>.</w:t>
      </w:r>
      <w:r w:rsidR="000521E8" w:rsidRPr="00721FBC">
        <w:rPr>
          <w:rFonts w:ascii="Times New Roman" w:hAnsi="Times New Roman" w:cs="Times New Roman"/>
          <w:color w:val="000000" w:themeColor="text1"/>
          <w:sz w:val="24"/>
          <w:szCs w:val="24"/>
        </w:rPr>
        <w:t xml:space="preserve"> </w:t>
      </w:r>
      <w:r w:rsidR="00FB435C" w:rsidRPr="00721FBC">
        <w:rPr>
          <w:rFonts w:ascii="Times New Roman" w:hAnsi="Times New Roman" w:cs="Times New Roman"/>
          <w:color w:val="000000" w:themeColor="text1"/>
          <w:sz w:val="24"/>
          <w:szCs w:val="24"/>
        </w:rPr>
        <w:t xml:space="preserve">Vidējais </w:t>
      </w:r>
      <w:r w:rsidR="00FB435C" w:rsidRPr="00721FBC">
        <w:rPr>
          <w:rFonts w:ascii="Times New Roman" w:hAnsi="Times New Roman" w:cs="Times New Roman"/>
          <w:b/>
          <w:bCs/>
          <w:color w:val="000000" w:themeColor="text1"/>
          <w:sz w:val="24"/>
          <w:szCs w:val="24"/>
        </w:rPr>
        <w:t>reģistrētā bezdarba līmenis</w:t>
      </w:r>
      <w:r w:rsidR="00FB435C" w:rsidRPr="00721FBC">
        <w:rPr>
          <w:rFonts w:ascii="Times New Roman" w:hAnsi="Times New Roman" w:cs="Times New Roman"/>
          <w:color w:val="000000" w:themeColor="text1"/>
          <w:sz w:val="24"/>
          <w:szCs w:val="24"/>
        </w:rPr>
        <w:t xml:space="preserve"> (saskaņā ar </w:t>
      </w:r>
      <w:r w:rsidR="000E484B" w:rsidRPr="00721FBC">
        <w:rPr>
          <w:rFonts w:ascii="Times New Roman" w:hAnsi="Times New Roman" w:cs="Times New Roman"/>
          <w:color w:val="000000" w:themeColor="text1"/>
          <w:sz w:val="24"/>
          <w:szCs w:val="24"/>
        </w:rPr>
        <w:t>Labklājības ministrijas</w:t>
      </w:r>
      <w:r w:rsidR="00916781">
        <w:rPr>
          <w:rFonts w:ascii="Times New Roman" w:hAnsi="Times New Roman" w:cs="Times New Roman"/>
          <w:color w:val="000000" w:themeColor="text1"/>
          <w:sz w:val="24"/>
          <w:szCs w:val="24"/>
        </w:rPr>
        <w:t xml:space="preserve"> (turpmāk – LM)</w:t>
      </w:r>
      <w:r w:rsidR="00FB435C" w:rsidRPr="00721FBC">
        <w:rPr>
          <w:rFonts w:ascii="Times New Roman" w:hAnsi="Times New Roman" w:cs="Times New Roman"/>
          <w:color w:val="000000" w:themeColor="text1"/>
          <w:sz w:val="24"/>
          <w:szCs w:val="24"/>
        </w:rPr>
        <w:t xml:space="preserve"> datiem) </w:t>
      </w:r>
      <w:r w:rsidR="00FB435C" w:rsidRPr="00721FBC">
        <w:rPr>
          <w:rFonts w:ascii="Times New Roman" w:hAnsi="Times New Roman" w:cs="Times New Roman"/>
          <w:b/>
          <w:bCs/>
          <w:color w:val="000000" w:themeColor="text1"/>
          <w:sz w:val="24"/>
          <w:szCs w:val="24"/>
        </w:rPr>
        <w:t>202</w:t>
      </w:r>
      <w:r w:rsidR="00715833" w:rsidRPr="00721FBC">
        <w:rPr>
          <w:rFonts w:ascii="Times New Roman" w:hAnsi="Times New Roman" w:cs="Times New Roman"/>
          <w:b/>
          <w:bCs/>
          <w:color w:val="000000" w:themeColor="text1"/>
          <w:sz w:val="24"/>
          <w:szCs w:val="24"/>
        </w:rPr>
        <w:t>6</w:t>
      </w:r>
      <w:r w:rsidR="00FB435C" w:rsidRPr="00721FBC">
        <w:rPr>
          <w:rFonts w:ascii="Times New Roman" w:hAnsi="Times New Roman" w:cs="Times New Roman"/>
          <w:b/>
          <w:bCs/>
          <w:color w:val="000000" w:themeColor="text1"/>
          <w:sz w:val="24"/>
          <w:szCs w:val="24"/>
        </w:rPr>
        <w:t>.</w:t>
      </w:r>
      <w:r w:rsidR="004C2321" w:rsidRPr="00721FBC">
        <w:rPr>
          <w:rFonts w:ascii="Times New Roman" w:hAnsi="Times New Roman" w:cs="Times New Roman"/>
          <w:b/>
          <w:bCs/>
          <w:color w:val="000000" w:themeColor="text1"/>
          <w:sz w:val="24"/>
          <w:szCs w:val="24"/>
        </w:rPr>
        <w:t> </w:t>
      </w:r>
      <w:r w:rsidR="00FB435C" w:rsidRPr="00721FBC">
        <w:rPr>
          <w:rFonts w:ascii="Times New Roman" w:hAnsi="Times New Roman" w:cs="Times New Roman"/>
          <w:b/>
          <w:bCs/>
          <w:color w:val="000000" w:themeColor="text1"/>
          <w:sz w:val="24"/>
          <w:szCs w:val="24"/>
        </w:rPr>
        <w:t xml:space="preserve">gadā tiek prognozēts </w:t>
      </w:r>
      <w:r w:rsidR="00E3771F" w:rsidRPr="00721FBC">
        <w:rPr>
          <w:rFonts w:ascii="Times New Roman" w:hAnsi="Times New Roman" w:cs="Times New Roman"/>
          <w:b/>
          <w:bCs/>
          <w:color w:val="000000" w:themeColor="text1"/>
          <w:sz w:val="24"/>
          <w:szCs w:val="24"/>
        </w:rPr>
        <w:t>4,</w:t>
      </w:r>
      <w:r w:rsidR="00CD3437" w:rsidRPr="00721FBC">
        <w:rPr>
          <w:rFonts w:ascii="Times New Roman" w:hAnsi="Times New Roman" w:cs="Times New Roman"/>
          <w:b/>
          <w:bCs/>
          <w:color w:val="000000" w:themeColor="text1"/>
          <w:sz w:val="24"/>
          <w:szCs w:val="24"/>
        </w:rPr>
        <w:t xml:space="preserve">6 </w:t>
      </w:r>
      <w:r w:rsidR="0053244E" w:rsidRPr="00721FBC">
        <w:rPr>
          <w:rFonts w:ascii="Times New Roman" w:hAnsi="Times New Roman" w:cs="Times New Roman"/>
          <w:b/>
          <w:bCs/>
          <w:color w:val="000000" w:themeColor="text1"/>
          <w:sz w:val="24"/>
          <w:szCs w:val="24"/>
        </w:rPr>
        <w:t>%</w:t>
      </w:r>
      <w:r w:rsidR="00FB435C" w:rsidRPr="00721FBC">
        <w:rPr>
          <w:rFonts w:ascii="Times New Roman" w:hAnsi="Times New Roman" w:cs="Times New Roman"/>
          <w:b/>
          <w:bCs/>
          <w:color w:val="000000" w:themeColor="text1"/>
          <w:sz w:val="24"/>
          <w:szCs w:val="24"/>
        </w:rPr>
        <w:t xml:space="preserve"> apmērā</w:t>
      </w:r>
      <w:r w:rsidR="000E484B" w:rsidRPr="00721FBC">
        <w:rPr>
          <w:rFonts w:ascii="Times New Roman" w:hAnsi="Times New Roman" w:cs="Times New Roman"/>
          <w:color w:val="000000" w:themeColor="text1"/>
          <w:sz w:val="24"/>
          <w:szCs w:val="24"/>
        </w:rPr>
        <w:t xml:space="preserve"> (vidēji</w:t>
      </w:r>
      <w:r w:rsidR="00DC685F" w:rsidRPr="00721FBC">
        <w:rPr>
          <w:rFonts w:ascii="Times New Roman" w:hAnsi="Times New Roman" w:cs="Times New Roman"/>
          <w:color w:val="000000" w:themeColor="text1"/>
          <w:sz w:val="24"/>
          <w:szCs w:val="24"/>
        </w:rPr>
        <w:t xml:space="preserve"> </w:t>
      </w:r>
      <w:r w:rsidR="00FB44A9" w:rsidRPr="00721FBC">
        <w:rPr>
          <w:rFonts w:ascii="Times New Roman" w:hAnsi="Times New Roman" w:cs="Times New Roman"/>
          <w:color w:val="000000" w:themeColor="text1"/>
          <w:sz w:val="24"/>
          <w:szCs w:val="24"/>
        </w:rPr>
        <w:t>4</w:t>
      </w:r>
      <w:r w:rsidR="00011B3B" w:rsidRPr="00721FBC">
        <w:rPr>
          <w:rFonts w:ascii="Times New Roman" w:hAnsi="Times New Roman" w:cs="Times New Roman"/>
          <w:color w:val="000000" w:themeColor="text1"/>
          <w:sz w:val="24"/>
          <w:szCs w:val="24"/>
        </w:rPr>
        <w:t>0</w:t>
      </w:r>
      <w:r w:rsidR="00DC685F" w:rsidRPr="00721FBC">
        <w:rPr>
          <w:rFonts w:ascii="Times New Roman" w:hAnsi="Times New Roman" w:cs="Times New Roman"/>
          <w:color w:val="000000" w:themeColor="text1"/>
          <w:sz w:val="24"/>
          <w:szCs w:val="24"/>
        </w:rPr>
        <w:t xml:space="preserve"> tūkstoši bezdarbnieku)</w:t>
      </w:r>
      <w:r w:rsidR="00FB435C" w:rsidRPr="00721FBC">
        <w:rPr>
          <w:rFonts w:ascii="Times New Roman" w:hAnsi="Times New Roman" w:cs="Times New Roman"/>
          <w:color w:val="000000" w:themeColor="text1"/>
          <w:sz w:val="24"/>
          <w:szCs w:val="24"/>
        </w:rPr>
        <w:t>.</w:t>
      </w:r>
    </w:p>
    <w:p w14:paraId="21AB45BB" w14:textId="363502EA" w:rsidR="00DE2CB4" w:rsidRPr="00721FBC" w:rsidRDefault="008049A6" w:rsidP="00480536">
      <w:pPr>
        <w:spacing w:after="120"/>
        <w:rPr>
          <w:rFonts w:ascii="Times New Roman" w:hAnsi="Times New Roman" w:cs="Times New Roman"/>
          <w:color w:val="000000" w:themeColor="text1"/>
          <w:sz w:val="24"/>
          <w:szCs w:val="24"/>
        </w:rPr>
      </w:pPr>
      <w:r w:rsidRPr="00721FBC">
        <w:rPr>
          <w:noProof/>
          <w:color w:val="000000" w:themeColor="text1"/>
        </w:rPr>
        <w:drawing>
          <wp:inline distT="0" distB="0" distL="0" distR="0" wp14:anchorId="59919415" wp14:editId="35F33654">
            <wp:extent cx="5608320" cy="2724150"/>
            <wp:effectExtent l="0" t="0" r="0" b="0"/>
            <wp:docPr id="2" name="Chart 2">
              <a:extLst xmlns:a="http://schemas.openxmlformats.org/drawingml/2006/main">
                <a:ext uri="{FF2B5EF4-FFF2-40B4-BE49-F238E27FC236}">
                  <a16:creationId xmlns:a16="http://schemas.microsoft.com/office/drawing/2014/main" id="{FE3C6436-7960-45A0-9070-AFA1CB8A71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1E33459" w14:textId="52CF6E06" w:rsidR="002B2FE6" w:rsidRPr="00721FBC" w:rsidRDefault="002B2FE6" w:rsidP="007B6376">
      <w:pPr>
        <w:spacing w:after="120"/>
        <w:ind w:firstLine="720"/>
        <w:jc w:val="both"/>
        <w:rPr>
          <w:rFonts w:ascii="Times New Roman" w:hAnsi="Times New Roman" w:cs="Times New Roman"/>
          <w:color w:val="000000" w:themeColor="text1"/>
          <w:sz w:val="24"/>
          <w:szCs w:val="24"/>
        </w:rPr>
      </w:pPr>
      <w:r w:rsidRPr="00721FBC">
        <w:rPr>
          <w:rFonts w:ascii="Times New Roman" w:hAnsi="Times New Roman" w:cs="Times New Roman"/>
          <w:color w:val="000000" w:themeColor="text1"/>
          <w:sz w:val="24"/>
          <w:szCs w:val="24"/>
        </w:rPr>
        <w:t>202</w:t>
      </w:r>
      <w:r w:rsidR="00353B1C" w:rsidRPr="00721FBC">
        <w:rPr>
          <w:rFonts w:ascii="Times New Roman" w:hAnsi="Times New Roman" w:cs="Times New Roman"/>
          <w:color w:val="000000" w:themeColor="text1"/>
          <w:sz w:val="24"/>
          <w:szCs w:val="24"/>
        </w:rPr>
        <w:t>5</w:t>
      </w:r>
      <w:r w:rsidRPr="00721FBC">
        <w:rPr>
          <w:rFonts w:ascii="Times New Roman" w:hAnsi="Times New Roman" w:cs="Times New Roman"/>
          <w:color w:val="000000" w:themeColor="text1"/>
          <w:sz w:val="24"/>
          <w:szCs w:val="24"/>
        </w:rPr>
        <w:t>.</w:t>
      </w:r>
      <w:r w:rsidR="004F7776" w:rsidRPr="00721FBC">
        <w:rPr>
          <w:rFonts w:ascii="Times New Roman" w:hAnsi="Times New Roman" w:cs="Times New Roman"/>
          <w:color w:val="000000" w:themeColor="text1"/>
          <w:sz w:val="24"/>
          <w:szCs w:val="24"/>
        </w:rPr>
        <w:t> </w:t>
      </w:r>
      <w:r w:rsidRPr="00721FBC">
        <w:rPr>
          <w:rFonts w:ascii="Times New Roman" w:hAnsi="Times New Roman" w:cs="Times New Roman"/>
          <w:color w:val="000000" w:themeColor="text1"/>
          <w:sz w:val="24"/>
          <w:szCs w:val="24"/>
        </w:rPr>
        <w:t xml:space="preserve">gadā NVA pavisam tika reģistrētas </w:t>
      </w:r>
      <w:r w:rsidR="006D4AF3" w:rsidRPr="00721FBC">
        <w:rPr>
          <w:rFonts w:ascii="Times New Roman" w:hAnsi="Times New Roman" w:cs="Times New Roman"/>
          <w:color w:val="000000" w:themeColor="text1"/>
          <w:sz w:val="24"/>
          <w:szCs w:val="24"/>
        </w:rPr>
        <w:t>93 700</w:t>
      </w:r>
      <w:r w:rsidRPr="00721FBC">
        <w:rPr>
          <w:rFonts w:ascii="Times New Roman" w:hAnsi="Times New Roman" w:cs="Times New Roman"/>
          <w:color w:val="000000" w:themeColor="text1"/>
          <w:sz w:val="24"/>
          <w:szCs w:val="24"/>
        </w:rPr>
        <w:t xml:space="preserve"> vakances, kas bija par  </w:t>
      </w:r>
      <w:r w:rsidR="006D4AF3" w:rsidRPr="00721FBC">
        <w:rPr>
          <w:rFonts w:ascii="Times New Roman" w:hAnsi="Times New Roman" w:cs="Times New Roman"/>
          <w:color w:val="000000" w:themeColor="text1"/>
          <w:sz w:val="24"/>
          <w:szCs w:val="24"/>
        </w:rPr>
        <w:t xml:space="preserve">4 484 </w:t>
      </w:r>
      <w:r w:rsidRPr="00721FBC">
        <w:rPr>
          <w:rFonts w:ascii="Times New Roman" w:hAnsi="Times New Roman" w:cs="Times New Roman"/>
          <w:color w:val="000000" w:themeColor="text1"/>
          <w:sz w:val="24"/>
          <w:szCs w:val="24"/>
        </w:rPr>
        <w:t xml:space="preserve">vakancēm jeb par </w:t>
      </w:r>
      <w:r w:rsidR="0053183D" w:rsidRPr="00721FBC">
        <w:rPr>
          <w:rFonts w:ascii="Times New Roman" w:hAnsi="Times New Roman" w:cs="Times New Roman"/>
          <w:color w:val="000000" w:themeColor="text1"/>
          <w:sz w:val="24"/>
          <w:szCs w:val="24"/>
        </w:rPr>
        <w:t>5</w:t>
      </w:r>
      <w:r w:rsidR="009163A6" w:rsidRPr="00721FBC">
        <w:rPr>
          <w:rFonts w:ascii="Times New Roman" w:hAnsi="Times New Roman" w:cs="Times New Roman"/>
          <w:color w:val="000000" w:themeColor="text1"/>
          <w:sz w:val="24"/>
          <w:szCs w:val="24"/>
        </w:rPr>
        <w:t xml:space="preserve"> </w:t>
      </w:r>
      <w:r w:rsidRPr="00721FBC">
        <w:rPr>
          <w:rFonts w:ascii="Times New Roman" w:hAnsi="Times New Roman" w:cs="Times New Roman"/>
          <w:color w:val="000000" w:themeColor="text1"/>
          <w:sz w:val="24"/>
          <w:szCs w:val="24"/>
        </w:rPr>
        <w:t xml:space="preserve">% </w:t>
      </w:r>
      <w:r w:rsidR="006D4AF3" w:rsidRPr="00721FBC">
        <w:rPr>
          <w:rFonts w:ascii="Times New Roman" w:hAnsi="Times New Roman" w:cs="Times New Roman"/>
          <w:color w:val="000000" w:themeColor="text1"/>
          <w:sz w:val="24"/>
          <w:szCs w:val="24"/>
        </w:rPr>
        <w:t>vairāk</w:t>
      </w:r>
      <w:r w:rsidRPr="00721FBC">
        <w:rPr>
          <w:rFonts w:ascii="Times New Roman" w:hAnsi="Times New Roman" w:cs="Times New Roman"/>
          <w:color w:val="000000" w:themeColor="text1"/>
          <w:sz w:val="24"/>
          <w:szCs w:val="24"/>
        </w:rPr>
        <w:t xml:space="preserve"> kā 202</w:t>
      </w:r>
      <w:r w:rsidR="002B6BBD" w:rsidRPr="00721FBC">
        <w:rPr>
          <w:rFonts w:ascii="Times New Roman" w:hAnsi="Times New Roman" w:cs="Times New Roman"/>
          <w:color w:val="000000" w:themeColor="text1"/>
          <w:sz w:val="24"/>
          <w:szCs w:val="24"/>
        </w:rPr>
        <w:t>4</w:t>
      </w:r>
      <w:r w:rsidRPr="00721FBC">
        <w:rPr>
          <w:rFonts w:ascii="Times New Roman" w:hAnsi="Times New Roman" w:cs="Times New Roman"/>
          <w:color w:val="000000" w:themeColor="text1"/>
          <w:sz w:val="24"/>
          <w:szCs w:val="24"/>
        </w:rPr>
        <w:t>.</w:t>
      </w:r>
      <w:r w:rsidR="004F7776" w:rsidRPr="00721FBC">
        <w:rPr>
          <w:rFonts w:ascii="Times New Roman" w:hAnsi="Times New Roman" w:cs="Times New Roman"/>
          <w:color w:val="000000" w:themeColor="text1"/>
          <w:sz w:val="24"/>
          <w:szCs w:val="24"/>
        </w:rPr>
        <w:t> </w:t>
      </w:r>
      <w:r w:rsidRPr="00721FBC">
        <w:rPr>
          <w:rFonts w:ascii="Times New Roman" w:hAnsi="Times New Roman" w:cs="Times New Roman"/>
          <w:color w:val="000000" w:themeColor="text1"/>
          <w:sz w:val="24"/>
          <w:szCs w:val="24"/>
        </w:rPr>
        <w:t>gadā</w:t>
      </w:r>
      <w:r w:rsidR="002B6BBD" w:rsidRPr="00721FBC">
        <w:rPr>
          <w:rFonts w:ascii="Times New Roman" w:hAnsi="Times New Roman" w:cs="Times New Roman"/>
          <w:color w:val="000000" w:themeColor="text1"/>
          <w:sz w:val="24"/>
          <w:szCs w:val="24"/>
        </w:rPr>
        <w:t xml:space="preserve"> (89 216)</w:t>
      </w:r>
      <w:r w:rsidRPr="00721FBC">
        <w:rPr>
          <w:rFonts w:ascii="Times New Roman" w:hAnsi="Times New Roman" w:cs="Times New Roman"/>
          <w:color w:val="000000" w:themeColor="text1"/>
          <w:sz w:val="24"/>
          <w:szCs w:val="24"/>
        </w:rPr>
        <w:t>. Paredzams, ka 202</w:t>
      </w:r>
      <w:r w:rsidR="009163A6" w:rsidRPr="00721FBC">
        <w:rPr>
          <w:rFonts w:ascii="Times New Roman" w:hAnsi="Times New Roman" w:cs="Times New Roman"/>
          <w:color w:val="000000" w:themeColor="text1"/>
          <w:sz w:val="24"/>
          <w:szCs w:val="24"/>
        </w:rPr>
        <w:t>6</w:t>
      </w:r>
      <w:r w:rsidRPr="00721FBC">
        <w:rPr>
          <w:rFonts w:ascii="Times New Roman" w:hAnsi="Times New Roman" w:cs="Times New Roman"/>
          <w:color w:val="000000" w:themeColor="text1"/>
          <w:sz w:val="24"/>
          <w:szCs w:val="24"/>
        </w:rPr>
        <w:t>.</w:t>
      </w:r>
      <w:r w:rsidR="004F7776" w:rsidRPr="00721FBC">
        <w:rPr>
          <w:rFonts w:ascii="Times New Roman" w:hAnsi="Times New Roman" w:cs="Times New Roman"/>
          <w:color w:val="000000" w:themeColor="text1"/>
          <w:sz w:val="24"/>
          <w:szCs w:val="24"/>
        </w:rPr>
        <w:t> </w:t>
      </w:r>
      <w:r w:rsidRPr="00721FBC">
        <w:rPr>
          <w:rFonts w:ascii="Times New Roman" w:hAnsi="Times New Roman" w:cs="Times New Roman"/>
          <w:color w:val="000000" w:themeColor="text1"/>
          <w:sz w:val="24"/>
          <w:szCs w:val="24"/>
        </w:rPr>
        <w:t xml:space="preserve">gadā </w:t>
      </w:r>
      <w:r w:rsidR="00F37A91" w:rsidRPr="00721FBC">
        <w:rPr>
          <w:rFonts w:ascii="Times New Roman" w:hAnsi="Times New Roman" w:cs="Times New Roman"/>
          <w:color w:val="000000" w:themeColor="text1"/>
          <w:sz w:val="24"/>
          <w:szCs w:val="24"/>
        </w:rPr>
        <w:t xml:space="preserve">no jauna </w:t>
      </w:r>
      <w:r w:rsidRPr="00721FBC">
        <w:rPr>
          <w:rFonts w:ascii="Times New Roman" w:hAnsi="Times New Roman" w:cs="Times New Roman"/>
          <w:color w:val="000000" w:themeColor="text1"/>
          <w:sz w:val="24"/>
          <w:szCs w:val="24"/>
        </w:rPr>
        <w:t xml:space="preserve">pieteikto vakanču skaits varētu </w:t>
      </w:r>
      <w:r w:rsidR="009163A6" w:rsidRPr="00721FBC">
        <w:rPr>
          <w:rFonts w:ascii="Times New Roman" w:hAnsi="Times New Roman" w:cs="Times New Roman"/>
          <w:color w:val="000000" w:themeColor="text1"/>
          <w:sz w:val="24"/>
          <w:szCs w:val="24"/>
        </w:rPr>
        <w:t xml:space="preserve">nedaudz </w:t>
      </w:r>
      <w:r w:rsidR="00F37A91" w:rsidRPr="00721FBC">
        <w:rPr>
          <w:rFonts w:ascii="Times New Roman" w:hAnsi="Times New Roman" w:cs="Times New Roman"/>
          <w:color w:val="000000" w:themeColor="text1"/>
          <w:sz w:val="24"/>
          <w:szCs w:val="24"/>
        </w:rPr>
        <w:t>pieaugt</w:t>
      </w:r>
      <w:r w:rsidR="00EF46C4" w:rsidRPr="00721FBC">
        <w:rPr>
          <w:rFonts w:ascii="Times New Roman" w:hAnsi="Times New Roman" w:cs="Times New Roman"/>
          <w:color w:val="000000" w:themeColor="text1"/>
          <w:sz w:val="24"/>
          <w:szCs w:val="24"/>
        </w:rPr>
        <w:t>, ja</w:t>
      </w:r>
      <w:r w:rsidR="00FF2B81" w:rsidRPr="00721FBC">
        <w:rPr>
          <w:rFonts w:ascii="Times New Roman" w:hAnsi="Times New Roman" w:cs="Times New Roman"/>
          <w:color w:val="000000" w:themeColor="text1"/>
          <w:sz w:val="24"/>
          <w:szCs w:val="24"/>
        </w:rPr>
        <w:t xml:space="preserve">, atbilstoši </w:t>
      </w:r>
      <w:r w:rsidR="00C90574" w:rsidRPr="00721FBC">
        <w:rPr>
          <w:rFonts w:ascii="Times New Roman" w:hAnsi="Times New Roman" w:cs="Times New Roman"/>
          <w:color w:val="000000" w:themeColor="text1"/>
          <w:sz w:val="24"/>
          <w:szCs w:val="24"/>
        </w:rPr>
        <w:t xml:space="preserve">Eiropas Komisijas un </w:t>
      </w:r>
      <w:r w:rsidR="009163A6" w:rsidRPr="00721FBC">
        <w:rPr>
          <w:rFonts w:ascii="Times New Roman" w:hAnsi="Times New Roman" w:cs="Times New Roman"/>
          <w:color w:val="000000" w:themeColor="text1"/>
          <w:sz w:val="24"/>
          <w:szCs w:val="24"/>
        </w:rPr>
        <w:t xml:space="preserve">Ekonomikas ministrijas </w:t>
      </w:r>
      <w:r w:rsidR="00FF2B81" w:rsidRPr="00721FBC">
        <w:rPr>
          <w:rFonts w:ascii="Times New Roman" w:hAnsi="Times New Roman" w:cs="Times New Roman"/>
          <w:color w:val="000000" w:themeColor="text1"/>
          <w:sz w:val="24"/>
          <w:szCs w:val="24"/>
        </w:rPr>
        <w:t>prognozēm,</w:t>
      </w:r>
      <w:r w:rsidR="00EF46C4" w:rsidRPr="00721FBC">
        <w:rPr>
          <w:rFonts w:ascii="Times New Roman" w:hAnsi="Times New Roman" w:cs="Times New Roman"/>
          <w:color w:val="000000" w:themeColor="text1"/>
          <w:sz w:val="24"/>
          <w:szCs w:val="24"/>
        </w:rPr>
        <w:t xml:space="preserve"> </w:t>
      </w:r>
      <w:r w:rsidR="00346CEF" w:rsidRPr="00721FBC">
        <w:rPr>
          <w:rFonts w:ascii="Times New Roman" w:hAnsi="Times New Roman" w:cs="Times New Roman"/>
          <w:color w:val="000000" w:themeColor="text1"/>
          <w:sz w:val="24"/>
          <w:szCs w:val="24"/>
        </w:rPr>
        <w:t>ekonomiskā aktivitāte</w:t>
      </w:r>
      <w:r w:rsidR="00FF2B81" w:rsidRPr="00721FBC">
        <w:rPr>
          <w:rFonts w:ascii="Times New Roman" w:hAnsi="Times New Roman" w:cs="Times New Roman"/>
          <w:color w:val="000000" w:themeColor="text1"/>
          <w:sz w:val="24"/>
          <w:szCs w:val="24"/>
        </w:rPr>
        <w:t xml:space="preserve"> turpinās pakāpeniski</w:t>
      </w:r>
      <w:r w:rsidR="00346CEF" w:rsidRPr="00721FBC">
        <w:rPr>
          <w:rFonts w:ascii="Times New Roman" w:hAnsi="Times New Roman" w:cs="Times New Roman"/>
          <w:color w:val="000000" w:themeColor="text1"/>
          <w:sz w:val="24"/>
          <w:szCs w:val="24"/>
        </w:rPr>
        <w:t xml:space="preserve"> pieaug</w:t>
      </w:r>
      <w:r w:rsidR="00FF2B81" w:rsidRPr="00721FBC">
        <w:rPr>
          <w:rFonts w:ascii="Times New Roman" w:hAnsi="Times New Roman" w:cs="Times New Roman"/>
          <w:color w:val="000000" w:themeColor="text1"/>
          <w:sz w:val="24"/>
          <w:szCs w:val="24"/>
        </w:rPr>
        <w:t>t</w:t>
      </w:r>
      <w:r w:rsidRPr="00721FBC">
        <w:rPr>
          <w:rFonts w:ascii="Times New Roman" w:hAnsi="Times New Roman" w:cs="Times New Roman"/>
          <w:color w:val="000000" w:themeColor="text1"/>
          <w:sz w:val="24"/>
          <w:szCs w:val="24"/>
        </w:rPr>
        <w:t>.</w:t>
      </w:r>
    </w:p>
    <w:p w14:paraId="0861684C" w14:textId="18531B3B" w:rsidR="004B1870" w:rsidRPr="00721FBC" w:rsidRDefault="002B2FE6" w:rsidP="00A07C63">
      <w:pPr>
        <w:spacing w:after="120"/>
        <w:ind w:firstLine="720"/>
        <w:jc w:val="both"/>
        <w:rPr>
          <w:rFonts w:ascii="Times New Roman" w:hAnsi="Times New Roman" w:cs="Times New Roman"/>
          <w:color w:val="000000" w:themeColor="text1"/>
          <w:sz w:val="24"/>
          <w:szCs w:val="24"/>
        </w:rPr>
      </w:pPr>
      <w:r w:rsidRPr="00721FBC">
        <w:rPr>
          <w:rFonts w:ascii="Times New Roman" w:hAnsi="Times New Roman" w:cs="Times New Roman"/>
          <w:color w:val="000000" w:themeColor="text1"/>
          <w:sz w:val="24"/>
          <w:szCs w:val="24"/>
        </w:rPr>
        <w:t>Pavisam 202</w:t>
      </w:r>
      <w:r w:rsidR="00C90574" w:rsidRPr="00721FBC">
        <w:rPr>
          <w:rFonts w:ascii="Times New Roman" w:hAnsi="Times New Roman" w:cs="Times New Roman"/>
          <w:color w:val="000000" w:themeColor="text1"/>
          <w:sz w:val="24"/>
          <w:szCs w:val="24"/>
        </w:rPr>
        <w:t>5</w:t>
      </w:r>
      <w:r w:rsidRPr="00721FBC">
        <w:rPr>
          <w:rFonts w:ascii="Times New Roman" w:hAnsi="Times New Roman" w:cs="Times New Roman"/>
          <w:color w:val="000000" w:themeColor="text1"/>
          <w:sz w:val="24"/>
          <w:szCs w:val="24"/>
        </w:rPr>
        <w:t>.</w:t>
      </w:r>
      <w:r w:rsidR="004F7776" w:rsidRPr="00721FBC">
        <w:rPr>
          <w:rFonts w:ascii="Times New Roman" w:hAnsi="Times New Roman" w:cs="Times New Roman"/>
          <w:color w:val="000000" w:themeColor="text1"/>
          <w:sz w:val="24"/>
          <w:szCs w:val="24"/>
        </w:rPr>
        <w:t> </w:t>
      </w:r>
      <w:r w:rsidRPr="00721FBC">
        <w:rPr>
          <w:rFonts w:ascii="Times New Roman" w:hAnsi="Times New Roman" w:cs="Times New Roman"/>
          <w:color w:val="000000" w:themeColor="text1"/>
          <w:sz w:val="24"/>
          <w:szCs w:val="24"/>
        </w:rPr>
        <w:t xml:space="preserve">gada laikā reģistrētā bezdarbnieka statusu NVA ieguva </w:t>
      </w:r>
      <w:r w:rsidR="001C013D" w:rsidRPr="00721FBC">
        <w:rPr>
          <w:rFonts w:ascii="Times New Roman" w:hAnsi="Times New Roman" w:cs="Times New Roman"/>
          <w:color w:val="000000" w:themeColor="text1"/>
          <w:sz w:val="24"/>
          <w:szCs w:val="24"/>
        </w:rPr>
        <w:t>88 69</w:t>
      </w:r>
      <w:r w:rsidR="00E47AE8" w:rsidRPr="00721FBC">
        <w:rPr>
          <w:rFonts w:ascii="Times New Roman" w:hAnsi="Times New Roman" w:cs="Times New Roman"/>
          <w:color w:val="000000" w:themeColor="text1"/>
          <w:sz w:val="24"/>
          <w:szCs w:val="24"/>
        </w:rPr>
        <w:t>6</w:t>
      </w:r>
      <w:r w:rsidRPr="00721FBC">
        <w:rPr>
          <w:rFonts w:ascii="Times New Roman" w:hAnsi="Times New Roman" w:cs="Times New Roman"/>
          <w:color w:val="000000" w:themeColor="text1"/>
          <w:sz w:val="24"/>
          <w:szCs w:val="24"/>
        </w:rPr>
        <w:t xml:space="preserve"> personas (ienākošā plūsma), savukārt statusu zaudēja 9</w:t>
      </w:r>
      <w:r w:rsidR="001C013D" w:rsidRPr="00721FBC">
        <w:rPr>
          <w:rFonts w:ascii="Times New Roman" w:hAnsi="Times New Roman" w:cs="Times New Roman"/>
          <w:color w:val="000000" w:themeColor="text1"/>
          <w:sz w:val="24"/>
          <w:szCs w:val="24"/>
        </w:rPr>
        <w:t>2 1</w:t>
      </w:r>
      <w:r w:rsidR="00E47AE8" w:rsidRPr="00721FBC">
        <w:rPr>
          <w:rFonts w:ascii="Times New Roman" w:hAnsi="Times New Roman" w:cs="Times New Roman"/>
          <w:color w:val="000000" w:themeColor="text1"/>
          <w:sz w:val="24"/>
          <w:szCs w:val="24"/>
        </w:rPr>
        <w:t>40</w:t>
      </w:r>
      <w:r w:rsidRPr="00721FBC">
        <w:rPr>
          <w:rFonts w:ascii="Times New Roman" w:hAnsi="Times New Roman" w:cs="Times New Roman"/>
          <w:color w:val="000000" w:themeColor="text1"/>
          <w:sz w:val="24"/>
          <w:szCs w:val="24"/>
        </w:rPr>
        <w:t xml:space="preserve"> persona</w:t>
      </w:r>
      <w:r w:rsidR="00E47AE8" w:rsidRPr="00721FBC">
        <w:rPr>
          <w:rFonts w:ascii="Times New Roman" w:hAnsi="Times New Roman" w:cs="Times New Roman"/>
          <w:color w:val="000000" w:themeColor="text1"/>
          <w:sz w:val="24"/>
          <w:szCs w:val="24"/>
        </w:rPr>
        <w:t>s</w:t>
      </w:r>
      <w:r w:rsidRPr="00721FBC">
        <w:rPr>
          <w:rFonts w:ascii="Times New Roman" w:hAnsi="Times New Roman" w:cs="Times New Roman"/>
          <w:color w:val="000000" w:themeColor="text1"/>
          <w:sz w:val="24"/>
          <w:szCs w:val="24"/>
        </w:rPr>
        <w:t xml:space="preserve"> (izejošā plūsma)</w:t>
      </w:r>
      <w:r w:rsidR="004374C3" w:rsidRPr="00721FBC">
        <w:rPr>
          <w:rFonts w:ascii="Times New Roman" w:hAnsi="Times New Roman" w:cs="Times New Roman"/>
          <w:color w:val="000000" w:themeColor="text1"/>
          <w:sz w:val="24"/>
          <w:szCs w:val="24"/>
        </w:rPr>
        <w:t xml:space="preserve">. </w:t>
      </w:r>
      <w:r w:rsidRPr="00721FBC">
        <w:rPr>
          <w:rFonts w:ascii="Times New Roman" w:hAnsi="Times New Roman" w:cs="Times New Roman"/>
          <w:color w:val="000000" w:themeColor="text1"/>
          <w:sz w:val="24"/>
          <w:szCs w:val="24"/>
        </w:rPr>
        <w:t>202</w:t>
      </w:r>
      <w:r w:rsidR="00482AAB" w:rsidRPr="00721FBC">
        <w:rPr>
          <w:rFonts w:ascii="Times New Roman" w:hAnsi="Times New Roman" w:cs="Times New Roman"/>
          <w:color w:val="000000" w:themeColor="text1"/>
          <w:sz w:val="24"/>
          <w:szCs w:val="24"/>
        </w:rPr>
        <w:t>4</w:t>
      </w:r>
      <w:r w:rsidRPr="00721FBC">
        <w:rPr>
          <w:rFonts w:ascii="Times New Roman" w:hAnsi="Times New Roman" w:cs="Times New Roman"/>
          <w:color w:val="000000" w:themeColor="text1"/>
          <w:sz w:val="24"/>
          <w:szCs w:val="24"/>
        </w:rPr>
        <w:t>.</w:t>
      </w:r>
      <w:r w:rsidR="004F7776" w:rsidRPr="00721FBC">
        <w:rPr>
          <w:rFonts w:ascii="Times New Roman" w:hAnsi="Times New Roman" w:cs="Times New Roman"/>
          <w:color w:val="000000" w:themeColor="text1"/>
          <w:sz w:val="24"/>
          <w:szCs w:val="24"/>
        </w:rPr>
        <w:t> </w:t>
      </w:r>
      <w:r w:rsidRPr="00721FBC">
        <w:rPr>
          <w:rFonts w:ascii="Times New Roman" w:hAnsi="Times New Roman" w:cs="Times New Roman"/>
          <w:color w:val="000000" w:themeColor="text1"/>
          <w:sz w:val="24"/>
          <w:szCs w:val="24"/>
        </w:rPr>
        <w:t>gadā</w:t>
      </w:r>
      <w:r w:rsidR="00B61C98" w:rsidRPr="00721FBC">
        <w:rPr>
          <w:rFonts w:ascii="Times New Roman" w:hAnsi="Times New Roman" w:cs="Times New Roman"/>
          <w:color w:val="000000" w:themeColor="text1"/>
          <w:sz w:val="24"/>
          <w:szCs w:val="24"/>
        </w:rPr>
        <w:t xml:space="preserve"> </w:t>
      </w:r>
      <w:r w:rsidRPr="00721FBC">
        <w:rPr>
          <w:rFonts w:ascii="Times New Roman" w:hAnsi="Times New Roman" w:cs="Times New Roman"/>
          <w:color w:val="000000" w:themeColor="text1"/>
          <w:sz w:val="24"/>
          <w:szCs w:val="24"/>
        </w:rPr>
        <w:t>ienākošā plūsma bija 9</w:t>
      </w:r>
      <w:r w:rsidR="00482AAB" w:rsidRPr="00721FBC">
        <w:rPr>
          <w:rFonts w:ascii="Times New Roman" w:hAnsi="Times New Roman" w:cs="Times New Roman"/>
          <w:color w:val="000000" w:themeColor="text1"/>
          <w:sz w:val="24"/>
          <w:szCs w:val="24"/>
        </w:rPr>
        <w:t>2 426</w:t>
      </w:r>
      <w:r w:rsidRPr="00721FBC">
        <w:rPr>
          <w:rFonts w:ascii="Times New Roman" w:hAnsi="Times New Roman" w:cs="Times New Roman"/>
          <w:color w:val="000000" w:themeColor="text1"/>
          <w:sz w:val="24"/>
          <w:szCs w:val="24"/>
        </w:rPr>
        <w:t xml:space="preserve"> personas un izejošā plūsma </w:t>
      </w:r>
      <w:r w:rsidR="00482AAB" w:rsidRPr="00721FBC">
        <w:rPr>
          <w:rFonts w:ascii="Times New Roman" w:hAnsi="Times New Roman" w:cs="Times New Roman"/>
          <w:color w:val="000000" w:themeColor="text1"/>
          <w:sz w:val="24"/>
          <w:szCs w:val="24"/>
        </w:rPr>
        <w:t>-</w:t>
      </w:r>
      <w:r w:rsidRPr="00721FBC">
        <w:rPr>
          <w:rFonts w:ascii="Times New Roman" w:hAnsi="Times New Roman" w:cs="Times New Roman"/>
          <w:color w:val="000000" w:themeColor="text1"/>
          <w:sz w:val="24"/>
          <w:szCs w:val="24"/>
        </w:rPr>
        <w:t xml:space="preserve"> 96</w:t>
      </w:r>
      <w:r w:rsidR="004F7776" w:rsidRPr="00721FBC">
        <w:rPr>
          <w:rFonts w:ascii="Times New Roman" w:hAnsi="Times New Roman" w:cs="Times New Roman"/>
          <w:color w:val="000000" w:themeColor="text1"/>
          <w:sz w:val="24"/>
          <w:szCs w:val="24"/>
        </w:rPr>
        <w:t> </w:t>
      </w:r>
      <w:r w:rsidRPr="00721FBC">
        <w:rPr>
          <w:rFonts w:ascii="Times New Roman" w:hAnsi="Times New Roman" w:cs="Times New Roman"/>
          <w:color w:val="000000" w:themeColor="text1"/>
          <w:sz w:val="24"/>
          <w:szCs w:val="24"/>
        </w:rPr>
        <w:t>6</w:t>
      </w:r>
      <w:r w:rsidR="00482AAB" w:rsidRPr="00721FBC">
        <w:rPr>
          <w:rFonts w:ascii="Times New Roman" w:hAnsi="Times New Roman" w:cs="Times New Roman"/>
          <w:color w:val="000000" w:themeColor="text1"/>
          <w:sz w:val="24"/>
          <w:szCs w:val="24"/>
        </w:rPr>
        <w:t>40</w:t>
      </w:r>
      <w:r w:rsidRPr="00721FBC">
        <w:rPr>
          <w:rFonts w:ascii="Times New Roman" w:hAnsi="Times New Roman" w:cs="Times New Roman"/>
          <w:color w:val="000000" w:themeColor="text1"/>
          <w:sz w:val="24"/>
          <w:szCs w:val="24"/>
        </w:rPr>
        <w:t xml:space="preserve"> personas. </w:t>
      </w:r>
      <w:r w:rsidR="004D6317" w:rsidRPr="00721FBC">
        <w:rPr>
          <w:rFonts w:ascii="Times New Roman" w:hAnsi="Times New Roman" w:cs="Times New Roman"/>
          <w:color w:val="000000" w:themeColor="text1"/>
          <w:sz w:val="24"/>
          <w:szCs w:val="24"/>
        </w:rPr>
        <w:t xml:space="preserve">Līdz ar to </w:t>
      </w:r>
      <w:r w:rsidRPr="00721FBC">
        <w:rPr>
          <w:rFonts w:ascii="Times New Roman" w:hAnsi="Times New Roman" w:cs="Times New Roman"/>
          <w:color w:val="000000" w:themeColor="text1"/>
          <w:sz w:val="24"/>
          <w:szCs w:val="24"/>
        </w:rPr>
        <w:t>202</w:t>
      </w:r>
      <w:r w:rsidR="004D6317" w:rsidRPr="00721FBC">
        <w:rPr>
          <w:rFonts w:ascii="Times New Roman" w:hAnsi="Times New Roman" w:cs="Times New Roman"/>
          <w:color w:val="000000" w:themeColor="text1"/>
          <w:sz w:val="24"/>
          <w:szCs w:val="24"/>
        </w:rPr>
        <w:t>6</w:t>
      </w:r>
      <w:r w:rsidRPr="00721FBC">
        <w:rPr>
          <w:rFonts w:ascii="Times New Roman" w:hAnsi="Times New Roman" w:cs="Times New Roman"/>
          <w:color w:val="000000" w:themeColor="text1"/>
          <w:sz w:val="24"/>
          <w:szCs w:val="24"/>
        </w:rPr>
        <w:t>.</w:t>
      </w:r>
      <w:r w:rsidR="004F7776" w:rsidRPr="00721FBC">
        <w:rPr>
          <w:rFonts w:ascii="Times New Roman" w:hAnsi="Times New Roman" w:cs="Times New Roman"/>
          <w:color w:val="000000" w:themeColor="text1"/>
          <w:sz w:val="24"/>
          <w:szCs w:val="24"/>
        </w:rPr>
        <w:t> </w:t>
      </w:r>
      <w:r w:rsidRPr="00721FBC">
        <w:rPr>
          <w:rFonts w:ascii="Times New Roman" w:hAnsi="Times New Roman" w:cs="Times New Roman"/>
          <w:color w:val="000000" w:themeColor="text1"/>
          <w:sz w:val="24"/>
          <w:szCs w:val="24"/>
        </w:rPr>
        <w:t xml:space="preserve">gadā prognozējams, ka ienākošā un izejošā plūsma varētu </w:t>
      </w:r>
      <w:r w:rsidR="004D6317" w:rsidRPr="00721FBC">
        <w:rPr>
          <w:rFonts w:ascii="Times New Roman" w:hAnsi="Times New Roman" w:cs="Times New Roman"/>
          <w:color w:val="000000" w:themeColor="text1"/>
          <w:sz w:val="24"/>
          <w:szCs w:val="24"/>
        </w:rPr>
        <w:t xml:space="preserve">turpināt pakāpeniski samazināties vidēji par </w:t>
      </w:r>
      <w:r w:rsidR="00D30BAE" w:rsidRPr="00721FBC">
        <w:rPr>
          <w:rFonts w:ascii="Times New Roman" w:hAnsi="Times New Roman" w:cs="Times New Roman"/>
          <w:color w:val="000000" w:themeColor="text1"/>
          <w:sz w:val="24"/>
          <w:szCs w:val="24"/>
        </w:rPr>
        <w:t>5 % gadā</w:t>
      </w:r>
      <w:r w:rsidRPr="00721FBC">
        <w:rPr>
          <w:rFonts w:ascii="Times New Roman" w:hAnsi="Times New Roman" w:cs="Times New Roman"/>
          <w:color w:val="000000" w:themeColor="text1"/>
          <w:sz w:val="24"/>
          <w:szCs w:val="24"/>
        </w:rPr>
        <w:t>.</w:t>
      </w:r>
      <w:r w:rsidR="00482AAB" w:rsidRPr="00721FBC">
        <w:rPr>
          <w:rFonts w:ascii="Times New Roman" w:hAnsi="Times New Roman" w:cs="Times New Roman"/>
          <w:color w:val="000000" w:themeColor="text1"/>
          <w:sz w:val="24"/>
          <w:szCs w:val="24"/>
        </w:rPr>
        <w:t xml:space="preserve"> </w:t>
      </w:r>
    </w:p>
    <w:p w14:paraId="1B7F8EF4" w14:textId="2BEA48A5" w:rsidR="00E74E46" w:rsidRPr="00721FBC" w:rsidRDefault="004B1870" w:rsidP="00FC7DA9">
      <w:pPr>
        <w:spacing w:after="120"/>
        <w:ind w:firstLine="720"/>
        <w:jc w:val="both"/>
        <w:rPr>
          <w:rFonts w:ascii="Times New Roman" w:hAnsi="Times New Roman" w:cs="Times New Roman"/>
          <w:color w:val="000000" w:themeColor="text1"/>
          <w:sz w:val="24"/>
          <w:szCs w:val="24"/>
        </w:rPr>
      </w:pPr>
      <w:r w:rsidRPr="00721FBC">
        <w:rPr>
          <w:rFonts w:ascii="Times New Roman" w:hAnsi="Times New Roman" w:cs="Times New Roman"/>
          <w:color w:val="000000" w:themeColor="text1"/>
          <w:sz w:val="24"/>
          <w:szCs w:val="24"/>
        </w:rPr>
        <w:t>202</w:t>
      </w:r>
      <w:r w:rsidR="00E47AE8" w:rsidRPr="00721FBC">
        <w:rPr>
          <w:rFonts w:ascii="Times New Roman" w:hAnsi="Times New Roman" w:cs="Times New Roman"/>
          <w:color w:val="000000" w:themeColor="text1"/>
          <w:sz w:val="24"/>
          <w:szCs w:val="24"/>
        </w:rPr>
        <w:t>5</w:t>
      </w:r>
      <w:r w:rsidRPr="00721FBC">
        <w:rPr>
          <w:rFonts w:ascii="Times New Roman" w:hAnsi="Times New Roman" w:cs="Times New Roman"/>
          <w:color w:val="000000" w:themeColor="text1"/>
          <w:sz w:val="24"/>
          <w:szCs w:val="24"/>
        </w:rPr>
        <w:t>. gada laikā kopumā darbā iekārtojās 54 </w:t>
      </w:r>
      <w:r w:rsidR="00E47AE8" w:rsidRPr="00721FBC">
        <w:rPr>
          <w:rFonts w:ascii="Times New Roman" w:hAnsi="Times New Roman" w:cs="Times New Roman"/>
          <w:color w:val="000000" w:themeColor="text1"/>
          <w:sz w:val="24"/>
          <w:szCs w:val="24"/>
        </w:rPr>
        <w:t>121</w:t>
      </w:r>
      <w:r w:rsidRPr="00721FBC">
        <w:rPr>
          <w:rFonts w:ascii="Times New Roman" w:hAnsi="Times New Roman" w:cs="Times New Roman"/>
          <w:color w:val="000000" w:themeColor="text1"/>
          <w:sz w:val="24"/>
          <w:szCs w:val="24"/>
        </w:rPr>
        <w:t xml:space="preserve"> reģistrēt</w:t>
      </w:r>
      <w:r w:rsidR="00E47AE8" w:rsidRPr="00721FBC">
        <w:rPr>
          <w:rFonts w:ascii="Times New Roman" w:hAnsi="Times New Roman" w:cs="Times New Roman"/>
          <w:color w:val="000000" w:themeColor="text1"/>
          <w:sz w:val="24"/>
          <w:szCs w:val="24"/>
        </w:rPr>
        <w:t>s</w:t>
      </w:r>
      <w:r w:rsidRPr="00721FBC">
        <w:rPr>
          <w:rFonts w:ascii="Times New Roman" w:hAnsi="Times New Roman" w:cs="Times New Roman"/>
          <w:color w:val="000000" w:themeColor="text1"/>
          <w:sz w:val="24"/>
          <w:szCs w:val="24"/>
        </w:rPr>
        <w:t xml:space="preserve"> bezdarbniek</w:t>
      </w:r>
      <w:r w:rsidR="00E47AE8" w:rsidRPr="00721FBC">
        <w:rPr>
          <w:rFonts w:ascii="Times New Roman" w:hAnsi="Times New Roman" w:cs="Times New Roman"/>
          <w:color w:val="000000" w:themeColor="text1"/>
          <w:sz w:val="24"/>
          <w:szCs w:val="24"/>
        </w:rPr>
        <w:t>s</w:t>
      </w:r>
      <w:r w:rsidRPr="00721FBC">
        <w:rPr>
          <w:rFonts w:ascii="Times New Roman" w:hAnsi="Times New Roman" w:cs="Times New Roman"/>
          <w:color w:val="000000" w:themeColor="text1"/>
          <w:sz w:val="24"/>
          <w:szCs w:val="24"/>
        </w:rPr>
        <w:t>, savukārt 202</w:t>
      </w:r>
      <w:r w:rsidR="00E47AE8" w:rsidRPr="00721FBC">
        <w:rPr>
          <w:rFonts w:ascii="Times New Roman" w:hAnsi="Times New Roman" w:cs="Times New Roman"/>
          <w:color w:val="000000" w:themeColor="text1"/>
          <w:sz w:val="24"/>
          <w:szCs w:val="24"/>
        </w:rPr>
        <w:t>4</w:t>
      </w:r>
      <w:r w:rsidRPr="00721FBC">
        <w:rPr>
          <w:rFonts w:ascii="Times New Roman" w:hAnsi="Times New Roman" w:cs="Times New Roman"/>
          <w:color w:val="000000" w:themeColor="text1"/>
          <w:sz w:val="24"/>
          <w:szCs w:val="24"/>
        </w:rPr>
        <w:t>. gad</w:t>
      </w:r>
      <w:r w:rsidR="00AE3A27" w:rsidRPr="00721FBC">
        <w:rPr>
          <w:rFonts w:ascii="Times New Roman" w:hAnsi="Times New Roman" w:cs="Times New Roman"/>
          <w:color w:val="000000" w:themeColor="text1"/>
          <w:sz w:val="24"/>
          <w:szCs w:val="24"/>
        </w:rPr>
        <w:t>ā</w:t>
      </w:r>
      <w:r w:rsidRPr="00721FBC">
        <w:rPr>
          <w:rFonts w:ascii="Times New Roman" w:hAnsi="Times New Roman" w:cs="Times New Roman"/>
          <w:color w:val="000000" w:themeColor="text1"/>
          <w:sz w:val="24"/>
          <w:szCs w:val="24"/>
        </w:rPr>
        <w:t xml:space="preserve"> </w:t>
      </w:r>
      <w:r w:rsidR="007C4DA7" w:rsidRPr="00721FBC">
        <w:rPr>
          <w:rFonts w:ascii="Times New Roman" w:hAnsi="Times New Roman" w:cs="Times New Roman"/>
          <w:color w:val="000000" w:themeColor="text1"/>
          <w:sz w:val="24"/>
          <w:szCs w:val="24"/>
        </w:rPr>
        <w:t>-</w:t>
      </w:r>
      <w:r w:rsidRPr="00721FBC">
        <w:rPr>
          <w:rFonts w:ascii="Times New Roman" w:hAnsi="Times New Roman" w:cs="Times New Roman"/>
          <w:color w:val="000000" w:themeColor="text1"/>
          <w:sz w:val="24"/>
          <w:szCs w:val="24"/>
        </w:rPr>
        <w:t xml:space="preserve"> 54 </w:t>
      </w:r>
      <w:r w:rsidR="007C4DA7" w:rsidRPr="00721FBC">
        <w:rPr>
          <w:rFonts w:ascii="Times New Roman" w:hAnsi="Times New Roman" w:cs="Times New Roman"/>
          <w:color w:val="000000" w:themeColor="text1"/>
          <w:sz w:val="24"/>
          <w:szCs w:val="24"/>
        </w:rPr>
        <w:t>664</w:t>
      </w:r>
      <w:r w:rsidRPr="00721FBC">
        <w:rPr>
          <w:rFonts w:ascii="Times New Roman" w:hAnsi="Times New Roman" w:cs="Times New Roman"/>
          <w:color w:val="000000" w:themeColor="text1"/>
          <w:sz w:val="24"/>
          <w:szCs w:val="24"/>
        </w:rPr>
        <w:t xml:space="preserve"> bezdarbnieki. 202</w:t>
      </w:r>
      <w:r w:rsidR="007C4DA7" w:rsidRPr="00721FBC">
        <w:rPr>
          <w:rFonts w:ascii="Times New Roman" w:hAnsi="Times New Roman" w:cs="Times New Roman"/>
          <w:color w:val="000000" w:themeColor="text1"/>
          <w:sz w:val="24"/>
          <w:szCs w:val="24"/>
        </w:rPr>
        <w:t>6</w:t>
      </w:r>
      <w:r w:rsidRPr="00721FBC">
        <w:rPr>
          <w:rFonts w:ascii="Times New Roman" w:hAnsi="Times New Roman" w:cs="Times New Roman"/>
          <w:color w:val="000000" w:themeColor="text1"/>
          <w:sz w:val="24"/>
          <w:szCs w:val="24"/>
        </w:rPr>
        <w:t xml:space="preserve">. gadā darbā iekārtojušos bezdarbnieku skaits varētu </w:t>
      </w:r>
      <w:r w:rsidR="00AE3A27" w:rsidRPr="00721FBC">
        <w:rPr>
          <w:rFonts w:ascii="Times New Roman" w:hAnsi="Times New Roman" w:cs="Times New Roman"/>
          <w:color w:val="000000" w:themeColor="text1"/>
          <w:sz w:val="24"/>
          <w:szCs w:val="24"/>
        </w:rPr>
        <w:t xml:space="preserve">būt līdzīgs </w:t>
      </w:r>
      <w:r w:rsidR="00B80410" w:rsidRPr="00721FBC">
        <w:rPr>
          <w:rFonts w:ascii="Times New Roman" w:hAnsi="Times New Roman" w:cs="Times New Roman"/>
          <w:color w:val="000000" w:themeColor="text1"/>
          <w:sz w:val="24"/>
          <w:szCs w:val="24"/>
        </w:rPr>
        <w:t>- vidēji</w:t>
      </w:r>
      <w:r w:rsidRPr="00721FBC">
        <w:rPr>
          <w:rFonts w:ascii="Times New Roman" w:hAnsi="Times New Roman" w:cs="Times New Roman"/>
          <w:color w:val="000000" w:themeColor="text1"/>
          <w:sz w:val="24"/>
          <w:szCs w:val="24"/>
        </w:rPr>
        <w:t xml:space="preserve"> 5</w:t>
      </w:r>
      <w:r w:rsidR="00B80410" w:rsidRPr="00721FBC">
        <w:rPr>
          <w:rFonts w:ascii="Times New Roman" w:hAnsi="Times New Roman" w:cs="Times New Roman"/>
          <w:color w:val="000000" w:themeColor="text1"/>
          <w:sz w:val="24"/>
          <w:szCs w:val="24"/>
        </w:rPr>
        <w:t>4 000 personas</w:t>
      </w:r>
      <w:r w:rsidRPr="00721FBC">
        <w:rPr>
          <w:rFonts w:ascii="Times New Roman" w:hAnsi="Times New Roman" w:cs="Times New Roman"/>
          <w:color w:val="000000" w:themeColor="text1"/>
          <w:sz w:val="24"/>
          <w:szCs w:val="24"/>
        </w:rPr>
        <w:t>.</w:t>
      </w:r>
    </w:p>
    <w:p w14:paraId="55F1BCFA" w14:textId="77777777" w:rsidR="00E74E46" w:rsidRPr="00721FBC" w:rsidRDefault="00E74E46">
      <w:pPr>
        <w:rPr>
          <w:rFonts w:ascii="Times New Roman" w:hAnsi="Times New Roman" w:cs="Times New Roman"/>
          <w:color w:val="000000" w:themeColor="text1"/>
          <w:sz w:val="24"/>
          <w:szCs w:val="24"/>
        </w:rPr>
      </w:pPr>
      <w:r w:rsidRPr="00721FBC">
        <w:rPr>
          <w:rFonts w:ascii="Times New Roman" w:hAnsi="Times New Roman" w:cs="Times New Roman"/>
          <w:color w:val="000000" w:themeColor="text1"/>
          <w:sz w:val="24"/>
          <w:szCs w:val="24"/>
        </w:rPr>
        <w:br w:type="page"/>
      </w:r>
    </w:p>
    <w:p w14:paraId="007B3C55" w14:textId="77777777" w:rsidR="00A44C42" w:rsidRPr="00721FBC" w:rsidRDefault="00A44C42" w:rsidP="00A47A95">
      <w:pPr>
        <w:spacing w:after="120"/>
        <w:ind w:firstLine="720"/>
        <w:jc w:val="both"/>
        <w:rPr>
          <w:rFonts w:ascii="Times New Roman" w:hAnsi="Times New Roman" w:cs="Times New Roman"/>
          <w:color w:val="000000" w:themeColor="text1"/>
          <w:sz w:val="24"/>
          <w:szCs w:val="24"/>
        </w:rPr>
      </w:pPr>
    </w:p>
    <w:tbl>
      <w:tblPr>
        <w:tblStyle w:val="GridTable6Colorful-Accent2"/>
        <w:tblpPr w:leftFromText="180" w:rightFromText="180" w:vertAnchor="text" w:tblpXSpec="center" w:tblpY="1"/>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901"/>
        <w:gridCol w:w="1153"/>
        <w:gridCol w:w="1154"/>
        <w:gridCol w:w="1154"/>
        <w:gridCol w:w="1154"/>
        <w:gridCol w:w="1153"/>
        <w:gridCol w:w="1153"/>
      </w:tblGrid>
      <w:tr w:rsidR="00721FBC" w:rsidRPr="00360479" w14:paraId="17F209C5" w14:textId="77777777" w:rsidTr="00916781">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8822" w:type="dxa"/>
            <w:gridSpan w:val="7"/>
            <w:tcBorders>
              <w:bottom w:val="single" w:sz="4" w:space="0" w:color="auto"/>
            </w:tcBorders>
            <w:shd w:val="clear" w:color="auto" w:fill="92D050"/>
          </w:tcPr>
          <w:p w14:paraId="5AD0D115" w14:textId="03B9EA4C" w:rsidR="002C6AB6" w:rsidRPr="00360479" w:rsidRDefault="002C6AB6" w:rsidP="00A44C42">
            <w:pPr>
              <w:jc w:val="center"/>
              <w:rPr>
                <w:rFonts w:ascii="Times New Roman" w:hAnsi="Times New Roman"/>
                <w:color w:val="000000" w:themeColor="text1"/>
                <w:sz w:val="18"/>
                <w:szCs w:val="18"/>
              </w:rPr>
            </w:pPr>
            <w:r w:rsidRPr="00360479">
              <w:rPr>
                <w:rFonts w:ascii="Times New Roman" w:hAnsi="Times New Roman"/>
                <w:color w:val="000000" w:themeColor="text1"/>
                <w:sz w:val="18"/>
                <w:szCs w:val="18"/>
              </w:rPr>
              <w:t>Galvenie bezdarba rādītāji uz gada beigām</w:t>
            </w:r>
          </w:p>
        </w:tc>
      </w:tr>
      <w:tr w:rsidR="00721FBC" w:rsidRPr="00360479" w14:paraId="78B57D99" w14:textId="4857D47A" w:rsidTr="007E438B">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901" w:type="dxa"/>
            <w:shd w:val="clear" w:color="auto" w:fill="92D050"/>
          </w:tcPr>
          <w:p w14:paraId="3652240D" w14:textId="77777777" w:rsidR="00A44C42" w:rsidRPr="00360479" w:rsidRDefault="00A44C42" w:rsidP="00DD6BA0">
            <w:pPr>
              <w:rPr>
                <w:rFonts w:ascii="Times New Roman" w:hAnsi="Times New Roman"/>
                <w:color w:val="000000" w:themeColor="text1"/>
                <w:sz w:val="18"/>
                <w:szCs w:val="18"/>
              </w:rPr>
            </w:pPr>
            <w:bookmarkStart w:id="0" w:name="_Hlk520191229"/>
            <w:bookmarkStart w:id="1" w:name="_Hlk514233462"/>
          </w:p>
        </w:tc>
        <w:tc>
          <w:tcPr>
            <w:tcW w:w="1153" w:type="dxa"/>
            <w:shd w:val="clear" w:color="auto" w:fill="92D050"/>
            <w:vAlign w:val="center"/>
          </w:tcPr>
          <w:p w14:paraId="083DD5ED" w14:textId="77777777" w:rsidR="00A44C42" w:rsidRPr="00360479" w:rsidRDefault="00A44C42" w:rsidP="00A44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31.12.2021.</w:t>
            </w:r>
          </w:p>
        </w:tc>
        <w:tc>
          <w:tcPr>
            <w:tcW w:w="1154" w:type="dxa"/>
            <w:shd w:val="clear" w:color="auto" w:fill="92D050"/>
            <w:vAlign w:val="center"/>
          </w:tcPr>
          <w:p w14:paraId="47449859" w14:textId="77777777" w:rsidR="00A44C42" w:rsidRPr="00360479" w:rsidRDefault="00A44C42" w:rsidP="00A44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31.12.2022.</w:t>
            </w:r>
          </w:p>
        </w:tc>
        <w:tc>
          <w:tcPr>
            <w:tcW w:w="1154" w:type="dxa"/>
            <w:shd w:val="clear" w:color="auto" w:fill="92D050"/>
            <w:vAlign w:val="center"/>
          </w:tcPr>
          <w:p w14:paraId="2D957177" w14:textId="77777777" w:rsidR="00A44C42" w:rsidRPr="00360479" w:rsidRDefault="00A44C42" w:rsidP="00A44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31.12.2023.</w:t>
            </w:r>
          </w:p>
        </w:tc>
        <w:tc>
          <w:tcPr>
            <w:tcW w:w="1154" w:type="dxa"/>
            <w:shd w:val="clear" w:color="auto" w:fill="92D050"/>
            <w:vAlign w:val="center"/>
          </w:tcPr>
          <w:p w14:paraId="592EA19E" w14:textId="77777777" w:rsidR="00A44C42" w:rsidRPr="00360479" w:rsidRDefault="00A44C42" w:rsidP="00A44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31.12.2024.</w:t>
            </w:r>
          </w:p>
        </w:tc>
        <w:tc>
          <w:tcPr>
            <w:tcW w:w="1153" w:type="dxa"/>
            <w:shd w:val="clear" w:color="auto" w:fill="92D050"/>
            <w:vAlign w:val="center"/>
          </w:tcPr>
          <w:p w14:paraId="6CFB1DDC" w14:textId="77777777" w:rsidR="00A44C42" w:rsidRPr="00360479" w:rsidRDefault="00A44C42" w:rsidP="00A44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31.12.2025.</w:t>
            </w:r>
          </w:p>
        </w:tc>
        <w:tc>
          <w:tcPr>
            <w:tcW w:w="1153" w:type="dxa"/>
            <w:shd w:val="clear" w:color="auto" w:fill="92D050"/>
          </w:tcPr>
          <w:p w14:paraId="6C7F1F0A" w14:textId="4B327609" w:rsidR="00A44C42" w:rsidRPr="00360479" w:rsidRDefault="00A44C42" w:rsidP="00A44C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Prognoze 2026.gadam</w:t>
            </w:r>
          </w:p>
        </w:tc>
      </w:tr>
      <w:bookmarkEnd w:id="0"/>
      <w:tr w:rsidR="00721FBC" w:rsidRPr="00360479" w14:paraId="7432288C" w14:textId="70F51F02" w:rsidTr="002C6AB6">
        <w:tc>
          <w:tcPr>
            <w:cnfStyle w:val="001000000000" w:firstRow="0" w:lastRow="0" w:firstColumn="1" w:lastColumn="0" w:oddVBand="0" w:evenVBand="0" w:oddHBand="0" w:evenHBand="0" w:firstRowFirstColumn="0" w:firstRowLastColumn="0" w:lastRowFirstColumn="0" w:lastRowLastColumn="0"/>
            <w:tcW w:w="1901" w:type="dxa"/>
            <w:shd w:val="clear" w:color="auto" w:fill="FFFFFF" w:themeFill="background1"/>
          </w:tcPr>
          <w:p w14:paraId="65A06060" w14:textId="77777777" w:rsidR="00A44C42" w:rsidRPr="00360479" w:rsidRDefault="00A44C42" w:rsidP="00DD6BA0">
            <w:pPr>
              <w:rPr>
                <w:rFonts w:ascii="Times New Roman" w:hAnsi="Times New Roman"/>
                <w:color w:val="000000" w:themeColor="text1"/>
                <w:sz w:val="18"/>
                <w:szCs w:val="18"/>
              </w:rPr>
            </w:pPr>
            <w:r w:rsidRPr="00360479">
              <w:rPr>
                <w:rFonts w:ascii="Times New Roman" w:hAnsi="Times New Roman"/>
                <w:color w:val="000000" w:themeColor="text1"/>
                <w:sz w:val="18"/>
                <w:szCs w:val="18"/>
              </w:rPr>
              <w:t xml:space="preserve">Reģistrēto bezdarbnieku skaits </w:t>
            </w:r>
          </w:p>
        </w:tc>
        <w:tc>
          <w:tcPr>
            <w:tcW w:w="1153" w:type="dxa"/>
            <w:shd w:val="clear" w:color="auto" w:fill="FFFFFF" w:themeFill="background1"/>
            <w:vAlign w:val="center"/>
          </w:tcPr>
          <w:p w14:paraId="549E1E36" w14:textId="77777777"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iCs/>
                <w:color w:val="000000" w:themeColor="text1"/>
                <w:sz w:val="18"/>
                <w:szCs w:val="18"/>
              </w:rPr>
              <w:t>60 774</w:t>
            </w:r>
          </w:p>
        </w:tc>
        <w:tc>
          <w:tcPr>
            <w:tcW w:w="1154" w:type="dxa"/>
            <w:shd w:val="clear" w:color="auto" w:fill="FFFFFF" w:themeFill="background1"/>
            <w:vAlign w:val="center"/>
          </w:tcPr>
          <w:p w14:paraId="50F9E791" w14:textId="77777777"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53 536</w:t>
            </w:r>
          </w:p>
        </w:tc>
        <w:tc>
          <w:tcPr>
            <w:tcW w:w="1154" w:type="dxa"/>
            <w:shd w:val="clear" w:color="auto" w:fill="FFFFFF" w:themeFill="background1"/>
            <w:vAlign w:val="center"/>
          </w:tcPr>
          <w:p w14:paraId="1E357960" w14:textId="77777777"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50 344</w:t>
            </w:r>
          </w:p>
        </w:tc>
        <w:tc>
          <w:tcPr>
            <w:tcW w:w="1154" w:type="dxa"/>
            <w:shd w:val="clear" w:color="auto" w:fill="FFFFFF" w:themeFill="background1"/>
            <w:vAlign w:val="center"/>
          </w:tcPr>
          <w:p w14:paraId="047E073C" w14:textId="77777777"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46 553</w:t>
            </w:r>
          </w:p>
        </w:tc>
        <w:tc>
          <w:tcPr>
            <w:tcW w:w="1153" w:type="dxa"/>
            <w:shd w:val="clear" w:color="auto" w:fill="FFFFFF" w:themeFill="background1"/>
            <w:vAlign w:val="center"/>
          </w:tcPr>
          <w:p w14:paraId="71E8347A" w14:textId="6023955E"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43 672</w:t>
            </w:r>
          </w:p>
        </w:tc>
        <w:tc>
          <w:tcPr>
            <w:tcW w:w="1153" w:type="dxa"/>
            <w:shd w:val="clear" w:color="auto" w:fill="C5E0B3" w:themeFill="accent6" w:themeFillTint="66"/>
          </w:tcPr>
          <w:p w14:paraId="63B37A0C" w14:textId="77777777"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p>
          <w:p w14:paraId="06B37303" w14:textId="60BD32D9"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 40 000</w:t>
            </w:r>
          </w:p>
        </w:tc>
      </w:tr>
      <w:tr w:rsidR="00721FBC" w:rsidRPr="00360479" w14:paraId="39628E95" w14:textId="7E8076DE" w:rsidTr="002C6A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dxa"/>
            <w:shd w:val="clear" w:color="auto" w:fill="FFFFFF" w:themeFill="background1"/>
          </w:tcPr>
          <w:p w14:paraId="434A895B" w14:textId="77777777" w:rsidR="00A44C42" w:rsidRPr="00360479" w:rsidRDefault="00A44C42" w:rsidP="00DD6BA0">
            <w:pPr>
              <w:rPr>
                <w:rFonts w:ascii="Times New Roman" w:hAnsi="Times New Roman"/>
                <w:color w:val="000000" w:themeColor="text1"/>
                <w:sz w:val="18"/>
                <w:szCs w:val="18"/>
              </w:rPr>
            </w:pPr>
            <w:r w:rsidRPr="00360479">
              <w:rPr>
                <w:rFonts w:ascii="Times New Roman" w:hAnsi="Times New Roman"/>
                <w:color w:val="000000" w:themeColor="text1"/>
                <w:sz w:val="18"/>
                <w:szCs w:val="18"/>
              </w:rPr>
              <w:t>Reģistrētā bezdarba līmenis</w:t>
            </w:r>
          </w:p>
        </w:tc>
        <w:tc>
          <w:tcPr>
            <w:tcW w:w="1153" w:type="dxa"/>
            <w:shd w:val="clear" w:color="auto" w:fill="FFFFFF" w:themeFill="background1"/>
            <w:vAlign w:val="center"/>
          </w:tcPr>
          <w:p w14:paraId="1D8443B3" w14:textId="77777777" w:rsidR="00A44C42" w:rsidRPr="00360479" w:rsidRDefault="00A44C42" w:rsidP="00DD6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6,7%</w:t>
            </w:r>
          </w:p>
        </w:tc>
        <w:tc>
          <w:tcPr>
            <w:tcW w:w="1154" w:type="dxa"/>
            <w:shd w:val="clear" w:color="auto" w:fill="FFFFFF" w:themeFill="background1"/>
            <w:vAlign w:val="center"/>
          </w:tcPr>
          <w:p w14:paraId="7625E31F" w14:textId="77777777" w:rsidR="00A44C42" w:rsidRPr="00360479" w:rsidRDefault="00A44C42" w:rsidP="00DD6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6,1%</w:t>
            </w:r>
          </w:p>
        </w:tc>
        <w:tc>
          <w:tcPr>
            <w:tcW w:w="1154" w:type="dxa"/>
            <w:shd w:val="clear" w:color="auto" w:fill="FFFFFF" w:themeFill="background1"/>
            <w:vAlign w:val="center"/>
          </w:tcPr>
          <w:p w14:paraId="268705D6" w14:textId="77777777" w:rsidR="00A44C42" w:rsidRPr="00360479" w:rsidRDefault="00A44C42" w:rsidP="00DD6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5,7%</w:t>
            </w:r>
          </w:p>
        </w:tc>
        <w:tc>
          <w:tcPr>
            <w:tcW w:w="1154" w:type="dxa"/>
            <w:shd w:val="clear" w:color="auto" w:fill="FFFFFF" w:themeFill="background1"/>
            <w:vAlign w:val="center"/>
          </w:tcPr>
          <w:p w14:paraId="24F7BA09" w14:textId="77777777" w:rsidR="00A44C42" w:rsidRPr="00360479" w:rsidRDefault="00A44C42" w:rsidP="00DD6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5,3%</w:t>
            </w:r>
          </w:p>
        </w:tc>
        <w:tc>
          <w:tcPr>
            <w:tcW w:w="1153" w:type="dxa"/>
            <w:shd w:val="clear" w:color="auto" w:fill="FFFFFF" w:themeFill="background1"/>
            <w:vAlign w:val="center"/>
          </w:tcPr>
          <w:p w14:paraId="4EA8B632" w14:textId="77777777" w:rsidR="00A44C42" w:rsidRPr="00360479" w:rsidRDefault="00A44C42" w:rsidP="00DD6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highlight w:val="yellow"/>
              </w:rPr>
            </w:pPr>
            <w:r w:rsidRPr="00360479">
              <w:rPr>
                <w:rFonts w:ascii="Times New Roman" w:hAnsi="Times New Roman"/>
                <w:color w:val="000000" w:themeColor="text1"/>
                <w:sz w:val="18"/>
                <w:szCs w:val="18"/>
              </w:rPr>
              <w:t>5,0%</w:t>
            </w:r>
          </w:p>
        </w:tc>
        <w:tc>
          <w:tcPr>
            <w:tcW w:w="1153" w:type="dxa"/>
            <w:shd w:val="clear" w:color="auto" w:fill="C5E0B3" w:themeFill="accent6" w:themeFillTint="66"/>
          </w:tcPr>
          <w:p w14:paraId="6FE43633" w14:textId="77777777" w:rsidR="00A44C42" w:rsidRPr="00360479" w:rsidRDefault="00A44C42" w:rsidP="00DD6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p>
          <w:p w14:paraId="215D25DA" w14:textId="5032CA80" w:rsidR="00A44C42" w:rsidRPr="00360479" w:rsidRDefault="00A44C42" w:rsidP="00DD6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 4,</w:t>
            </w:r>
            <w:r w:rsidR="007E438B" w:rsidRPr="00360479">
              <w:rPr>
                <w:rFonts w:ascii="Times New Roman" w:hAnsi="Times New Roman"/>
                <w:color w:val="000000" w:themeColor="text1"/>
                <w:sz w:val="18"/>
                <w:szCs w:val="18"/>
              </w:rPr>
              <w:t>6</w:t>
            </w:r>
            <w:r w:rsidRPr="00360479">
              <w:rPr>
                <w:rFonts w:ascii="Times New Roman" w:hAnsi="Times New Roman"/>
                <w:color w:val="000000" w:themeColor="text1"/>
                <w:sz w:val="18"/>
                <w:szCs w:val="18"/>
              </w:rPr>
              <w:t>%</w:t>
            </w:r>
          </w:p>
        </w:tc>
      </w:tr>
      <w:tr w:rsidR="00721FBC" w:rsidRPr="00360479" w14:paraId="47097902" w14:textId="241A2BDC" w:rsidTr="002C6AB6">
        <w:tc>
          <w:tcPr>
            <w:cnfStyle w:val="001000000000" w:firstRow="0" w:lastRow="0" w:firstColumn="1" w:lastColumn="0" w:oddVBand="0" w:evenVBand="0" w:oddHBand="0" w:evenHBand="0" w:firstRowFirstColumn="0" w:firstRowLastColumn="0" w:lastRowFirstColumn="0" w:lastRowLastColumn="0"/>
            <w:tcW w:w="1901" w:type="dxa"/>
            <w:shd w:val="clear" w:color="auto" w:fill="FFFFFF" w:themeFill="background1"/>
          </w:tcPr>
          <w:p w14:paraId="1504AB9F" w14:textId="77777777" w:rsidR="00A44C42" w:rsidRPr="00360479" w:rsidRDefault="00A44C42" w:rsidP="00DD6BA0">
            <w:pPr>
              <w:rPr>
                <w:rFonts w:ascii="Times New Roman" w:hAnsi="Times New Roman"/>
                <w:color w:val="000000" w:themeColor="text1"/>
                <w:sz w:val="18"/>
                <w:szCs w:val="18"/>
              </w:rPr>
            </w:pPr>
            <w:r w:rsidRPr="00360479">
              <w:rPr>
                <w:rFonts w:ascii="Times New Roman" w:hAnsi="Times New Roman"/>
                <w:color w:val="000000" w:themeColor="text1"/>
                <w:sz w:val="18"/>
                <w:szCs w:val="18"/>
              </w:rPr>
              <w:t>Gada laikā reģistrēto vakanču skaits</w:t>
            </w:r>
          </w:p>
        </w:tc>
        <w:tc>
          <w:tcPr>
            <w:tcW w:w="1153" w:type="dxa"/>
            <w:shd w:val="clear" w:color="auto" w:fill="FFFFFF" w:themeFill="background1"/>
            <w:vAlign w:val="center"/>
          </w:tcPr>
          <w:p w14:paraId="6F389CCB" w14:textId="77777777"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94 234</w:t>
            </w:r>
          </w:p>
        </w:tc>
        <w:tc>
          <w:tcPr>
            <w:tcW w:w="1154" w:type="dxa"/>
            <w:shd w:val="clear" w:color="auto" w:fill="FFFFFF" w:themeFill="background1"/>
            <w:vAlign w:val="center"/>
          </w:tcPr>
          <w:p w14:paraId="69E41420" w14:textId="77777777"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bCs/>
                <w:color w:val="000000" w:themeColor="text1"/>
                <w:sz w:val="18"/>
                <w:szCs w:val="18"/>
              </w:rPr>
              <w:t>144 172</w:t>
            </w:r>
          </w:p>
        </w:tc>
        <w:tc>
          <w:tcPr>
            <w:tcW w:w="1154" w:type="dxa"/>
            <w:shd w:val="clear" w:color="auto" w:fill="FFFFFF" w:themeFill="background1"/>
            <w:vAlign w:val="center"/>
          </w:tcPr>
          <w:p w14:paraId="6DE4FD8B" w14:textId="77777777"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bCs/>
                <w:color w:val="000000" w:themeColor="text1"/>
                <w:sz w:val="18"/>
                <w:szCs w:val="18"/>
              </w:rPr>
              <w:t>87 330</w:t>
            </w:r>
          </w:p>
        </w:tc>
        <w:tc>
          <w:tcPr>
            <w:tcW w:w="1154" w:type="dxa"/>
            <w:shd w:val="clear" w:color="auto" w:fill="FFFFFF" w:themeFill="background1"/>
            <w:vAlign w:val="center"/>
          </w:tcPr>
          <w:p w14:paraId="04DFA93F" w14:textId="77777777"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bCs/>
                <w:color w:val="000000" w:themeColor="text1"/>
                <w:sz w:val="18"/>
                <w:szCs w:val="18"/>
              </w:rPr>
              <w:t>89 216</w:t>
            </w:r>
          </w:p>
        </w:tc>
        <w:tc>
          <w:tcPr>
            <w:tcW w:w="1153" w:type="dxa"/>
            <w:shd w:val="clear" w:color="auto" w:fill="auto"/>
            <w:vAlign w:val="center"/>
          </w:tcPr>
          <w:p w14:paraId="136C9128" w14:textId="58A01FD3"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18"/>
                <w:szCs w:val="18"/>
                <w:highlight w:val="yellow"/>
              </w:rPr>
            </w:pPr>
            <w:r w:rsidRPr="00360479">
              <w:rPr>
                <w:rFonts w:ascii="Times New Roman" w:hAnsi="Times New Roman"/>
                <w:bCs/>
                <w:color w:val="000000" w:themeColor="text1"/>
                <w:sz w:val="18"/>
                <w:szCs w:val="18"/>
              </w:rPr>
              <w:t>93 700</w:t>
            </w:r>
          </w:p>
        </w:tc>
        <w:tc>
          <w:tcPr>
            <w:tcW w:w="1153" w:type="dxa"/>
            <w:shd w:val="clear" w:color="auto" w:fill="C5E0B3" w:themeFill="accent6" w:themeFillTint="66"/>
          </w:tcPr>
          <w:p w14:paraId="059DD550" w14:textId="77777777"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p>
          <w:p w14:paraId="1B116FA4" w14:textId="130D24A6"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w:t>
            </w:r>
          </w:p>
        </w:tc>
      </w:tr>
      <w:tr w:rsidR="00721FBC" w:rsidRPr="00360479" w14:paraId="31E45BD4" w14:textId="60DD145E" w:rsidTr="002C6A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dxa"/>
            <w:shd w:val="clear" w:color="auto" w:fill="FFFFFF" w:themeFill="background1"/>
          </w:tcPr>
          <w:p w14:paraId="51741486" w14:textId="77777777" w:rsidR="00A44C42" w:rsidRPr="00360479" w:rsidRDefault="00A44C42" w:rsidP="00DD6BA0">
            <w:pPr>
              <w:rPr>
                <w:rFonts w:ascii="Times New Roman" w:hAnsi="Times New Roman"/>
                <w:b w:val="0"/>
                <w:bCs w:val="0"/>
                <w:color w:val="000000" w:themeColor="text1"/>
                <w:sz w:val="18"/>
                <w:szCs w:val="18"/>
              </w:rPr>
            </w:pPr>
            <w:r w:rsidRPr="00360479">
              <w:rPr>
                <w:rFonts w:ascii="Times New Roman" w:hAnsi="Times New Roman"/>
                <w:color w:val="000000" w:themeColor="text1"/>
                <w:sz w:val="18"/>
                <w:szCs w:val="18"/>
              </w:rPr>
              <w:t>Cilvēku skaits, kas gada laikā saņēmuši reģistrētā bezdarbnieka statusu</w:t>
            </w:r>
          </w:p>
          <w:p w14:paraId="6D442780" w14:textId="77777777" w:rsidR="00A44C42" w:rsidRPr="00360479" w:rsidRDefault="00A44C42" w:rsidP="00DD6BA0">
            <w:pPr>
              <w:rPr>
                <w:rFonts w:ascii="Times New Roman" w:hAnsi="Times New Roman"/>
                <w:color w:val="000000" w:themeColor="text1"/>
                <w:sz w:val="18"/>
                <w:szCs w:val="18"/>
              </w:rPr>
            </w:pPr>
            <w:r w:rsidRPr="00360479">
              <w:rPr>
                <w:rFonts w:ascii="Times New Roman" w:hAnsi="Times New Roman"/>
                <w:color w:val="000000" w:themeColor="text1"/>
                <w:sz w:val="18"/>
                <w:szCs w:val="18"/>
              </w:rPr>
              <w:t>(ienākošā plūsma)</w:t>
            </w:r>
          </w:p>
        </w:tc>
        <w:tc>
          <w:tcPr>
            <w:tcW w:w="1153" w:type="dxa"/>
            <w:shd w:val="clear" w:color="auto" w:fill="FFFFFF" w:themeFill="background1"/>
            <w:vAlign w:val="center"/>
          </w:tcPr>
          <w:p w14:paraId="6AAC5CFF" w14:textId="77777777" w:rsidR="00A44C42" w:rsidRPr="00360479" w:rsidRDefault="00A44C42" w:rsidP="00DD6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88 570</w:t>
            </w:r>
          </w:p>
        </w:tc>
        <w:tc>
          <w:tcPr>
            <w:tcW w:w="1154" w:type="dxa"/>
            <w:shd w:val="clear" w:color="auto" w:fill="FFFFFF" w:themeFill="background1"/>
            <w:vAlign w:val="center"/>
          </w:tcPr>
          <w:p w14:paraId="71789A72" w14:textId="77777777" w:rsidR="00A44C42" w:rsidRPr="00360479" w:rsidRDefault="00A44C42" w:rsidP="00DD6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bCs/>
                <w:color w:val="000000" w:themeColor="text1"/>
                <w:sz w:val="18"/>
                <w:szCs w:val="18"/>
              </w:rPr>
              <w:t>90 577</w:t>
            </w:r>
          </w:p>
        </w:tc>
        <w:tc>
          <w:tcPr>
            <w:tcW w:w="1154" w:type="dxa"/>
            <w:shd w:val="clear" w:color="auto" w:fill="FFFFFF" w:themeFill="background1"/>
            <w:vAlign w:val="center"/>
          </w:tcPr>
          <w:p w14:paraId="3AC9F243" w14:textId="77777777" w:rsidR="00A44C42" w:rsidRPr="00360479" w:rsidRDefault="00A44C42" w:rsidP="00DD6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bCs/>
                <w:color w:val="000000" w:themeColor="text1"/>
                <w:sz w:val="18"/>
                <w:szCs w:val="18"/>
              </w:rPr>
              <w:t>93 181</w:t>
            </w:r>
          </w:p>
        </w:tc>
        <w:tc>
          <w:tcPr>
            <w:tcW w:w="1154" w:type="dxa"/>
            <w:shd w:val="clear" w:color="auto" w:fill="FFFFFF" w:themeFill="background1"/>
            <w:vAlign w:val="center"/>
          </w:tcPr>
          <w:p w14:paraId="705FCF13" w14:textId="77777777" w:rsidR="00A44C42" w:rsidRPr="00360479" w:rsidRDefault="00A44C42" w:rsidP="00DD6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bCs/>
                <w:color w:val="000000" w:themeColor="text1"/>
                <w:sz w:val="18"/>
                <w:szCs w:val="18"/>
              </w:rPr>
              <w:t>92 426</w:t>
            </w:r>
          </w:p>
        </w:tc>
        <w:tc>
          <w:tcPr>
            <w:tcW w:w="1153" w:type="dxa"/>
            <w:shd w:val="clear" w:color="auto" w:fill="auto"/>
            <w:vAlign w:val="center"/>
          </w:tcPr>
          <w:p w14:paraId="26980AD5" w14:textId="1123AE59" w:rsidR="00A44C42" w:rsidRPr="00360479" w:rsidRDefault="00A44C42" w:rsidP="00DD6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themeColor="text1"/>
                <w:sz w:val="18"/>
                <w:szCs w:val="18"/>
              </w:rPr>
            </w:pPr>
            <w:r w:rsidRPr="00360479">
              <w:rPr>
                <w:rFonts w:ascii="Times New Roman" w:hAnsi="Times New Roman"/>
                <w:bCs/>
                <w:color w:val="000000" w:themeColor="text1"/>
                <w:sz w:val="18"/>
                <w:szCs w:val="18"/>
              </w:rPr>
              <w:t>88 696</w:t>
            </w:r>
          </w:p>
        </w:tc>
        <w:tc>
          <w:tcPr>
            <w:tcW w:w="1153" w:type="dxa"/>
            <w:shd w:val="clear" w:color="auto" w:fill="C5E0B3" w:themeFill="accent6" w:themeFillTint="66"/>
          </w:tcPr>
          <w:p w14:paraId="7084AD74" w14:textId="77777777" w:rsidR="00A44C42" w:rsidRPr="00360479" w:rsidRDefault="00A44C42" w:rsidP="00DD6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p>
          <w:p w14:paraId="54B7462F" w14:textId="77777777" w:rsidR="00A44C42" w:rsidRPr="00360479" w:rsidRDefault="00A44C42" w:rsidP="00DD6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p>
          <w:p w14:paraId="1C633471" w14:textId="375BFA86" w:rsidR="00A44C42" w:rsidRPr="00360479" w:rsidRDefault="00A44C42" w:rsidP="00DD6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 5%</w:t>
            </w:r>
          </w:p>
        </w:tc>
      </w:tr>
      <w:tr w:rsidR="00721FBC" w:rsidRPr="00360479" w14:paraId="3C62CD94" w14:textId="2E0BC8C2" w:rsidTr="002C6AB6">
        <w:tc>
          <w:tcPr>
            <w:cnfStyle w:val="001000000000" w:firstRow="0" w:lastRow="0" w:firstColumn="1" w:lastColumn="0" w:oddVBand="0" w:evenVBand="0" w:oddHBand="0" w:evenHBand="0" w:firstRowFirstColumn="0" w:firstRowLastColumn="0" w:lastRowFirstColumn="0" w:lastRowLastColumn="0"/>
            <w:tcW w:w="1901" w:type="dxa"/>
            <w:shd w:val="clear" w:color="auto" w:fill="FFFFFF" w:themeFill="background1"/>
          </w:tcPr>
          <w:p w14:paraId="20A3B4AD" w14:textId="77777777" w:rsidR="00A44C42" w:rsidRPr="00360479" w:rsidRDefault="00A44C42" w:rsidP="00DD6BA0">
            <w:pPr>
              <w:rPr>
                <w:rFonts w:ascii="Times New Roman" w:hAnsi="Times New Roman"/>
                <w:b w:val="0"/>
                <w:bCs w:val="0"/>
                <w:color w:val="000000" w:themeColor="text1"/>
                <w:sz w:val="18"/>
                <w:szCs w:val="18"/>
              </w:rPr>
            </w:pPr>
            <w:r w:rsidRPr="00360479">
              <w:rPr>
                <w:rFonts w:ascii="Times New Roman" w:hAnsi="Times New Roman"/>
                <w:color w:val="000000" w:themeColor="text1"/>
                <w:sz w:val="18"/>
                <w:szCs w:val="18"/>
              </w:rPr>
              <w:t xml:space="preserve">Cilvēku skaits, kas gada laikā zaudējuši statusu </w:t>
            </w:r>
          </w:p>
          <w:p w14:paraId="43571076" w14:textId="77777777" w:rsidR="00A44C42" w:rsidRPr="00360479" w:rsidRDefault="00A44C42" w:rsidP="00DD6BA0">
            <w:pPr>
              <w:rPr>
                <w:rFonts w:ascii="Times New Roman" w:hAnsi="Times New Roman"/>
                <w:color w:val="000000" w:themeColor="text1"/>
                <w:sz w:val="18"/>
                <w:szCs w:val="18"/>
              </w:rPr>
            </w:pPr>
            <w:r w:rsidRPr="00360479">
              <w:rPr>
                <w:rFonts w:ascii="Times New Roman" w:hAnsi="Times New Roman"/>
                <w:color w:val="000000" w:themeColor="text1"/>
                <w:sz w:val="18"/>
                <w:szCs w:val="18"/>
              </w:rPr>
              <w:t>(izejošā plūsma)</w:t>
            </w:r>
          </w:p>
        </w:tc>
        <w:tc>
          <w:tcPr>
            <w:tcW w:w="1153" w:type="dxa"/>
            <w:shd w:val="clear" w:color="auto" w:fill="FFFFFF" w:themeFill="background1"/>
            <w:vAlign w:val="center"/>
          </w:tcPr>
          <w:p w14:paraId="7E1F60DF" w14:textId="77777777"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97 386</w:t>
            </w:r>
          </w:p>
        </w:tc>
        <w:tc>
          <w:tcPr>
            <w:tcW w:w="1154" w:type="dxa"/>
            <w:shd w:val="clear" w:color="auto" w:fill="FFFFFF" w:themeFill="background1"/>
            <w:vAlign w:val="center"/>
          </w:tcPr>
          <w:p w14:paraId="14D43B55" w14:textId="77777777"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97 882</w:t>
            </w:r>
          </w:p>
        </w:tc>
        <w:tc>
          <w:tcPr>
            <w:tcW w:w="1154" w:type="dxa"/>
            <w:shd w:val="clear" w:color="auto" w:fill="FFFFFF" w:themeFill="background1"/>
            <w:vAlign w:val="center"/>
          </w:tcPr>
          <w:p w14:paraId="2CF4EA25" w14:textId="77777777"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96 632</w:t>
            </w:r>
          </w:p>
        </w:tc>
        <w:tc>
          <w:tcPr>
            <w:tcW w:w="1154" w:type="dxa"/>
            <w:shd w:val="clear" w:color="auto" w:fill="FFFFFF" w:themeFill="background1"/>
            <w:vAlign w:val="center"/>
          </w:tcPr>
          <w:p w14:paraId="4AC7651B" w14:textId="77777777"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96 640</w:t>
            </w:r>
          </w:p>
        </w:tc>
        <w:tc>
          <w:tcPr>
            <w:tcW w:w="1153" w:type="dxa"/>
            <w:shd w:val="clear" w:color="auto" w:fill="auto"/>
            <w:vAlign w:val="center"/>
          </w:tcPr>
          <w:p w14:paraId="5E7EAA94" w14:textId="3DA7A653"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92 140</w:t>
            </w:r>
          </w:p>
        </w:tc>
        <w:tc>
          <w:tcPr>
            <w:tcW w:w="1153" w:type="dxa"/>
            <w:shd w:val="clear" w:color="auto" w:fill="C5E0B3" w:themeFill="accent6" w:themeFillTint="66"/>
          </w:tcPr>
          <w:p w14:paraId="3DDA8C43" w14:textId="77777777"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p>
          <w:p w14:paraId="15219777" w14:textId="4486EA15"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 5%</w:t>
            </w:r>
          </w:p>
        </w:tc>
      </w:tr>
      <w:tr w:rsidR="00721FBC" w:rsidRPr="00360479" w14:paraId="784CA93F" w14:textId="10FC91B4" w:rsidTr="002C6A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dxa"/>
            <w:shd w:val="clear" w:color="auto" w:fill="FFFFFF" w:themeFill="background1"/>
          </w:tcPr>
          <w:p w14:paraId="35756A21" w14:textId="77777777" w:rsidR="00A44C42" w:rsidRPr="00360479" w:rsidRDefault="00A44C42" w:rsidP="00DD6BA0">
            <w:pPr>
              <w:rPr>
                <w:rFonts w:ascii="Times New Roman" w:hAnsi="Times New Roman"/>
                <w:color w:val="000000" w:themeColor="text1"/>
                <w:sz w:val="18"/>
                <w:szCs w:val="18"/>
              </w:rPr>
            </w:pPr>
            <w:r w:rsidRPr="00360479">
              <w:rPr>
                <w:rFonts w:ascii="Times New Roman" w:hAnsi="Times New Roman"/>
                <w:color w:val="000000" w:themeColor="text1"/>
                <w:sz w:val="18"/>
                <w:szCs w:val="18"/>
              </w:rPr>
              <w:t>Darbā iekārtojušos cilvēku skaits (gada laikā)</w:t>
            </w:r>
          </w:p>
        </w:tc>
        <w:tc>
          <w:tcPr>
            <w:tcW w:w="1153" w:type="dxa"/>
            <w:shd w:val="clear" w:color="auto" w:fill="FFFFFF" w:themeFill="background1"/>
            <w:vAlign w:val="center"/>
          </w:tcPr>
          <w:p w14:paraId="747532C6" w14:textId="77777777" w:rsidR="00A44C42" w:rsidRPr="00360479" w:rsidRDefault="00A44C42" w:rsidP="00DD6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bCs/>
                <w:color w:val="000000" w:themeColor="text1"/>
                <w:sz w:val="18"/>
                <w:szCs w:val="18"/>
              </w:rPr>
              <w:t>59 672</w:t>
            </w:r>
          </w:p>
        </w:tc>
        <w:tc>
          <w:tcPr>
            <w:tcW w:w="1154" w:type="dxa"/>
            <w:shd w:val="clear" w:color="auto" w:fill="FFFFFF" w:themeFill="background1"/>
            <w:vAlign w:val="center"/>
          </w:tcPr>
          <w:p w14:paraId="4F29DE60" w14:textId="77777777" w:rsidR="00A44C42" w:rsidRPr="00360479" w:rsidRDefault="00A44C42" w:rsidP="00DD6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bCs/>
                <w:color w:val="000000" w:themeColor="text1"/>
                <w:sz w:val="18"/>
                <w:szCs w:val="18"/>
              </w:rPr>
              <w:t>55 905</w:t>
            </w:r>
          </w:p>
        </w:tc>
        <w:tc>
          <w:tcPr>
            <w:tcW w:w="1154" w:type="dxa"/>
            <w:shd w:val="clear" w:color="auto" w:fill="FFFFFF" w:themeFill="background1"/>
            <w:vAlign w:val="center"/>
          </w:tcPr>
          <w:p w14:paraId="1444D9E0" w14:textId="77777777" w:rsidR="00A44C42" w:rsidRPr="00360479" w:rsidRDefault="00A44C42" w:rsidP="00DD6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bCs/>
                <w:color w:val="000000" w:themeColor="text1"/>
                <w:sz w:val="18"/>
                <w:szCs w:val="18"/>
              </w:rPr>
              <w:t>54 539</w:t>
            </w:r>
          </w:p>
        </w:tc>
        <w:tc>
          <w:tcPr>
            <w:tcW w:w="1154" w:type="dxa"/>
            <w:shd w:val="clear" w:color="auto" w:fill="FFFFFF" w:themeFill="background1"/>
            <w:vAlign w:val="center"/>
          </w:tcPr>
          <w:p w14:paraId="3067276A" w14:textId="77777777" w:rsidR="00A44C42" w:rsidRPr="00360479" w:rsidRDefault="00A44C42" w:rsidP="00DD6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bCs/>
                <w:color w:val="000000" w:themeColor="text1"/>
                <w:sz w:val="18"/>
                <w:szCs w:val="18"/>
              </w:rPr>
              <w:t>54 664</w:t>
            </w:r>
          </w:p>
        </w:tc>
        <w:tc>
          <w:tcPr>
            <w:tcW w:w="1153" w:type="dxa"/>
            <w:shd w:val="clear" w:color="auto" w:fill="auto"/>
            <w:vAlign w:val="center"/>
          </w:tcPr>
          <w:p w14:paraId="005FDA77" w14:textId="58EA7716" w:rsidR="00A44C42" w:rsidRPr="00360479" w:rsidRDefault="00A44C42" w:rsidP="00DD6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themeColor="text1"/>
                <w:sz w:val="18"/>
                <w:szCs w:val="18"/>
                <w:highlight w:val="yellow"/>
              </w:rPr>
            </w:pPr>
            <w:r w:rsidRPr="00360479">
              <w:rPr>
                <w:rFonts w:ascii="Times New Roman" w:hAnsi="Times New Roman"/>
                <w:bCs/>
                <w:color w:val="000000" w:themeColor="text1"/>
                <w:sz w:val="18"/>
                <w:szCs w:val="18"/>
              </w:rPr>
              <w:t>54 121</w:t>
            </w:r>
          </w:p>
        </w:tc>
        <w:tc>
          <w:tcPr>
            <w:tcW w:w="1153" w:type="dxa"/>
            <w:shd w:val="clear" w:color="auto" w:fill="C5E0B3" w:themeFill="accent6" w:themeFillTint="66"/>
          </w:tcPr>
          <w:p w14:paraId="091B95D0" w14:textId="77777777" w:rsidR="00A44C42" w:rsidRPr="00360479" w:rsidRDefault="00A44C42" w:rsidP="00DD6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p>
          <w:p w14:paraId="446E5153" w14:textId="2A7F2C43" w:rsidR="00A44C42" w:rsidRPr="00360479" w:rsidRDefault="00A44C42" w:rsidP="00DD6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 54 000</w:t>
            </w:r>
          </w:p>
        </w:tc>
      </w:tr>
      <w:tr w:rsidR="00721FBC" w:rsidRPr="00360479" w14:paraId="04A2BF49" w14:textId="6488B5D2" w:rsidTr="002C6AB6">
        <w:tc>
          <w:tcPr>
            <w:cnfStyle w:val="001000000000" w:firstRow="0" w:lastRow="0" w:firstColumn="1" w:lastColumn="0" w:oddVBand="0" w:evenVBand="0" w:oddHBand="0" w:evenHBand="0" w:firstRowFirstColumn="0" w:firstRowLastColumn="0" w:lastRowFirstColumn="0" w:lastRowLastColumn="0"/>
            <w:tcW w:w="1901" w:type="dxa"/>
            <w:shd w:val="clear" w:color="auto" w:fill="FFFFFF" w:themeFill="background1"/>
          </w:tcPr>
          <w:p w14:paraId="3005C190" w14:textId="77777777" w:rsidR="00A44C42" w:rsidRPr="00360479" w:rsidRDefault="00A44C42" w:rsidP="00DD6BA0">
            <w:pPr>
              <w:rPr>
                <w:rFonts w:ascii="Times New Roman" w:hAnsi="Times New Roman"/>
                <w:color w:val="000000" w:themeColor="text1"/>
                <w:sz w:val="18"/>
                <w:szCs w:val="18"/>
              </w:rPr>
            </w:pPr>
            <w:r w:rsidRPr="00360479">
              <w:rPr>
                <w:rFonts w:ascii="Times New Roman" w:hAnsi="Times New Roman"/>
                <w:color w:val="000000" w:themeColor="text1"/>
                <w:sz w:val="18"/>
                <w:szCs w:val="18"/>
              </w:rPr>
              <w:t>Ilgstošo bezdarbnieku īpatsvars</w:t>
            </w:r>
          </w:p>
        </w:tc>
        <w:tc>
          <w:tcPr>
            <w:tcW w:w="1153" w:type="dxa"/>
            <w:shd w:val="clear" w:color="auto" w:fill="FFFFFF" w:themeFill="background1"/>
            <w:vAlign w:val="center"/>
          </w:tcPr>
          <w:p w14:paraId="67DF73EC" w14:textId="77777777"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24,4%</w:t>
            </w:r>
          </w:p>
        </w:tc>
        <w:tc>
          <w:tcPr>
            <w:tcW w:w="1154" w:type="dxa"/>
            <w:shd w:val="clear" w:color="auto" w:fill="FFFFFF" w:themeFill="background1"/>
            <w:vAlign w:val="center"/>
          </w:tcPr>
          <w:p w14:paraId="026F10EF" w14:textId="77777777"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19,2%</w:t>
            </w:r>
          </w:p>
        </w:tc>
        <w:tc>
          <w:tcPr>
            <w:tcW w:w="1154" w:type="dxa"/>
            <w:shd w:val="clear" w:color="auto" w:fill="FFFFFF" w:themeFill="background1"/>
            <w:vAlign w:val="center"/>
          </w:tcPr>
          <w:p w14:paraId="79E95F63" w14:textId="77777777"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15,9%</w:t>
            </w:r>
          </w:p>
        </w:tc>
        <w:tc>
          <w:tcPr>
            <w:tcW w:w="1154" w:type="dxa"/>
            <w:shd w:val="clear" w:color="auto" w:fill="FFFFFF" w:themeFill="background1"/>
            <w:vAlign w:val="center"/>
          </w:tcPr>
          <w:p w14:paraId="08FD4C83" w14:textId="77777777"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15,3%</w:t>
            </w:r>
          </w:p>
        </w:tc>
        <w:tc>
          <w:tcPr>
            <w:tcW w:w="1153" w:type="dxa"/>
            <w:shd w:val="clear" w:color="auto" w:fill="FFFFFF" w:themeFill="background1"/>
            <w:vAlign w:val="center"/>
          </w:tcPr>
          <w:p w14:paraId="786CE539" w14:textId="77777777"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highlight w:val="yellow"/>
              </w:rPr>
            </w:pPr>
            <w:r w:rsidRPr="00360479">
              <w:rPr>
                <w:rFonts w:ascii="Times New Roman" w:hAnsi="Times New Roman"/>
                <w:color w:val="000000" w:themeColor="text1"/>
                <w:sz w:val="18"/>
                <w:szCs w:val="18"/>
              </w:rPr>
              <w:t>15,2%</w:t>
            </w:r>
          </w:p>
        </w:tc>
        <w:tc>
          <w:tcPr>
            <w:tcW w:w="1153" w:type="dxa"/>
            <w:shd w:val="clear" w:color="auto" w:fill="C5E0B3" w:themeFill="accent6" w:themeFillTint="66"/>
          </w:tcPr>
          <w:p w14:paraId="68BE0DFE" w14:textId="1C828A53"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p>
          <w:p w14:paraId="57014E3E" w14:textId="1309B573"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360479">
              <w:rPr>
                <w:rFonts w:ascii="Times New Roman" w:hAnsi="Times New Roman"/>
                <w:color w:val="000000" w:themeColor="text1"/>
                <w:sz w:val="18"/>
                <w:szCs w:val="18"/>
              </w:rPr>
              <w:t>≈ 15%</w:t>
            </w:r>
          </w:p>
          <w:p w14:paraId="6BB416DF" w14:textId="6BD1BFF5" w:rsidR="00A44C42" w:rsidRPr="00360479" w:rsidRDefault="00A44C42" w:rsidP="00DD6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p>
        </w:tc>
      </w:tr>
    </w:tbl>
    <w:bookmarkEnd w:id="1"/>
    <w:p w14:paraId="59B5C45A" w14:textId="5D8456A2" w:rsidR="00A44C42" w:rsidRPr="00916781" w:rsidRDefault="00A44C42" w:rsidP="00A47A95">
      <w:pPr>
        <w:spacing w:after="120"/>
        <w:ind w:firstLine="720"/>
        <w:jc w:val="both"/>
        <w:rPr>
          <w:rFonts w:ascii="Times New Roman" w:hAnsi="Times New Roman" w:cs="Times New Roman"/>
          <w:color w:val="000000" w:themeColor="text1"/>
          <w:sz w:val="18"/>
          <w:szCs w:val="18"/>
        </w:rPr>
      </w:pPr>
      <w:r w:rsidRPr="00916781">
        <w:rPr>
          <w:rFonts w:ascii="Times New Roman" w:hAnsi="Times New Roman" w:cs="Times New Roman"/>
          <w:color w:val="000000" w:themeColor="text1"/>
          <w:sz w:val="18"/>
          <w:szCs w:val="18"/>
        </w:rPr>
        <w:t>Dati: NVA</w:t>
      </w:r>
      <w:r w:rsidR="00916781" w:rsidRPr="00916781">
        <w:rPr>
          <w:rFonts w:ascii="Times New Roman" w:hAnsi="Times New Roman" w:cs="Times New Roman"/>
          <w:color w:val="000000" w:themeColor="text1"/>
          <w:sz w:val="18"/>
          <w:szCs w:val="18"/>
        </w:rPr>
        <w:t xml:space="preserve"> un LM (prognozes 2026. gadam)</w:t>
      </w:r>
    </w:p>
    <w:p w14:paraId="23E1A8FD" w14:textId="555B6BA8" w:rsidR="00A47A95" w:rsidRPr="00721FBC" w:rsidRDefault="00555E2B" w:rsidP="00A47A95">
      <w:pPr>
        <w:spacing w:after="120"/>
        <w:ind w:firstLine="720"/>
        <w:jc w:val="both"/>
        <w:rPr>
          <w:rFonts w:ascii="Times New Roman" w:hAnsi="Times New Roman" w:cs="Times New Roman"/>
          <w:color w:val="000000" w:themeColor="text1"/>
          <w:sz w:val="24"/>
          <w:szCs w:val="24"/>
        </w:rPr>
      </w:pPr>
      <w:r w:rsidRPr="00721FBC">
        <w:rPr>
          <w:rFonts w:ascii="Times New Roman" w:hAnsi="Times New Roman" w:cs="Times New Roman"/>
          <w:color w:val="000000" w:themeColor="text1"/>
          <w:sz w:val="24"/>
          <w:szCs w:val="24"/>
        </w:rPr>
        <w:t>202</w:t>
      </w:r>
      <w:r w:rsidR="0053183D" w:rsidRPr="00721FBC">
        <w:rPr>
          <w:rFonts w:ascii="Times New Roman" w:hAnsi="Times New Roman" w:cs="Times New Roman"/>
          <w:color w:val="000000" w:themeColor="text1"/>
          <w:sz w:val="24"/>
          <w:szCs w:val="24"/>
        </w:rPr>
        <w:t>6</w:t>
      </w:r>
      <w:r w:rsidRPr="00721FBC">
        <w:rPr>
          <w:rFonts w:ascii="Times New Roman" w:hAnsi="Times New Roman" w:cs="Times New Roman"/>
          <w:color w:val="000000" w:themeColor="text1"/>
          <w:sz w:val="24"/>
          <w:szCs w:val="24"/>
        </w:rPr>
        <w:t>.</w:t>
      </w:r>
      <w:r w:rsidR="00CD562C" w:rsidRPr="00721FBC">
        <w:rPr>
          <w:rFonts w:ascii="Times New Roman" w:hAnsi="Times New Roman" w:cs="Times New Roman"/>
          <w:color w:val="000000" w:themeColor="text1"/>
          <w:sz w:val="24"/>
          <w:szCs w:val="24"/>
        </w:rPr>
        <w:t> </w:t>
      </w:r>
      <w:r w:rsidRPr="00721FBC">
        <w:rPr>
          <w:rFonts w:ascii="Times New Roman" w:hAnsi="Times New Roman" w:cs="Times New Roman"/>
          <w:color w:val="000000" w:themeColor="text1"/>
          <w:sz w:val="24"/>
          <w:szCs w:val="24"/>
        </w:rPr>
        <w:t>gadā tik</w:t>
      </w:r>
      <w:r w:rsidR="00480536" w:rsidRPr="00721FBC">
        <w:rPr>
          <w:rFonts w:ascii="Times New Roman" w:hAnsi="Times New Roman" w:cs="Times New Roman"/>
          <w:color w:val="000000" w:themeColor="text1"/>
          <w:sz w:val="24"/>
          <w:szCs w:val="24"/>
        </w:rPr>
        <w:t>s</w:t>
      </w:r>
      <w:r w:rsidRPr="00721FBC">
        <w:rPr>
          <w:rFonts w:ascii="Times New Roman" w:hAnsi="Times New Roman" w:cs="Times New Roman"/>
          <w:color w:val="000000" w:themeColor="text1"/>
          <w:sz w:val="24"/>
          <w:szCs w:val="24"/>
        </w:rPr>
        <w:t xml:space="preserve"> </w:t>
      </w:r>
      <w:r w:rsidR="002D036C" w:rsidRPr="00721FBC">
        <w:rPr>
          <w:rFonts w:ascii="Times New Roman" w:hAnsi="Times New Roman" w:cs="Times New Roman"/>
          <w:color w:val="000000" w:themeColor="text1"/>
          <w:sz w:val="24"/>
          <w:szCs w:val="24"/>
        </w:rPr>
        <w:t>turpināta</w:t>
      </w:r>
      <w:r w:rsidR="00FA5D9F" w:rsidRPr="00721FBC">
        <w:rPr>
          <w:rFonts w:ascii="Times New Roman" w:hAnsi="Times New Roman" w:cs="Times New Roman"/>
          <w:color w:val="000000" w:themeColor="text1"/>
          <w:sz w:val="24"/>
          <w:szCs w:val="24"/>
        </w:rPr>
        <w:t xml:space="preserve"> NVA aktīvās darba tirgus politikas pasākum</w:t>
      </w:r>
      <w:r w:rsidR="00A650EF" w:rsidRPr="00721FBC">
        <w:rPr>
          <w:rFonts w:ascii="Times New Roman" w:hAnsi="Times New Roman" w:cs="Times New Roman"/>
          <w:color w:val="000000" w:themeColor="text1"/>
          <w:sz w:val="24"/>
          <w:szCs w:val="24"/>
        </w:rPr>
        <w:t>u īstenošana</w:t>
      </w:r>
      <w:r w:rsidR="00FA5D9F" w:rsidRPr="00721FBC">
        <w:rPr>
          <w:rFonts w:ascii="Times New Roman" w:hAnsi="Times New Roman" w:cs="Times New Roman"/>
          <w:color w:val="000000" w:themeColor="text1"/>
          <w:sz w:val="24"/>
          <w:szCs w:val="24"/>
        </w:rPr>
        <w:t>, pielāgojot tos izmaiņām tautsaimniecībā un vienlaikus arī palīdzot bezdarbniekiem pārvarēt tos šķēršļus, kas kavē iesaisti darba tirgū, kā arī sniedzot atbalstu darba devējiem, kuriem nepieciešams papildu darbaspēks.</w:t>
      </w:r>
      <w:r w:rsidR="00AE3A27" w:rsidRPr="00721FBC">
        <w:rPr>
          <w:rFonts w:ascii="Times New Roman" w:hAnsi="Times New Roman" w:cs="Times New Roman"/>
          <w:color w:val="000000" w:themeColor="text1"/>
          <w:sz w:val="24"/>
          <w:szCs w:val="24"/>
        </w:rPr>
        <w:t xml:space="preserve"> 2026.gadā papildu uzmanība tiks pievērsta </w:t>
      </w:r>
      <w:r w:rsidR="00A47A95" w:rsidRPr="00721FBC">
        <w:rPr>
          <w:rFonts w:ascii="Times New Roman" w:hAnsi="Times New Roman" w:cs="Times New Roman"/>
          <w:color w:val="000000" w:themeColor="text1"/>
          <w:sz w:val="24"/>
          <w:szCs w:val="24"/>
        </w:rPr>
        <w:t xml:space="preserve">prasmju pilnveides pasākumiem, </w:t>
      </w:r>
      <w:r w:rsidR="00AE3A27" w:rsidRPr="00721FBC">
        <w:rPr>
          <w:rFonts w:ascii="Times New Roman" w:hAnsi="Times New Roman" w:cs="Times New Roman"/>
          <w:color w:val="000000" w:themeColor="text1"/>
          <w:sz w:val="24"/>
          <w:szCs w:val="24"/>
        </w:rPr>
        <w:t xml:space="preserve">tai skaitā </w:t>
      </w:r>
      <w:r w:rsidR="00A47A95" w:rsidRPr="00721FBC">
        <w:rPr>
          <w:rFonts w:ascii="Times New Roman" w:hAnsi="Times New Roman" w:cs="Times New Roman"/>
          <w:color w:val="000000" w:themeColor="text1"/>
          <w:sz w:val="24"/>
          <w:szCs w:val="24"/>
        </w:rPr>
        <w:t>digitāl</w:t>
      </w:r>
      <w:r w:rsidR="00AE3A27" w:rsidRPr="00721FBC">
        <w:rPr>
          <w:rFonts w:ascii="Times New Roman" w:hAnsi="Times New Roman" w:cs="Times New Roman"/>
          <w:color w:val="000000" w:themeColor="text1"/>
          <w:sz w:val="24"/>
          <w:szCs w:val="24"/>
        </w:rPr>
        <w:t>ajām</w:t>
      </w:r>
      <w:r w:rsidR="00A47A95" w:rsidRPr="00721FBC">
        <w:rPr>
          <w:rFonts w:ascii="Times New Roman" w:hAnsi="Times New Roman" w:cs="Times New Roman"/>
          <w:color w:val="000000" w:themeColor="text1"/>
          <w:sz w:val="24"/>
          <w:szCs w:val="24"/>
        </w:rPr>
        <w:t xml:space="preserve"> prasm</w:t>
      </w:r>
      <w:r w:rsidR="00AE3A27" w:rsidRPr="00721FBC">
        <w:rPr>
          <w:rFonts w:ascii="Times New Roman" w:hAnsi="Times New Roman" w:cs="Times New Roman"/>
          <w:color w:val="000000" w:themeColor="text1"/>
          <w:sz w:val="24"/>
          <w:szCs w:val="24"/>
        </w:rPr>
        <w:t xml:space="preserve">ēm, </w:t>
      </w:r>
      <w:r w:rsidR="003E0C0C" w:rsidRPr="00721FBC">
        <w:rPr>
          <w:rFonts w:ascii="Times New Roman" w:hAnsi="Times New Roman" w:cs="Times New Roman"/>
          <w:color w:val="000000" w:themeColor="text1"/>
          <w:sz w:val="24"/>
          <w:szCs w:val="24"/>
        </w:rPr>
        <w:t>sekmējot</w:t>
      </w:r>
      <w:r w:rsidR="00A47A95" w:rsidRPr="00721FBC">
        <w:rPr>
          <w:rFonts w:ascii="Times New Roman" w:hAnsi="Times New Roman" w:cs="Times New Roman"/>
          <w:color w:val="000000" w:themeColor="text1"/>
          <w:sz w:val="24"/>
          <w:szCs w:val="24"/>
        </w:rPr>
        <w:t xml:space="preserve"> bezdarbnieku, darba meklētāju un bezdarba riskam pakļauto personu </w:t>
      </w:r>
      <w:r w:rsidR="00AE3A27" w:rsidRPr="00721FBC">
        <w:rPr>
          <w:rFonts w:ascii="Times New Roman" w:hAnsi="Times New Roman" w:cs="Times New Roman"/>
          <w:color w:val="000000" w:themeColor="text1"/>
          <w:sz w:val="24"/>
          <w:szCs w:val="24"/>
        </w:rPr>
        <w:t>iesaisti mācībās</w:t>
      </w:r>
      <w:r w:rsidR="00A47A95" w:rsidRPr="00721FBC">
        <w:rPr>
          <w:rFonts w:ascii="Times New Roman" w:hAnsi="Times New Roman" w:cs="Times New Roman"/>
          <w:color w:val="000000" w:themeColor="text1"/>
          <w:sz w:val="24"/>
          <w:szCs w:val="24"/>
        </w:rPr>
        <w:t xml:space="preserve"> atbilstoši</w:t>
      </w:r>
      <w:r w:rsidR="00AE3A27" w:rsidRPr="00721FBC">
        <w:rPr>
          <w:rFonts w:ascii="Times New Roman" w:hAnsi="Times New Roman" w:cs="Times New Roman"/>
          <w:color w:val="000000" w:themeColor="text1"/>
          <w:sz w:val="24"/>
          <w:szCs w:val="24"/>
        </w:rPr>
        <w:t xml:space="preserve"> </w:t>
      </w:r>
      <w:r w:rsidR="00A47A95" w:rsidRPr="00721FBC">
        <w:rPr>
          <w:rFonts w:ascii="Times New Roman" w:hAnsi="Times New Roman" w:cs="Times New Roman"/>
          <w:color w:val="000000" w:themeColor="text1"/>
          <w:sz w:val="24"/>
          <w:szCs w:val="24"/>
        </w:rPr>
        <w:t xml:space="preserve">darba tirgus pieprasījumam un globālajām </w:t>
      </w:r>
      <w:proofErr w:type="spellStart"/>
      <w:r w:rsidR="00A47A95" w:rsidRPr="00721FBC">
        <w:rPr>
          <w:rFonts w:ascii="Times New Roman" w:hAnsi="Times New Roman" w:cs="Times New Roman"/>
          <w:color w:val="000000" w:themeColor="text1"/>
          <w:sz w:val="24"/>
          <w:szCs w:val="24"/>
        </w:rPr>
        <w:t>digitalizācijas</w:t>
      </w:r>
      <w:proofErr w:type="spellEnd"/>
      <w:r w:rsidR="00A47A95" w:rsidRPr="00721FBC">
        <w:rPr>
          <w:rFonts w:ascii="Times New Roman" w:hAnsi="Times New Roman" w:cs="Times New Roman"/>
          <w:color w:val="000000" w:themeColor="text1"/>
          <w:sz w:val="24"/>
          <w:szCs w:val="24"/>
        </w:rPr>
        <w:t xml:space="preserve"> un automatizācijas tendencēm.</w:t>
      </w:r>
      <w:r w:rsidR="00AE3A27" w:rsidRPr="00721FBC">
        <w:rPr>
          <w:rFonts w:ascii="Times New Roman" w:hAnsi="Times New Roman" w:cs="Times New Roman"/>
          <w:color w:val="000000" w:themeColor="text1"/>
          <w:sz w:val="24"/>
          <w:szCs w:val="24"/>
        </w:rPr>
        <w:t xml:space="preserve"> </w:t>
      </w:r>
      <w:r w:rsidR="00A47A95" w:rsidRPr="00721FBC">
        <w:rPr>
          <w:rFonts w:ascii="Times New Roman" w:hAnsi="Times New Roman" w:cs="Times New Roman"/>
          <w:color w:val="000000" w:themeColor="text1"/>
          <w:sz w:val="24"/>
          <w:szCs w:val="24"/>
        </w:rPr>
        <w:t xml:space="preserve">Savukārt, lai veicinātu bezdarbnieku pāreju no bezdarba uz nodarbinātību, </w:t>
      </w:r>
      <w:r w:rsidR="00E74E46" w:rsidRPr="00721FBC">
        <w:rPr>
          <w:rFonts w:ascii="Times New Roman" w:hAnsi="Times New Roman" w:cs="Times New Roman"/>
          <w:color w:val="000000" w:themeColor="text1"/>
          <w:sz w:val="24"/>
          <w:szCs w:val="24"/>
        </w:rPr>
        <w:t xml:space="preserve">tiks nodrošinātas karjeras konsultācijas, reģionālās mobilitātes atbalsts, nodrošināti </w:t>
      </w:r>
      <w:r w:rsidR="00A47A95" w:rsidRPr="00721FBC">
        <w:rPr>
          <w:rFonts w:ascii="Times New Roman" w:hAnsi="Times New Roman" w:cs="Times New Roman"/>
          <w:color w:val="000000" w:themeColor="text1"/>
          <w:sz w:val="24"/>
          <w:szCs w:val="24"/>
        </w:rPr>
        <w:t>pasākumi sociālās atstumtības riskam pakļauto personu integrācijai darba tirgū</w:t>
      </w:r>
      <w:r w:rsidR="00E74E46" w:rsidRPr="00721FBC">
        <w:rPr>
          <w:rFonts w:ascii="Times New Roman" w:hAnsi="Times New Roman" w:cs="Times New Roman"/>
          <w:color w:val="000000" w:themeColor="text1"/>
          <w:sz w:val="24"/>
          <w:szCs w:val="24"/>
        </w:rPr>
        <w:t xml:space="preserve"> </w:t>
      </w:r>
      <w:r w:rsidR="00A47A95" w:rsidRPr="00721FBC">
        <w:rPr>
          <w:rFonts w:ascii="Times New Roman" w:hAnsi="Times New Roman" w:cs="Times New Roman"/>
          <w:color w:val="000000" w:themeColor="text1"/>
          <w:sz w:val="24"/>
          <w:szCs w:val="24"/>
        </w:rPr>
        <w:t xml:space="preserve">u.c.    </w:t>
      </w:r>
    </w:p>
    <w:p w14:paraId="4A9657CF" w14:textId="6232B3DE" w:rsidR="00286757" w:rsidRPr="00721FBC" w:rsidRDefault="00D75B9B" w:rsidP="00286757">
      <w:pPr>
        <w:spacing w:after="120"/>
        <w:ind w:firstLine="720"/>
        <w:jc w:val="both"/>
        <w:rPr>
          <w:rFonts w:ascii="Times New Roman" w:hAnsi="Times New Roman" w:cs="Times New Roman"/>
          <w:color w:val="000000" w:themeColor="text1"/>
          <w:sz w:val="24"/>
          <w:szCs w:val="24"/>
        </w:rPr>
      </w:pPr>
      <w:r w:rsidRPr="00721FBC">
        <w:rPr>
          <w:rFonts w:ascii="Times New Roman" w:hAnsi="Times New Roman" w:cs="Times New Roman"/>
          <w:color w:val="000000" w:themeColor="text1"/>
          <w:sz w:val="24"/>
          <w:szCs w:val="24"/>
        </w:rPr>
        <w:t xml:space="preserve">Reģistrētā bezdarba prognoze </w:t>
      </w:r>
      <w:r w:rsidR="007B6376" w:rsidRPr="00721FBC">
        <w:rPr>
          <w:rFonts w:ascii="Times New Roman" w:hAnsi="Times New Roman" w:cs="Times New Roman"/>
          <w:color w:val="000000" w:themeColor="text1"/>
          <w:sz w:val="24"/>
          <w:szCs w:val="24"/>
        </w:rPr>
        <w:t>tiek</w:t>
      </w:r>
      <w:r w:rsidRPr="00721FBC">
        <w:rPr>
          <w:rFonts w:ascii="Times New Roman" w:hAnsi="Times New Roman" w:cs="Times New Roman"/>
          <w:color w:val="000000" w:themeColor="text1"/>
          <w:sz w:val="24"/>
          <w:szCs w:val="24"/>
        </w:rPr>
        <w:t xml:space="preserve"> pārskatīta </w:t>
      </w:r>
      <w:r w:rsidR="00023D97" w:rsidRPr="00721FBC">
        <w:rPr>
          <w:rFonts w:ascii="Times New Roman" w:hAnsi="Times New Roman" w:cs="Times New Roman"/>
          <w:color w:val="000000" w:themeColor="text1"/>
          <w:sz w:val="24"/>
          <w:szCs w:val="24"/>
        </w:rPr>
        <w:t xml:space="preserve">un precizēta </w:t>
      </w:r>
      <w:r w:rsidRPr="00721FBC">
        <w:rPr>
          <w:rFonts w:ascii="Times New Roman" w:hAnsi="Times New Roman" w:cs="Times New Roman"/>
          <w:color w:val="000000" w:themeColor="text1"/>
          <w:sz w:val="24"/>
          <w:szCs w:val="24"/>
        </w:rPr>
        <w:t>atkarībā no situācijas attīstības tautsaimniecībā, ārējiem apstākļiem un to ietekm</w:t>
      </w:r>
      <w:r w:rsidR="00AE6470" w:rsidRPr="00721FBC">
        <w:rPr>
          <w:rFonts w:ascii="Times New Roman" w:hAnsi="Times New Roman" w:cs="Times New Roman"/>
          <w:color w:val="000000" w:themeColor="text1"/>
          <w:sz w:val="24"/>
          <w:szCs w:val="24"/>
        </w:rPr>
        <w:t>es</w:t>
      </w:r>
      <w:r w:rsidRPr="00721FBC">
        <w:rPr>
          <w:rFonts w:ascii="Times New Roman" w:hAnsi="Times New Roman" w:cs="Times New Roman"/>
          <w:color w:val="000000" w:themeColor="text1"/>
          <w:sz w:val="24"/>
          <w:szCs w:val="24"/>
        </w:rPr>
        <w:t xml:space="preserve"> uz darba tirgu.</w:t>
      </w:r>
    </w:p>
    <w:sectPr w:rsidR="00286757" w:rsidRPr="00721FBC" w:rsidSect="006B539D">
      <w:footerReference w:type="default" r:id="rId9"/>
      <w:pgSz w:w="11906" w:h="16838"/>
      <w:pgMar w:top="993" w:right="1274"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E89A2" w14:textId="77777777" w:rsidR="002163FE" w:rsidRDefault="002163FE" w:rsidP="00A07C63">
      <w:pPr>
        <w:spacing w:after="0" w:line="240" w:lineRule="auto"/>
      </w:pPr>
      <w:r>
        <w:separator/>
      </w:r>
    </w:p>
  </w:endnote>
  <w:endnote w:type="continuationSeparator" w:id="0">
    <w:p w14:paraId="7B57097D" w14:textId="77777777" w:rsidR="002163FE" w:rsidRDefault="002163FE" w:rsidP="00A07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401765"/>
      <w:docPartObj>
        <w:docPartGallery w:val="Page Numbers (Bottom of Page)"/>
        <w:docPartUnique/>
      </w:docPartObj>
    </w:sdtPr>
    <w:sdtEndPr>
      <w:rPr>
        <w:noProof/>
      </w:rPr>
    </w:sdtEndPr>
    <w:sdtContent>
      <w:p w14:paraId="1F3FED76" w14:textId="092F6A3C" w:rsidR="006F3F23" w:rsidRDefault="006F3F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2806B6" w14:textId="77777777" w:rsidR="006F3F23" w:rsidRDefault="006F3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392F2" w14:textId="77777777" w:rsidR="002163FE" w:rsidRDefault="002163FE" w:rsidP="00A07C63">
      <w:pPr>
        <w:spacing w:after="0" w:line="240" w:lineRule="auto"/>
      </w:pPr>
      <w:r>
        <w:separator/>
      </w:r>
    </w:p>
  </w:footnote>
  <w:footnote w:type="continuationSeparator" w:id="0">
    <w:p w14:paraId="5F47C06F" w14:textId="77777777" w:rsidR="002163FE" w:rsidRDefault="002163FE" w:rsidP="00A07C63">
      <w:pPr>
        <w:spacing w:after="0" w:line="240" w:lineRule="auto"/>
      </w:pPr>
      <w:r>
        <w:continuationSeparator/>
      </w:r>
    </w:p>
  </w:footnote>
  <w:footnote w:id="1">
    <w:p w14:paraId="6F3CDF6C" w14:textId="56EA402D" w:rsidR="00320885" w:rsidRPr="00747D2D" w:rsidRDefault="00320885">
      <w:pPr>
        <w:pStyle w:val="FootnoteText"/>
        <w:rPr>
          <w:sz w:val="16"/>
          <w:szCs w:val="16"/>
          <w:lang w:val="en-US"/>
        </w:rPr>
      </w:pPr>
      <w:r w:rsidRPr="00747D2D">
        <w:rPr>
          <w:rStyle w:val="FootnoteReference"/>
          <w:sz w:val="16"/>
          <w:szCs w:val="16"/>
        </w:rPr>
        <w:footnoteRef/>
      </w:r>
      <w:r w:rsidRPr="00747D2D">
        <w:rPr>
          <w:sz w:val="16"/>
          <w:szCs w:val="16"/>
        </w:rPr>
        <w:t xml:space="preserve"> EUROSTAT dati</w:t>
      </w:r>
      <w:r w:rsidR="00146298" w:rsidRPr="00747D2D">
        <w:rPr>
          <w:sz w:val="16"/>
          <w:szCs w:val="16"/>
        </w:rPr>
        <w:t>, 20-64 gadi</w:t>
      </w:r>
      <w:r w:rsidR="000A70F3" w:rsidRPr="00747D2D">
        <w:rPr>
          <w:sz w:val="16"/>
          <w:szCs w:val="16"/>
        </w:rPr>
        <w:t>, 2025. gada 3. ceturksnis</w:t>
      </w:r>
      <w:r w:rsidRPr="00747D2D">
        <w:rPr>
          <w:sz w:val="16"/>
          <w:szCs w:val="16"/>
        </w:rPr>
        <w:t xml:space="preserve"> - </w:t>
      </w:r>
      <w:hyperlink r:id="rId1" w:history="1">
        <w:r w:rsidR="00815EAA" w:rsidRPr="00747D2D">
          <w:rPr>
            <w:rStyle w:val="Hyperlink"/>
            <w:sz w:val="16"/>
            <w:szCs w:val="16"/>
          </w:rPr>
          <w:t>https://ec.europa.eu/eurostat/databrowser/view/lfsq_argan__custom_19691884/default/table</w:t>
        </w:r>
      </w:hyperlink>
      <w:r w:rsidRPr="00747D2D">
        <w:rPr>
          <w:sz w:val="16"/>
          <w:szCs w:val="16"/>
        </w:rPr>
        <w:t xml:space="preserve"> </w:t>
      </w:r>
    </w:p>
  </w:footnote>
  <w:footnote w:id="2">
    <w:p w14:paraId="64FC6669" w14:textId="597CB325" w:rsidR="00815EAA" w:rsidRPr="00747D2D" w:rsidRDefault="00815EAA">
      <w:pPr>
        <w:pStyle w:val="FootnoteText"/>
        <w:rPr>
          <w:sz w:val="16"/>
          <w:szCs w:val="16"/>
        </w:rPr>
      </w:pPr>
      <w:r w:rsidRPr="00747D2D">
        <w:rPr>
          <w:rStyle w:val="FootnoteReference"/>
          <w:sz w:val="16"/>
          <w:szCs w:val="16"/>
        </w:rPr>
        <w:footnoteRef/>
      </w:r>
      <w:r w:rsidRPr="00747D2D">
        <w:rPr>
          <w:sz w:val="16"/>
          <w:szCs w:val="16"/>
        </w:rPr>
        <w:t xml:space="preserve"> EUROSTAT dati</w:t>
      </w:r>
      <w:r w:rsidR="00146298" w:rsidRPr="00747D2D">
        <w:rPr>
          <w:sz w:val="16"/>
          <w:szCs w:val="16"/>
        </w:rPr>
        <w:t>, 20-64 gadi</w:t>
      </w:r>
      <w:r w:rsidR="000A70F3" w:rsidRPr="00747D2D">
        <w:rPr>
          <w:sz w:val="16"/>
          <w:szCs w:val="16"/>
        </w:rPr>
        <w:t>, 2025. gada 3. ceturksnis</w:t>
      </w:r>
      <w:r w:rsidRPr="00747D2D">
        <w:rPr>
          <w:sz w:val="16"/>
          <w:szCs w:val="16"/>
        </w:rPr>
        <w:t xml:space="preserve"> - </w:t>
      </w:r>
      <w:hyperlink r:id="rId2" w:history="1">
        <w:r w:rsidRPr="00747D2D">
          <w:rPr>
            <w:rStyle w:val="Hyperlink"/>
            <w:sz w:val="16"/>
            <w:szCs w:val="16"/>
          </w:rPr>
          <w:t>https://ec.europa.eu/eurostat/databrowser/view/lfsq_ergan__custom_19691817/default/table</w:t>
        </w:r>
      </w:hyperlink>
      <w:r w:rsidRPr="00747D2D">
        <w:rPr>
          <w:sz w:val="16"/>
          <w:szCs w:val="16"/>
        </w:rPr>
        <w:t xml:space="preserve"> </w:t>
      </w:r>
    </w:p>
  </w:footnote>
  <w:footnote w:id="3">
    <w:p w14:paraId="58E05D9E" w14:textId="25128558" w:rsidR="00EA4D4F" w:rsidRPr="00747D2D" w:rsidRDefault="00EA4D4F">
      <w:pPr>
        <w:pStyle w:val="FootnoteText"/>
        <w:rPr>
          <w:sz w:val="16"/>
          <w:szCs w:val="16"/>
        </w:rPr>
      </w:pPr>
      <w:r w:rsidRPr="00747D2D">
        <w:rPr>
          <w:rStyle w:val="FootnoteReference"/>
          <w:sz w:val="16"/>
          <w:szCs w:val="16"/>
        </w:rPr>
        <w:footnoteRef/>
      </w:r>
      <w:r w:rsidRPr="00747D2D">
        <w:rPr>
          <w:sz w:val="16"/>
          <w:szCs w:val="16"/>
        </w:rPr>
        <w:t xml:space="preserve"> EUROSTAT dati, 15-74 gadi, 2025. gada 3. ceturksnis - </w:t>
      </w:r>
      <w:hyperlink r:id="rId3" w:history="1">
        <w:r w:rsidRPr="00747D2D">
          <w:rPr>
            <w:rStyle w:val="Hyperlink"/>
            <w:sz w:val="16"/>
            <w:szCs w:val="16"/>
          </w:rPr>
          <w:t>https://ec.europa.eu/eurostat/databrowser/view/lfsq_urgan/default/table?lang=en&amp;category=labour.employ.lfsq.lfsq_unemp</w:t>
        </w:r>
      </w:hyperlink>
      <w:r w:rsidRPr="00747D2D">
        <w:rPr>
          <w:sz w:val="16"/>
          <w:szCs w:val="16"/>
        </w:rPr>
        <w:t xml:space="preserve"> </w:t>
      </w:r>
    </w:p>
  </w:footnote>
  <w:footnote w:id="4">
    <w:p w14:paraId="2794780D" w14:textId="2B389A1C" w:rsidR="00A07C63" w:rsidRPr="00747D2D" w:rsidRDefault="00A07C63" w:rsidP="00A07C63">
      <w:pPr>
        <w:pStyle w:val="FootnoteText"/>
        <w:rPr>
          <w:sz w:val="16"/>
          <w:szCs w:val="16"/>
        </w:rPr>
      </w:pPr>
      <w:r w:rsidRPr="00747D2D">
        <w:rPr>
          <w:rStyle w:val="FootnoteReference"/>
          <w:sz w:val="16"/>
          <w:szCs w:val="16"/>
        </w:rPr>
        <w:footnoteRef/>
      </w:r>
      <w:r w:rsidRPr="00747D2D">
        <w:rPr>
          <w:sz w:val="16"/>
          <w:szCs w:val="16"/>
        </w:rPr>
        <w:t xml:space="preserve"> </w:t>
      </w:r>
      <w:hyperlink r:id="rId4" w:history="1">
        <w:r w:rsidR="000827A2" w:rsidRPr="00747D2D">
          <w:rPr>
            <w:rStyle w:val="Hyperlink"/>
            <w:sz w:val="16"/>
            <w:szCs w:val="16"/>
          </w:rPr>
          <w:t>https://economy-finance.ec.europa.eu/economic-surveillance-eu-economies/latvia/economic-forecast-latvia_en</w:t>
        </w:r>
      </w:hyperlink>
      <w:r w:rsidR="000827A2" w:rsidRPr="00747D2D">
        <w:rPr>
          <w:sz w:val="16"/>
          <w:szCs w:val="16"/>
        </w:rPr>
        <w:t xml:space="preserve"> </w:t>
      </w:r>
    </w:p>
  </w:footnote>
  <w:footnote w:id="5">
    <w:p w14:paraId="6987D3B5" w14:textId="2F1AA714" w:rsidR="00DB34FF" w:rsidRPr="00747D2D" w:rsidRDefault="00207753" w:rsidP="00DB34FF">
      <w:pPr>
        <w:pStyle w:val="FootnoteText"/>
        <w:rPr>
          <w:sz w:val="16"/>
          <w:szCs w:val="16"/>
        </w:rPr>
      </w:pPr>
      <w:r w:rsidRPr="00747D2D">
        <w:rPr>
          <w:sz w:val="16"/>
          <w:szCs w:val="16"/>
          <w:vertAlign w:val="superscript"/>
        </w:rPr>
        <w:t>5</w:t>
      </w:r>
      <w:r w:rsidRPr="00747D2D">
        <w:rPr>
          <w:sz w:val="16"/>
          <w:szCs w:val="16"/>
        </w:rPr>
        <w:t xml:space="preserve"> </w:t>
      </w:r>
      <w:r w:rsidR="00E065DF" w:rsidRPr="00747D2D">
        <w:rPr>
          <w:sz w:val="16"/>
          <w:szCs w:val="16"/>
        </w:rPr>
        <w:t xml:space="preserve">OECD </w:t>
      </w:r>
      <w:proofErr w:type="spellStart"/>
      <w:r w:rsidR="00E065DF" w:rsidRPr="00747D2D">
        <w:rPr>
          <w:sz w:val="16"/>
          <w:szCs w:val="16"/>
        </w:rPr>
        <w:t>Economic</w:t>
      </w:r>
      <w:proofErr w:type="spellEnd"/>
      <w:r w:rsidR="00E065DF" w:rsidRPr="00747D2D">
        <w:rPr>
          <w:sz w:val="16"/>
          <w:szCs w:val="16"/>
        </w:rPr>
        <w:t xml:space="preserve"> Outlook No 118; </w:t>
      </w:r>
      <w:hyperlink r:id="rId5" w:history="1">
        <w:r w:rsidR="00AA3C83" w:rsidRPr="00747D2D">
          <w:rPr>
            <w:rStyle w:val="Hyperlink"/>
            <w:sz w:val="16"/>
            <w:szCs w:val="16"/>
          </w:rPr>
          <w:t>https://data-explorer.oecd.org/vis?bp=true&amp;snb=3&amp;vw=tb&amp;df[ds]=dsDisseminateFinalDMZ&amp;df[id]=DSD_EO%40DF_EO&amp;df[ag]=OECD.ECO.MAD&amp;dq=LVA..A&amp;lom=LASTNPERIODS&amp;lo=5&amp;to[TIME_PERIOD]=false&amp;ly[cl]=TIME_PERIOD&amp;ly[rw]=MEASURE%2CCOMBINED_UNIT_MEASURE</w:t>
        </w:r>
      </w:hyperlink>
      <w:r w:rsidR="00AA3C83" w:rsidRPr="00747D2D">
        <w:rPr>
          <w:sz w:val="16"/>
          <w:szCs w:val="16"/>
        </w:rPr>
        <w:t xml:space="preserve"> </w:t>
      </w:r>
      <w:r w:rsidR="00132332" w:rsidRPr="00747D2D">
        <w:rPr>
          <w:sz w:val="16"/>
          <w:szCs w:val="16"/>
        </w:rPr>
        <w:t xml:space="preserve"> </w:t>
      </w:r>
    </w:p>
  </w:footnote>
  <w:footnote w:id="6">
    <w:p w14:paraId="481F426C" w14:textId="538EE428" w:rsidR="006238CE" w:rsidRPr="00747D2D" w:rsidRDefault="006238CE">
      <w:pPr>
        <w:pStyle w:val="FootnoteText"/>
        <w:rPr>
          <w:sz w:val="16"/>
          <w:szCs w:val="16"/>
        </w:rPr>
      </w:pPr>
      <w:r w:rsidRPr="00747D2D">
        <w:rPr>
          <w:rStyle w:val="FootnoteReference"/>
          <w:sz w:val="16"/>
          <w:szCs w:val="16"/>
        </w:rPr>
        <w:footnoteRef/>
      </w:r>
      <w:r w:rsidRPr="00747D2D">
        <w:rPr>
          <w:sz w:val="16"/>
          <w:szCs w:val="16"/>
        </w:rPr>
        <w:t xml:space="preserve"> </w:t>
      </w:r>
      <w:hyperlink r:id="rId6" w:history="1">
        <w:r w:rsidRPr="00747D2D">
          <w:rPr>
            <w:rStyle w:val="Hyperlink"/>
            <w:sz w:val="16"/>
            <w:szCs w:val="16"/>
          </w:rPr>
          <w:t>https://www.bank.lv/darbibas-jomas/monetaras-politikas-istenosana/prognozes</w:t>
        </w:r>
      </w:hyperlink>
    </w:p>
  </w:footnote>
  <w:footnote w:id="7">
    <w:p w14:paraId="68F57FAE" w14:textId="40D2F79A" w:rsidR="00E848C0" w:rsidRPr="00747D2D" w:rsidRDefault="00E848C0">
      <w:pPr>
        <w:pStyle w:val="FootnoteText"/>
        <w:rPr>
          <w:sz w:val="16"/>
          <w:szCs w:val="16"/>
        </w:rPr>
      </w:pPr>
      <w:r w:rsidRPr="00747D2D">
        <w:rPr>
          <w:rStyle w:val="FootnoteReference"/>
          <w:sz w:val="16"/>
          <w:szCs w:val="16"/>
        </w:rPr>
        <w:footnoteRef/>
      </w:r>
      <w:r w:rsidRPr="00747D2D">
        <w:rPr>
          <w:sz w:val="16"/>
          <w:szCs w:val="16"/>
        </w:rPr>
        <w:t xml:space="preserve"> </w:t>
      </w:r>
      <w:hyperlink r:id="rId7" w:history="1">
        <w:r w:rsidRPr="00747D2D">
          <w:rPr>
            <w:rStyle w:val="Hyperlink"/>
            <w:sz w:val="16"/>
            <w:szCs w:val="16"/>
          </w:rPr>
          <w:t>https://prognozes.em.gov.lv/lv</w:t>
        </w:r>
      </w:hyperlink>
    </w:p>
  </w:footnote>
  <w:footnote w:id="8">
    <w:p w14:paraId="5E8E4F30" w14:textId="70A5F969" w:rsidR="00C75A32" w:rsidRPr="00747D2D" w:rsidRDefault="00C75A32">
      <w:pPr>
        <w:pStyle w:val="FootnoteText"/>
        <w:rPr>
          <w:sz w:val="16"/>
          <w:szCs w:val="16"/>
        </w:rPr>
      </w:pPr>
      <w:r w:rsidRPr="00747D2D">
        <w:rPr>
          <w:rStyle w:val="FootnoteReference"/>
          <w:sz w:val="16"/>
          <w:szCs w:val="16"/>
        </w:rPr>
        <w:footnoteRef/>
      </w:r>
      <w:r w:rsidRPr="00747D2D">
        <w:rPr>
          <w:sz w:val="16"/>
          <w:szCs w:val="16"/>
        </w:rPr>
        <w:t xml:space="preserve"> </w:t>
      </w:r>
      <w:hyperlink r:id="rId8" w:history="1">
        <w:r w:rsidR="00351052" w:rsidRPr="00747D2D">
          <w:rPr>
            <w:rStyle w:val="Hyperlink"/>
            <w:sz w:val="16"/>
            <w:szCs w:val="16"/>
          </w:rPr>
          <w:t>https://www.em.gov.lv/lv/latvijas-makroekonomiskais-apskats</w:t>
        </w:r>
      </w:hyperlink>
      <w:r w:rsidRPr="00747D2D">
        <w:rPr>
          <w:sz w:val="16"/>
          <w:szCs w:val="16"/>
        </w:rPr>
        <w:t xml:space="preserve">  </w:t>
      </w:r>
    </w:p>
  </w:footnote>
  <w:footnote w:id="9">
    <w:p w14:paraId="760D1472" w14:textId="6F9A548A" w:rsidR="003D331C" w:rsidRPr="00AC20F5" w:rsidRDefault="003D331C">
      <w:pPr>
        <w:pStyle w:val="FootnoteText"/>
        <w:rPr>
          <w:sz w:val="16"/>
          <w:szCs w:val="16"/>
        </w:rPr>
      </w:pPr>
      <w:r>
        <w:rPr>
          <w:rStyle w:val="FootnoteReference"/>
        </w:rPr>
        <w:footnoteRef/>
      </w:r>
      <w:r>
        <w:t xml:space="preserve"> </w:t>
      </w:r>
      <w:hyperlink r:id="rId9" w:history="1">
        <w:r w:rsidR="00974D23" w:rsidRPr="00AC20F5">
          <w:rPr>
            <w:rStyle w:val="Hyperlink"/>
            <w:sz w:val="16"/>
            <w:szCs w:val="16"/>
          </w:rPr>
          <w:t>https://www.fm.gov.lv/lv/tautsaimniecibas-un-budzeta-izpildes-analize</w:t>
        </w:r>
      </w:hyperlink>
      <w:r w:rsidR="00974D23" w:rsidRPr="00AC20F5">
        <w:rPr>
          <w:sz w:val="16"/>
          <w:szCs w:val="16"/>
        </w:rPr>
        <w:t xml:space="preserve"> </w:t>
      </w:r>
    </w:p>
  </w:footnote>
  <w:footnote w:id="10">
    <w:p w14:paraId="53EA89BB" w14:textId="0D8A28A6" w:rsidR="003C3D6C" w:rsidRDefault="003C3D6C">
      <w:pPr>
        <w:pStyle w:val="FootnoteText"/>
      </w:pPr>
      <w:r w:rsidRPr="00AC20F5">
        <w:rPr>
          <w:rStyle w:val="FootnoteReference"/>
          <w:sz w:val="16"/>
          <w:szCs w:val="16"/>
        </w:rPr>
        <w:footnoteRef/>
      </w:r>
      <w:r w:rsidRPr="00AC20F5">
        <w:rPr>
          <w:sz w:val="16"/>
          <w:szCs w:val="16"/>
        </w:rPr>
        <w:t xml:space="preserve"> </w:t>
      </w:r>
      <w:hyperlink r:id="rId10" w:history="1">
        <w:r w:rsidR="00AC20F5" w:rsidRPr="00AC20F5">
          <w:rPr>
            <w:rStyle w:val="Hyperlink"/>
            <w:sz w:val="16"/>
            <w:szCs w:val="16"/>
          </w:rPr>
          <w:t>https://www.fm.gov.lv/lv/jaunums/fm-ekonomikas-izaugsmei-bremzejoties-bezdarba-limenis-pirmaja-ceturksni-pieaug-lidz-74</w:t>
        </w:r>
      </w:hyperlink>
      <w:r w:rsidR="00AC20F5">
        <w:t xml:space="preserve"> </w:t>
      </w:r>
      <w:r w:rsidR="00974D23">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87B33"/>
    <w:multiLevelType w:val="hybridMultilevel"/>
    <w:tmpl w:val="A9E069AC"/>
    <w:lvl w:ilvl="0" w:tplc="04260001">
      <w:start w:val="1"/>
      <w:numFmt w:val="bullet"/>
      <w:lvlText w:val=""/>
      <w:lvlJc w:val="left"/>
      <w:pPr>
        <w:ind w:left="720" w:hanging="360"/>
      </w:pPr>
      <w:rPr>
        <w:rFonts w:ascii="Symbol" w:hAnsi="Symbol" w:hint="default"/>
      </w:rPr>
    </w:lvl>
    <w:lvl w:ilvl="1" w:tplc="10A4BD4E">
      <w:start w:val="2019"/>
      <w:numFmt w:val="bullet"/>
      <w:lvlText w:val="•"/>
      <w:lvlJc w:val="left"/>
      <w:pPr>
        <w:ind w:left="1800" w:hanging="720"/>
      </w:pPr>
      <w:rPr>
        <w:rFonts w:ascii="Times New Roman" w:eastAsiaTheme="minorHAnsi" w:hAnsi="Times New Roman" w:cs="Times New Roman" w:hint="default"/>
        <w:b w:val="0"/>
        <w:u w:val="none"/>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073242B"/>
    <w:multiLevelType w:val="hybridMultilevel"/>
    <w:tmpl w:val="16A4E534"/>
    <w:lvl w:ilvl="0" w:tplc="A1F494E6">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71763B9"/>
    <w:multiLevelType w:val="hybridMultilevel"/>
    <w:tmpl w:val="EBA8475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C63"/>
    <w:rsid w:val="00003384"/>
    <w:rsid w:val="00007892"/>
    <w:rsid w:val="00010A66"/>
    <w:rsid w:val="00011940"/>
    <w:rsid w:val="00011B3B"/>
    <w:rsid w:val="000232C0"/>
    <w:rsid w:val="00023D97"/>
    <w:rsid w:val="00025E50"/>
    <w:rsid w:val="000271D5"/>
    <w:rsid w:val="00027567"/>
    <w:rsid w:val="00032040"/>
    <w:rsid w:val="000374F5"/>
    <w:rsid w:val="000445E3"/>
    <w:rsid w:val="000458F8"/>
    <w:rsid w:val="0004744D"/>
    <w:rsid w:val="00050C2F"/>
    <w:rsid w:val="000521E8"/>
    <w:rsid w:val="00052CC6"/>
    <w:rsid w:val="00054B84"/>
    <w:rsid w:val="00054E25"/>
    <w:rsid w:val="00057EEE"/>
    <w:rsid w:val="00060D37"/>
    <w:rsid w:val="00062EB9"/>
    <w:rsid w:val="00063A19"/>
    <w:rsid w:val="00063E0D"/>
    <w:rsid w:val="000647FC"/>
    <w:rsid w:val="00065A41"/>
    <w:rsid w:val="00070429"/>
    <w:rsid w:val="00070BC7"/>
    <w:rsid w:val="00070FCD"/>
    <w:rsid w:val="00074D02"/>
    <w:rsid w:val="00074F27"/>
    <w:rsid w:val="000827A2"/>
    <w:rsid w:val="000831A0"/>
    <w:rsid w:val="000855FE"/>
    <w:rsid w:val="000934F3"/>
    <w:rsid w:val="00094A35"/>
    <w:rsid w:val="00095839"/>
    <w:rsid w:val="00095BD8"/>
    <w:rsid w:val="000974FA"/>
    <w:rsid w:val="000A1B8F"/>
    <w:rsid w:val="000A70F3"/>
    <w:rsid w:val="000B1185"/>
    <w:rsid w:val="000B54C3"/>
    <w:rsid w:val="000C00AE"/>
    <w:rsid w:val="000C0E19"/>
    <w:rsid w:val="000C1ADD"/>
    <w:rsid w:val="000D5B3F"/>
    <w:rsid w:val="000E484B"/>
    <w:rsid w:val="000E4D68"/>
    <w:rsid w:val="000E5A3E"/>
    <w:rsid w:val="000E6D4E"/>
    <w:rsid w:val="000F5E72"/>
    <w:rsid w:val="00106655"/>
    <w:rsid w:val="00107B41"/>
    <w:rsid w:val="00110398"/>
    <w:rsid w:val="001106ED"/>
    <w:rsid w:val="0012690C"/>
    <w:rsid w:val="00126ECC"/>
    <w:rsid w:val="00131EB9"/>
    <w:rsid w:val="00132332"/>
    <w:rsid w:val="00134A2A"/>
    <w:rsid w:val="00146298"/>
    <w:rsid w:val="001541E9"/>
    <w:rsid w:val="00160153"/>
    <w:rsid w:val="001624B6"/>
    <w:rsid w:val="00164630"/>
    <w:rsid w:val="00166AD0"/>
    <w:rsid w:val="00166FA2"/>
    <w:rsid w:val="001730E7"/>
    <w:rsid w:val="001734D9"/>
    <w:rsid w:val="0017430C"/>
    <w:rsid w:val="001762B1"/>
    <w:rsid w:val="00176F1A"/>
    <w:rsid w:val="00177A75"/>
    <w:rsid w:val="0018078C"/>
    <w:rsid w:val="00180C21"/>
    <w:rsid w:val="0018128B"/>
    <w:rsid w:val="001851DB"/>
    <w:rsid w:val="00186B15"/>
    <w:rsid w:val="00192E1A"/>
    <w:rsid w:val="001933D5"/>
    <w:rsid w:val="00194449"/>
    <w:rsid w:val="001A0B4E"/>
    <w:rsid w:val="001A0D89"/>
    <w:rsid w:val="001A1031"/>
    <w:rsid w:val="001A3437"/>
    <w:rsid w:val="001A4279"/>
    <w:rsid w:val="001A50BD"/>
    <w:rsid w:val="001A7993"/>
    <w:rsid w:val="001B1E3F"/>
    <w:rsid w:val="001B5582"/>
    <w:rsid w:val="001C013D"/>
    <w:rsid w:val="001C15A2"/>
    <w:rsid w:val="001C1CCE"/>
    <w:rsid w:val="001C3AC2"/>
    <w:rsid w:val="001C472E"/>
    <w:rsid w:val="001C6DA5"/>
    <w:rsid w:val="001D059E"/>
    <w:rsid w:val="001E146F"/>
    <w:rsid w:val="001E3CD3"/>
    <w:rsid w:val="001E3FD4"/>
    <w:rsid w:val="001E46B1"/>
    <w:rsid w:val="001F413B"/>
    <w:rsid w:val="001F6769"/>
    <w:rsid w:val="002000B9"/>
    <w:rsid w:val="002026BC"/>
    <w:rsid w:val="00207753"/>
    <w:rsid w:val="00210789"/>
    <w:rsid w:val="00211D81"/>
    <w:rsid w:val="00211E70"/>
    <w:rsid w:val="00212578"/>
    <w:rsid w:val="00213CCD"/>
    <w:rsid w:val="002163FE"/>
    <w:rsid w:val="00216D02"/>
    <w:rsid w:val="00225F7A"/>
    <w:rsid w:val="0023659C"/>
    <w:rsid w:val="002448CA"/>
    <w:rsid w:val="002460B4"/>
    <w:rsid w:val="00246AFA"/>
    <w:rsid w:val="00252993"/>
    <w:rsid w:val="00253AB7"/>
    <w:rsid w:val="00257A0C"/>
    <w:rsid w:val="00266790"/>
    <w:rsid w:val="00271892"/>
    <w:rsid w:val="00277374"/>
    <w:rsid w:val="002820F5"/>
    <w:rsid w:val="00286757"/>
    <w:rsid w:val="00293058"/>
    <w:rsid w:val="002A05F5"/>
    <w:rsid w:val="002A359D"/>
    <w:rsid w:val="002A6275"/>
    <w:rsid w:val="002B1DEB"/>
    <w:rsid w:val="002B2FE6"/>
    <w:rsid w:val="002B39AA"/>
    <w:rsid w:val="002B6BBD"/>
    <w:rsid w:val="002C0451"/>
    <w:rsid w:val="002C0B39"/>
    <w:rsid w:val="002C20FB"/>
    <w:rsid w:val="002C3239"/>
    <w:rsid w:val="002C5CED"/>
    <w:rsid w:val="002C6AB6"/>
    <w:rsid w:val="002D01D3"/>
    <w:rsid w:val="002D036C"/>
    <w:rsid w:val="002D1E70"/>
    <w:rsid w:val="002D6B58"/>
    <w:rsid w:val="002E250C"/>
    <w:rsid w:val="002E3D84"/>
    <w:rsid w:val="002E6DA3"/>
    <w:rsid w:val="002E795F"/>
    <w:rsid w:val="002F29D4"/>
    <w:rsid w:val="002F5D6F"/>
    <w:rsid w:val="002F6BFD"/>
    <w:rsid w:val="00300374"/>
    <w:rsid w:val="00301695"/>
    <w:rsid w:val="00303E85"/>
    <w:rsid w:val="00304F60"/>
    <w:rsid w:val="00311478"/>
    <w:rsid w:val="00312744"/>
    <w:rsid w:val="003128D2"/>
    <w:rsid w:val="00313DB4"/>
    <w:rsid w:val="003142E1"/>
    <w:rsid w:val="0031647A"/>
    <w:rsid w:val="003206CD"/>
    <w:rsid w:val="00320885"/>
    <w:rsid w:val="003209B4"/>
    <w:rsid w:val="00324305"/>
    <w:rsid w:val="00325B82"/>
    <w:rsid w:val="00325BF7"/>
    <w:rsid w:val="00326B77"/>
    <w:rsid w:val="003271AE"/>
    <w:rsid w:val="0033654A"/>
    <w:rsid w:val="003376CD"/>
    <w:rsid w:val="003424F4"/>
    <w:rsid w:val="00344A20"/>
    <w:rsid w:val="0034601F"/>
    <w:rsid w:val="00346CEF"/>
    <w:rsid w:val="00351052"/>
    <w:rsid w:val="00353B1C"/>
    <w:rsid w:val="00356286"/>
    <w:rsid w:val="00360479"/>
    <w:rsid w:val="00365A3E"/>
    <w:rsid w:val="00366872"/>
    <w:rsid w:val="00367A7E"/>
    <w:rsid w:val="00371CEB"/>
    <w:rsid w:val="0037311C"/>
    <w:rsid w:val="00373911"/>
    <w:rsid w:val="00374684"/>
    <w:rsid w:val="0038234D"/>
    <w:rsid w:val="003863C7"/>
    <w:rsid w:val="00386A82"/>
    <w:rsid w:val="00390DA8"/>
    <w:rsid w:val="00393461"/>
    <w:rsid w:val="00393A78"/>
    <w:rsid w:val="00395CC9"/>
    <w:rsid w:val="00395CE2"/>
    <w:rsid w:val="00395D4C"/>
    <w:rsid w:val="003A09C6"/>
    <w:rsid w:val="003A4347"/>
    <w:rsid w:val="003B09FB"/>
    <w:rsid w:val="003B3F98"/>
    <w:rsid w:val="003B74BF"/>
    <w:rsid w:val="003C0A5A"/>
    <w:rsid w:val="003C3D6C"/>
    <w:rsid w:val="003C6874"/>
    <w:rsid w:val="003D0F75"/>
    <w:rsid w:val="003D331C"/>
    <w:rsid w:val="003D4054"/>
    <w:rsid w:val="003E0C0C"/>
    <w:rsid w:val="003E2B2F"/>
    <w:rsid w:val="003E31FC"/>
    <w:rsid w:val="003F37F1"/>
    <w:rsid w:val="003F3973"/>
    <w:rsid w:val="003F48A9"/>
    <w:rsid w:val="003F5802"/>
    <w:rsid w:val="003F7834"/>
    <w:rsid w:val="003F7A66"/>
    <w:rsid w:val="003F7F6E"/>
    <w:rsid w:val="00401604"/>
    <w:rsid w:val="004023F1"/>
    <w:rsid w:val="00406864"/>
    <w:rsid w:val="00407181"/>
    <w:rsid w:val="00407B85"/>
    <w:rsid w:val="004104D0"/>
    <w:rsid w:val="00414875"/>
    <w:rsid w:val="00416F08"/>
    <w:rsid w:val="00422575"/>
    <w:rsid w:val="00424686"/>
    <w:rsid w:val="0043009D"/>
    <w:rsid w:val="00430462"/>
    <w:rsid w:val="004374C3"/>
    <w:rsid w:val="00437DC6"/>
    <w:rsid w:val="004416E7"/>
    <w:rsid w:val="0044278A"/>
    <w:rsid w:val="00443651"/>
    <w:rsid w:val="00443E1C"/>
    <w:rsid w:val="00447854"/>
    <w:rsid w:val="00450A35"/>
    <w:rsid w:val="00450BCD"/>
    <w:rsid w:val="00455AE7"/>
    <w:rsid w:val="00455B76"/>
    <w:rsid w:val="004561F8"/>
    <w:rsid w:val="00456631"/>
    <w:rsid w:val="00457A75"/>
    <w:rsid w:val="00467C73"/>
    <w:rsid w:val="00467E14"/>
    <w:rsid w:val="004700F8"/>
    <w:rsid w:val="00475304"/>
    <w:rsid w:val="00476486"/>
    <w:rsid w:val="00476C9F"/>
    <w:rsid w:val="00477070"/>
    <w:rsid w:val="00480021"/>
    <w:rsid w:val="00480536"/>
    <w:rsid w:val="00482AAB"/>
    <w:rsid w:val="004866D8"/>
    <w:rsid w:val="00490A39"/>
    <w:rsid w:val="00491574"/>
    <w:rsid w:val="00492BD9"/>
    <w:rsid w:val="004941A6"/>
    <w:rsid w:val="004A6245"/>
    <w:rsid w:val="004B1870"/>
    <w:rsid w:val="004B47CD"/>
    <w:rsid w:val="004C1244"/>
    <w:rsid w:val="004C2321"/>
    <w:rsid w:val="004C6151"/>
    <w:rsid w:val="004C6C4D"/>
    <w:rsid w:val="004D427B"/>
    <w:rsid w:val="004D6317"/>
    <w:rsid w:val="004E17BF"/>
    <w:rsid w:val="004E1DEC"/>
    <w:rsid w:val="004E200E"/>
    <w:rsid w:val="004E79E2"/>
    <w:rsid w:val="004F4B48"/>
    <w:rsid w:val="004F5133"/>
    <w:rsid w:val="004F7776"/>
    <w:rsid w:val="00500B2E"/>
    <w:rsid w:val="00505C91"/>
    <w:rsid w:val="00505FBF"/>
    <w:rsid w:val="00506923"/>
    <w:rsid w:val="00510972"/>
    <w:rsid w:val="0051612A"/>
    <w:rsid w:val="00520894"/>
    <w:rsid w:val="00523585"/>
    <w:rsid w:val="00524B83"/>
    <w:rsid w:val="005250A4"/>
    <w:rsid w:val="00527CB2"/>
    <w:rsid w:val="00531072"/>
    <w:rsid w:val="0053183D"/>
    <w:rsid w:val="0053244E"/>
    <w:rsid w:val="0053649C"/>
    <w:rsid w:val="00552224"/>
    <w:rsid w:val="005523CF"/>
    <w:rsid w:val="00555E2B"/>
    <w:rsid w:val="005566FB"/>
    <w:rsid w:val="00557CBA"/>
    <w:rsid w:val="00563EA3"/>
    <w:rsid w:val="00565265"/>
    <w:rsid w:val="00566462"/>
    <w:rsid w:val="00572D10"/>
    <w:rsid w:val="00582B6A"/>
    <w:rsid w:val="005872C2"/>
    <w:rsid w:val="00587C8B"/>
    <w:rsid w:val="00596F1F"/>
    <w:rsid w:val="005A592D"/>
    <w:rsid w:val="005A66A4"/>
    <w:rsid w:val="005A67C6"/>
    <w:rsid w:val="005B07E6"/>
    <w:rsid w:val="005B4DBE"/>
    <w:rsid w:val="005B5B63"/>
    <w:rsid w:val="005B61BA"/>
    <w:rsid w:val="005B6748"/>
    <w:rsid w:val="005C0515"/>
    <w:rsid w:val="005C0DB9"/>
    <w:rsid w:val="005C261F"/>
    <w:rsid w:val="005C3B9F"/>
    <w:rsid w:val="005C5FDE"/>
    <w:rsid w:val="005C7F9C"/>
    <w:rsid w:val="005D02CE"/>
    <w:rsid w:val="005D17B0"/>
    <w:rsid w:val="005D3D32"/>
    <w:rsid w:val="005D4C28"/>
    <w:rsid w:val="005D4E3A"/>
    <w:rsid w:val="005D68BE"/>
    <w:rsid w:val="005F2597"/>
    <w:rsid w:val="005F4DE3"/>
    <w:rsid w:val="005F56E5"/>
    <w:rsid w:val="005F6D59"/>
    <w:rsid w:val="00610F83"/>
    <w:rsid w:val="006129DE"/>
    <w:rsid w:val="00613E1A"/>
    <w:rsid w:val="00621F94"/>
    <w:rsid w:val="006229CB"/>
    <w:rsid w:val="006238CE"/>
    <w:rsid w:val="006312D0"/>
    <w:rsid w:val="006323FE"/>
    <w:rsid w:val="00643376"/>
    <w:rsid w:val="0064353F"/>
    <w:rsid w:val="00645200"/>
    <w:rsid w:val="00651A61"/>
    <w:rsid w:val="0065637E"/>
    <w:rsid w:val="006613F1"/>
    <w:rsid w:val="0066393A"/>
    <w:rsid w:val="00666E86"/>
    <w:rsid w:val="006739E9"/>
    <w:rsid w:val="00674216"/>
    <w:rsid w:val="00674D31"/>
    <w:rsid w:val="006767E3"/>
    <w:rsid w:val="006776AE"/>
    <w:rsid w:val="006818F6"/>
    <w:rsid w:val="00682662"/>
    <w:rsid w:val="006849C8"/>
    <w:rsid w:val="00687E77"/>
    <w:rsid w:val="006914C5"/>
    <w:rsid w:val="00692CC3"/>
    <w:rsid w:val="006958EC"/>
    <w:rsid w:val="00697B0B"/>
    <w:rsid w:val="006A112E"/>
    <w:rsid w:val="006A1B3C"/>
    <w:rsid w:val="006A43DE"/>
    <w:rsid w:val="006A5F65"/>
    <w:rsid w:val="006A6AB1"/>
    <w:rsid w:val="006B1C45"/>
    <w:rsid w:val="006B2D86"/>
    <w:rsid w:val="006B539D"/>
    <w:rsid w:val="006C5C67"/>
    <w:rsid w:val="006D2FA9"/>
    <w:rsid w:val="006D3769"/>
    <w:rsid w:val="006D4AF3"/>
    <w:rsid w:val="006D5867"/>
    <w:rsid w:val="006E12C5"/>
    <w:rsid w:val="006E3F14"/>
    <w:rsid w:val="006E5A15"/>
    <w:rsid w:val="006F05D2"/>
    <w:rsid w:val="006F227F"/>
    <w:rsid w:val="006F3F23"/>
    <w:rsid w:val="006F3F99"/>
    <w:rsid w:val="006F6D8C"/>
    <w:rsid w:val="006F7DB9"/>
    <w:rsid w:val="00700B25"/>
    <w:rsid w:val="007032B1"/>
    <w:rsid w:val="00704EC3"/>
    <w:rsid w:val="00710E1A"/>
    <w:rsid w:val="00711C7B"/>
    <w:rsid w:val="00712F80"/>
    <w:rsid w:val="00715833"/>
    <w:rsid w:val="00717766"/>
    <w:rsid w:val="00721FBC"/>
    <w:rsid w:val="00726E6A"/>
    <w:rsid w:val="0072730C"/>
    <w:rsid w:val="00731B22"/>
    <w:rsid w:val="0073229C"/>
    <w:rsid w:val="00732BCB"/>
    <w:rsid w:val="007375F9"/>
    <w:rsid w:val="00740BCF"/>
    <w:rsid w:val="00742733"/>
    <w:rsid w:val="0074282E"/>
    <w:rsid w:val="00742F97"/>
    <w:rsid w:val="00747D2D"/>
    <w:rsid w:val="007510BD"/>
    <w:rsid w:val="00753F1E"/>
    <w:rsid w:val="007548AA"/>
    <w:rsid w:val="00756D7A"/>
    <w:rsid w:val="00756E67"/>
    <w:rsid w:val="0076334C"/>
    <w:rsid w:val="00767CA8"/>
    <w:rsid w:val="00770CE4"/>
    <w:rsid w:val="00771F1D"/>
    <w:rsid w:val="00772B2A"/>
    <w:rsid w:val="0078027C"/>
    <w:rsid w:val="00780D0E"/>
    <w:rsid w:val="007814A0"/>
    <w:rsid w:val="00782877"/>
    <w:rsid w:val="00791327"/>
    <w:rsid w:val="007920B9"/>
    <w:rsid w:val="00792B01"/>
    <w:rsid w:val="00794123"/>
    <w:rsid w:val="007A65BB"/>
    <w:rsid w:val="007A7F35"/>
    <w:rsid w:val="007B1B68"/>
    <w:rsid w:val="007B374B"/>
    <w:rsid w:val="007B3EE6"/>
    <w:rsid w:val="007B6376"/>
    <w:rsid w:val="007C2306"/>
    <w:rsid w:val="007C3E85"/>
    <w:rsid w:val="007C4DA7"/>
    <w:rsid w:val="007C6913"/>
    <w:rsid w:val="007D0329"/>
    <w:rsid w:val="007D2A44"/>
    <w:rsid w:val="007D587D"/>
    <w:rsid w:val="007D5B1F"/>
    <w:rsid w:val="007E2503"/>
    <w:rsid w:val="007E438B"/>
    <w:rsid w:val="007E6A11"/>
    <w:rsid w:val="007F217A"/>
    <w:rsid w:val="007F4993"/>
    <w:rsid w:val="007F6556"/>
    <w:rsid w:val="008049A6"/>
    <w:rsid w:val="008067C4"/>
    <w:rsid w:val="008100E7"/>
    <w:rsid w:val="00812ED0"/>
    <w:rsid w:val="00813CB5"/>
    <w:rsid w:val="00815EAA"/>
    <w:rsid w:val="008220AD"/>
    <w:rsid w:val="00825686"/>
    <w:rsid w:val="00832A42"/>
    <w:rsid w:val="008341D0"/>
    <w:rsid w:val="008365E4"/>
    <w:rsid w:val="00836AC9"/>
    <w:rsid w:val="00845185"/>
    <w:rsid w:val="008460D6"/>
    <w:rsid w:val="0085001E"/>
    <w:rsid w:val="0085131C"/>
    <w:rsid w:val="008519FF"/>
    <w:rsid w:val="00856B91"/>
    <w:rsid w:val="0086359D"/>
    <w:rsid w:val="0087382A"/>
    <w:rsid w:val="00876597"/>
    <w:rsid w:val="00882A91"/>
    <w:rsid w:val="008839E8"/>
    <w:rsid w:val="008904FF"/>
    <w:rsid w:val="008910AE"/>
    <w:rsid w:val="0089155A"/>
    <w:rsid w:val="00893EBB"/>
    <w:rsid w:val="008943CB"/>
    <w:rsid w:val="008949E9"/>
    <w:rsid w:val="0089507D"/>
    <w:rsid w:val="008A791E"/>
    <w:rsid w:val="008B103E"/>
    <w:rsid w:val="008C042C"/>
    <w:rsid w:val="008C4039"/>
    <w:rsid w:val="008C411D"/>
    <w:rsid w:val="008C53F7"/>
    <w:rsid w:val="008C7ED0"/>
    <w:rsid w:val="008D1B0E"/>
    <w:rsid w:val="008D2A96"/>
    <w:rsid w:val="008D3FA0"/>
    <w:rsid w:val="008D671E"/>
    <w:rsid w:val="008E38A4"/>
    <w:rsid w:val="008E6C7E"/>
    <w:rsid w:val="008F4DCD"/>
    <w:rsid w:val="008F548D"/>
    <w:rsid w:val="008F5792"/>
    <w:rsid w:val="008F6B55"/>
    <w:rsid w:val="00901E99"/>
    <w:rsid w:val="00903D85"/>
    <w:rsid w:val="009040D3"/>
    <w:rsid w:val="00905B1F"/>
    <w:rsid w:val="00911C56"/>
    <w:rsid w:val="00915E9F"/>
    <w:rsid w:val="009163A6"/>
    <w:rsid w:val="00916781"/>
    <w:rsid w:val="00916B93"/>
    <w:rsid w:val="00925CD1"/>
    <w:rsid w:val="009342F3"/>
    <w:rsid w:val="00936584"/>
    <w:rsid w:val="00941129"/>
    <w:rsid w:val="009459C9"/>
    <w:rsid w:val="009464AE"/>
    <w:rsid w:val="009551C7"/>
    <w:rsid w:val="009554D7"/>
    <w:rsid w:val="00955DC0"/>
    <w:rsid w:val="009570D4"/>
    <w:rsid w:val="00960F28"/>
    <w:rsid w:val="0096127B"/>
    <w:rsid w:val="00965E8E"/>
    <w:rsid w:val="0097051C"/>
    <w:rsid w:val="00971107"/>
    <w:rsid w:val="00973E98"/>
    <w:rsid w:val="00974D23"/>
    <w:rsid w:val="00977DFB"/>
    <w:rsid w:val="00980049"/>
    <w:rsid w:val="00986745"/>
    <w:rsid w:val="009868D2"/>
    <w:rsid w:val="009901A4"/>
    <w:rsid w:val="00992646"/>
    <w:rsid w:val="00993C5E"/>
    <w:rsid w:val="009A273C"/>
    <w:rsid w:val="009A3E87"/>
    <w:rsid w:val="009A7B63"/>
    <w:rsid w:val="009B4022"/>
    <w:rsid w:val="009B4897"/>
    <w:rsid w:val="009B5371"/>
    <w:rsid w:val="009B59D9"/>
    <w:rsid w:val="009B5EC9"/>
    <w:rsid w:val="009B7861"/>
    <w:rsid w:val="009C14CE"/>
    <w:rsid w:val="009C2FD6"/>
    <w:rsid w:val="009C5F64"/>
    <w:rsid w:val="009C7835"/>
    <w:rsid w:val="009C7DB5"/>
    <w:rsid w:val="009D0F5E"/>
    <w:rsid w:val="009D222D"/>
    <w:rsid w:val="009E2651"/>
    <w:rsid w:val="009E2EE8"/>
    <w:rsid w:val="009E5418"/>
    <w:rsid w:val="009E5FC0"/>
    <w:rsid w:val="009E74B3"/>
    <w:rsid w:val="009F138B"/>
    <w:rsid w:val="009F356B"/>
    <w:rsid w:val="009F39BF"/>
    <w:rsid w:val="009F6478"/>
    <w:rsid w:val="00A03FB2"/>
    <w:rsid w:val="00A044A4"/>
    <w:rsid w:val="00A07C63"/>
    <w:rsid w:val="00A11EAE"/>
    <w:rsid w:val="00A15E9D"/>
    <w:rsid w:val="00A177DE"/>
    <w:rsid w:val="00A2091A"/>
    <w:rsid w:val="00A2388E"/>
    <w:rsid w:val="00A25A7C"/>
    <w:rsid w:val="00A311DB"/>
    <w:rsid w:val="00A33E33"/>
    <w:rsid w:val="00A4147E"/>
    <w:rsid w:val="00A44C42"/>
    <w:rsid w:val="00A46F17"/>
    <w:rsid w:val="00A47A95"/>
    <w:rsid w:val="00A50C5A"/>
    <w:rsid w:val="00A5353F"/>
    <w:rsid w:val="00A54D0E"/>
    <w:rsid w:val="00A637D9"/>
    <w:rsid w:val="00A650EF"/>
    <w:rsid w:val="00A672B9"/>
    <w:rsid w:val="00A67A07"/>
    <w:rsid w:val="00A71972"/>
    <w:rsid w:val="00A759E5"/>
    <w:rsid w:val="00A772A9"/>
    <w:rsid w:val="00A7744C"/>
    <w:rsid w:val="00A77FD5"/>
    <w:rsid w:val="00A813AB"/>
    <w:rsid w:val="00A83B30"/>
    <w:rsid w:val="00A83D3B"/>
    <w:rsid w:val="00A84B8C"/>
    <w:rsid w:val="00A92DF4"/>
    <w:rsid w:val="00A944A6"/>
    <w:rsid w:val="00A94C8E"/>
    <w:rsid w:val="00A95AC8"/>
    <w:rsid w:val="00AA341F"/>
    <w:rsid w:val="00AA3C83"/>
    <w:rsid w:val="00AA4472"/>
    <w:rsid w:val="00AA4BF3"/>
    <w:rsid w:val="00AB0218"/>
    <w:rsid w:val="00AB3653"/>
    <w:rsid w:val="00AB3E3A"/>
    <w:rsid w:val="00AB7945"/>
    <w:rsid w:val="00AB7ACE"/>
    <w:rsid w:val="00AC0897"/>
    <w:rsid w:val="00AC20F5"/>
    <w:rsid w:val="00AC7F15"/>
    <w:rsid w:val="00AD1E5A"/>
    <w:rsid w:val="00AD2179"/>
    <w:rsid w:val="00AD24B9"/>
    <w:rsid w:val="00AD4795"/>
    <w:rsid w:val="00AD54D0"/>
    <w:rsid w:val="00AD7C01"/>
    <w:rsid w:val="00AE15AE"/>
    <w:rsid w:val="00AE3A27"/>
    <w:rsid w:val="00AE43A0"/>
    <w:rsid w:val="00AE6470"/>
    <w:rsid w:val="00AE7C3C"/>
    <w:rsid w:val="00AF0F39"/>
    <w:rsid w:val="00AF1263"/>
    <w:rsid w:val="00AF175D"/>
    <w:rsid w:val="00AF3ABE"/>
    <w:rsid w:val="00AF5BDD"/>
    <w:rsid w:val="00AF5DE0"/>
    <w:rsid w:val="00B025ED"/>
    <w:rsid w:val="00B034E7"/>
    <w:rsid w:val="00B07010"/>
    <w:rsid w:val="00B10580"/>
    <w:rsid w:val="00B14CE2"/>
    <w:rsid w:val="00B179A4"/>
    <w:rsid w:val="00B24094"/>
    <w:rsid w:val="00B31DF1"/>
    <w:rsid w:val="00B34467"/>
    <w:rsid w:val="00B35064"/>
    <w:rsid w:val="00B4357C"/>
    <w:rsid w:val="00B52650"/>
    <w:rsid w:val="00B5503A"/>
    <w:rsid w:val="00B61C98"/>
    <w:rsid w:val="00B64521"/>
    <w:rsid w:val="00B65DEF"/>
    <w:rsid w:val="00B714E4"/>
    <w:rsid w:val="00B77F7B"/>
    <w:rsid w:val="00B80410"/>
    <w:rsid w:val="00B96DB1"/>
    <w:rsid w:val="00BA15BE"/>
    <w:rsid w:val="00BA7AA4"/>
    <w:rsid w:val="00BB29A4"/>
    <w:rsid w:val="00BB354F"/>
    <w:rsid w:val="00BB7D89"/>
    <w:rsid w:val="00BC15D1"/>
    <w:rsid w:val="00BC1622"/>
    <w:rsid w:val="00BC4246"/>
    <w:rsid w:val="00BD061B"/>
    <w:rsid w:val="00BD1074"/>
    <w:rsid w:val="00BD2E07"/>
    <w:rsid w:val="00BD338E"/>
    <w:rsid w:val="00BD693C"/>
    <w:rsid w:val="00BE4FBA"/>
    <w:rsid w:val="00BE537C"/>
    <w:rsid w:val="00BE5659"/>
    <w:rsid w:val="00BE633A"/>
    <w:rsid w:val="00BF1E82"/>
    <w:rsid w:val="00BF3B15"/>
    <w:rsid w:val="00BF7962"/>
    <w:rsid w:val="00C0053A"/>
    <w:rsid w:val="00C047B1"/>
    <w:rsid w:val="00C10628"/>
    <w:rsid w:val="00C11637"/>
    <w:rsid w:val="00C16069"/>
    <w:rsid w:val="00C22F4C"/>
    <w:rsid w:val="00C258BC"/>
    <w:rsid w:val="00C323AC"/>
    <w:rsid w:val="00C34334"/>
    <w:rsid w:val="00C36DD7"/>
    <w:rsid w:val="00C379E2"/>
    <w:rsid w:val="00C44055"/>
    <w:rsid w:val="00C46056"/>
    <w:rsid w:val="00C5716D"/>
    <w:rsid w:val="00C67520"/>
    <w:rsid w:val="00C70526"/>
    <w:rsid w:val="00C75A32"/>
    <w:rsid w:val="00C815AD"/>
    <w:rsid w:val="00C81B5A"/>
    <w:rsid w:val="00C90574"/>
    <w:rsid w:val="00C9212C"/>
    <w:rsid w:val="00C95958"/>
    <w:rsid w:val="00CA0834"/>
    <w:rsid w:val="00CB1B38"/>
    <w:rsid w:val="00CC2810"/>
    <w:rsid w:val="00CC7ED4"/>
    <w:rsid w:val="00CD0526"/>
    <w:rsid w:val="00CD1A7D"/>
    <w:rsid w:val="00CD3437"/>
    <w:rsid w:val="00CD562C"/>
    <w:rsid w:val="00CE0AFC"/>
    <w:rsid w:val="00CE1440"/>
    <w:rsid w:val="00CE3C98"/>
    <w:rsid w:val="00CE6FAF"/>
    <w:rsid w:val="00CE7BA7"/>
    <w:rsid w:val="00CF0251"/>
    <w:rsid w:val="00CF0791"/>
    <w:rsid w:val="00CF3957"/>
    <w:rsid w:val="00CF54CB"/>
    <w:rsid w:val="00CF7CB9"/>
    <w:rsid w:val="00D00800"/>
    <w:rsid w:val="00D00C52"/>
    <w:rsid w:val="00D04037"/>
    <w:rsid w:val="00D15306"/>
    <w:rsid w:val="00D157A6"/>
    <w:rsid w:val="00D16F00"/>
    <w:rsid w:val="00D23E64"/>
    <w:rsid w:val="00D2640F"/>
    <w:rsid w:val="00D30BAE"/>
    <w:rsid w:val="00D32C82"/>
    <w:rsid w:val="00D33B79"/>
    <w:rsid w:val="00D3547B"/>
    <w:rsid w:val="00D434F1"/>
    <w:rsid w:val="00D448B6"/>
    <w:rsid w:val="00D473D7"/>
    <w:rsid w:val="00D47480"/>
    <w:rsid w:val="00D477A7"/>
    <w:rsid w:val="00D478CB"/>
    <w:rsid w:val="00D51109"/>
    <w:rsid w:val="00D53BEF"/>
    <w:rsid w:val="00D56485"/>
    <w:rsid w:val="00D5781E"/>
    <w:rsid w:val="00D6359F"/>
    <w:rsid w:val="00D64C95"/>
    <w:rsid w:val="00D64D27"/>
    <w:rsid w:val="00D655A2"/>
    <w:rsid w:val="00D65C55"/>
    <w:rsid w:val="00D65E32"/>
    <w:rsid w:val="00D7261E"/>
    <w:rsid w:val="00D73FE0"/>
    <w:rsid w:val="00D75B9B"/>
    <w:rsid w:val="00D8165F"/>
    <w:rsid w:val="00D85276"/>
    <w:rsid w:val="00D91731"/>
    <w:rsid w:val="00D93B92"/>
    <w:rsid w:val="00D958FF"/>
    <w:rsid w:val="00D964BF"/>
    <w:rsid w:val="00DA5B66"/>
    <w:rsid w:val="00DA6260"/>
    <w:rsid w:val="00DB1F1A"/>
    <w:rsid w:val="00DB22E9"/>
    <w:rsid w:val="00DB34FF"/>
    <w:rsid w:val="00DB7122"/>
    <w:rsid w:val="00DC685F"/>
    <w:rsid w:val="00DC7747"/>
    <w:rsid w:val="00DD4FAD"/>
    <w:rsid w:val="00DE0E33"/>
    <w:rsid w:val="00DE2CB4"/>
    <w:rsid w:val="00DF1CFE"/>
    <w:rsid w:val="00E00AFF"/>
    <w:rsid w:val="00E029E3"/>
    <w:rsid w:val="00E0517C"/>
    <w:rsid w:val="00E0648D"/>
    <w:rsid w:val="00E065DF"/>
    <w:rsid w:val="00E20161"/>
    <w:rsid w:val="00E27CFD"/>
    <w:rsid w:val="00E339BB"/>
    <w:rsid w:val="00E3771F"/>
    <w:rsid w:val="00E435B8"/>
    <w:rsid w:val="00E443CB"/>
    <w:rsid w:val="00E45506"/>
    <w:rsid w:val="00E46B8A"/>
    <w:rsid w:val="00E47AE8"/>
    <w:rsid w:val="00E72C5B"/>
    <w:rsid w:val="00E73177"/>
    <w:rsid w:val="00E74E46"/>
    <w:rsid w:val="00E77B65"/>
    <w:rsid w:val="00E80F14"/>
    <w:rsid w:val="00E83A1B"/>
    <w:rsid w:val="00E848C0"/>
    <w:rsid w:val="00E84960"/>
    <w:rsid w:val="00E85BCE"/>
    <w:rsid w:val="00E85CD3"/>
    <w:rsid w:val="00E87D5C"/>
    <w:rsid w:val="00E915E4"/>
    <w:rsid w:val="00EA4D4F"/>
    <w:rsid w:val="00EB18FC"/>
    <w:rsid w:val="00EC463C"/>
    <w:rsid w:val="00EC4FF9"/>
    <w:rsid w:val="00ED1FDD"/>
    <w:rsid w:val="00ED4030"/>
    <w:rsid w:val="00ED6441"/>
    <w:rsid w:val="00EE1754"/>
    <w:rsid w:val="00EE28AF"/>
    <w:rsid w:val="00EE34E9"/>
    <w:rsid w:val="00EE41CE"/>
    <w:rsid w:val="00EE4EC2"/>
    <w:rsid w:val="00EE6200"/>
    <w:rsid w:val="00EF0151"/>
    <w:rsid w:val="00EF0C16"/>
    <w:rsid w:val="00EF1DFC"/>
    <w:rsid w:val="00EF28B4"/>
    <w:rsid w:val="00EF46C4"/>
    <w:rsid w:val="00EF7757"/>
    <w:rsid w:val="00F01021"/>
    <w:rsid w:val="00F02B12"/>
    <w:rsid w:val="00F03A6D"/>
    <w:rsid w:val="00F13944"/>
    <w:rsid w:val="00F14383"/>
    <w:rsid w:val="00F1518F"/>
    <w:rsid w:val="00F15B99"/>
    <w:rsid w:val="00F20FA2"/>
    <w:rsid w:val="00F26BBA"/>
    <w:rsid w:val="00F37A91"/>
    <w:rsid w:val="00F4151B"/>
    <w:rsid w:val="00F43436"/>
    <w:rsid w:val="00F46212"/>
    <w:rsid w:val="00F55CB8"/>
    <w:rsid w:val="00F6438E"/>
    <w:rsid w:val="00F70445"/>
    <w:rsid w:val="00F70EB0"/>
    <w:rsid w:val="00F75064"/>
    <w:rsid w:val="00F77C39"/>
    <w:rsid w:val="00F8133B"/>
    <w:rsid w:val="00F81576"/>
    <w:rsid w:val="00F81A60"/>
    <w:rsid w:val="00F830A0"/>
    <w:rsid w:val="00F852A6"/>
    <w:rsid w:val="00F85B8C"/>
    <w:rsid w:val="00F91670"/>
    <w:rsid w:val="00F95E3A"/>
    <w:rsid w:val="00FA5056"/>
    <w:rsid w:val="00FA5D9F"/>
    <w:rsid w:val="00FB2480"/>
    <w:rsid w:val="00FB2E46"/>
    <w:rsid w:val="00FB435C"/>
    <w:rsid w:val="00FB44A9"/>
    <w:rsid w:val="00FC7DA9"/>
    <w:rsid w:val="00FD08EA"/>
    <w:rsid w:val="00FD0D45"/>
    <w:rsid w:val="00FD0E74"/>
    <w:rsid w:val="00FD3263"/>
    <w:rsid w:val="00FE25E7"/>
    <w:rsid w:val="00FE51A1"/>
    <w:rsid w:val="00FE789E"/>
    <w:rsid w:val="00FE7C66"/>
    <w:rsid w:val="00FF2B81"/>
    <w:rsid w:val="00FF2D44"/>
    <w:rsid w:val="00FF33A4"/>
    <w:rsid w:val="00FF404F"/>
    <w:rsid w:val="00FF52C9"/>
    <w:rsid w:val="00FF56DB"/>
    <w:rsid w:val="00FF5D31"/>
    <w:rsid w:val="00FF6D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5CAC1"/>
  <w15:chartTrackingRefBased/>
  <w15:docId w15:val="{9842845B-C79B-4812-A94B-3477FF5C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C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7C6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FootnoteReference">
    <w:name w:val="footnote reference"/>
    <w:aliases w:val="Footnote Reference Number,Footnote symbol,Footnote Reference Superscript,Footnote Refernece,ftref,SUPERS,stylish,BVI fnr,Fußnotenzeichen_Raxen,callout"/>
    <w:rsid w:val="00A07C63"/>
    <w:rPr>
      <w:vertAlign w:val="superscript"/>
    </w:rPr>
  </w:style>
  <w:style w:type="paragraph" w:styleId="FootnoteText">
    <w:name w:val="footnote text"/>
    <w:aliases w:val="Char Char,Char Char Char Char Char Char Char Char Char Char Char Char Char Char Char Char,Footnote,Fußnote,Fußnote Char,Fußnote Char Char Char,Char,Footnote Text Char1,Vēres teksts Char Char Char Char Char Char Char Char Char Char Char Cha"/>
    <w:basedOn w:val="Normal"/>
    <w:link w:val="FootnoteTextChar"/>
    <w:semiHidden/>
    <w:rsid w:val="00A07C63"/>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aliases w:val="Char Char Char,Char Char Char Char Char Char Char Char Char Char Char Char Char Char Char Char Char,Footnote Char,Fußnote Char1,Fußnote Char Char,Fußnote Char Char Char Char,Char Char1,Footnote Text Char1 Char"/>
    <w:basedOn w:val="DefaultParagraphFont"/>
    <w:link w:val="FootnoteText"/>
    <w:semiHidden/>
    <w:rsid w:val="00A07C63"/>
    <w:rPr>
      <w:rFonts w:ascii="Times New Roman" w:eastAsia="Times New Roman" w:hAnsi="Times New Roman" w:cs="Times New Roman"/>
      <w:sz w:val="20"/>
      <w:szCs w:val="20"/>
      <w:lang w:eastAsia="lv-LV"/>
    </w:rPr>
  </w:style>
  <w:style w:type="character" w:styleId="Hyperlink">
    <w:name w:val="Hyperlink"/>
    <w:rsid w:val="00A07C63"/>
    <w:rPr>
      <w:color w:val="0563C1"/>
      <w:u w:val="single"/>
    </w:rPr>
  </w:style>
  <w:style w:type="character" w:styleId="UnresolvedMention">
    <w:name w:val="Unresolved Mention"/>
    <w:basedOn w:val="DefaultParagraphFont"/>
    <w:uiPriority w:val="99"/>
    <w:semiHidden/>
    <w:unhideWhenUsed/>
    <w:rsid w:val="001B1E3F"/>
    <w:rPr>
      <w:color w:val="605E5C"/>
      <w:shd w:val="clear" w:color="auto" w:fill="E1DFDD"/>
    </w:rPr>
  </w:style>
  <w:style w:type="character" w:styleId="CommentReference">
    <w:name w:val="annotation reference"/>
    <w:basedOn w:val="DefaultParagraphFont"/>
    <w:uiPriority w:val="99"/>
    <w:semiHidden/>
    <w:unhideWhenUsed/>
    <w:rsid w:val="0053649C"/>
    <w:rPr>
      <w:sz w:val="16"/>
      <w:szCs w:val="16"/>
    </w:rPr>
  </w:style>
  <w:style w:type="paragraph" w:styleId="CommentText">
    <w:name w:val="annotation text"/>
    <w:basedOn w:val="Normal"/>
    <w:link w:val="CommentTextChar"/>
    <w:uiPriority w:val="99"/>
    <w:semiHidden/>
    <w:unhideWhenUsed/>
    <w:rsid w:val="0053649C"/>
    <w:pPr>
      <w:spacing w:line="240" w:lineRule="auto"/>
    </w:pPr>
    <w:rPr>
      <w:sz w:val="20"/>
      <w:szCs w:val="20"/>
    </w:rPr>
  </w:style>
  <w:style w:type="character" w:customStyle="1" w:styleId="CommentTextChar">
    <w:name w:val="Comment Text Char"/>
    <w:basedOn w:val="DefaultParagraphFont"/>
    <w:link w:val="CommentText"/>
    <w:uiPriority w:val="99"/>
    <w:semiHidden/>
    <w:rsid w:val="0053649C"/>
    <w:rPr>
      <w:sz w:val="20"/>
      <w:szCs w:val="20"/>
    </w:rPr>
  </w:style>
  <w:style w:type="paragraph" w:styleId="CommentSubject">
    <w:name w:val="annotation subject"/>
    <w:basedOn w:val="CommentText"/>
    <w:next w:val="CommentText"/>
    <w:link w:val="CommentSubjectChar"/>
    <w:uiPriority w:val="99"/>
    <w:semiHidden/>
    <w:unhideWhenUsed/>
    <w:rsid w:val="0053649C"/>
    <w:rPr>
      <w:b/>
      <w:bCs/>
    </w:rPr>
  </w:style>
  <w:style w:type="character" w:customStyle="1" w:styleId="CommentSubjectChar">
    <w:name w:val="Comment Subject Char"/>
    <w:basedOn w:val="CommentTextChar"/>
    <w:link w:val="CommentSubject"/>
    <w:uiPriority w:val="99"/>
    <w:semiHidden/>
    <w:rsid w:val="0053649C"/>
    <w:rPr>
      <w:b/>
      <w:bCs/>
      <w:sz w:val="20"/>
      <w:szCs w:val="20"/>
    </w:rPr>
  </w:style>
  <w:style w:type="paragraph" w:styleId="BalloonText">
    <w:name w:val="Balloon Text"/>
    <w:basedOn w:val="Normal"/>
    <w:link w:val="BalloonTextChar"/>
    <w:uiPriority w:val="99"/>
    <w:semiHidden/>
    <w:unhideWhenUsed/>
    <w:rsid w:val="005364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49C"/>
    <w:rPr>
      <w:rFonts w:ascii="Segoe UI" w:hAnsi="Segoe UI" w:cs="Segoe UI"/>
      <w:sz w:val="18"/>
      <w:szCs w:val="18"/>
    </w:rPr>
  </w:style>
  <w:style w:type="paragraph" w:styleId="Header">
    <w:name w:val="header"/>
    <w:basedOn w:val="Normal"/>
    <w:link w:val="HeaderChar"/>
    <w:uiPriority w:val="99"/>
    <w:unhideWhenUsed/>
    <w:rsid w:val="006F3F23"/>
    <w:pPr>
      <w:tabs>
        <w:tab w:val="center" w:pos="4153"/>
        <w:tab w:val="right" w:pos="8306"/>
      </w:tabs>
      <w:spacing w:after="0" w:line="240" w:lineRule="auto"/>
    </w:pPr>
  </w:style>
  <w:style w:type="character" w:customStyle="1" w:styleId="HeaderChar">
    <w:name w:val="Header Char"/>
    <w:basedOn w:val="DefaultParagraphFont"/>
    <w:link w:val="Header"/>
    <w:uiPriority w:val="99"/>
    <w:rsid w:val="006F3F23"/>
  </w:style>
  <w:style w:type="paragraph" w:styleId="Footer">
    <w:name w:val="footer"/>
    <w:basedOn w:val="Normal"/>
    <w:link w:val="FooterChar"/>
    <w:uiPriority w:val="99"/>
    <w:unhideWhenUsed/>
    <w:rsid w:val="006F3F23"/>
    <w:pPr>
      <w:tabs>
        <w:tab w:val="center" w:pos="4153"/>
        <w:tab w:val="right" w:pos="8306"/>
      </w:tabs>
      <w:spacing w:after="0" w:line="240" w:lineRule="auto"/>
    </w:pPr>
  </w:style>
  <w:style w:type="character" w:customStyle="1" w:styleId="FooterChar">
    <w:name w:val="Footer Char"/>
    <w:basedOn w:val="DefaultParagraphFont"/>
    <w:link w:val="Footer"/>
    <w:uiPriority w:val="99"/>
    <w:rsid w:val="006F3F23"/>
  </w:style>
  <w:style w:type="paragraph" w:styleId="ListParagraph">
    <w:name w:val="List Paragraph"/>
    <w:basedOn w:val="Normal"/>
    <w:uiPriority w:val="34"/>
    <w:qFormat/>
    <w:rsid w:val="0072730C"/>
    <w:pPr>
      <w:ind w:left="720"/>
      <w:contextualSpacing/>
    </w:pPr>
  </w:style>
  <w:style w:type="character" w:styleId="FollowedHyperlink">
    <w:name w:val="FollowedHyperlink"/>
    <w:basedOn w:val="DefaultParagraphFont"/>
    <w:uiPriority w:val="99"/>
    <w:semiHidden/>
    <w:unhideWhenUsed/>
    <w:rsid w:val="001E3CD3"/>
    <w:rPr>
      <w:color w:val="954F72" w:themeColor="followedHyperlink"/>
      <w:u w:val="single"/>
    </w:rPr>
  </w:style>
  <w:style w:type="paragraph" w:styleId="EndnoteText">
    <w:name w:val="endnote text"/>
    <w:basedOn w:val="Normal"/>
    <w:link w:val="EndnoteTextChar"/>
    <w:uiPriority w:val="99"/>
    <w:semiHidden/>
    <w:unhideWhenUsed/>
    <w:rsid w:val="00AB3E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B3E3A"/>
    <w:rPr>
      <w:sz w:val="20"/>
      <w:szCs w:val="20"/>
    </w:rPr>
  </w:style>
  <w:style w:type="character" w:styleId="EndnoteReference">
    <w:name w:val="endnote reference"/>
    <w:basedOn w:val="DefaultParagraphFont"/>
    <w:uiPriority w:val="99"/>
    <w:semiHidden/>
    <w:unhideWhenUsed/>
    <w:rsid w:val="00AB3E3A"/>
    <w:rPr>
      <w:vertAlign w:val="superscript"/>
    </w:rPr>
  </w:style>
  <w:style w:type="table" w:styleId="GridTable6Colorful-Accent2">
    <w:name w:val="Grid Table 6 Colorful Accent 2"/>
    <w:basedOn w:val="TableNormal"/>
    <w:uiPriority w:val="51"/>
    <w:rsid w:val="00A44C42"/>
    <w:pPr>
      <w:spacing w:after="0" w:line="240" w:lineRule="auto"/>
    </w:pPr>
    <w:rPr>
      <w:rFonts w:ascii="Calibri" w:eastAsia="Calibri" w:hAnsi="Calibri" w:cs="Times New Roman"/>
      <w:color w:val="C45911" w:themeColor="accent2" w:themeShade="BF"/>
      <w:sz w:val="20"/>
      <w:szCs w:val="20"/>
      <w:lang w:eastAsia="lv-LV"/>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594568">
      <w:bodyDiv w:val="1"/>
      <w:marLeft w:val="0"/>
      <w:marRight w:val="0"/>
      <w:marTop w:val="0"/>
      <w:marBottom w:val="0"/>
      <w:divBdr>
        <w:top w:val="none" w:sz="0" w:space="0" w:color="auto"/>
        <w:left w:val="none" w:sz="0" w:space="0" w:color="auto"/>
        <w:bottom w:val="none" w:sz="0" w:space="0" w:color="auto"/>
        <w:right w:val="none" w:sz="0" w:space="0" w:color="auto"/>
      </w:divBdr>
    </w:div>
    <w:div w:id="486670649">
      <w:bodyDiv w:val="1"/>
      <w:marLeft w:val="0"/>
      <w:marRight w:val="0"/>
      <w:marTop w:val="0"/>
      <w:marBottom w:val="0"/>
      <w:divBdr>
        <w:top w:val="none" w:sz="0" w:space="0" w:color="auto"/>
        <w:left w:val="none" w:sz="0" w:space="0" w:color="auto"/>
        <w:bottom w:val="none" w:sz="0" w:space="0" w:color="auto"/>
        <w:right w:val="none" w:sz="0" w:space="0" w:color="auto"/>
      </w:divBdr>
    </w:div>
    <w:div w:id="806431706">
      <w:bodyDiv w:val="1"/>
      <w:marLeft w:val="0"/>
      <w:marRight w:val="0"/>
      <w:marTop w:val="0"/>
      <w:marBottom w:val="0"/>
      <w:divBdr>
        <w:top w:val="none" w:sz="0" w:space="0" w:color="auto"/>
        <w:left w:val="none" w:sz="0" w:space="0" w:color="auto"/>
        <w:bottom w:val="none" w:sz="0" w:space="0" w:color="auto"/>
        <w:right w:val="none" w:sz="0" w:space="0" w:color="auto"/>
      </w:divBdr>
    </w:div>
    <w:div w:id="175921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em.gov.lv/lv/latvijas-makroekonomiskais-apskats" TargetMode="External"/><Relationship Id="rId3" Type="http://schemas.openxmlformats.org/officeDocument/2006/relationships/hyperlink" Target="https://ec.europa.eu/eurostat/databrowser/view/lfsq_urgan/default/table?lang=en&amp;category=labour.employ.lfsq.lfsq_unemp" TargetMode="External"/><Relationship Id="rId7" Type="http://schemas.openxmlformats.org/officeDocument/2006/relationships/hyperlink" Target="https://prognozes.em.gov.lv/lv" TargetMode="External"/><Relationship Id="rId2" Type="http://schemas.openxmlformats.org/officeDocument/2006/relationships/hyperlink" Target="https://ec.europa.eu/eurostat/databrowser/view/lfsq_ergan__custom_19691817/default/table" TargetMode="External"/><Relationship Id="rId1" Type="http://schemas.openxmlformats.org/officeDocument/2006/relationships/hyperlink" Target="https://ec.europa.eu/eurostat/databrowser/view/lfsq_argan__custom_19691884/default/table" TargetMode="External"/><Relationship Id="rId6" Type="http://schemas.openxmlformats.org/officeDocument/2006/relationships/hyperlink" Target="https://www.bank.lv/darbibas-jomas/monetaras-politikas-istenosana/prognozes" TargetMode="External"/><Relationship Id="rId5" Type="http://schemas.openxmlformats.org/officeDocument/2006/relationships/hyperlink" Target="https://data-explorer.oecd.org/vis?bp=true&amp;snb=3&amp;vw=tb&amp;df%5bds%5d=dsDisseminateFinalDMZ&amp;df%5bid%5d=DSD_EO%40DF_EO&amp;df%5bag%5d=OECD.ECO.MAD&amp;dq=LVA..A&amp;lom=LASTNPERIODS&amp;lo=5&amp;to%5bTIME_PERIOD%5d=false&amp;ly%5bcl%5d=TIME_PERIOD&amp;ly%5brw%5d=MEASURE%2CCOMBINED_UNIT_MEASURE" TargetMode="External"/><Relationship Id="rId10" Type="http://schemas.openxmlformats.org/officeDocument/2006/relationships/hyperlink" Target="https://www.fm.gov.lv/lv/jaunums/fm-ekonomikas-izaugsmei-bremzejoties-bezdarba-limenis-pirmaja-ceturksni-pieaug-lidz-74" TargetMode="External"/><Relationship Id="rId4" Type="http://schemas.openxmlformats.org/officeDocument/2006/relationships/hyperlink" Target="https://economy-finance.ec.europa.eu/economic-surveillance-eu-economies/latvia/economic-forecast-latvia_en" TargetMode="External"/><Relationship Id="rId9" Type="http://schemas.openxmlformats.org/officeDocument/2006/relationships/hyperlink" Target="https://www.fm.gov.lv/lv/tautsaimniecibas-un-budzeta-izpildes-analize"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ile-itd-01.lm.local\LMHomeFolders\AlonaN\PROGNOZES\prognozes%20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lv-LV"/>
              <a:t>Reģistrētā bezdarba prognoze 202</a:t>
            </a:r>
            <a:r>
              <a:rPr lang="en-US"/>
              <a:t>6</a:t>
            </a:r>
            <a:r>
              <a:rPr lang="lv-LV"/>
              <a:t>.gadam</a:t>
            </a:r>
          </a:p>
        </c:rich>
      </c:tx>
      <c:overlay val="0"/>
      <c:spPr>
        <a:noFill/>
        <a:ln>
          <a:noFill/>
        </a:ln>
        <a:effectLst/>
      </c:spPr>
    </c:title>
    <c:autoTitleDeleted val="0"/>
    <c:plotArea>
      <c:layout/>
      <c:barChart>
        <c:barDir val="col"/>
        <c:grouping val="clustered"/>
        <c:varyColors val="0"/>
        <c:ser>
          <c:idx val="1"/>
          <c:order val="1"/>
          <c:tx>
            <c:strRef>
              <c:f>Sheet1!$B$42</c:f>
              <c:strCache>
                <c:ptCount val="1"/>
                <c:pt idx="0">
                  <c:v>reģistrēto bezdarbnieku skaits</c:v>
                </c:pt>
              </c:strCache>
            </c:strRef>
          </c:tx>
          <c:spPr>
            <a:solidFill>
              <a:schemeClr val="accent6">
                <a:lumMod val="60000"/>
                <a:lumOff val="40000"/>
              </a:schemeClr>
            </a:solidFill>
          </c:spPr>
          <c:invertIfNegative val="0"/>
          <c:dLbls>
            <c:spPr>
              <a:noFill/>
              <a:ln>
                <a:noFill/>
              </a:ln>
              <a:effectLst/>
            </c:spPr>
            <c:txPr>
              <a:bodyPr rot="-5400000" vert="horz"/>
              <a:lstStyle/>
              <a:p>
                <a:pPr>
                  <a:defRPr/>
                </a:pPr>
                <a:endParaRPr lang="lv-LV"/>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Sheet1!$C$40:$N$40</c:f>
              <c:strCache>
                <c:ptCount val="12"/>
                <c:pt idx="0">
                  <c:v>Jan</c:v>
                </c:pt>
                <c:pt idx="1">
                  <c:v>Feb</c:v>
                </c:pt>
                <c:pt idx="2">
                  <c:v>Mar</c:v>
                </c:pt>
                <c:pt idx="3">
                  <c:v>Apr</c:v>
                </c:pt>
                <c:pt idx="4">
                  <c:v>Maijs</c:v>
                </c:pt>
                <c:pt idx="5">
                  <c:v>Jun</c:v>
                </c:pt>
                <c:pt idx="6">
                  <c:v>Jul</c:v>
                </c:pt>
                <c:pt idx="7">
                  <c:v>Aug</c:v>
                </c:pt>
                <c:pt idx="8">
                  <c:v>Sep</c:v>
                </c:pt>
                <c:pt idx="9">
                  <c:v>Okt</c:v>
                </c:pt>
                <c:pt idx="10">
                  <c:v>Nov</c:v>
                </c:pt>
                <c:pt idx="11">
                  <c:v>Dec</c:v>
                </c:pt>
              </c:strCache>
            </c:strRef>
          </c:cat>
          <c:val>
            <c:numRef>
              <c:f>Sheet1!$C$42:$N$42</c:f>
              <c:numCache>
                <c:formatCode>#,##0</c:formatCode>
                <c:ptCount val="12"/>
                <c:pt idx="0">
                  <c:v>45377.279999999999</c:v>
                </c:pt>
                <c:pt idx="1">
                  <c:v>46249.634615384617</c:v>
                </c:pt>
                <c:pt idx="2">
                  <c:v>44504.716981132071</c:v>
                </c:pt>
                <c:pt idx="3">
                  <c:v>41887.058823529413</c:v>
                </c:pt>
                <c:pt idx="4">
                  <c:v>40141.708333333328</c:v>
                </c:pt>
                <c:pt idx="5">
                  <c:v>39269.34782608696</c:v>
                </c:pt>
                <c:pt idx="6">
                  <c:v>39269</c:v>
                </c:pt>
                <c:pt idx="7">
                  <c:v>37523.711111111108</c:v>
                </c:pt>
                <c:pt idx="8">
                  <c:v>35778.697674418603</c:v>
                </c:pt>
                <c:pt idx="9">
                  <c:v>35779</c:v>
                </c:pt>
                <c:pt idx="10">
                  <c:v>36651.658536585375</c:v>
                </c:pt>
                <c:pt idx="11">
                  <c:v>39270</c:v>
                </c:pt>
              </c:numCache>
            </c:numRef>
          </c:val>
          <c:extLst>
            <c:ext xmlns:c16="http://schemas.microsoft.com/office/drawing/2014/chart" uri="{C3380CC4-5D6E-409C-BE32-E72D297353CC}">
              <c16:uniqueId val="{00000000-5855-4A17-93F1-A0D22300CAA3}"/>
            </c:ext>
          </c:extLst>
        </c:ser>
        <c:dLbls>
          <c:showLegendKey val="0"/>
          <c:showVal val="0"/>
          <c:showCatName val="0"/>
          <c:showSerName val="0"/>
          <c:showPercent val="0"/>
          <c:showBubbleSize val="0"/>
        </c:dLbls>
        <c:gapWidth val="56"/>
        <c:axId val="1633222208"/>
        <c:axId val="1560997600"/>
      </c:barChart>
      <c:lineChart>
        <c:grouping val="standard"/>
        <c:varyColors val="0"/>
        <c:ser>
          <c:idx val="0"/>
          <c:order val="0"/>
          <c:tx>
            <c:strRef>
              <c:f>Sheet1!$B$41</c:f>
              <c:strCache>
                <c:ptCount val="1"/>
                <c:pt idx="0">
                  <c:v>reģistrētā bezdarba līmenis</c:v>
                </c:pt>
              </c:strCache>
            </c:strRef>
          </c:tx>
          <c:marker>
            <c:symbol val="none"/>
          </c:marker>
          <c:dLbls>
            <c:dLbl>
              <c:idx val="0"/>
              <c:tx>
                <c:rich>
                  <a:bodyPr/>
                  <a:lstStyle/>
                  <a:p>
                    <a:fld id="{A549B039-70EF-42EE-AF36-4410B7E68623}"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855-4A17-93F1-A0D22300CAA3}"/>
                </c:ext>
              </c:extLst>
            </c:dLbl>
            <c:dLbl>
              <c:idx val="1"/>
              <c:tx>
                <c:rich>
                  <a:bodyPr/>
                  <a:lstStyle/>
                  <a:p>
                    <a:fld id="{DFD0DA12-3705-42F8-BEB0-6470D614B6B8}"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5855-4A17-93F1-A0D22300CAA3}"/>
                </c:ext>
              </c:extLst>
            </c:dLbl>
            <c:dLbl>
              <c:idx val="2"/>
              <c:tx>
                <c:rich>
                  <a:bodyPr/>
                  <a:lstStyle/>
                  <a:p>
                    <a:fld id="{8FAC101E-9756-4FE6-B533-83AB92177756}"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855-4A17-93F1-A0D22300CAA3}"/>
                </c:ext>
              </c:extLst>
            </c:dLbl>
            <c:dLbl>
              <c:idx val="3"/>
              <c:tx>
                <c:rich>
                  <a:bodyPr/>
                  <a:lstStyle/>
                  <a:p>
                    <a:fld id="{AB606340-7A85-49C7-B689-F72A391A4F21}"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5855-4A17-93F1-A0D22300CAA3}"/>
                </c:ext>
              </c:extLst>
            </c:dLbl>
            <c:dLbl>
              <c:idx val="4"/>
              <c:tx>
                <c:rich>
                  <a:bodyPr/>
                  <a:lstStyle/>
                  <a:p>
                    <a:fld id="{B4A94882-1085-404C-BEC5-81B2B46655AE}"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855-4A17-93F1-A0D22300CAA3}"/>
                </c:ext>
              </c:extLst>
            </c:dLbl>
            <c:dLbl>
              <c:idx val="5"/>
              <c:tx>
                <c:rich>
                  <a:bodyPr/>
                  <a:lstStyle/>
                  <a:p>
                    <a:fld id="{319F8EB0-419B-4E47-92C9-5A921B7CC9CA}"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5855-4A17-93F1-A0D22300CAA3}"/>
                </c:ext>
              </c:extLst>
            </c:dLbl>
            <c:dLbl>
              <c:idx val="6"/>
              <c:tx>
                <c:rich>
                  <a:bodyPr/>
                  <a:lstStyle/>
                  <a:p>
                    <a:fld id="{140831BB-23C0-498D-B148-1781E5FBD05E}"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855-4A17-93F1-A0D22300CAA3}"/>
                </c:ext>
              </c:extLst>
            </c:dLbl>
            <c:dLbl>
              <c:idx val="7"/>
              <c:tx>
                <c:rich>
                  <a:bodyPr/>
                  <a:lstStyle/>
                  <a:p>
                    <a:fld id="{FD9126D9-BB81-4E55-BE6A-76D4417AC5C8}"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5855-4A17-93F1-A0D22300CAA3}"/>
                </c:ext>
              </c:extLst>
            </c:dLbl>
            <c:dLbl>
              <c:idx val="8"/>
              <c:tx>
                <c:rich>
                  <a:bodyPr/>
                  <a:lstStyle/>
                  <a:p>
                    <a:fld id="{13E37E07-AA48-475B-B8B7-7D57F1C1C18C}"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5855-4A17-93F1-A0D22300CAA3}"/>
                </c:ext>
              </c:extLst>
            </c:dLbl>
            <c:dLbl>
              <c:idx val="9"/>
              <c:tx>
                <c:rich>
                  <a:bodyPr/>
                  <a:lstStyle/>
                  <a:p>
                    <a:fld id="{17F5216C-CCE0-4142-9349-B12417A8088C}"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5855-4A17-93F1-A0D22300CAA3}"/>
                </c:ext>
              </c:extLst>
            </c:dLbl>
            <c:dLbl>
              <c:idx val="10"/>
              <c:tx>
                <c:rich>
                  <a:bodyPr/>
                  <a:lstStyle/>
                  <a:p>
                    <a:fld id="{0EC47ABF-10BB-4090-B736-D9C579BAB782}"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5855-4A17-93F1-A0D22300CAA3}"/>
                </c:ext>
              </c:extLst>
            </c:dLbl>
            <c:dLbl>
              <c:idx val="11"/>
              <c:tx>
                <c:rich>
                  <a:bodyPr/>
                  <a:lstStyle/>
                  <a:p>
                    <a:fld id="{1B4E76D2-095F-4FEE-AC35-62C6E3C76C64}"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5855-4A17-93F1-A0D22300CAA3}"/>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Sheet1!$C$40:$N$40</c:f>
              <c:strCache>
                <c:ptCount val="12"/>
                <c:pt idx="0">
                  <c:v>Jan</c:v>
                </c:pt>
                <c:pt idx="1">
                  <c:v>Feb</c:v>
                </c:pt>
                <c:pt idx="2">
                  <c:v>Mar</c:v>
                </c:pt>
                <c:pt idx="3">
                  <c:v>Apr</c:v>
                </c:pt>
                <c:pt idx="4">
                  <c:v>Maijs</c:v>
                </c:pt>
                <c:pt idx="5">
                  <c:v>Jun</c:v>
                </c:pt>
                <c:pt idx="6">
                  <c:v>Jul</c:v>
                </c:pt>
                <c:pt idx="7">
                  <c:v>Aug</c:v>
                </c:pt>
                <c:pt idx="8">
                  <c:v>Sep</c:v>
                </c:pt>
                <c:pt idx="9">
                  <c:v>Okt</c:v>
                </c:pt>
                <c:pt idx="10">
                  <c:v>Nov</c:v>
                </c:pt>
                <c:pt idx="11">
                  <c:v>Dec</c:v>
                </c:pt>
              </c:strCache>
            </c:strRef>
          </c:cat>
          <c:val>
            <c:numRef>
              <c:f>Sheet1!$C$41:$N$41</c:f>
              <c:numCache>
                <c:formatCode>0.0</c:formatCode>
                <c:ptCount val="12"/>
                <c:pt idx="0">
                  <c:v>5.18</c:v>
                </c:pt>
                <c:pt idx="1">
                  <c:v>5.26</c:v>
                </c:pt>
                <c:pt idx="2">
                  <c:v>5.0999999999999996</c:v>
                </c:pt>
                <c:pt idx="3">
                  <c:v>4.8199999999999994</c:v>
                </c:pt>
                <c:pt idx="4">
                  <c:v>4.5599999999999996</c:v>
                </c:pt>
                <c:pt idx="5">
                  <c:v>4.4799999999999995</c:v>
                </c:pt>
                <c:pt idx="6">
                  <c:v>4.4799999999999995</c:v>
                </c:pt>
                <c:pt idx="7">
                  <c:v>4.3</c:v>
                </c:pt>
                <c:pt idx="8">
                  <c:v>4.0599999999999996</c:v>
                </c:pt>
                <c:pt idx="9">
                  <c:v>4.0599999999999996</c:v>
                </c:pt>
                <c:pt idx="10">
                  <c:v>4.22</c:v>
                </c:pt>
                <c:pt idx="11">
                  <c:v>4.46</c:v>
                </c:pt>
              </c:numCache>
            </c:numRef>
          </c:val>
          <c:smooth val="0"/>
          <c:extLst>
            <c:ext xmlns:c16="http://schemas.microsoft.com/office/drawing/2014/chart" uri="{C3380CC4-5D6E-409C-BE32-E72D297353CC}">
              <c16:uniqueId val="{0000000D-5855-4A17-93F1-A0D22300CAA3}"/>
            </c:ext>
          </c:extLst>
        </c:ser>
        <c:dLbls>
          <c:showLegendKey val="0"/>
          <c:showVal val="0"/>
          <c:showCatName val="0"/>
          <c:showSerName val="0"/>
          <c:showPercent val="0"/>
          <c:showBubbleSize val="0"/>
        </c:dLbls>
        <c:marker val="1"/>
        <c:smooth val="0"/>
        <c:axId val="1562916912"/>
        <c:axId val="1562735536"/>
      </c:lineChart>
      <c:catAx>
        <c:axId val="1633222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lv-LV"/>
          </a:p>
        </c:txPr>
        <c:crossAx val="1560997600"/>
        <c:crosses val="autoZero"/>
        <c:auto val="1"/>
        <c:lblAlgn val="ctr"/>
        <c:lblOffset val="100"/>
        <c:noMultiLvlLbl val="0"/>
      </c:catAx>
      <c:valAx>
        <c:axId val="1560997600"/>
        <c:scaling>
          <c:orientation val="minMax"/>
        </c:scaling>
        <c:delete val="0"/>
        <c:axPos val="l"/>
        <c:numFmt formatCode="#,##0" sourceLinked="1"/>
        <c:majorTickMark val="none"/>
        <c:minorTickMark val="none"/>
        <c:tickLblPos val="nextTo"/>
        <c:spPr>
          <a:noFill/>
          <a:ln>
            <a:noFill/>
          </a:ln>
          <a:effectLst/>
        </c:spPr>
        <c:txPr>
          <a:bodyPr rot="-60000000" vert="horz"/>
          <a:lstStyle/>
          <a:p>
            <a:pPr>
              <a:defRPr sz="600">
                <a:solidFill>
                  <a:schemeClr val="bg1"/>
                </a:solidFill>
              </a:defRPr>
            </a:pPr>
            <a:endParaRPr lang="lv-LV"/>
          </a:p>
        </c:txPr>
        <c:crossAx val="1633222208"/>
        <c:crosses val="autoZero"/>
        <c:crossBetween val="between"/>
      </c:valAx>
      <c:valAx>
        <c:axId val="1562735536"/>
        <c:scaling>
          <c:orientation val="minMax"/>
        </c:scaling>
        <c:delete val="0"/>
        <c:axPos val="r"/>
        <c:numFmt formatCode="0.0" sourceLinked="1"/>
        <c:majorTickMark val="out"/>
        <c:minorTickMark val="none"/>
        <c:tickLblPos val="nextTo"/>
        <c:spPr>
          <a:noFill/>
          <a:ln>
            <a:noFill/>
          </a:ln>
          <a:effectLst/>
        </c:spPr>
        <c:txPr>
          <a:bodyPr rot="-60000000" vert="horz"/>
          <a:lstStyle/>
          <a:p>
            <a:pPr>
              <a:defRPr sz="600">
                <a:solidFill>
                  <a:schemeClr val="bg1"/>
                </a:solidFill>
              </a:defRPr>
            </a:pPr>
            <a:endParaRPr lang="lv-LV"/>
          </a:p>
        </c:txPr>
        <c:crossAx val="1562916912"/>
        <c:crosses val="max"/>
        <c:crossBetween val="between"/>
      </c:valAx>
      <c:catAx>
        <c:axId val="1562916912"/>
        <c:scaling>
          <c:orientation val="minMax"/>
        </c:scaling>
        <c:delete val="1"/>
        <c:axPos val="b"/>
        <c:numFmt formatCode="General" sourceLinked="1"/>
        <c:majorTickMark val="out"/>
        <c:minorTickMark val="none"/>
        <c:tickLblPos val="nextTo"/>
        <c:crossAx val="1562735536"/>
        <c:crosses val="autoZero"/>
        <c:auto val="1"/>
        <c:lblAlgn val="ctr"/>
        <c:lblOffset val="100"/>
        <c:noMultiLvlLbl val="0"/>
      </c:catAx>
      <c:spPr>
        <a:noFill/>
        <a:ln>
          <a:noFill/>
        </a:ln>
        <a:effectLst/>
      </c:spPr>
    </c:plotArea>
    <c:legend>
      <c:legendPos val="b"/>
      <c:overlay val="0"/>
      <c:spPr>
        <a:noFill/>
        <a:ln>
          <a:noFill/>
        </a:ln>
        <a:effectLst/>
      </c:spPr>
      <c:txPr>
        <a:bodyPr rot="0" vert="horz"/>
        <a:lstStyle/>
        <a:p>
          <a:pPr>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271D0-661F-4C1B-8C35-7D0CE12AE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3988</Words>
  <Characters>2274</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Gaiķe</dc:creator>
  <cp:keywords/>
  <dc:description/>
  <cp:lastModifiedBy>Alona Tutova</cp:lastModifiedBy>
  <cp:revision>2</cp:revision>
  <cp:lastPrinted>2020-01-20T08:16:00Z</cp:lastPrinted>
  <dcterms:created xsi:type="dcterms:W3CDTF">2026-01-28T08:39:00Z</dcterms:created>
  <dcterms:modified xsi:type="dcterms:W3CDTF">2026-01-28T08:39:00Z</dcterms:modified>
</cp:coreProperties>
</file>