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DEAF" w14:textId="77777777" w:rsidR="00C61C32" w:rsidRPr="00C61C32" w:rsidRDefault="00C61C32" w:rsidP="002554A8">
      <w:pPr>
        <w:shd w:val="clear" w:color="auto" w:fill="9A0000"/>
        <w:jc w:val="center"/>
        <w:rPr>
          <w:rFonts w:ascii="Segoe UI" w:hAnsi="Segoe UI" w:cs="Segoe UI"/>
          <w:b/>
          <w:bCs/>
          <w:sz w:val="28"/>
          <w:szCs w:val="28"/>
        </w:rPr>
      </w:pPr>
      <w:bookmarkStart w:id="0" w:name="_Hlk225435439"/>
      <w:bookmarkStart w:id="1" w:name="_Hlk242875714"/>
      <w:r w:rsidRPr="00C61C32">
        <w:rPr>
          <w:rFonts w:ascii="Segoe UI" w:hAnsi="Segoe UI" w:cs="Segoe UI"/>
          <w:b/>
          <w:bCs/>
          <w:sz w:val="28"/>
          <w:szCs w:val="28"/>
        </w:rPr>
        <w:t>Horizontālā principa</w:t>
      </w:r>
    </w:p>
    <w:p w14:paraId="3A7E37CF" w14:textId="7092F021" w:rsidR="00C61C32" w:rsidRPr="00C61C32" w:rsidRDefault="00C61C32" w:rsidP="002554A8">
      <w:pPr>
        <w:shd w:val="clear" w:color="auto" w:fill="9A0000"/>
        <w:spacing w:before="120" w:after="0" w:line="240" w:lineRule="auto"/>
        <w:jc w:val="center"/>
        <w:rPr>
          <w:rFonts w:ascii="Segoe UI" w:hAnsi="Segoe UI" w:cs="Segoe UI"/>
          <w:b/>
          <w:bCs/>
          <w:sz w:val="28"/>
          <w:szCs w:val="28"/>
        </w:rPr>
      </w:pPr>
      <w:r w:rsidRPr="00C61C32">
        <w:rPr>
          <w:rFonts w:ascii="Segoe UI" w:hAnsi="Segoe UI" w:cs="Segoe UI"/>
          <w:b/>
          <w:bCs/>
          <w:sz w:val="28"/>
          <w:szCs w:val="28"/>
        </w:rPr>
        <w:t xml:space="preserve">“Vienlīdzība, iekļaušana, </w:t>
      </w:r>
      <w:proofErr w:type="spellStart"/>
      <w:r w:rsidRPr="00C61C32">
        <w:rPr>
          <w:rFonts w:ascii="Segoe UI" w:hAnsi="Segoe UI" w:cs="Segoe UI"/>
          <w:b/>
          <w:bCs/>
          <w:sz w:val="28"/>
          <w:szCs w:val="28"/>
        </w:rPr>
        <w:t>nediskriminācija</w:t>
      </w:r>
      <w:proofErr w:type="spellEnd"/>
      <w:r w:rsidRPr="00C61C32">
        <w:rPr>
          <w:rFonts w:ascii="Segoe UI" w:hAnsi="Segoe UI" w:cs="Segoe UI"/>
          <w:b/>
          <w:bCs/>
          <w:sz w:val="28"/>
          <w:szCs w:val="28"/>
        </w:rPr>
        <w:t xml:space="preserve"> un </w:t>
      </w:r>
      <w:proofErr w:type="spellStart"/>
      <w:r w:rsidRPr="00C61C32">
        <w:rPr>
          <w:rFonts w:ascii="Segoe UI" w:hAnsi="Segoe UI" w:cs="Segoe UI"/>
          <w:b/>
          <w:bCs/>
          <w:sz w:val="28"/>
          <w:szCs w:val="28"/>
        </w:rPr>
        <w:t>pamattiesību</w:t>
      </w:r>
      <w:proofErr w:type="spellEnd"/>
      <w:r w:rsidRPr="00C61C32">
        <w:rPr>
          <w:rFonts w:ascii="Segoe UI" w:hAnsi="Segoe UI" w:cs="Segoe UI"/>
          <w:b/>
          <w:bCs/>
          <w:sz w:val="28"/>
          <w:szCs w:val="28"/>
        </w:rPr>
        <w:t xml:space="preserve"> ievērošana”</w:t>
      </w:r>
      <w:r>
        <w:rPr>
          <w:rFonts w:ascii="Segoe UI" w:hAnsi="Segoe UI" w:cs="Segoe UI"/>
          <w:b/>
          <w:bCs/>
          <w:sz w:val="28"/>
          <w:szCs w:val="28"/>
        </w:rPr>
        <w:t xml:space="preserve"> </w:t>
      </w:r>
      <w:r w:rsidRPr="00C61C32">
        <w:rPr>
          <w:rFonts w:ascii="Segoe UI" w:hAnsi="Segoe UI" w:cs="Segoe UI"/>
          <w:b/>
          <w:bCs/>
          <w:sz w:val="28"/>
          <w:szCs w:val="28"/>
        </w:rPr>
        <w:t>ieviešanas uzraudzības ziņojum</w:t>
      </w:r>
      <w:r>
        <w:rPr>
          <w:rFonts w:ascii="Segoe UI" w:hAnsi="Segoe UI" w:cs="Segoe UI"/>
          <w:b/>
          <w:bCs/>
          <w:sz w:val="28"/>
          <w:szCs w:val="28"/>
        </w:rPr>
        <w:t>a</w:t>
      </w:r>
    </w:p>
    <w:p w14:paraId="172FE594" w14:textId="501325F0" w:rsidR="00C61C32" w:rsidRDefault="00C61C32" w:rsidP="002554A8">
      <w:pPr>
        <w:shd w:val="clear" w:color="auto" w:fill="9A0000"/>
        <w:jc w:val="center"/>
        <w:rPr>
          <w:rFonts w:ascii="Segoe UI" w:hAnsi="Segoe UI" w:cs="Segoe UI"/>
          <w:b/>
          <w:bCs/>
          <w:sz w:val="28"/>
          <w:szCs w:val="28"/>
        </w:rPr>
      </w:pPr>
      <w:r w:rsidRPr="00C61C32">
        <w:rPr>
          <w:rFonts w:ascii="Segoe UI" w:hAnsi="Segoe UI" w:cs="Segoe UI"/>
          <w:b/>
          <w:bCs/>
          <w:sz w:val="28"/>
          <w:szCs w:val="28"/>
        </w:rPr>
        <w:t>(periods 2021.-2026. gada jūlijs)</w:t>
      </w:r>
    </w:p>
    <w:bookmarkEnd w:id="1"/>
    <w:p w14:paraId="09A33D16" w14:textId="51C38B78" w:rsidR="00C61C32" w:rsidRPr="00C61C32" w:rsidRDefault="00C61C32" w:rsidP="002554A8">
      <w:pPr>
        <w:pStyle w:val="Virsraksts2"/>
      </w:pPr>
      <w:r>
        <w:t>KOPSAVILKUMS</w:t>
      </w:r>
    </w:p>
    <w:bookmarkEnd w:id="0"/>
    <w:p w14:paraId="08DD3F83" w14:textId="3DD960F7" w:rsidR="001F2821" w:rsidRPr="001F2821" w:rsidRDefault="001F2821" w:rsidP="002554A8">
      <w:pPr>
        <w:pStyle w:val="Virsraksts3"/>
      </w:pPr>
      <w:r w:rsidRPr="001F2821">
        <w:t>HP VINPI ieguldījums sabiedrībai</w:t>
      </w:r>
    </w:p>
    <w:p w14:paraId="28BA7037" w14:textId="77777777" w:rsidR="00060E0B" w:rsidRPr="00060E0B" w:rsidRDefault="00060E0B" w:rsidP="00A12F2A">
      <w:pPr>
        <w:pStyle w:val="Paraststmeklis"/>
        <w:spacing w:before="120" w:beforeAutospacing="0" w:after="120" w:afterAutospacing="0"/>
        <w:jc w:val="both"/>
        <w:rPr>
          <w:rFonts w:ascii="Segoe UI" w:hAnsi="Segoe UI" w:cs="Segoe UI"/>
          <w:sz w:val="22"/>
          <w:szCs w:val="22"/>
        </w:rPr>
      </w:pPr>
      <w:r w:rsidRPr="00060E0B">
        <w:rPr>
          <w:rFonts w:ascii="Segoe UI" w:hAnsi="Segoe UI" w:cs="Segoe UI"/>
          <w:sz w:val="22"/>
          <w:szCs w:val="22"/>
        </w:rPr>
        <w:t xml:space="preserve">Horizontālā principa “Vienlīdzība, iekļaušana, </w:t>
      </w:r>
      <w:proofErr w:type="spellStart"/>
      <w:r w:rsidRPr="00060E0B">
        <w:rPr>
          <w:rFonts w:ascii="Segoe UI" w:hAnsi="Segoe UI" w:cs="Segoe UI"/>
          <w:sz w:val="22"/>
          <w:szCs w:val="22"/>
        </w:rPr>
        <w:t>nediskriminācija</w:t>
      </w:r>
      <w:proofErr w:type="spellEnd"/>
      <w:r w:rsidRPr="00060E0B">
        <w:rPr>
          <w:rFonts w:ascii="Segoe UI" w:hAnsi="Segoe UI" w:cs="Segoe UI"/>
          <w:sz w:val="22"/>
          <w:szCs w:val="22"/>
        </w:rPr>
        <w:t xml:space="preserve"> un </w:t>
      </w:r>
      <w:proofErr w:type="spellStart"/>
      <w:r w:rsidRPr="00060E0B">
        <w:rPr>
          <w:rFonts w:ascii="Segoe UI" w:hAnsi="Segoe UI" w:cs="Segoe UI"/>
          <w:sz w:val="22"/>
          <w:szCs w:val="22"/>
        </w:rPr>
        <w:t>pamattiesību</w:t>
      </w:r>
      <w:proofErr w:type="spellEnd"/>
      <w:r w:rsidRPr="00060E0B">
        <w:rPr>
          <w:rFonts w:ascii="Segoe UI" w:hAnsi="Segoe UI" w:cs="Segoe UI"/>
          <w:sz w:val="22"/>
          <w:szCs w:val="22"/>
        </w:rPr>
        <w:t xml:space="preserve"> ievērošana” mērķis ir nodrošināt, lai ES fondu investīciju ieguvumi būtu pieejami pēc iespējas plašākam sabiedrības lokam, tostarp personām ar invaliditāti, dažāda vecuma cilvēkiem, etnisko minoritāšu pārstāvjiem un citām sociālās atstumtības vai diskriminācijas riskam pakļautām grupām.</w:t>
      </w:r>
    </w:p>
    <w:p w14:paraId="17D1E12C" w14:textId="77777777" w:rsidR="00060E0B" w:rsidRDefault="00060E0B" w:rsidP="00A12F2A">
      <w:pPr>
        <w:pStyle w:val="Paraststmeklis"/>
        <w:spacing w:before="120" w:beforeAutospacing="0" w:after="120" w:afterAutospacing="0"/>
        <w:jc w:val="both"/>
        <w:rPr>
          <w:rFonts w:ascii="Segoe UI" w:hAnsi="Segoe UI" w:cs="Segoe UI"/>
          <w:sz w:val="22"/>
          <w:szCs w:val="22"/>
        </w:rPr>
      </w:pPr>
      <w:r w:rsidRPr="00060E0B">
        <w:rPr>
          <w:rFonts w:ascii="Segoe UI" w:hAnsi="Segoe UI" w:cs="Segoe UI"/>
          <w:sz w:val="22"/>
          <w:szCs w:val="22"/>
        </w:rPr>
        <w:t xml:space="preserve">Sabiedrībai tas nozīmē piekļūstamākus publiskos objektus, transportu, digitālos pakalpojumus un informāciju, kā arī mērķētāku atbalstu cilvēkiem, kuri saskaras ar šķēršļiem izglītībā, nodarbinātībā, pakalpojumu saņemšanā vai līdzdalībā sabiedrības dzīvē. </w:t>
      </w:r>
      <w:r>
        <w:rPr>
          <w:rFonts w:ascii="Segoe UI" w:hAnsi="Segoe UI" w:cs="Segoe UI"/>
          <w:sz w:val="22"/>
          <w:szCs w:val="22"/>
        </w:rPr>
        <w:t>Ziņojumā a</w:t>
      </w:r>
      <w:r w:rsidRPr="00060E0B">
        <w:rPr>
          <w:rFonts w:ascii="Segoe UI" w:hAnsi="Segoe UI" w:cs="Segoe UI"/>
          <w:sz w:val="22"/>
          <w:szCs w:val="22"/>
        </w:rPr>
        <w:t>nal</w:t>
      </w:r>
      <w:r>
        <w:rPr>
          <w:rFonts w:ascii="Segoe UI" w:hAnsi="Segoe UI" w:cs="Segoe UI"/>
          <w:sz w:val="22"/>
          <w:szCs w:val="22"/>
        </w:rPr>
        <w:t>izētie dati</w:t>
      </w:r>
      <w:r w:rsidRPr="00060E0B">
        <w:rPr>
          <w:rFonts w:ascii="Segoe UI" w:hAnsi="Segoe UI" w:cs="Segoe UI"/>
          <w:sz w:val="22"/>
          <w:szCs w:val="22"/>
        </w:rPr>
        <w:t xml:space="preserve"> liecina, ka nozīmīgākie rezultāti sasniegti </w:t>
      </w:r>
      <w:proofErr w:type="spellStart"/>
      <w:r w:rsidRPr="00060E0B">
        <w:rPr>
          <w:rFonts w:ascii="Segoe UI" w:hAnsi="Segoe UI" w:cs="Segoe UI"/>
          <w:sz w:val="22"/>
          <w:szCs w:val="22"/>
        </w:rPr>
        <w:t>piekļūstamības</w:t>
      </w:r>
      <w:proofErr w:type="spellEnd"/>
      <w:r w:rsidRPr="00060E0B">
        <w:rPr>
          <w:rFonts w:ascii="Segoe UI" w:hAnsi="Segoe UI" w:cs="Segoe UI"/>
          <w:sz w:val="22"/>
          <w:szCs w:val="22"/>
        </w:rPr>
        <w:t xml:space="preserve"> un sociālās iekļaušanas jomā, īpaši veicinot personu ar invaliditāti līdzdalību un </w:t>
      </w:r>
      <w:proofErr w:type="spellStart"/>
      <w:r w:rsidRPr="00060E0B">
        <w:rPr>
          <w:rFonts w:ascii="Segoe UI" w:hAnsi="Segoe UI" w:cs="Segoe UI"/>
          <w:sz w:val="22"/>
          <w:szCs w:val="22"/>
        </w:rPr>
        <w:t>piekļūstamības</w:t>
      </w:r>
      <w:proofErr w:type="spellEnd"/>
      <w:r w:rsidRPr="00060E0B">
        <w:rPr>
          <w:rFonts w:ascii="Segoe UI" w:hAnsi="Segoe UI" w:cs="Segoe UI"/>
          <w:sz w:val="22"/>
          <w:szCs w:val="22"/>
        </w:rPr>
        <w:t xml:space="preserve"> prasību integrēšanu projektos. </w:t>
      </w:r>
    </w:p>
    <w:p w14:paraId="136FAB80" w14:textId="504AD8BE" w:rsidR="00060E0B" w:rsidRPr="00060E0B" w:rsidRDefault="00060E0B" w:rsidP="00A12F2A">
      <w:pPr>
        <w:pStyle w:val="Paraststmeklis"/>
        <w:spacing w:before="120" w:beforeAutospacing="0" w:after="120" w:afterAutospacing="0"/>
        <w:jc w:val="both"/>
        <w:rPr>
          <w:rFonts w:ascii="Segoe UI" w:hAnsi="Segoe UI" w:cs="Segoe UI"/>
          <w:sz w:val="22"/>
          <w:szCs w:val="22"/>
        </w:rPr>
      </w:pPr>
      <w:r w:rsidRPr="00060E0B">
        <w:rPr>
          <w:rFonts w:ascii="Segoe UI" w:hAnsi="Segoe UI" w:cs="Segoe UI"/>
          <w:sz w:val="22"/>
          <w:szCs w:val="22"/>
        </w:rPr>
        <w:t xml:space="preserve">Vienlaikus projektu pieredze apliecina, ka ilgtspējīgākie un efektīvākie risinājumi tiek panākti tad, ja </w:t>
      </w:r>
      <w:proofErr w:type="spellStart"/>
      <w:r w:rsidRPr="00060E0B">
        <w:rPr>
          <w:rFonts w:ascii="Segoe UI" w:hAnsi="Segoe UI" w:cs="Segoe UI"/>
          <w:sz w:val="22"/>
          <w:szCs w:val="22"/>
        </w:rPr>
        <w:t>piekļūstamības</w:t>
      </w:r>
      <w:proofErr w:type="spellEnd"/>
      <w:r w:rsidRPr="00060E0B">
        <w:rPr>
          <w:rFonts w:ascii="Segoe UI" w:hAnsi="Segoe UI" w:cs="Segoe UI"/>
          <w:sz w:val="22"/>
          <w:szCs w:val="22"/>
        </w:rPr>
        <w:t xml:space="preserve"> un universālā dizaina principi tiek ņemti vērā jau investīciju plānošanas un projektēšanas posmā</w:t>
      </w:r>
      <w:r w:rsidR="00A12F2A">
        <w:rPr>
          <w:rFonts w:ascii="Segoe UI" w:hAnsi="Segoe UI" w:cs="Segoe UI"/>
          <w:sz w:val="22"/>
          <w:szCs w:val="22"/>
        </w:rPr>
        <w:t>.</w:t>
      </w:r>
    </w:p>
    <w:p w14:paraId="100A7CD6" w14:textId="77777777" w:rsidR="001F2821" w:rsidRPr="001F2821" w:rsidRDefault="001F2821" w:rsidP="002554A8">
      <w:pPr>
        <w:pStyle w:val="Virsraksts3"/>
      </w:pPr>
      <w:r w:rsidRPr="001F2821">
        <w:t>HP pievienotā vērtība</w:t>
      </w:r>
    </w:p>
    <w:p w14:paraId="64DBB56C" w14:textId="209BC9FB" w:rsidR="00F46148" w:rsidRDefault="00F46148" w:rsidP="00A12F2A">
      <w:pPr>
        <w:pStyle w:val="Paraststmeklis"/>
        <w:spacing w:line="300" w:lineRule="atLeast"/>
        <w:jc w:val="both"/>
        <w:rPr>
          <w:rFonts w:ascii="Segoe UI" w:hAnsi="Segoe UI" w:cs="Segoe UI"/>
          <w:sz w:val="21"/>
          <w:szCs w:val="21"/>
        </w:rPr>
      </w:pPr>
      <w:r>
        <w:rPr>
          <w:rFonts w:ascii="Segoe UI" w:hAnsi="Segoe UI" w:cs="Segoe UI"/>
          <w:sz w:val="21"/>
          <w:szCs w:val="21"/>
        </w:rPr>
        <w:t xml:space="preserve">HP VINPI pievienotā vērtība ir vienlīdzīgu iespēju, </w:t>
      </w:r>
      <w:proofErr w:type="spellStart"/>
      <w:r>
        <w:rPr>
          <w:rFonts w:ascii="Segoe UI" w:hAnsi="Segoe UI" w:cs="Segoe UI"/>
          <w:sz w:val="21"/>
          <w:szCs w:val="21"/>
        </w:rPr>
        <w:t>nediskriminācijas</w:t>
      </w:r>
      <w:proofErr w:type="spellEnd"/>
      <w:r>
        <w:rPr>
          <w:rFonts w:ascii="Segoe UI" w:hAnsi="Segoe UI" w:cs="Segoe UI"/>
          <w:sz w:val="21"/>
          <w:szCs w:val="21"/>
        </w:rPr>
        <w:t xml:space="preserve">, </w:t>
      </w:r>
      <w:proofErr w:type="spellStart"/>
      <w:r>
        <w:rPr>
          <w:rFonts w:ascii="Segoe UI" w:hAnsi="Segoe UI" w:cs="Segoe UI"/>
          <w:sz w:val="21"/>
          <w:szCs w:val="21"/>
        </w:rPr>
        <w:t>piekļūstamības</w:t>
      </w:r>
      <w:proofErr w:type="spellEnd"/>
      <w:r>
        <w:rPr>
          <w:rFonts w:ascii="Segoe UI" w:hAnsi="Segoe UI" w:cs="Segoe UI"/>
          <w:sz w:val="21"/>
          <w:szCs w:val="21"/>
        </w:rPr>
        <w:t xml:space="preserve"> un </w:t>
      </w:r>
      <w:proofErr w:type="spellStart"/>
      <w:r>
        <w:rPr>
          <w:rFonts w:ascii="Segoe UI" w:hAnsi="Segoe UI" w:cs="Segoe UI"/>
          <w:sz w:val="21"/>
          <w:szCs w:val="21"/>
        </w:rPr>
        <w:t>pamattiesību</w:t>
      </w:r>
      <w:proofErr w:type="spellEnd"/>
      <w:r>
        <w:rPr>
          <w:rFonts w:ascii="Segoe UI" w:hAnsi="Segoe UI" w:cs="Segoe UI"/>
          <w:sz w:val="21"/>
          <w:szCs w:val="21"/>
        </w:rPr>
        <w:t xml:space="preserve"> aspektu sistemātiska integrēšana visā ES fondu investīciju ciklā – no programmas un normatīvā regulējuma izstrādes līdz projektu atlasei, īstenošanai un rezultātu uzraudzībai. To apliecina fakts, ka </w:t>
      </w:r>
      <w:r w:rsidRPr="00DD7CA6">
        <w:rPr>
          <w:rFonts w:ascii="Segoe UI" w:hAnsi="Segoe UI" w:cs="Segoe UI"/>
          <w:b/>
          <w:bCs/>
          <w:sz w:val="21"/>
          <w:szCs w:val="21"/>
        </w:rPr>
        <w:t>74,1 %</w:t>
      </w:r>
      <w:r>
        <w:rPr>
          <w:rFonts w:ascii="Segoe UI" w:hAnsi="Segoe UI" w:cs="Segoe UI"/>
          <w:sz w:val="21"/>
          <w:szCs w:val="21"/>
        </w:rPr>
        <w:t xml:space="preserve"> no 189 Programmas specifiskajiem atbalsta mērķiem un pasākumiem ir noteikta tieša vai netieša ietekme uz horizontālā principa mērķu sasniegšanu, savukārt, iekļaujot pasākumus ar kombinēto klasifikāciju, šis īpatsvars sasniedz </w:t>
      </w:r>
      <w:r w:rsidRPr="00DD7CA6">
        <w:rPr>
          <w:rFonts w:ascii="Segoe UI" w:hAnsi="Segoe UI" w:cs="Segoe UI"/>
          <w:b/>
          <w:bCs/>
          <w:sz w:val="21"/>
          <w:szCs w:val="21"/>
        </w:rPr>
        <w:t>76,2 %.</w:t>
      </w:r>
      <w:r>
        <w:rPr>
          <w:rFonts w:ascii="Segoe UI" w:hAnsi="Segoe UI" w:cs="Segoe UI"/>
          <w:sz w:val="21"/>
          <w:szCs w:val="21"/>
        </w:rPr>
        <w:t xml:space="preserve"> </w:t>
      </w:r>
    </w:p>
    <w:p w14:paraId="5BCBEB44" w14:textId="13A05656" w:rsidR="00F46148" w:rsidRDefault="00F46148" w:rsidP="00A12F2A">
      <w:pPr>
        <w:pStyle w:val="Paraststmeklis"/>
        <w:spacing w:line="300" w:lineRule="atLeast"/>
        <w:jc w:val="both"/>
        <w:rPr>
          <w:rFonts w:ascii="Segoe UI" w:hAnsi="Segoe UI" w:cs="Segoe UI"/>
          <w:sz w:val="21"/>
          <w:szCs w:val="21"/>
        </w:rPr>
      </w:pPr>
      <w:r>
        <w:rPr>
          <w:rFonts w:ascii="Segoe UI" w:hAnsi="Segoe UI" w:cs="Segoe UI"/>
          <w:sz w:val="21"/>
          <w:szCs w:val="21"/>
        </w:rPr>
        <w:t xml:space="preserve">Tiešais ieguldījums galvenokārt koncentrējas sociālajās investīcijās, bet infrastruktūras, ekonomikas, mobilitātes un </w:t>
      </w:r>
      <w:proofErr w:type="spellStart"/>
      <w:r>
        <w:rPr>
          <w:rFonts w:ascii="Segoe UI" w:hAnsi="Segoe UI" w:cs="Segoe UI"/>
          <w:sz w:val="21"/>
          <w:szCs w:val="21"/>
        </w:rPr>
        <w:t>digitalizācijas</w:t>
      </w:r>
      <w:proofErr w:type="spellEnd"/>
      <w:r>
        <w:rPr>
          <w:rFonts w:ascii="Segoe UI" w:hAnsi="Segoe UI" w:cs="Segoe UI"/>
          <w:sz w:val="21"/>
          <w:szCs w:val="21"/>
        </w:rPr>
        <w:t xml:space="preserve"> projektos horizontālais princips veicina piekļūstamākas vides, pakalpojumu un informācijas pieejamību. Par principa praktisko ietekmi liecina arī HP rādītāju sasniegtās vērtības, kas atspoguļo konkrētas projektos īstenotas darbības, piemēram, </w:t>
      </w:r>
      <w:proofErr w:type="spellStart"/>
      <w:r>
        <w:rPr>
          <w:rFonts w:ascii="Segoe UI" w:hAnsi="Segoe UI" w:cs="Segoe UI"/>
          <w:sz w:val="21"/>
          <w:szCs w:val="21"/>
        </w:rPr>
        <w:t>piekļūstamības</w:t>
      </w:r>
      <w:proofErr w:type="spellEnd"/>
      <w:r>
        <w:rPr>
          <w:rFonts w:ascii="Segoe UI" w:hAnsi="Segoe UI" w:cs="Segoe UI"/>
          <w:sz w:val="21"/>
          <w:szCs w:val="21"/>
        </w:rPr>
        <w:t xml:space="preserve"> uzlabojumus, pielāgotus risinājumus personām ar invaliditāti, dažādu </w:t>
      </w:r>
      <w:proofErr w:type="spellStart"/>
      <w:r>
        <w:rPr>
          <w:rFonts w:ascii="Segoe UI" w:hAnsi="Segoe UI" w:cs="Segoe UI"/>
          <w:sz w:val="21"/>
          <w:szCs w:val="21"/>
        </w:rPr>
        <w:t>mērķgrupu</w:t>
      </w:r>
      <w:proofErr w:type="spellEnd"/>
      <w:r>
        <w:rPr>
          <w:rFonts w:ascii="Segoe UI" w:hAnsi="Segoe UI" w:cs="Segoe UI"/>
          <w:sz w:val="21"/>
          <w:szCs w:val="21"/>
        </w:rPr>
        <w:t xml:space="preserve"> iesaisti un diskriminācijas risku mazināšanu. </w:t>
      </w:r>
    </w:p>
    <w:p w14:paraId="1AC94C26" w14:textId="1B82A857" w:rsidR="00B149B1" w:rsidRPr="00B149B1" w:rsidRDefault="00F46148" w:rsidP="00054819">
      <w:pPr>
        <w:pStyle w:val="Paraststmeklis"/>
        <w:spacing w:line="300" w:lineRule="atLeast"/>
        <w:jc w:val="both"/>
        <w:rPr>
          <w:rFonts w:ascii="Segoe UI" w:hAnsi="Segoe UI" w:cs="Segoe UI"/>
          <w:sz w:val="21"/>
          <w:szCs w:val="21"/>
        </w:rPr>
      </w:pPr>
      <w:r>
        <w:rPr>
          <w:rFonts w:ascii="Segoe UI" w:hAnsi="Segoe UI" w:cs="Segoe UI"/>
          <w:sz w:val="21"/>
          <w:szCs w:val="21"/>
        </w:rPr>
        <w:t xml:space="preserve">Vienlaikus HP pievienotā vērtība sniedzas ārpus formāli noteiktās ietekmes klasifikācijas. Arī projektos, kuros nav noteikta tieša vai netieša ietekme uz HP, praksē tiek īstenoti </w:t>
      </w:r>
      <w:proofErr w:type="spellStart"/>
      <w:r>
        <w:rPr>
          <w:rFonts w:ascii="Segoe UI" w:hAnsi="Segoe UI" w:cs="Segoe UI"/>
          <w:sz w:val="21"/>
          <w:szCs w:val="21"/>
        </w:rPr>
        <w:t>piekļūstamības</w:t>
      </w:r>
      <w:proofErr w:type="spellEnd"/>
      <w:r>
        <w:rPr>
          <w:rFonts w:ascii="Segoe UI" w:hAnsi="Segoe UI" w:cs="Segoe UI"/>
          <w:sz w:val="21"/>
          <w:szCs w:val="21"/>
        </w:rPr>
        <w:t xml:space="preserve">, </w:t>
      </w:r>
      <w:proofErr w:type="spellStart"/>
      <w:r>
        <w:rPr>
          <w:rFonts w:ascii="Segoe UI" w:hAnsi="Segoe UI" w:cs="Segoe UI"/>
          <w:sz w:val="21"/>
          <w:szCs w:val="21"/>
        </w:rPr>
        <w:t>nediskriminācijas</w:t>
      </w:r>
      <w:proofErr w:type="spellEnd"/>
      <w:r>
        <w:rPr>
          <w:rFonts w:ascii="Segoe UI" w:hAnsi="Segoe UI" w:cs="Segoe UI"/>
          <w:sz w:val="21"/>
          <w:szCs w:val="21"/>
        </w:rPr>
        <w:t xml:space="preserve"> un sociālās atbildības risinājumi</w:t>
      </w:r>
      <w:r w:rsidR="00054819">
        <w:rPr>
          <w:rFonts w:ascii="Segoe UI" w:hAnsi="Segoe UI" w:cs="Segoe UI"/>
          <w:sz w:val="21"/>
          <w:szCs w:val="21"/>
        </w:rPr>
        <w:t>.</w:t>
      </w:r>
      <w:r>
        <w:rPr>
          <w:rFonts w:ascii="Segoe UI" w:hAnsi="Segoe UI" w:cs="Segoe UI"/>
          <w:sz w:val="21"/>
          <w:szCs w:val="21"/>
        </w:rPr>
        <w:t xml:space="preserve"> </w:t>
      </w:r>
      <w:bookmarkStart w:id="2" w:name="_Hlk242366258"/>
      <w:r w:rsidR="00054819">
        <w:rPr>
          <w:rFonts w:ascii="Segoe UI" w:hAnsi="Segoe UI" w:cs="Segoe UI"/>
          <w:sz w:val="21"/>
          <w:szCs w:val="21"/>
        </w:rPr>
        <w:t>P</w:t>
      </w:r>
      <w:r w:rsidR="00B149B1" w:rsidRPr="00B149B1">
        <w:rPr>
          <w:rFonts w:ascii="Segoe UI" w:hAnsi="Segoe UI" w:cs="Segoe UI"/>
          <w:sz w:val="21"/>
          <w:szCs w:val="21"/>
        </w:rPr>
        <w:t>iemēram, projektu īstenotāji nodrošina piekļūstamu komunikāciju un pasākumus, īsteno nediskriminējošu personāla atlasi, kā arī piemēro sociāli atbildīgu publisko iepirkumu pieeju</w:t>
      </w:r>
      <w:r w:rsidR="00054819">
        <w:rPr>
          <w:rFonts w:ascii="Segoe UI" w:hAnsi="Segoe UI" w:cs="Segoe UI"/>
          <w:sz w:val="21"/>
          <w:szCs w:val="21"/>
        </w:rPr>
        <w:t xml:space="preserve">, </w:t>
      </w:r>
      <w:r w:rsidR="00B149B1" w:rsidRPr="00B149B1">
        <w:rPr>
          <w:rFonts w:ascii="Segoe UI" w:hAnsi="Segoe UI" w:cs="Segoe UI"/>
          <w:sz w:val="21"/>
          <w:szCs w:val="21"/>
        </w:rPr>
        <w:t>veicinot iekļaujošāku un pieejamāku publisko investīciju rezultātu visai sabiedrībai.</w:t>
      </w:r>
    </w:p>
    <w:bookmarkEnd w:id="2"/>
    <w:p w14:paraId="25BD7DCE" w14:textId="50EF1A71" w:rsidR="001F2821" w:rsidRPr="001F2821" w:rsidRDefault="00316980" w:rsidP="002554A8">
      <w:pPr>
        <w:pStyle w:val="Virsraksts1"/>
        <w:shd w:val="clear" w:color="auto" w:fill="9A0000"/>
      </w:pPr>
      <w:r>
        <w:lastRenderedPageBreak/>
        <w:t>Dažādu s</w:t>
      </w:r>
      <w:r w:rsidR="001F2821" w:rsidRPr="001F2821">
        <w:t>abiedrības grupu sasniegšana</w:t>
      </w:r>
    </w:p>
    <w:p w14:paraId="390402B1" w14:textId="056CE6BA" w:rsidR="00470403" w:rsidRDefault="00470403" w:rsidP="00470403">
      <w:pPr>
        <w:pStyle w:val="Paraststmeklis"/>
        <w:spacing w:line="300" w:lineRule="atLeast"/>
        <w:jc w:val="both"/>
        <w:rPr>
          <w:rFonts w:ascii="Segoe UI" w:hAnsi="Segoe UI" w:cs="Segoe UI"/>
          <w:sz w:val="21"/>
          <w:szCs w:val="21"/>
        </w:rPr>
      </w:pPr>
      <w:r>
        <w:rPr>
          <w:rFonts w:ascii="Segoe UI" w:hAnsi="Segoe UI" w:cs="Segoe UI"/>
          <w:sz w:val="21"/>
          <w:szCs w:val="21"/>
        </w:rPr>
        <w:t xml:space="preserve">ESF+ pasākumos pārskata periodā reģistrēti </w:t>
      </w:r>
      <w:r>
        <w:rPr>
          <w:rStyle w:val="Izteiksmgs"/>
          <w:rFonts w:ascii="Segoe UI" w:hAnsi="Segoe UI" w:cs="Segoe UI"/>
          <w:sz w:val="21"/>
          <w:szCs w:val="21"/>
        </w:rPr>
        <w:t xml:space="preserve">51 417 </w:t>
      </w:r>
      <w:r w:rsidRPr="005413A3">
        <w:rPr>
          <w:rStyle w:val="Izteiksmgs"/>
          <w:rFonts w:ascii="Segoe UI" w:hAnsi="Segoe UI" w:cs="Segoe UI"/>
          <w:b w:val="0"/>
          <w:bCs w:val="0"/>
          <w:sz w:val="21"/>
          <w:szCs w:val="21"/>
        </w:rPr>
        <w:t>dalībnieki</w:t>
      </w:r>
      <w:r w:rsidRPr="005413A3">
        <w:rPr>
          <w:rStyle w:val="Izteiksmgs"/>
          <w:rFonts w:ascii="Segoe UI" w:hAnsi="Segoe UI" w:cs="Segoe UI"/>
          <w:b w:val="0"/>
          <w:bCs w:val="0"/>
          <w:sz w:val="21"/>
          <w:szCs w:val="21"/>
        </w:rPr>
        <w:t xml:space="preserve"> (</w:t>
      </w:r>
      <w:r w:rsidR="005413A3" w:rsidRPr="005413A3">
        <w:rPr>
          <w:rStyle w:val="Izteiksmgs"/>
          <w:rFonts w:ascii="Segoe UI" w:hAnsi="Segoe UI" w:cs="Segoe UI"/>
          <w:b w:val="0"/>
          <w:bCs w:val="0"/>
          <w:sz w:val="21"/>
          <w:szCs w:val="21"/>
        </w:rPr>
        <w:t>18 091 vīrieši, 33 326 sievietes</w:t>
      </w:r>
      <w:r w:rsidR="005413A3" w:rsidRPr="005413A3">
        <w:rPr>
          <w:rStyle w:val="Izteiksmgs"/>
          <w:rFonts w:ascii="Segoe UI" w:hAnsi="Segoe UI" w:cs="Segoe UI"/>
          <w:b w:val="0"/>
          <w:bCs w:val="0"/>
          <w:sz w:val="21"/>
          <w:szCs w:val="21"/>
        </w:rPr>
        <w:t>)</w:t>
      </w:r>
      <w:r w:rsidRPr="005413A3">
        <w:rPr>
          <w:rFonts w:ascii="Segoe UI" w:hAnsi="Segoe UI" w:cs="Segoe UI"/>
          <w:b/>
          <w:bCs/>
          <w:sz w:val="21"/>
          <w:szCs w:val="21"/>
        </w:rPr>
        <w:t>,</w:t>
      </w:r>
      <w:r>
        <w:rPr>
          <w:rFonts w:ascii="Segoe UI" w:hAnsi="Segoe UI" w:cs="Segoe UI"/>
          <w:sz w:val="21"/>
          <w:szCs w:val="21"/>
        </w:rPr>
        <w:t xml:space="preserve"> kas apliecina Programmas spēju sasniegt gan plašas sabiedrības grupas, gan iedzīvotājus, kuri pakļauti augstākam nevienlīdzības, diskriminācijas vai sociālās atstumtības riskam. Sievietes veido </w:t>
      </w:r>
      <w:r>
        <w:rPr>
          <w:rStyle w:val="Izteiksmgs"/>
          <w:rFonts w:ascii="Segoe UI" w:hAnsi="Segoe UI" w:cs="Segoe UI"/>
          <w:sz w:val="21"/>
          <w:szCs w:val="21"/>
        </w:rPr>
        <w:t>64,8 %</w:t>
      </w:r>
      <w:r>
        <w:rPr>
          <w:rFonts w:ascii="Segoe UI" w:hAnsi="Segoe UI" w:cs="Segoe UI"/>
          <w:sz w:val="21"/>
          <w:szCs w:val="21"/>
        </w:rPr>
        <w:t xml:space="preserve"> no dalībniekiem, kas galvenokārt skaidrojams ar izglītības, veselības un sociālās aprūpes nozaru specifiku un šo nozaru </w:t>
      </w:r>
      <w:proofErr w:type="spellStart"/>
      <w:r>
        <w:rPr>
          <w:rFonts w:ascii="Segoe UI" w:hAnsi="Segoe UI" w:cs="Segoe UI"/>
          <w:sz w:val="21"/>
          <w:szCs w:val="21"/>
        </w:rPr>
        <w:t>mērķgrupu</w:t>
      </w:r>
      <w:proofErr w:type="spellEnd"/>
      <w:r>
        <w:rPr>
          <w:rFonts w:ascii="Segoe UI" w:hAnsi="Segoe UI" w:cs="Segoe UI"/>
          <w:sz w:val="21"/>
          <w:szCs w:val="21"/>
        </w:rPr>
        <w:t xml:space="preserve"> struktūru. Lielāko dalībnieku daļu veido personas vecumā no </w:t>
      </w:r>
      <w:r>
        <w:rPr>
          <w:rStyle w:val="Izteiksmgs"/>
          <w:rFonts w:ascii="Segoe UI" w:hAnsi="Segoe UI" w:cs="Segoe UI"/>
          <w:sz w:val="21"/>
          <w:szCs w:val="21"/>
        </w:rPr>
        <w:t>30 līdz 54 gadiem</w:t>
      </w:r>
      <w:r>
        <w:rPr>
          <w:rFonts w:ascii="Segoe UI" w:hAnsi="Segoe UI" w:cs="Segoe UI"/>
          <w:sz w:val="21"/>
          <w:szCs w:val="21"/>
        </w:rPr>
        <w:t xml:space="preserve">, savukārt jauniešu un senioru iesaiste ir zemāka, norādot uz nepieciešamību turpināt attīstīt mērķētus atbalsta risinājumus šīm grupām. </w:t>
      </w:r>
    </w:p>
    <w:p w14:paraId="69E81CD6" w14:textId="5877418A" w:rsidR="00470403" w:rsidRDefault="00470403" w:rsidP="00470403">
      <w:pPr>
        <w:pStyle w:val="Paraststmeklis"/>
        <w:spacing w:line="300" w:lineRule="atLeast"/>
        <w:jc w:val="both"/>
        <w:rPr>
          <w:rFonts w:ascii="Segoe UI" w:hAnsi="Segoe UI" w:cs="Segoe UI"/>
          <w:sz w:val="21"/>
          <w:szCs w:val="21"/>
        </w:rPr>
      </w:pPr>
      <w:r>
        <w:rPr>
          <w:rFonts w:ascii="Segoe UI" w:hAnsi="Segoe UI" w:cs="Segoe UI"/>
          <w:sz w:val="21"/>
          <w:szCs w:val="21"/>
        </w:rPr>
        <w:t xml:space="preserve">Personas ar invaliditāti veido </w:t>
      </w:r>
      <w:r>
        <w:rPr>
          <w:rStyle w:val="Izteiksmgs"/>
          <w:rFonts w:ascii="Segoe UI" w:hAnsi="Segoe UI" w:cs="Segoe UI"/>
          <w:sz w:val="21"/>
          <w:szCs w:val="21"/>
        </w:rPr>
        <w:t>11,4 %</w:t>
      </w:r>
      <w:r>
        <w:rPr>
          <w:rFonts w:ascii="Segoe UI" w:hAnsi="Segoe UI" w:cs="Segoe UI"/>
          <w:sz w:val="21"/>
          <w:szCs w:val="21"/>
        </w:rPr>
        <w:t xml:space="preserve"> no reģistrētajiem ESF+ dalībniekiem, un to līdzdalība galvenokārt koncentrējas pasākumos, kuros šī grupa ir noteikta kā tiešā </w:t>
      </w:r>
      <w:proofErr w:type="spellStart"/>
      <w:r>
        <w:rPr>
          <w:rFonts w:ascii="Segoe UI" w:hAnsi="Segoe UI" w:cs="Segoe UI"/>
          <w:sz w:val="21"/>
          <w:szCs w:val="21"/>
        </w:rPr>
        <w:t>mērķgrupa</w:t>
      </w:r>
      <w:proofErr w:type="spellEnd"/>
      <w:r>
        <w:rPr>
          <w:rFonts w:ascii="Segoe UI" w:hAnsi="Segoe UI" w:cs="Segoe UI"/>
          <w:sz w:val="21"/>
          <w:szCs w:val="21"/>
        </w:rPr>
        <w:t xml:space="preserve">. Savukārt </w:t>
      </w:r>
      <w:r>
        <w:rPr>
          <w:rStyle w:val="Izteiksmgs"/>
          <w:rFonts w:ascii="Segoe UI" w:hAnsi="Segoe UI" w:cs="Segoe UI"/>
          <w:sz w:val="21"/>
          <w:szCs w:val="21"/>
        </w:rPr>
        <w:t>4060</w:t>
      </w:r>
      <w:r>
        <w:rPr>
          <w:rFonts w:ascii="Segoe UI" w:hAnsi="Segoe UI" w:cs="Segoe UI"/>
          <w:sz w:val="21"/>
          <w:szCs w:val="21"/>
        </w:rPr>
        <w:t xml:space="preserve"> reģistrēto etnisko minoritāšu pārstāvju iesaiste pārsvarā saistīta ar sociālās iekļaušanas, integrācijas un nodarbinātības pasākumiem. Tas apliecina, ka mērķētas intervences efektīvi sasniedz konkrētas sabiedrības grupas, vienlaikus aktualizējot nepieciešamību vienlīdzības, iekļaušanas un </w:t>
      </w:r>
      <w:proofErr w:type="spellStart"/>
      <w:r>
        <w:rPr>
          <w:rFonts w:ascii="Segoe UI" w:hAnsi="Segoe UI" w:cs="Segoe UI"/>
          <w:sz w:val="21"/>
          <w:szCs w:val="21"/>
        </w:rPr>
        <w:t>piekļūstamības</w:t>
      </w:r>
      <w:proofErr w:type="spellEnd"/>
      <w:r>
        <w:rPr>
          <w:rFonts w:ascii="Segoe UI" w:hAnsi="Segoe UI" w:cs="Segoe UI"/>
          <w:sz w:val="21"/>
          <w:szCs w:val="21"/>
        </w:rPr>
        <w:t xml:space="preserve"> aspektus horizontāli integrēt plašākā ESF+ pasākumu lokā.</w:t>
      </w:r>
    </w:p>
    <w:p w14:paraId="16349667" w14:textId="77777777" w:rsidR="001F2821" w:rsidRPr="001F2821" w:rsidRDefault="001F2821" w:rsidP="002554A8">
      <w:pPr>
        <w:pStyle w:val="Virsraksts3"/>
      </w:pPr>
      <w:r w:rsidRPr="001F2821">
        <w:t>Praktiski ieguvumi projektu līmenī</w:t>
      </w:r>
    </w:p>
    <w:p w14:paraId="1DF7A1F7" w14:textId="6083CEE0" w:rsidR="00047B53" w:rsidRDefault="00047B53" w:rsidP="00047B53">
      <w:pPr>
        <w:pStyle w:val="Paraststmeklis"/>
        <w:spacing w:line="300" w:lineRule="atLeast"/>
        <w:jc w:val="both"/>
        <w:rPr>
          <w:rFonts w:ascii="Segoe UI" w:hAnsi="Segoe UI" w:cs="Segoe UI"/>
          <w:sz w:val="21"/>
          <w:szCs w:val="21"/>
        </w:rPr>
      </w:pPr>
      <w:r>
        <w:rPr>
          <w:rFonts w:ascii="Segoe UI" w:hAnsi="Segoe UI" w:cs="Segoe UI"/>
          <w:sz w:val="21"/>
          <w:szCs w:val="21"/>
        </w:rPr>
        <w:t xml:space="preserve">HP VINPI rādītāji apliecina, ka horizontālais princips projektu līmenī tiek īstenots ar konkrētām </w:t>
      </w:r>
      <w:r>
        <w:rPr>
          <w:rFonts w:ascii="Segoe UI" w:hAnsi="Segoe UI" w:cs="Segoe UI"/>
          <w:sz w:val="21"/>
          <w:szCs w:val="21"/>
        </w:rPr>
        <w:t xml:space="preserve">specifiskām </w:t>
      </w:r>
      <w:r>
        <w:rPr>
          <w:rFonts w:ascii="Segoe UI" w:hAnsi="Segoe UI" w:cs="Segoe UI"/>
          <w:sz w:val="21"/>
          <w:szCs w:val="21"/>
        </w:rPr>
        <w:t>darbībām un sasnie</w:t>
      </w:r>
      <w:r>
        <w:rPr>
          <w:rFonts w:ascii="Segoe UI" w:hAnsi="Segoe UI" w:cs="Segoe UI"/>
          <w:sz w:val="21"/>
          <w:szCs w:val="21"/>
        </w:rPr>
        <w:t>gtajiem</w:t>
      </w:r>
      <w:r>
        <w:rPr>
          <w:rFonts w:ascii="Segoe UI" w:hAnsi="Segoe UI" w:cs="Segoe UI"/>
          <w:sz w:val="21"/>
          <w:szCs w:val="21"/>
        </w:rPr>
        <w:t xml:space="preserve"> rezultātiem. Pārskata periodā analizēti 218 ESF+ projekti un 2192 materiālo investīciju projekti, kuros horizontālā principa prasības integrētas pakalpojumu, infrastruktūras un informācijas </w:t>
      </w:r>
      <w:proofErr w:type="spellStart"/>
      <w:r>
        <w:rPr>
          <w:rFonts w:ascii="Segoe UI" w:hAnsi="Segoe UI" w:cs="Segoe UI"/>
          <w:sz w:val="21"/>
          <w:szCs w:val="21"/>
        </w:rPr>
        <w:t>piekļūstamības</w:t>
      </w:r>
      <w:proofErr w:type="spellEnd"/>
      <w:r>
        <w:rPr>
          <w:rFonts w:ascii="Segoe UI" w:hAnsi="Segoe UI" w:cs="Segoe UI"/>
          <w:sz w:val="21"/>
          <w:szCs w:val="21"/>
        </w:rPr>
        <w:t xml:space="preserve"> uzlabošanā. </w:t>
      </w:r>
    </w:p>
    <w:p w14:paraId="400D4990" w14:textId="701FBEFD" w:rsidR="00047B53" w:rsidRDefault="00047B53" w:rsidP="00047B53">
      <w:pPr>
        <w:pStyle w:val="Paraststmeklis"/>
        <w:spacing w:line="300" w:lineRule="atLeast"/>
        <w:jc w:val="both"/>
        <w:rPr>
          <w:rFonts w:ascii="Segoe UI" w:hAnsi="Segoe UI" w:cs="Segoe UI"/>
          <w:sz w:val="21"/>
          <w:szCs w:val="21"/>
        </w:rPr>
      </w:pPr>
      <w:r>
        <w:rPr>
          <w:rFonts w:ascii="Segoe UI" w:hAnsi="Segoe UI" w:cs="Segoe UI"/>
          <w:sz w:val="21"/>
          <w:szCs w:val="21"/>
        </w:rPr>
        <w:t xml:space="preserve">Visplašāk izmantotie rādītāji saistīti ar piekļūstamu pasākumu nodrošināšanu, personu ar invaliditāti sasniegšanu, atbalstu sociālās atstumtības riskam pakļautām personām un </w:t>
      </w:r>
      <w:proofErr w:type="spellStart"/>
      <w:r>
        <w:rPr>
          <w:rFonts w:ascii="Segoe UI" w:hAnsi="Segoe UI" w:cs="Segoe UI"/>
          <w:sz w:val="21"/>
          <w:szCs w:val="21"/>
        </w:rPr>
        <w:t>nediskriminācijas</w:t>
      </w:r>
      <w:proofErr w:type="spellEnd"/>
      <w:r>
        <w:rPr>
          <w:rFonts w:ascii="Segoe UI" w:hAnsi="Segoe UI" w:cs="Segoe UI"/>
          <w:sz w:val="21"/>
          <w:szCs w:val="21"/>
        </w:rPr>
        <w:t xml:space="preserve"> principa integrēšanu pasākumu un mācību saturā. Savukārt infrastruktūras projektos būtiskākie rezultāti saistīti ar piekļūstamu objektu, sabiedriskā transporta, digitālo pakalpojumu un </w:t>
      </w:r>
      <w:r w:rsidR="009F6A6F">
        <w:rPr>
          <w:rFonts w:ascii="Segoe UI" w:hAnsi="Segoe UI" w:cs="Segoe UI"/>
          <w:sz w:val="21"/>
          <w:szCs w:val="21"/>
        </w:rPr>
        <w:t xml:space="preserve">piekļūstamu </w:t>
      </w:r>
      <w:r>
        <w:rPr>
          <w:rFonts w:ascii="Segoe UI" w:hAnsi="Segoe UI" w:cs="Segoe UI"/>
          <w:sz w:val="21"/>
          <w:szCs w:val="21"/>
        </w:rPr>
        <w:t xml:space="preserve">civilās aizsardzības risinājumu izveidi. </w:t>
      </w:r>
    </w:p>
    <w:p w14:paraId="5CCEE75B" w14:textId="34ACD90B" w:rsidR="00047B53" w:rsidRDefault="00047B53" w:rsidP="003115D6">
      <w:pPr>
        <w:pStyle w:val="Paraststmeklis"/>
        <w:spacing w:line="300" w:lineRule="atLeast"/>
        <w:jc w:val="both"/>
        <w:rPr>
          <w:rFonts w:ascii="Segoe UI" w:hAnsi="Segoe UI" w:cs="Segoe UI"/>
          <w:sz w:val="21"/>
          <w:szCs w:val="21"/>
        </w:rPr>
      </w:pPr>
      <w:r>
        <w:rPr>
          <w:rFonts w:ascii="Segoe UI" w:hAnsi="Segoe UI" w:cs="Segoe UI"/>
          <w:sz w:val="21"/>
          <w:szCs w:val="21"/>
        </w:rPr>
        <w:t xml:space="preserve">Praksē tas nozīmē piekļūstamākus pakalpojumus, informāciju un vidi, </w:t>
      </w:r>
      <w:r w:rsidR="003115D6">
        <w:rPr>
          <w:rFonts w:ascii="Segoe UI" w:hAnsi="Segoe UI" w:cs="Segoe UI"/>
          <w:sz w:val="21"/>
          <w:szCs w:val="21"/>
        </w:rPr>
        <w:t xml:space="preserve">tostarp </w:t>
      </w:r>
      <w:r>
        <w:rPr>
          <w:rFonts w:ascii="Segoe UI" w:hAnsi="Segoe UI" w:cs="Segoe UI"/>
          <w:sz w:val="21"/>
          <w:szCs w:val="21"/>
        </w:rPr>
        <w:t>zīmju valodas tulkojumus, subtitrus, informāciju vieglajā valodā, pielāgotus risinājumus personām ar invaliditāti, bērnu uzraudzības pakalpojumus un citus atbalsta mehānismus, kas cilvēkiem palīdz saņemt pakalpojumus, piedalīties izglītības un nodarbinātības pasākumos, izmantot publisko infrastruktūru un pilnvērtīgāk iesaistīties sabiedriskajā dzīvē.</w:t>
      </w:r>
    </w:p>
    <w:p w14:paraId="4E0DDC44" w14:textId="4AD6A61A" w:rsidR="001F2821" w:rsidRPr="001F2821" w:rsidRDefault="00436A30" w:rsidP="006B3E45">
      <w:pPr>
        <w:pStyle w:val="Virsraksts3"/>
      </w:pPr>
      <w:r>
        <w:t>Galvenie s</w:t>
      </w:r>
      <w:r w:rsidR="00A13C29">
        <w:t>ecinājumi un t</w:t>
      </w:r>
      <w:r w:rsidR="001F2821" w:rsidRPr="001F2821">
        <w:t>urpmāk pilnveidojamais</w:t>
      </w:r>
    </w:p>
    <w:p w14:paraId="3F350222" w14:textId="098FE804" w:rsidR="00436A30" w:rsidRDefault="00436A30" w:rsidP="00436A30">
      <w:pPr>
        <w:pStyle w:val="Paraststmeklis"/>
        <w:spacing w:line="300" w:lineRule="atLeast"/>
        <w:jc w:val="both"/>
        <w:rPr>
          <w:rFonts w:ascii="Segoe UI" w:hAnsi="Segoe UI" w:cs="Segoe UI"/>
          <w:sz w:val="21"/>
          <w:szCs w:val="21"/>
        </w:rPr>
      </w:pPr>
      <w:r>
        <w:rPr>
          <w:rFonts w:ascii="Segoe UI" w:hAnsi="Segoe UI" w:cs="Segoe UI"/>
          <w:sz w:val="21"/>
          <w:szCs w:val="21"/>
        </w:rPr>
        <w:t xml:space="preserve">Ziņojums apliecina, ka HP VINPI ir nostiprinājies kā neatņemama ES fondu plānošanas un ieviešanas sastāvdaļa. Vislielākie un vislabāk dokumentētie rezultāti sasniegti </w:t>
      </w:r>
      <w:proofErr w:type="spellStart"/>
      <w:r>
        <w:rPr>
          <w:rFonts w:ascii="Segoe UI" w:hAnsi="Segoe UI" w:cs="Segoe UI"/>
          <w:sz w:val="21"/>
          <w:szCs w:val="21"/>
        </w:rPr>
        <w:t>piekļūstamības</w:t>
      </w:r>
      <w:proofErr w:type="spellEnd"/>
      <w:r>
        <w:rPr>
          <w:rFonts w:ascii="Segoe UI" w:hAnsi="Segoe UI" w:cs="Segoe UI"/>
          <w:sz w:val="21"/>
          <w:szCs w:val="21"/>
        </w:rPr>
        <w:t>, sociālās iekļaušanas un personu ar invaliditāti atbalsta jomā</w:t>
      </w:r>
      <w:r>
        <w:rPr>
          <w:rFonts w:ascii="Segoe UI" w:hAnsi="Segoe UI" w:cs="Segoe UI"/>
          <w:sz w:val="21"/>
          <w:szCs w:val="21"/>
        </w:rPr>
        <w:t>. Ir</w:t>
      </w:r>
      <w:r>
        <w:rPr>
          <w:rFonts w:ascii="Segoe UI" w:hAnsi="Segoe UI" w:cs="Segoe UI"/>
          <w:sz w:val="21"/>
          <w:szCs w:val="21"/>
        </w:rPr>
        <w:t xml:space="preserve"> izveidota arī </w:t>
      </w:r>
      <w:r w:rsidR="003E66C7">
        <w:rPr>
          <w:rFonts w:ascii="Segoe UI" w:hAnsi="Segoe UI" w:cs="Segoe UI"/>
          <w:sz w:val="21"/>
          <w:szCs w:val="21"/>
        </w:rPr>
        <w:t>HP</w:t>
      </w:r>
      <w:r>
        <w:rPr>
          <w:rFonts w:ascii="Segoe UI" w:hAnsi="Segoe UI" w:cs="Segoe UI"/>
          <w:sz w:val="21"/>
          <w:szCs w:val="21"/>
        </w:rPr>
        <w:t xml:space="preserve"> uzraudzības sistēma un uzkrāts nozīmīgs pierādījumu kopums par īstenotajām darbībām un sasniegtajiem rezultātiem. Vienlaikus analīze parāda, ka horizontālā principa potenciāls vēl nav pilnībā izmantots visās investīciju jomās, īpaši inovāciju, </w:t>
      </w:r>
      <w:proofErr w:type="spellStart"/>
      <w:r>
        <w:rPr>
          <w:rFonts w:ascii="Segoe UI" w:hAnsi="Segoe UI" w:cs="Segoe UI"/>
          <w:sz w:val="21"/>
          <w:szCs w:val="21"/>
        </w:rPr>
        <w:t>digitalizācijas</w:t>
      </w:r>
      <w:proofErr w:type="spellEnd"/>
      <w:r>
        <w:rPr>
          <w:rFonts w:ascii="Segoe UI" w:hAnsi="Segoe UI" w:cs="Segoe UI"/>
          <w:sz w:val="21"/>
          <w:szCs w:val="21"/>
        </w:rPr>
        <w:t xml:space="preserve">, klimata un ekonomikas attīstības pasākumos. </w:t>
      </w:r>
    </w:p>
    <w:p w14:paraId="6F9FB5C7" w14:textId="70C49C45" w:rsidR="00436A30" w:rsidRDefault="00436A30" w:rsidP="00436A30">
      <w:pPr>
        <w:pStyle w:val="Paraststmeklis"/>
        <w:spacing w:line="300" w:lineRule="atLeast"/>
        <w:jc w:val="both"/>
        <w:rPr>
          <w:rFonts w:ascii="Segoe UI" w:hAnsi="Segoe UI" w:cs="Segoe UI"/>
          <w:sz w:val="21"/>
          <w:szCs w:val="21"/>
        </w:rPr>
      </w:pPr>
      <w:proofErr w:type="spellStart"/>
      <w:r>
        <w:rPr>
          <w:rFonts w:ascii="Segoe UI" w:hAnsi="Segoe UI" w:cs="Segoe UI"/>
          <w:sz w:val="21"/>
          <w:szCs w:val="21"/>
        </w:rPr>
        <w:t>Izvērtējums</w:t>
      </w:r>
      <w:proofErr w:type="spellEnd"/>
      <w:r>
        <w:rPr>
          <w:rFonts w:ascii="Segoe UI" w:hAnsi="Segoe UI" w:cs="Segoe UI"/>
          <w:sz w:val="21"/>
          <w:szCs w:val="21"/>
        </w:rPr>
        <w:t xml:space="preserve"> liecina, ka esošā uzraudzības sistēma sekmīgi uzkrāj informāciju par īstenotajām darbībām, sasniegtajām </w:t>
      </w:r>
      <w:proofErr w:type="spellStart"/>
      <w:r>
        <w:rPr>
          <w:rFonts w:ascii="Segoe UI" w:hAnsi="Segoe UI" w:cs="Segoe UI"/>
          <w:sz w:val="21"/>
          <w:szCs w:val="21"/>
        </w:rPr>
        <w:t>mērķgrupām</w:t>
      </w:r>
      <w:proofErr w:type="spellEnd"/>
      <w:r>
        <w:rPr>
          <w:rFonts w:ascii="Segoe UI" w:hAnsi="Segoe UI" w:cs="Segoe UI"/>
          <w:sz w:val="21"/>
          <w:szCs w:val="21"/>
        </w:rPr>
        <w:t xml:space="preserve"> un radītajiem </w:t>
      </w:r>
      <w:proofErr w:type="spellStart"/>
      <w:r>
        <w:rPr>
          <w:rFonts w:ascii="Segoe UI" w:hAnsi="Segoe UI" w:cs="Segoe UI"/>
          <w:sz w:val="21"/>
          <w:szCs w:val="21"/>
        </w:rPr>
        <w:t>piekļūstamības</w:t>
      </w:r>
      <w:proofErr w:type="spellEnd"/>
      <w:r>
        <w:rPr>
          <w:rFonts w:ascii="Segoe UI" w:hAnsi="Segoe UI" w:cs="Segoe UI"/>
          <w:sz w:val="21"/>
          <w:szCs w:val="21"/>
        </w:rPr>
        <w:t xml:space="preserve"> risinājumiem. Tomēr datu kvalitāte un </w:t>
      </w:r>
      <w:r>
        <w:rPr>
          <w:rFonts w:ascii="Segoe UI" w:hAnsi="Segoe UI" w:cs="Segoe UI"/>
          <w:sz w:val="21"/>
          <w:szCs w:val="21"/>
        </w:rPr>
        <w:lastRenderedPageBreak/>
        <w:t xml:space="preserve">salīdzināmība dažādos pasākumos joprojām ir nevienmērīga, daļa rādītāju tiek izmantoti ierobežoti, bet pieejamā informācija ne vienmēr ļauj pilnvērtīgi novērtēt faktisko ietekmi uz cilvēku dzīvi un sasniegtajām pārmaiņām. Tādēļ līdztekus kvantitatīvajai uzraudzībai turpmāk būtu veicami arī mērķēti </w:t>
      </w:r>
      <w:proofErr w:type="spellStart"/>
      <w:r>
        <w:rPr>
          <w:rFonts w:ascii="Segoe UI" w:hAnsi="Segoe UI" w:cs="Segoe UI"/>
          <w:sz w:val="21"/>
          <w:szCs w:val="21"/>
        </w:rPr>
        <w:t>izvērtējumi</w:t>
      </w:r>
      <w:proofErr w:type="spellEnd"/>
      <w:r>
        <w:rPr>
          <w:rFonts w:ascii="Segoe UI" w:hAnsi="Segoe UI" w:cs="Segoe UI"/>
          <w:sz w:val="21"/>
          <w:szCs w:val="21"/>
        </w:rPr>
        <w:t xml:space="preserve"> par HP īstenošanas kvalitāti un tās ietekmi uz dažādām sabiedrības grupām. </w:t>
      </w:r>
    </w:p>
    <w:p w14:paraId="5D0D94EB" w14:textId="77777777" w:rsidR="00436A30" w:rsidRDefault="00436A30" w:rsidP="00436A30">
      <w:pPr>
        <w:pStyle w:val="Paraststmeklis"/>
        <w:spacing w:line="300" w:lineRule="atLeast"/>
        <w:jc w:val="both"/>
        <w:rPr>
          <w:rFonts w:ascii="Segoe UI" w:hAnsi="Segoe UI" w:cs="Segoe UI"/>
          <w:sz w:val="21"/>
          <w:szCs w:val="21"/>
        </w:rPr>
      </w:pPr>
      <w:r>
        <w:rPr>
          <w:rFonts w:ascii="Segoe UI" w:hAnsi="Segoe UI" w:cs="Segoe UI"/>
          <w:sz w:val="21"/>
          <w:szCs w:val="21"/>
        </w:rPr>
        <w:t xml:space="preserve">2028.–2034. gada plānošanas periodā galvenais uzdevums nav paplašināt horizontālā principa tvērumu, bet gan stiprināt tā kvalitatīvu un nozares specifikā balstītu īstenošanu. Nepieciešams pilnveidot rādītāju sistēmu, uzlabot datu kvalitāti un salīdzināmību, ciešāk sasaistīt HP prasības ar nozaru attīstības mērķiem un kvantitatīvo uzraudzību papildināt ar cilvēku pieredzes un faktiski sasniegto pārmaiņu </w:t>
      </w:r>
      <w:proofErr w:type="spellStart"/>
      <w:r>
        <w:rPr>
          <w:rFonts w:ascii="Segoe UI" w:hAnsi="Segoe UI" w:cs="Segoe UI"/>
          <w:sz w:val="21"/>
          <w:szCs w:val="21"/>
        </w:rPr>
        <w:t>izvērtējumu</w:t>
      </w:r>
      <w:proofErr w:type="spellEnd"/>
      <w:r>
        <w:rPr>
          <w:rFonts w:ascii="Segoe UI" w:hAnsi="Segoe UI" w:cs="Segoe UI"/>
          <w:sz w:val="21"/>
          <w:szCs w:val="21"/>
        </w:rPr>
        <w:t xml:space="preserve">. Tas ļaus precīzāk novērtēt un demonstrēt ES fondu investīciju ieguldījumu vienlīdzīgu iespēju, iekļaušanas, </w:t>
      </w:r>
      <w:proofErr w:type="spellStart"/>
      <w:r>
        <w:rPr>
          <w:rFonts w:ascii="Segoe UI" w:hAnsi="Segoe UI" w:cs="Segoe UI"/>
          <w:sz w:val="21"/>
          <w:szCs w:val="21"/>
        </w:rPr>
        <w:t>piekļūstamības</w:t>
      </w:r>
      <w:proofErr w:type="spellEnd"/>
      <w:r>
        <w:rPr>
          <w:rFonts w:ascii="Segoe UI" w:hAnsi="Segoe UI" w:cs="Segoe UI"/>
          <w:sz w:val="21"/>
          <w:szCs w:val="21"/>
        </w:rPr>
        <w:t xml:space="preserve"> un </w:t>
      </w:r>
      <w:proofErr w:type="spellStart"/>
      <w:r>
        <w:rPr>
          <w:rFonts w:ascii="Segoe UI" w:hAnsi="Segoe UI" w:cs="Segoe UI"/>
          <w:sz w:val="21"/>
          <w:szCs w:val="21"/>
        </w:rPr>
        <w:t>pamattiesību</w:t>
      </w:r>
      <w:proofErr w:type="spellEnd"/>
      <w:r>
        <w:rPr>
          <w:rFonts w:ascii="Segoe UI" w:hAnsi="Segoe UI" w:cs="Segoe UI"/>
          <w:sz w:val="21"/>
          <w:szCs w:val="21"/>
        </w:rPr>
        <w:t xml:space="preserve"> veicināšanā. Vienlaikus tas stiprinās izpratni, ka vienlīdzīgas iespējas, </w:t>
      </w:r>
      <w:proofErr w:type="spellStart"/>
      <w:r>
        <w:rPr>
          <w:rFonts w:ascii="Segoe UI" w:hAnsi="Segoe UI" w:cs="Segoe UI"/>
          <w:sz w:val="21"/>
          <w:szCs w:val="21"/>
        </w:rPr>
        <w:t>nediskriminācija</w:t>
      </w:r>
      <w:proofErr w:type="spellEnd"/>
      <w:r>
        <w:rPr>
          <w:rFonts w:ascii="Segoe UI" w:hAnsi="Segoe UI" w:cs="Segoe UI"/>
          <w:sz w:val="21"/>
          <w:szCs w:val="21"/>
        </w:rPr>
        <w:t xml:space="preserve"> un </w:t>
      </w:r>
      <w:proofErr w:type="spellStart"/>
      <w:r>
        <w:rPr>
          <w:rFonts w:ascii="Segoe UI" w:hAnsi="Segoe UI" w:cs="Segoe UI"/>
          <w:sz w:val="21"/>
          <w:szCs w:val="21"/>
        </w:rPr>
        <w:t>piekļūstamība</w:t>
      </w:r>
      <w:proofErr w:type="spellEnd"/>
      <w:r>
        <w:rPr>
          <w:rFonts w:ascii="Segoe UI" w:hAnsi="Segoe UI" w:cs="Segoe UI"/>
          <w:sz w:val="21"/>
          <w:szCs w:val="21"/>
        </w:rPr>
        <w:t xml:space="preserve"> nav papildu prasības, bet gan neatņemama kvalitatīvu un ilgtspējīgu publisko investīciju sastāvdaļa.</w:t>
      </w:r>
    </w:p>
    <w:p w14:paraId="41663F03" w14:textId="77777777" w:rsidR="00436A30" w:rsidRDefault="00436A30" w:rsidP="00436A30">
      <w:pPr>
        <w:pStyle w:val="Paraststmeklis"/>
        <w:spacing w:line="300" w:lineRule="atLeast"/>
        <w:jc w:val="both"/>
        <w:rPr>
          <w:rFonts w:ascii="Segoe UI" w:hAnsi="Segoe UI" w:cs="Segoe UI"/>
          <w:sz w:val="21"/>
          <w:szCs w:val="21"/>
        </w:rPr>
      </w:pPr>
    </w:p>
    <w:p w14:paraId="3FD54699" w14:textId="77777777" w:rsidR="00436A30" w:rsidRDefault="00436A30" w:rsidP="00436A30">
      <w:pPr>
        <w:pStyle w:val="Paraststmeklis"/>
        <w:spacing w:line="300" w:lineRule="atLeast"/>
        <w:jc w:val="both"/>
        <w:rPr>
          <w:rFonts w:ascii="Segoe UI" w:hAnsi="Segoe UI" w:cs="Segoe UI"/>
          <w:sz w:val="21"/>
          <w:szCs w:val="21"/>
        </w:rPr>
      </w:pPr>
    </w:p>
    <w:p w14:paraId="1332C8A2" w14:textId="77777777" w:rsidR="00436A30" w:rsidRDefault="00436A30" w:rsidP="00436A30">
      <w:pPr>
        <w:pStyle w:val="Paraststmeklis"/>
        <w:spacing w:line="300" w:lineRule="atLeast"/>
        <w:jc w:val="both"/>
        <w:rPr>
          <w:rFonts w:ascii="Segoe UI" w:hAnsi="Segoe UI" w:cs="Segoe UI"/>
          <w:sz w:val="21"/>
          <w:szCs w:val="21"/>
        </w:rPr>
      </w:pPr>
    </w:p>
    <w:p w14:paraId="407E1BE8" w14:textId="77777777" w:rsidR="00436A30" w:rsidRDefault="00436A30" w:rsidP="00436A30">
      <w:pPr>
        <w:pStyle w:val="Paraststmeklis"/>
        <w:spacing w:line="300" w:lineRule="atLeast"/>
        <w:jc w:val="both"/>
        <w:rPr>
          <w:rFonts w:ascii="Segoe UI" w:hAnsi="Segoe UI" w:cs="Segoe UI"/>
          <w:sz w:val="21"/>
          <w:szCs w:val="21"/>
        </w:rPr>
      </w:pPr>
    </w:p>
    <w:p w14:paraId="6FDDC342" w14:textId="77777777" w:rsidR="00436A30" w:rsidRDefault="00436A30" w:rsidP="00436A30">
      <w:pPr>
        <w:pStyle w:val="Paraststmeklis"/>
        <w:spacing w:line="300" w:lineRule="atLeast"/>
        <w:jc w:val="both"/>
        <w:rPr>
          <w:rFonts w:ascii="Segoe UI" w:hAnsi="Segoe UI" w:cs="Segoe UI"/>
          <w:sz w:val="21"/>
          <w:szCs w:val="21"/>
        </w:rPr>
      </w:pPr>
    </w:p>
    <w:p w14:paraId="60384926" w14:textId="77777777" w:rsidR="00436A30" w:rsidRDefault="00436A30" w:rsidP="002D46CC">
      <w:pPr>
        <w:pStyle w:val="Paraststmeklis"/>
        <w:spacing w:line="300" w:lineRule="atLeast"/>
        <w:jc w:val="both"/>
        <w:rPr>
          <w:rFonts w:ascii="Segoe UI" w:hAnsi="Segoe UI" w:cs="Segoe UI"/>
          <w:sz w:val="21"/>
          <w:szCs w:val="21"/>
        </w:rPr>
      </w:pPr>
    </w:p>
    <w:p w14:paraId="474EC56D" w14:textId="77777777" w:rsidR="00436A30" w:rsidRDefault="00436A30" w:rsidP="002D46CC">
      <w:pPr>
        <w:pStyle w:val="Paraststmeklis"/>
        <w:spacing w:line="300" w:lineRule="atLeast"/>
        <w:jc w:val="both"/>
        <w:rPr>
          <w:rFonts w:ascii="Segoe UI" w:hAnsi="Segoe UI" w:cs="Segoe UI"/>
          <w:sz w:val="21"/>
          <w:szCs w:val="21"/>
        </w:rPr>
      </w:pPr>
    </w:p>
    <w:p w14:paraId="186A63E5" w14:textId="77777777" w:rsidR="00A13C29" w:rsidRDefault="00A13C29" w:rsidP="002D46CC">
      <w:pPr>
        <w:spacing w:before="100" w:beforeAutospacing="1" w:after="100" w:afterAutospacing="1" w:line="300" w:lineRule="atLeast"/>
        <w:jc w:val="both"/>
        <w:rPr>
          <w:rFonts w:ascii="Segoe UI" w:eastAsia="Times New Roman" w:hAnsi="Segoe UI" w:cs="Segoe UI"/>
          <w:lang w:eastAsia="lv-LV"/>
        </w:rPr>
      </w:pPr>
    </w:p>
    <w:p w14:paraId="0D70F2C2" w14:textId="77777777" w:rsidR="00A13C29" w:rsidRDefault="00A13C29" w:rsidP="002D46CC">
      <w:pPr>
        <w:spacing w:before="100" w:beforeAutospacing="1" w:after="100" w:afterAutospacing="1" w:line="300" w:lineRule="atLeast"/>
        <w:jc w:val="both"/>
        <w:rPr>
          <w:rFonts w:ascii="Segoe UI" w:eastAsia="Times New Roman" w:hAnsi="Segoe UI" w:cs="Segoe UI"/>
          <w:lang w:eastAsia="lv-LV"/>
        </w:rPr>
      </w:pPr>
    </w:p>
    <w:p w14:paraId="297E4620" w14:textId="77777777" w:rsidR="00A13C29" w:rsidRDefault="00A13C29" w:rsidP="002D46CC">
      <w:pPr>
        <w:spacing w:before="100" w:beforeAutospacing="1" w:after="100" w:afterAutospacing="1" w:line="300" w:lineRule="atLeast"/>
        <w:jc w:val="both"/>
        <w:rPr>
          <w:rFonts w:ascii="Segoe UI" w:eastAsia="Times New Roman" w:hAnsi="Segoe UI" w:cs="Segoe UI"/>
          <w:lang w:eastAsia="lv-LV"/>
        </w:rPr>
      </w:pPr>
    </w:p>
    <w:p w14:paraId="16939102" w14:textId="77777777" w:rsidR="00A13C29" w:rsidRDefault="00A13C29" w:rsidP="002D46CC">
      <w:pPr>
        <w:spacing w:before="100" w:beforeAutospacing="1" w:after="100" w:afterAutospacing="1" w:line="300" w:lineRule="atLeast"/>
        <w:jc w:val="both"/>
        <w:rPr>
          <w:rFonts w:ascii="Segoe UI" w:eastAsia="Times New Roman" w:hAnsi="Segoe UI" w:cs="Segoe UI"/>
          <w:lang w:eastAsia="lv-LV"/>
        </w:rPr>
      </w:pPr>
    </w:p>
    <w:p w14:paraId="3AFECFCD" w14:textId="77777777" w:rsidR="00A13C29" w:rsidRDefault="00A13C29" w:rsidP="001F2821">
      <w:pPr>
        <w:spacing w:before="100" w:beforeAutospacing="1" w:after="100" w:afterAutospacing="1" w:line="300" w:lineRule="atLeast"/>
        <w:jc w:val="both"/>
        <w:rPr>
          <w:rFonts w:ascii="Segoe UI" w:eastAsia="Times New Roman" w:hAnsi="Segoe UI" w:cs="Segoe UI"/>
          <w:lang w:eastAsia="lv-LV"/>
        </w:rPr>
      </w:pPr>
    </w:p>
    <w:p w14:paraId="514EB8D3" w14:textId="77777777" w:rsidR="00A13C29" w:rsidRDefault="00A13C29" w:rsidP="001F2821">
      <w:pPr>
        <w:spacing w:before="100" w:beforeAutospacing="1" w:after="100" w:afterAutospacing="1" w:line="300" w:lineRule="atLeast"/>
        <w:jc w:val="both"/>
        <w:rPr>
          <w:rFonts w:ascii="Segoe UI" w:eastAsia="Times New Roman" w:hAnsi="Segoe UI" w:cs="Segoe UI"/>
          <w:lang w:eastAsia="lv-LV"/>
        </w:rPr>
      </w:pPr>
    </w:p>
    <w:p w14:paraId="094449C1" w14:textId="77777777" w:rsidR="00EB7564" w:rsidRPr="001F2821" w:rsidRDefault="00EB7564" w:rsidP="001F2821">
      <w:pPr>
        <w:ind w:right="-526"/>
        <w:jc w:val="both"/>
      </w:pPr>
    </w:p>
    <w:sectPr w:rsidR="00EB7564" w:rsidRPr="001F2821" w:rsidSect="000E3C31">
      <w:footerReference w:type="default" r:id="rId7"/>
      <w:pgSz w:w="11906" w:h="16838"/>
      <w:pgMar w:top="1440" w:right="113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4E36D" w14:textId="77777777" w:rsidR="00AD0204" w:rsidRDefault="00AD0204" w:rsidP="00AD0204">
      <w:pPr>
        <w:spacing w:after="0" w:line="240" w:lineRule="auto"/>
      </w:pPr>
      <w:r>
        <w:separator/>
      </w:r>
    </w:p>
  </w:endnote>
  <w:endnote w:type="continuationSeparator" w:id="0">
    <w:p w14:paraId="3BCDBFCE" w14:textId="77777777" w:rsidR="00AD0204" w:rsidRDefault="00AD0204" w:rsidP="00AD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321281"/>
      <w:docPartObj>
        <w:docPartGallery w:val="Page Numbers (Bottom of Page)"/>
        <w:docPartUnique/>
      </w:docPartObj>
    </w:sdtPr>
    <w:sdtEndPr/>
    <w:sdtContent>
      <w:p w14:paraId="22211FAE" w14:textId="1E202D19" w:rsidR="00AD0204" w:rsidRDefault="00AD0204">
        <w:pPr>
          <w:pStyle w:val="Kjene"/>
          <w:jc w:val="right"/>
        </w:pPr>
        <w:r>
          <w:fldChar w:fldCharType="begin"/>
        </w:r>
        <w:r>
          <w:instrText>PAGE   \* MERGEFORMAT</w:instrText>
        </w:r>
        <w:r>
          <w:fldChar w:fldCharType="separate"/>
        </w:r>
        <w:r>
          <w:t>2</w:t>
        </w:r>
        <w:r>
          <w:fldChar w:fldCharType="end"/>
        </w:r>
      </w:p>
    </w:sdtContent>
  </w:sdt>
  <w:p w14:paraId="61FEDBC1" w14:textId="77777777" w:rsidR="00AD0204" w:rsidRDefault="00AD020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2D06" w14:textId="77777777" w:rsidR="00AD0204" w:rsidRDefault="00AD0204" w:rsidP="00AD0204">
      <w:pPr>
        <w:spacing w:after="0" w:line="240" w:lineRule="auto"/>
      </w:pPr>
      <w:r>
        <w:separator/>
      </w:r>
    </w:p>
  </w:footnote>
  <w:footnote w:type="continuationSeparator" w:id="0">
    <w:p w14:paraId="1CB27D03" w14:textId="77777777" w:rsidR="00AD0204" w:rsidRDefault="00AD0204" w:rsidP="00AD02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21"/>
    <w:rsid w:val="00016507"/>
    <w:rsid w:val="00047B53"/>
    <w:rsid w:val="00054819"/>
    <w:rsid w:val="00060E0B"/>
    <w:rsid w:val="000B24AF"/>
    <w:rsid w:val="000B2D47"/>
    <w:rsid w:val="000E3C31"/>
    <w:rsid w:val="001F2821"/>
    <w:rsid w:val="002554A8"/>
    <w:rsid w:val="002D46CC"/>
    <w:rsid w:val="003115D6"/>
    <w:rsid w:val="00316980"/>
    <w:rsid w:val="00357753"/>
    <w:rsid w:val="003E66C7"/>
    <w:rsid w:val="00436A30"/>
    <w:rsid w:val="00470403"/>
    <w:rsid w:val="004D2E9F"/>
    <w:rsid w:val="005413A3"/>
    <w:rsid w:val="005B3532"/>
    <w:rsid w:val="00696953"/>
    <w:rsid w:val="006B3E45"/>
    <w:rsid w:val="00826A8E"/>
    <w:rsid w:val="008D0895"/>
    <w:rsid w:val="00981B89"/>
    <w:rsid w:val="009F6A6F"/>
    <w:rsid w:val="00A12F2A"/>
    <w:rsid w:val="00A13C29"/>
    <w:rsid w:val="00A25C71"/>
    <w:rsid w:val="00AD0204"/>
    <w:rsid w:val="00AE1F30"/>
    <w:rsid w:val="00B149B1"/>
    <w:rsid w:val="00B6408C"/>
    <w:rsid w:val="00C61C32"/>
    <w:rsid w:val="00D3089B"/>
    <w:rsid w:val="00D843D6"/>
    <w:rsid w:val="00DD7CA6"/>
    <w:rsid w:val="00E440A6"/>
    <w:rsid w:val="00E8556D"/>
    <w:rsid w:val="00EA4AD2"/>
    <w:rsid w:val="00EB7564"/>
    <w:rsid w:val="00F46148"/>
    <w:rsid w:val="00F717CE"/>
    <w:rsid w:val="00F77567"/>
    <w:rsid w:val="00F80A76"/>
    <w:rsid w:val="00FA6F6E"/>
    <w:rsid w:val="00FB6541"/>
    <w:rsid w:val="00FC59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04221"/>
  <w15:chartTrackingRefBased/>
  <w15:docId w15:val="{2F472555-336C-49FE-8F8A-54450936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B149B1"/>
    <w:pPr>
      <w:keepNext/>
      <w:spacing w:before="100" w:beforeAutospacing="1" w:after="100" w:afterAutospacing="1" w:line="300" w:lineRule="atLeast"/>
      <w:jc w:val="both"/>
      <w:outlineLvl w:val="0"/>
    </w:pPr>
    <w:rPr>
      <w:rFonts w:ascii="Segoe UI" w:eastAsia="Times New Roman" w:hAnsi="Segoe UI" w:cs="Segoe UI"/>
      <w:b/>
      <w:bCs/>
      <w:lang w:eastAsia="lv-LV"/>
    </w:rPr>
  </w:style>
  <w:style w:type="paragraph" w:styleId="Virsraksts2">
    <w:name w:val="heading 2"/>
    <w:basedOn w:val="Parasts"/>
    <w:next w:val="Parasts"/>
    <w:link w:val="Virsraksts2Rakstz"/>
    <w:uiPriority w:val="9"/>
    <w:unhideWhenUsed/>
    <w:qFormat/>
    <w:rsid w:val="002554A8"/>
    <w:pPr>
      <w:keepNext/>
      <w:jc w:val="center"/>
      <w:outlineLvl w:val="1"/>
    </w:pPr>
    <w:rPr>
      <w:rFonts w:ascii="Segoe UI" w:hAnsi="Segoe UI" w:cs="Segoe UI"/>
      <w:b/>
      <w:bCs/>
      <w:sz w:val="28"/>
      <w:szCs w:val="28"/>
    </w:rPr>
  </w:style>
  <w:style w:type="paragraph" w:styleId="Virsraksts3">
    <w:name w:val="heading 3"/>
    <w:basedOn w:val="Parasts"/>
    <w:next w:val="Parasts"/>
    <w:link w:val="Virsraksts3Rakstz"/>
    <w:uiPriority w:val="9"/>
    <w:unhideWhenUsed/>
    <w:qFormat/>
    <w:rsid w:val="002554A8"/>
    <w:pPr>
      <w:keepNext/>
      <w:shd w:val="clear" w:color="auto" w:fill="9A0000"/>
      <w:spacing w:before="100" w:beforeAutospacing="1" w:after="100" w:afterAutospacing="1" w:line="300" w:lineRule="atLeast"/>
      <w:jc w:val="both"/>
      <w:outlineLvl w:val="2"/>
    </w:pPr>
    <w:rPr>
      <w:rFonts w:ascii="Segoe UI" w:eastAsia="Times New Roman" w:hAnsi="Segoe UI" w:cs="Segoe UI"/>
      <w:b/>
      <w:bCs/>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49B1"/>
    <w:rPr>
      <w:rFonts w:ascii="Segoe UI" w:eastAsia="Times New Roman" w:hAnsi="Segoe UI" w:cs="Segoe UI"/>
      <w:b/>
      <w:bCs/>
      <w:lang w:eastAsia="lv-LV"/>
    </w:rPr>
  </w:style>
  <w:style w:type="paragraph" w:styleId="Galvene">
    <w:name w:val="header"/>
    <w:basedOn w:val="Parasts"/>
    <w:link w:val="GalveneRakstz"/>
    <w:uiPriority w:val="99"/>
    <w:unhideWhenUsed/>
    <w:rsid w:val="00AD020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D0204"/>
  </w:style>
  <w:style w:type="paragraph" w:styleId="Kjene">
    <w:name w:val="footer"/>
    <w:basedOn w:val="Parasts"/>
    <w:link w:val="KjeneRakstz"/>
    <w:uiPriority w:val="99"/>
    <w:unhideWhenUsed/>
    <w:rsid w:val="00AD020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D0204"/>
  </w:style>
  <w:style w:type="character" w:customStyle="1" w:styleId="Virsraksts2Rakstz">
    <w:name w:val="Virsraksts 2 Rakstz."/>
    <w:basedOn w:val="Noklusjumarindkopasfonts"/>
    <w:link w:val="Virsraksts2"/>
    <w:uiPriority w:val="9"/>
    <w:rsid w:val="002554A8"/>
    <w:rPr>
      <w:rFonts w:ascii="Segoe UI" w:hAnsi="Segoe UI" w:cs="Segoe UI"/>
      <w:b/>
      <w:bCs/>
      <w:sz w:val="28"/>
      <w:szCs w:val="28"/>
    </w:rPr>
  </w:style>
  <w:style w:type="character" w:customStyle="1" w:styleId="Virsraksts3Rakstz">
    <w:name w:val="Virsraksts 3 Rakstz."/>
    <w:basedOn w:val="Noklusjumarindkopasfonts"/>
    <w:link w:val="Virsraksts3"/>
    <w:uiPriority w:val="9"/>
    <w:rsid w:val="002554A8"/>
    <w:rPr>
      <w:rFonts w:ascii="Segoe UI" w:eastAsia="Times New Roman" w:hAnsi="Segoe UI" w:cs="Segoe UI"/>
      <w:b/>
      <w:bCs/>
      <w:shd w:val="clear" w:color="auto" w:fill="9A0000"/>
      <w:lang w:eastAsia="lv-LV"/>
    </w:rPr>
  </w:style>
  <w:style w:type="paragraph" w:styleId="Pamatteksts">
    <w:name w:val="Body Text"/>
    <w:basedOn w:val="Parasts"/>
    <w:link w:val="PamattekstsRakstz"/>
    <w:uiPriority w:val="99"/>
    <w:unhideWhenUsed/>
    <w:rsid w:val="00826A8E"/>
    <w:pPr>
      <w:spacing w:before="100" w:beforeAutospacing="1" w:after="100" w:afterAutospacing="1" w:line="300" w:lineRule="atLeast"/>
      <w:jc w:val="both"/>
    </w:pPr>
    <w:rPr>
      <w:rFonts w:ascii="Segoe UI" w:eastAsia="Times New Roman" w:hAnsi="Segoe UI" w:cs="Segoe UI"/>
      <w:lang w:eastAsia="lv-LV"/>
    </w:rPr>
  </w:style>
  <w:style w:type="character" w:customStyle="1" w:styleId="PamattekstsRakstz">
    <w:name w:val="Pamatteksts Rakstz."/>
    <w:basedOn w:val="Noklusjumarindkopasfonts"/>
    <w:link w:val="Pamatteksts"/>
    <w:uiPriority w:val="99"/>
    <w:rsid w:val="00826A8E"/>
    <w:rPr>
      <w:rFonts w:ascii="Segoe UI" w:eastAsia="Times New Roman" w:hAnsi="Segoe UI" w:cs="Segoe UI"/>
      <w:lang w:eastAsia="lv-LV"/>
    </w:rPr>
  </w:style>
  <w:style w:type="paragraph" w:styleId="Paraststmeklis">
    <w:name w:val="Normal (Web)"/>
    <w:basedOn w:val="Parasts"/>
    <w:uiPriority w:val="99"/>
    <w:unhideWhenUsed/>
    <w:rsid w:val="00060E0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semiHidden/>
    <w:unhideWhenUsed/>
    <w:rsid w:val="00F46148"/>
    <w:rPr>
      <w:strike w:val="0"/>
      <w:dstrike w:val="0"/>
      <w:color w:val="464FEB"/>
      <w:u w:val="none"/>
      <w:effect w:val="none"/>
    </w:rPr>
  </w:style>
  <w:style w:type="character" w:styleId="Izteiksmgs">
    <w:name w:val="Strong"/>
    <w:basedOn w:val="Noklusjumarindkopasfonts"/>
    <w:uiPriority w:val="22"/>
    <w:qFormat/>
    <w:rsid w:val="00470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9708">
      <w:bodyDiv w:val="1"/>
      <w:marLeft w:val="0"/>
      <w:marRight w:val="0"/>
      <w:marTop w:val="0"/>
      <w:marBottom w:val="0"/>
      <w:divBdr>
        <w:top w:val="none" w:sz="0" w:space="0" w:color="auto"/>
        <w:left w:val="none" w:sz="0" w:space="0" w:color="auto"/>
        <w:bottom w:val="none" w:sz="0" w:space="0" w:color="auto"/>
        <w:right w:val="none" w:sz="0" w:space="0" w:color="auto"/>
      </w:divBdr>
      <w:divsChild>
        <w:div w:id="811093428">
          <w:marLeft w:val="0"/>
          <w:marRight w:val="0"/>
          <w:marTop w:val="0"/>
          <w:marBottom w:val="0"/>
          <w:divBdr>
            <w:top w:val="none" w:sz="0" w:space="0" w:color="auto"/>
            <w:left w:val="none" w:sz="0" w:space="0" w:color="auto"/>
            <w:bottom w:val="none" w:sz="0" w:space="0" w:color="auto"/>
            <w:right w:val="none" w:sz="0" w:space="0" w:color="auto"/>
          </w:divBdr>
        </w:div>
      </w:divsChild>
    </w:div>
    <w:div w:id="377362335">
      <w:bodyDiv w:val="1"/>
      <w:marLeft w:val="0"/>
      <w:marRight w:val="0"/>
      <w:marTop w:val="0"/>
      <w:marBottom w:val="0"/>
      <w:divBdr>
        <w:top w:val="none" w:sz="0" w:space="0" w:color="auto"/>
        <w:left w:val="none" w:sz="0" w:space="0" w:color="auto"/>
        <w:bottom w:val="none" w:sz="0" w:space="0" w:color="auto"/>
        <w:right w:val="none" w:sz="0" w:space="0" w:color="auto"/>
      </w:divBdr>
      <w:divsChild>
        <w:div w:id="126171511">
          <w:marLeft w:val="0"/>
          <w:marRight w:val="0"/>
          <w:marTop w:val="0"/>
          <w:marBottom w:val="0"/>
          <w:divBdr>
            <w:top w:val="none" w:sz="0" w:space="0" w:color="auto"/>
            <w:left w:val="none" w:sz="0" w:space="0" w:color="auto"/>
            <w:bottom w:val="none" w:sz="0" w:space="0" w:color="auto"/>
            <w:right w:val="none" w:sz="0" w:space="0" w:color="auto"/>
          </w:divBdr>
        </w:div>
      </w:divsChild>
    </w:div>
    <w:div w:id="392433006">
      <w:bodyDiv w:val="1"/>
      <w:marLeft w:val="0"/>
      <w:marRight w:val="0"/>
      <w:marTop w:val="0"/>
      <w:marBottom w:val="0"/>
      <w:divBdr>
        <w:top w:val="none" w:sz="0" w:space="0" w:color="auto"/>
        <w:left w:val="none" w:sz="0" w:space="0" w:color="auto"/>
        <w:bottom w:val="none" w:sz="0" w:space="0" w:color="auto"/>
        <w:right w:val="none" w:sz="0" w:space="0" w:color="auto"/>
      </w:divBdr>
      <w:divsChild>
        <w:div w:id="266547641">
          <w:marLeft w:val="0"/>
          <w:marRight w:val="0"/>
          <w:marTop w:val="0"/>
          <w:marBottom w:val="0"/>
          <w:divBdr>
            <w:top w:val="none" w:sz="0" w:space="0" w:color="auto"/>
            <w:left w:val="none" w:sz="0" w:space="0" w:color="auto"/>
            <w:bottom w:val="none" w:sz="0" w:space="0" w:color="auto"/>
            <w:right w:val="none" w:sz="0" w:space="0" w:color="auto"/>
          </w:divBdr>
        </w:div>
      </w:divsChild>
    </w:div>
    <w:div w:id="427778705">
      <w:bodyDiv w:val="1"/>
      <w:marLeft w:val="0"/>
      <w:marRight w:val="0"/>
      <w:marTop w:val="0"/>
      <w:marBottom w:val="0"/>
      <w:divBdr>
        <w:top w:val="none" w:sz="0" w:space="0" w:color="auto"/>
        <w:left w:val="none" w:sz="0" w:space="0" w:color="auto"/>
        <w:bottom w:val="none" w:sz="0" w:space="0" w:color="auto"/>
        <w:right w:val="none" w:sz="0" w:space="0" w:color="auto"/>
      </w:divBdr>
      <w:divsChild>
        <w:div w:id="390084486">
          <w:marLeft w:val="0"/>
          <w:marRight w:val="0"/>
          <w:marTop w:val="0"/>
          <w:marBottom w:val="0"/>
          <w:divBdr>
            <w:top w:val="none" w:sz="0" w:space="0" w:color="auto"/>
            <w:left w:val="none" w:sz="0" w:space="0" w:color="auto"/>
            <w:bottom w:val="none" w:sz="0" w:space="0" w:color="auto"/>
            <w:right w:val="none" w:sz="0" w:space="0" w:color="auto"/>
          </w:divBdr>
        </w:div>
      </w:divsChild>
    </w:div>
    <w:div w:id="552355763">
      <w:bodyDiv w:val="1"/>
      <w:marLeft w:val="0"/>
      <w:marRight w:val="0"/>
      <w:marTop w:val="0"/>
      <w:marBottom w:val="0"/>
      <w:divBdr>
        <w:top w:val="none" w:sz="0" w:space="0" w:color="auto"/>
        <w:left w:val="none" w:sz="0" w:space="0" w:color="auto"/>
        <w:bottom w:val="none" w:sz="0" w:space="0" w:color="auto"/>
        <w:right w:val="none" w:sz="0" w:space="0" w:color="auto"/>
      </w:divBdr>
      <w:divsChild>
        <w:div w:id="1354721385">
          <w:marLeft w:val="0"/>
          <w:marRight w:val="0"/>
          <w:marTop w:val="0"/>
          <w:marBottom w:val="0"/>
          <w:divBdr>
            <w:top w:val="none" w:sz="0" w:space="0" w:color="auto"/>
            <w:left w:val="none" w:sz="0" w:space="0" w:color="auto"/>
            <w:bottom w:val="none" w:sz="0" w:space="0" w:color="auto"/>
            <w:right w:val="none" w:sz="0" w:space="0" w:color="auto"/>
          </w:divBdr>
        </w:div>
      </w:divsChild>
    </w:div>
    <w:div w:id="685600982">
      <w:bodyDiv w:val="1"/>
      <w:marLeft w:val="0"/>
      <w:marRight w:val="0"/>
      <w:marTop w:val="0"/>
      <w:marBottom w:val="0"/>
      <w:divBdr>
        <w:top w:val="none" w:sz="0" w:space="0" w:color="auto"/>
        <w:left w:val="none" w:sz="0" w:space="0" w:color="auto"/>
        <w:bottom w:val="none" w:sz="0" w:space="0" w:color="auto"/>
        <w:right w:val="none" w:sz="0" w:space="0" w:color="auto"/>
      </w:divBdr>
      <w:divsChild>
        <w:div w:id="78065348">
          <w:marLeft w:val="0"/>
          <w:marRight w:val="0"/>
          <w:marTop w:val="0"/>
          <w:marBottom w:val="0"/>
          <w:divBdr>
            <w:top w:val="none" w:sz="0" w:space="0" w:color="auto"/>
            <w:left w:val="none" w:sz="0" w:space="0" w:color="auto"/>
            <w:bottom w:val="none" w:sz="0" w:space="0" w:color="auto"/>
            <w:right w:val="none" w:sz="0" w:space="0" w:color="auto"/>
          </w:divBdr>
        </w:div>
      </w:divsChild>
    </w:div>
    <w:div w:id="814951601">
      <w:bodyDiv w:val="1"/>
      <w:marLeft w:val="0"/>
      <w:marRight w:val="0"/>
      <w:marTop w:val="0"/>
      <w:marBottom w:val="0"/>
      <w:divBdr>
        <w:top w:val="none" w:sz="0" w:space="0" w:color="auto"/>
        <w:left w:val="none" w:sz="0" w:space="0" w:color="auto"/>
        <w:bottom w:val="none" w:sz="0" w:space="0" w:color="auto"/>
        <w:right w:val="none" w:sz="0" w:space="0" w:color="auto"/>
      </w:divBdr>
      <w:divsChild>
        <w:div w:id="852115225">
          <w:marLeft w:val="0"/>
          <w:marRight w:val="0"/>
          <w:marTop w:val="0"/>
          <w:marBottom w:val="0"/>
          <w:divBdr>
            <w:top w:val="none" w:sz="0" w:space="0" w:color="auto"/>
            <w:left w:val="none" w:sz="0" w:space="0" w:color="auto"/>
            <w:bottom w:val="none" w:sz="0" w:space="0" w:color="auto"/>
            <w:right w:val="none" w:sz="0" w:space="0" w:color="auto"/>
          </w:divBdr>
        </w:div>
      </w:divsChild>
    </w:div>
    <w:div w:id="923074931">
      <w:bodyDiv w:val="1"/>
      <w:marLeft w:val="0"/>
      <w:marRight w:val="0"/>
      <w:marTop w:val="0"/>
      <w:marBottom w:val="0"/>
      <w:divBdr>
        <w:top w:val="none" w:sz="0" w:space="0" w:color="auto"/>
        <w:left w:val="none" w:sz="0" w:space="0" w:color="auto"/>
        <w:bottom w:val="none" w:sz="0" w:space="0" w:color="auto"/>
        <w:right w:val="none" w:sz="0" w:space="0" w:color="auto"/>
      </w:divBdr>
      <w:divsChild>
        <w:div w:id="1388996293">
          <w:marLeft w:val="0"/>
          <w:marRight w:val="0"/>
          <w:marTop w:val="0"/>
          <w:marBottom w:val="0"/>
          <w:divBdr>
            <w:top w:val="none" w:sz="0" w:space="0" w:color="auto"/>
            <w:left w:val="none" w:sz="0" w:space="0" w:color="auto"/>
            <w:bottom w:val="none" w:sz="0" w:space="0" w:color="auto"/>
            <w:right w:val="none" w:sz="0" w:space="0" w:color="auto"/>
          </w:divBdr>
        </w:div>
      </w:divsChild>
    </w:div>
    <w:div w:id="1460344731">
      <w:bodyDiv w:val="1"/>
      <w:marLeft w:val="0"/>
      <w:marRight w:val="0"/>
      <w:marTop w:val="0"/>
      <w:marBottom w:val="0"/>
      <w:divBdr>
        <w:top w:val="none" w:sz="0" w:space="0" w:color="auto"/>
        <w:left w:val="none" w:sz="0" w:space="0" w:color="auto"/>
        <w:bottom w:val="none" w:sz="0" w:space="0" w:color="auto"/>
        <w:right w:val="none" w:sz="0" w:space="0" w:color="auto"/>
      </w:divBdr>
      <w:divsChild>
        <w:div w:id="211620661">
          <w:marLeft w:val="0"/>
          <w:marRight w:val="0"/>
          <w:marTop w:val="0"/>
          <w:marBottom w:val="0"/>
          <w:divBdr>
            <w:top w:val="none" w:sz="0" w:space="0" w:color="auto"/>
            <w:left w:val="none" w:sz="0" w:space="0" w:color="auto"/>
            <w:bottom w:val="none" w:sz="0" w:space="0" w:color="auto"/>
            <w:right w:val="none" w:sz="0" w:space="0" w:color="auto"/>
          </w:divBdr>
        </w:div>
      </w:divsChild>
    </w:div>
    <w:div w:id="1764298197">
      <w:bodyDiv w:val="1"/>
      <w:marLeft w:val="0"/>
      <w:marRight w:val="0"/>
      <w:marTop w:val="0"/>
      <w:marBottom w:val="0"/>
      <w:divBdr>
        <w:top w:val="none" w:sz="0" w:space="0" w:color="auto"/>
        <w:left w:val="none" w:sz="0" w:space="0" w:color="auto"/>
        <w:bottom w:val="none" w:sz="0" w:space="0" w:color="auto"/>
        <w:right w:val="none" w:sz="0" w:space="0" w:color="auto"/>
      </w:divBdr>
      <w:divsChild>
        <w:div w:id="552040092">
          <w:marLeft w:val="0"/>
          <w:marRight w:val="0"/>
          <w:marTop w:val="0"/>
          <w:marBottom w:val="0"/>
          <w:divBdr>
            <w:top w:val="none" w:sz="0" w:space="0" w:color="auto"/>
            <w:left w:val="none" w:sz="0" w:space="0" w:color="auto"/>
            <w:bottom w:val="none" w:sz="0" w:space="0" w:color="auto"/>
            <w:right w:val="none" w:sz="0" w:space="0" w:color="auto"/>
          </w:divBdr>
        </w:div>
      </w:divsChild>
    </w:div>
    <w:div w:id="1809013073">
      <w:bodyDiv w:val="1"/>
      <w:marLeft w:val="0"/>
      <w:marRight w:val="0"/>
      <w:marTop w:val="0"/>
      <w:marBottom w:val="0"/>
      <w:divBdr>
        <w:top w:val="none" w:sz="0" w:space="0" w:color="auto"/>
        <w:left w:val="none" w:sz="0" w:space="0" w:color="auto"/>
        <w:bottom w:val="none" w:sz="0" w:space="0" w:color="auto"/>
        <w:right w:val="none" w:sz="0" w:space="0" w:color="auto"/>
      </w:divBdr>
      <w:divsChild>
        <w:div w:id="262997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AC4C3-BE3A-4DFC-B08C-714A10DF1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4661</Words>
  <Characters>2658</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LRLM</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Vilcāne</dc:creator>
  <cp:keywords/>
  <dc:description/>
  <cp:lastModifiedBy>Inese Vilcāne</cp:lastModifiedBy>
  <cp:revision>3</cp:revision>
  <dcterms:created xsi:type="dcterms:W3CDTF">2026-10-14T12:43:00Z</dcterms:created>
  <dcterms:modified xsi:type="dcterms:W3CDTF">2026-10-14T12:45:00Z</dcterms:modified>
</cp:coreProperties>
</file>