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5DEAF" w14:textId="77777777" w:rsidR="00C61C32" w:rsidRPr="00BF16AE" w:rsidRDefault="00C61C32" w:rsidP="002554A8">
      <w:pPr>
        <w:shd w:val="clear" w:color="auto" w:fill="9A0000"/>
        <w:jc w:val="center"/>
        <w:rPr>
          <w:rFonts w:ascii="Segoe UI" w:hAnsi="Segoe UI" w:cs="Segoe UI"/>
          <w:b/>
          <w:bCs/>
          <w:sz w:val="28"/>
          <w:szCs w:val="28"/>
        </w:rPr>
      </w:pPr>
      <w:bookmarkStart w:id="0" w:name="_Hlk242875714"/>
      <w:bookmarkStart w:id="1" w:name="_Hlk225435439"/>
      <w:r w:rsidRPr="00BF16AE">
        <w:rPr>
          <w:rFonts w:ascii="Segoe UI" w:hAnsi="Segoe UI" w:cs="Segoe UI"/>
          <w:b/>
          <w:sz w:val="28"/>
          <w:szCs w:val="28"/>
        </w:rPr>
        <w:t>Horizontal Principle</w:t>
      </w:r>
    </w:p>
    <w:p w14:paraId="3A7E37CF" w14:textId="7092F021" w:rsidR="00C61C32" w:rsidRPr="00BF16AE" w:rsidRDefault="00C61C32" w:rsidP="002554A8">
      <w:pPr>
        <w:shd w:val="clear" w:color="auto" w:fill="9A0000"/>
        <w:spacing w:before="120" w:after="0" w:line="240" w:lineRule="auto"/>
        <w:jc w:val="center"/>
        <w:rPr>
          <w:rFonts w:ascii="Segoe UI" w:hAnsi="Segoe UI" w:cs="Segoe UI"/>
          <w:b/>
          <w:bCs/>
          <w:sz w:val="28"/>
          <w:szCs w:val="28"/>
        </w:rPr>
      </w:pPr>
      <w:r w:rsidRPr="00BF16AE">
        <w:rPr>
          <w:rFonts w:ascii="Segoe UI" w:hAnsi="Segoe UI" w:cs="Segoe UI"/>
          <w:b/>
          <w:sz w:val="28"/>
          <w:szCs w:val="28"/>
        </w:rPr>
        <w:t>Implementation Monitoring Report on “Equality, Inclusion, Non-discrimination and Respect for Fundamental Rights”</w:t>
      </w:r>
    </w:p>
    <w:p w14:paraId="172FE594" w14:textId="501325F0" w:rsidR="00C61C32" w:rsidRPr="00BF16AE" w:rsidRDefault="00C61C32" w:rsidP="002554A8">
      <w:pPr>
        <w:shd w:val="clear" w:color="auto" w:fill="9A0000"/>
        <w:jc w:val="center"/>
        <w:rPr>
          <w:rFonts w:ascii="Segoe UI" w:hAnsi="Segoe UI" w:cs="Segoe UI"/>
          <w:b/>
          <w:bCs/>
          <w:sz w:val="28"/>
          <w:szCs w:val="28"/>
        </w:rPr>
      </w:pPr>
      <w:r w:rsidRPr="00BF16AE">
        <w:rPr>
          <w:rFonts w:ascii="Segoe UI" w:hAnsi="Segoe UI" w:cs="Segoe UI"/>
          <w:b/>
          <w:sz w:val="28"/>
          <w:szCs w:val="28"/>
        </w:rPr>
        <w:t>(period from 2021 to July 2026)</w:t>
      </w:r>
    </w:p>
    <w:bookmarkEnd w:id="0"/>
    <w:p w14:paraId="09A33D16" w14:textId="51C38B78" w:rsidR="00C61C32" w:rsidRPr="00BF16AE" w:rsidRDefault="00C61C32" w:rsidP="002554A8">
      <w:pPr>
        <w:pStyle w:val="Virsraksts2"/>
        <w:rPr>
          <w:sz w:val="22"/>
          <w:szCs w:val="22"/>
        </w:rPr>
      </w:pPr>
      <w:r w:rsidRPr="00BF16AE">
        <w:rPr>
          <w:sz w:val="22"/>
          <w:szCs w:val="22"/>
        </w:rPr>
        <w:t>SUMMARY</w:t>
      </w:r>
    </w:p>
    <w:bookmarkEnd w:id="1"/>
    <w:p w14:paraId="08DD3F83" w14:textId="71A127BC" w:rsidR="001F2821" w:rsidRPr="00BF16AE" w:rsidRDefault="001F2821" w:rsidP="002554A8">
      <w:pPr>
        <w:pStyle w:val="Virsraksts3"/>
      </w:pPr>
      <w:proofErr w:type="spellStart"/>
      <w:r w:rsidRPr="00BF16AE">
        <w:t>Contribution</w:t>
      </w:r>
      <w:proofErr w:type="spellEnd"/>
      <w:r w:rsidRPr="00BF16AE">
        <w:t xml:space="preserve"> </w:t>
      </w:r>
      <w:proofErr w:type="spellStart"/>
      <w:r w:rsidRPr="00BF16AE">
        <w:t>of</w:t>
      </w:r>
      <w:proofErr w:type="spellEnd"/>
      <w:r w:rsidRPr="00BF16AE">
        <w:t xml:space="preserve"> </w:t>
      </w:r>
      <w:proofErr w:type="spellStart"/>
      <w:r w:rsidR="00BF16AE" w:rsidRPr="00BF16AE">
        <w:t>horizontal</w:t>
      </w:r>
      <w:proofErr w:type="spellEnd"/>
      <w:r w:rsidR="00BF16AE" w:rsidRPr="00BF16AE">
        <w:t xml:space="preserve"> </w:t>
      </w:r>
      <w:proofErr w:type="spellStart"/>
      <w:r w:rsidR="00BF16AE" w:rsidRPr="00BF16AE">
        <w:t>principle</w:t>
      </w:r>
      <w:proofErr w:type="spellEnd"/>
      <w:r w:rsidRPr="00BF16AE">
        <w:t xml:space="preserve"> to </w:t>
      </w:r>
      <w:proofErr w:type="spellStart"/>
      <w:r w:rsidRPr="00BF16AE">
        <w:t>society</w:t>
      </w:r>
      <w:proofErr w:type="spellEnd"/>
    </w:p>
    <w:p w14:paraId="28BA7037" w14:textId="77777777" w:rsidR="00060E0B" w:rsidRPr="00BF16AE" w:rsidRDefault="00060E0B" w:rsidP="00A12F2A">
      <w:pPr>
        <w:pStyle w:val="Paraststmeklis"/>
        <w:spacing w:before="120" w:beforeAutospacing="0" w:after="120" w:afterAutospacing="0"/>
        <w:jc w:val="both"/>
        <w:rPr>
          <w:rFonts w:ascii="Segoe UI" w:hAnsi="Segoe UI" w:cs="Segoe UI"/>
          <w:sz w:val="22"/>
          <w:szCs w:val="22"/>
        </w:rPr>
      </w:pPr>
      <w:r w:rsidRPr="00BF16AE">
        <w:rPr>
          <w:rFonts w:ascii="Segoe UI" w:hAnsi="Segoe UI" w:cs="Segoe UI"/>
          <w:sz w:val="22"/>
          <w:szCs w:val="22"/>
        </w:rPr>
        <w:t>The aim of the horizontal principle “Equality, Inclusion, Non-discrimination and Respect for Fundamental Rights” is to ensure that the benefits of EU fund investments are accessible to the broadest possible range of people, including persons with disabilities, people of different ages, representatives of ethnic minorities, and other groups at risk of social exclusion or discrimination.</w:t>
      </w:r>
    </w:p>
    <w:p w14:paraId="17D1E12C" w14:textId="77777777" w:rsidR="00060E0B" w:rsidRPr="00BF16AE" w:rsidRDefault="00060E0B" w:rsidP="00A12F2A">
      <w:pPr>
        <w:pStyle w:val="Paraststmeklis"/>
        <w:spacing w:before="120" w:beforeAutospacing="0" w:after="120" w:afterAutospacing="0"/>
        <w:jc w:val="both"/>
        <w:rPr>
          <w:rFonts w:ascii="Segoe UI" w:hAnsi="Segoe UI" w:cs="Segoe UI"/>
          <w:sz w:val="22"/>
          <w:szCs w:val="22"/>
        </w:rPr>
      </w:pPr>
      <w:r w:rsidRPr="00BF16AE">
        <w:rPr>
          <w:rFonts w:ascii="Segoe UI" w:hAnsi="Segoe UI" w:cs="Segoe UI"/>
          <w:sz w:val="22"/>
          <w:szCs w:val="22"/>
        </w:rPr>
        <w:t>For society, this means more accessible public facilities, transport, digital services and information, as well as more targeted support for people who face barriers in education, employment, access to services or participation in public life. The data analysed in the report show that the most significant results have been achieved in accessibility and social inclusion, particularly by promoting the participation of persons with disabilities and integrating accessibility requirements into projects.</w:t>
      </w:r>
    </w:p>
    <w:p w14:paraId="136FAB80" w14:textId="504AD8BE" w:rsidR="00060E0B" w:rsidRPr="00BF16AE" w:rsidRDefault="00060E0B" w:rsidP="00A12F2A">
      <w:pPr>
        <w:pStyle w:val="Paraststmeklis"/>
        <w:spacing w:before="120" w:beforeAutospacing="0" w:after="120" w:afterAutospacing="0"/>
        <w:jc w:val="both"/>
        <w:rPr>
          <w:rFonts w:ascii="Segoe UI" w:hAnsi="Segoe UI" w:cs="Segoe UI"/>
          <w:sz w:val="22"/>
          <w:szCs w:val="22"/>
        </w:rPr>
      </w:pPr>
      <w:r w:rsidRPr="00BF16AE">
        <w:rPr>
          <w:rFonts w:ascii="Segoe UI" w:hAnsi="Segoe UI" w:cs="Segoe UI"/>
          <w:sz w:val="22"/>
          <w:szCs w:val="22"/>
        </w:rPr>
        <w:t>Project experience also demonstrates that the most sustainable and effective solutions are achieved when accessibility and universal design principles are taken into account from the investment planning and design stages.</w:t>
      </w:r>
    </w:p>
    <w:p w14:paraId="100A7CD6" w14:textId="77777777" w:rsidR="001F2821" w:rsidRPr="00BF16AE" w:rsidRDefault="001F2821" w:rsidP="002554A8">
      <w:pPr>
        <w:pStyle w:val="Virsraksts3"/>
      </w:pPr>
      <w:r w:rsidRPr="00BF16AE">
        <w:t>Added value of the horizontal principle</w:t>
      </w:r>
    </w:p>
    <w:p w14:paraId="64DBB56C" w14:textId="209BC9FB" w:rsidR="00F46148" w:rsidRPr="00BF16AE" w:rsidRDefault="00F46148" w:rsidP="00A12F2A">
      <w:pPr>
        <w:pStyle w:val="Paraststmeklis"/>
        <w:spacing w:line="300" w:lineRule="atLeast"/>
        <w:jc w:val="both"/>
        <w:rPr>
          <w:rFonts w:ascii="Segoe UI" w:hAnsi="Segoe UI" w:cs="Segoe UI"/>
          <w:sz w:val="22"/>
          <w:szCs w:val="22"/>
        </w:rPr>
      </w:pPr>
      <w:r w:rsidRPr="00BF16AE">
        <w:rPr>
          <w:rFonts w:ascii="Segoe UI" w:hAnsi="Segoe UI" w:cs="Segoe UI"/>
          <w:sz w:val="22"/>
          <w:szCs w:val="22"/>
        </w:rPr>
        <w:t xml:space="preserve">The added value of HP VINPI lies in the systematic integration of equal opportunities, non-discrimination, accessibility and fundamental rights throughout the EU funds investment cycle, from the development of the programme and regulatory framework to project selection, implementation and monitoring of results. This is demonstrated by the fact that </w:t>
      </w:r>
      <w:r w:rsidRPr="00BF16AE">
        <w:rPr>
          <w:rFonts w:ascii="Segoe UI" w:hAnsi="Segoe UI" w:cs="Segoe UI"/>
          <w:b/>
          <w:sz w:val="22"/>
          <w:szCs w:val="22"/>
        </w:rPr>
        <w:t>74.1%</w:t>
      </w:r>
      <w:r w:rsidRPr="00BF16AE">
        <w:rPr>
          <w:rFonts w:ascii="Segoe UI" w:hAnsi="Segoe UI" w:cs="Segoe UI"/>
          <w:sz w:val="22"/>
          <w:szCs w:val="22"/>
        </w:rPr>
        <w:t xml:space="preserve"> of the Programme’s 189 specific objectives and measures have been identified as having a direct or indirect impact on the objectives of the horizontal principle. When measures with a combined classification are included, this proportion reaches </w:t>
      </w:r>
      <w:r w:rsidRPr="00BF16AE">
        <w:rPr>
          <w:rFonts w:ascii="Segoe UI" w:hAnsi="Segoe UI" w:cs="Segoe UI"/>
          <w:b/>
          <w:sz w:val="22"/>
          <w:szCs w:val="22"/>
        </w:rPr>
        <w:t>76.2%</w:t>
      </w:r>
      <w:r w:rsidRPr="00BF16AE">
        <w:rPr>
          <w:rFonts w:ascii="Segoe UI" w:hAnsi="Segoe UI" w:cs="Segoe UI"/>
          <w:sz w:val="22"/>
          <w:szCs w:val="22"/>
        </w:rPr>
        <w:t>.</w:t>
      </w:r>
    </w:p>
    <w:p w14:paraId="5BCBEB44" w14:textId="13A05656" w:rsidR="00F46148" w:rsidRPr="00BF16AE" w:rsidRDefault="00F46148" w:rsidP="00A12F2A">
      <w:pPr>
        <w:pStyle w:val="Paraststmeklis"/>
        <w:spacing w:line="300" w:lineRule="atLeast"/>
        <w:jc w:val="both"/>
        <w:rPr>
          <w:rFonts w:ascii="Segoe UI" w:hAnsi="Segoe UI" w:cs="Segoe UI"/>
          <w:sz w:val="22"/>
          <w:szCs w:val="22"/>
        </w:rPr>
      </w:pPr>
      <w:r w:rsidRPr="00BF16AE">
        <w:rPr>
          <w:rFonts w:ascii="Segoe UI" w:hAnsi="Segoe UI" w:cs="Segoe UI"/>
          <w:sz w:val="22"/>
          <w:szCs w:val="22"/>
        </w:rPr>
        <w:t>The direct contribution is concentrated mainly in social investments, while in infrastructure, economic development, mobility and digitalisation projects, the horizontal principle promotes more accessible environments, services and information. The achieved values of the HP indicators also demonstrate the practical impact of the principle by reflecting specific actions implemented in projects, such as accessibility improvements, tailored solutions for persons with disabilities, the involvement of different target groups, and the reduction of discrimination risks.</w:t>
      </w:r>
    </w:p>
    <w:p w14:paraId="1AC94C26" w14:textId="1B82A857" w:rsidR="00B149B1" w:rsidRPr="00BF16AE" w:rsidRDefault="00F46148" w:rsidP="00054819">
      <w:pPr>
        <w:pStyle w:val="Paraststmeklis"/>
        <w:spacing w:line="300" w:lineRule="atLeast"/>
        <w:jc w:val="both"/>
        <w:rPr>
          <w:rFonts w:ascii="Segoe UI" w:hAnsi="Segoe UI" w:cs="Segoe UI"/>
          <w:sz w:val="22"/>
          <w:szCs w:val="22"/>
        </w:rPr>
      </w:pPr>
      <w:bookmarkStart w:id="2" w:name="_Hlk242366258"/>
      <w:r w:rsidRPr="00BF16AE">
        <w:rPr>
          <w:rFonts w:ascii="Segoe UI" w:hAnsi="Segoe UI" w:cs="Segoe UI"/>
          <w:sz w:val="22"/>
          <w:szCs w:val="22"/>
        </w:rPr>
        <w:t xml:space="preserve">At the same time, the added value of the horizontal principle extends beyond the formally assigned impact classification. In practice, accessibility, non-discrimination and social responsibility solutions are also implemented in projects that have not been identified as having a direct or indirect impact on the horizontal principle. For example, project implementers provide accessible communication and events, apply non-discriminatory recruitment practices, and use socially responsible public </w:t>
      </w:r>
      <w:r w:rsidRPr="00BF16AE">
        <w:rPr>
          <w:rFonts w:ascii="Segoe UI" w:hAnsi="Segoe UI" w:cs="Segoe UI"/>
          <w:sz w:val="22"/>
          <w:szCs w:val="22"/>
        </w:rPr>
        <w:lastRenderedPageBreak/>
        <w:t>procurement, thereby contributing to more inclusive and accessible public investment outcomes for society as a whole.</w:t>
      </w:r>
    </w:p>
    <w:bookmarkEnd w:id="2"/>
    <w:p w14:paraId="25BD7DCE" w14:textId="50EF1A71" w:rsidR="001F2821" w:rsidRPr="00BF16AE" w:rsidRDefault="00316980" w:rsidP="002554A8">
      <w:pPr>
        <w:pStyle w:val="Virsraksts1"/>
        <w:shd w:val="clear" w:color="auto" w:fill="9A0000"/>
      </w:pPr>
      <w:r w:rsidRPr="00BF16AE">
        <w:t>Reaching different groups in society</w:t>
      </w:r>
    </w:p>
    <w:p w14:paraId="390402B1" w14:textId="056CE6BA" w:rsidR="00470403" w:rsidRPr="00BF16AE" w:rsidRDefault="00470403" w:rsidP="00470403">
      <w:pPr>
        <w:pStyle w:val="Paraststmeklis"/>
        <w:spacing w:line="300" w:lineRule="atLeast"/>
        <w:jc w:val="both"/>
        <w:rPr>
          <w:rFonts w:ascii="Segoe UI" w:hAnsi="Segoe UI" w:cs="Segoe UI"/>
          <w:sz w:val="22"/>
          <w:szCs w:val="22"/>
        </w:rPr>
      </w:pPr>
      <w:r w:rsidRPr="00BF16AE">
        <w:rPr>
          <w:rFonts w:ascii="Segoe UI" w:hAnsi="Segoe UI" w:cs="Segoe UI"/>
          <w:sz w:val="22"/>
          <w:szCs w:val="22"/>
        </w:rPr>
        <w:t xml:space="preserve">During the reporting period, </w:t>
      </w:r>
      <w:r w:rsidRPr="00BF16AE">
        <w:rPr>
          <w:rFonts w:ascii="Segoe UI" w:hAnsi="Segoe UI" w:cs="Segoe UI"/>
          <w:b/>
          <w:sz w:val="22"/>
          <w:szCs w:val="22"/>
        </w:rPr>
        <w:t>51,417 participants</w:t>
      </w:r>
      <w:r w:rsidRPr="00BF16AE">
        <w:rPr>
          <w:rFonts w:ascii="Segoe UI" w:hAnsi="Segoe UI" w:cs="Segoe UI"/>
          <w:sz w:val="22"/>
          <w:szCs w:val="22"/>
        </w:rPr>
        <w:t xml:space="preserve"> were registered in ESF+ measures, including </w:t>
      </w:r>
      <w:r w:rsidRPr="00BF16AE">
        <w:rPr>
          <w:rFonts w:ascii="Segoe UI" w:hAnsi="Segoe UI" w:cs="Segoe UI"/>
          <w:b/>
          <w:sz w:val="22"/>
          <w:szCs w:val="22"/>
        </w:rPr>
        <w:t>18,091 men</w:t>
      </w:r>
      <w:r w:rsidRPr="00BF16AE">
        <w:rPr>
          <w:rFonts w:ascii="Segoe UI" w:hAnsi="Segoe UI" w:cs="Segoe UI"/>
          <w:sz w:val="22"/>
          <w:szCs w:val="22"/>
        </w:rPr>
        <w:t xml:space="preserve"> and </w:t>
      </w:r>
      <w:r w:rsidRPr="00BF16AE">
        <w:rPr>
          <w:rFonts w:ascii="Segoe UI" w:hAnsi="Segoe UI" w:cs="Segoe UI"/>
          <w:b/>
          <w:sz w:val="22"/>
          <w:szCs w:val="22"/>
        </w:rPr>
        <w:t>33,326 women</w:t>
      </w:r>
      <w:r w:rsidRPr="00BF16AE">
        <w:rPr>
          <w:rFonts w:ascii="Segoe UI" w:hAnsi="Segoe UI" w:cs="Segoe UI"/>
          <w:sz w:val="22"/>
          <w:szCs w:val="22"/>
        </w:rPr>
        <w:t xml:space="preserve">. This demonstrates the Programme’s capacity to reach both broad sections of society and people at greater risk of inequality, discrimination or social exclusion. Women account for </w:t>
      </w:r>
      <w:r w:rsidRPr="00BF16AE">
        <w:rPr>
          <w:rFonts w:ascii="Segoe UI" w:hAnsi="Segoe UI" w:cs="Segoe UI"/>
          <w:b/>
          <w:sz w:val="22"/>
          <w:szCs w:val="22"/>
        </w:rPr>
        <w:t>64.8%</w:t>
      </w:r>
      <w:r w:rsidRPr="00BF16AE">
        <w:rPr>
          <w:rFonts w:ascii="Segoe UI" w:hAnsi="Segoe UI" w:cs="Segoe UI"/>
          <w:sz w:val="22"/>
          <w:szCs w:val="22"/>
        </w:rPr>
        <w:t xml:space="preserve"> of participants, which is mainly explained by the characteristics of the education, health and social care sectors and the structure of their target groups. The largest share of participants is made up of people aged 30 to 54, while the participation of young people and older people is lower, indicating a need to continue developing targeted support solutions for these groups.</w:t>
      </w:r>
    </w:p>
    <w:p w14:paraId="69E81CD6" w14:textId="5877418A" w:rsidR="00470403" w:rsidRPr="00BF16AE" w:rsidRDefault="00470403" w:rsidP="00470403">
      <w:pPr>
        <w:pStyle w:val="Paraststmeklis"/>
        <w:spacing w:line="300" w:lineRule="atLeast"/>
        <w:jc w:val="both"/>
        <w:rPr>
          <w:rFonts w:ascii="Segoe UI" w:hAnsi="Segoe UI" w:cs="Segoe UI"/>
          <w:sz w:val="22"/>
          <w:szCs w:val="22"/>
        </w:rPr>
      </w:pPr>
      <w:r w:rsidRPr="00BF16AE">
        <w:rPr>
          <w:rFonts w:ascii="Segoe UI" w:hAnsi="Segoe UI" w:cs="Segoe UI"/>
          <w:sz w:val="22"/>
          <w:szCs w:val="22"/>
        </w:rPr>
        <w:t xml:space="preserve">Persons with disabilities account for </w:t>
      </w:r>
      <w:r w:rsidRPr="00BF16AE">
        <w:rPr>
          <w:rFonts w:ascii="Segoe UI" w:hAnsi="Segoe UI" w:cs="Segoe UI"/>
          <w:b/>
          <w:sz w:val="22"/>
          <w:szCs w:val="22"/>
        </w:rPr>
        <w:t>11.4%</w:t>
      </w:r>
      <w:r w:rsidRPr="00BF16AE">
        <w:rPr>
          <w:rFonts w:ascii="Segoe UI" w:hAnsi="Segoe UI" w:cs="Segoe UI"/>
          <w:sz w:val="22"/>
          <w:szCs w:val="22"/>
        </w:rPr>
        <w:t xml:space="preserve"> of registered ESF+ participants, and their participation is concentrated mainly in measures in which they are identified as a direct target group. The participation of the </w:t>
      </w:r>
      <w:r w:rsidRPr="00BF16AE">
        <w:rPr>
          <w:rFonts w:ascii="Segoe UI" w:hAnsi="Segoe UI" w:cs="Segoe UI"/>
          <w:b/>
          <w:sz w:val="22"/>
          <w:szCs w:val="22"/>
        </w:rPr>
        <w:t>4,060</w:t>
      </w:r>
      <w:r w:rsidRPr="00BF16AE">
        <w:rPr>
          <w:rFonts w:ascii="Segoe UI" w:hAnsi="Segoe UI" w:cs="Segoe UI"/>
          <w:sz w:val="22"/>
          <w:szCs w:val="22"/>
        </w:rPr>
        <w:t xml:space="preserve"> registered representatives of ethnic minorities is mainly associated with social inclusion, integration and employment measures. This demonstrates that targeted interventions effectively reach specific groups in society, while also highlighting the need to integrate equality, inclusion and accessibility horizontally across a broader range of ESF+ measures.</w:t>
      </w:r>
    </w:p>
    <w:p w14:paraId="16349667" w14:textId="77777777" w:rsidR="001F2821" w:rsidRPr="00BF16AE" w:rsidRDefault="001F2821" w:rsidP="002554A8">
      <w:pPr>
        <w:pStyle w:val="Virsraksts3"/>
      </w:pPr>
      <w:r w:rsidRPr="00BF16AE">
        <w:t>Practical benefits at project level</w:t>
      </w:r>
    </w:p>
    <w:p w14:paraId="1DF7A1F7" w14:textId="6083CEE0" w:rsidR="00047B53" w:rsidRPr="00BF16AE" w:rsidRDefault="00047B53" w:rsidP="00047B53">
      <w:pPr>
        <w:pStyle w:val="Paraststmeklis"/>
        <w:spacing w:line="300" w:lineRule="atLeast"/>
        <w:jc w:val="both"/>
        <w:rPr>
          <w:rFonts w:ascii="Segoe UI" w:hAnsi="Segoe UI" w:cs="Segoe UI"/>
          <w:sz w:val="22"/>
          <w:szCs w:val="22"/>
        </w:rPr>
      </w:pPr>
      <w:r w:rsidRPr="00BF16AE">
        <w:rPr>
          <w:rFonts w:ascii="Segoe UI" w:hAnsi="Segoe UI" w:cs="Segoe UI"/>
          <w:sz w:val="22"/>
          <w:szCs w:val="22"/>
        </w:rPr>
        <w:t xml:space="preserve">The HP VINPI indicators demonstrate that, at project level, the horizontal principle is implemented through specific actions and achieved results. During the reporting period, </w:t>
      </w:r>
      <w:r w:rsidRPr="00BF16AE">
        <w:rPr>
          <w:rFonts w:ascii="Segoe UI" w:hAnsi="Segoe UI" w:cs="Segoe UI"/>
          <w:b/>
          <w:sz w:val="22"/>
          <w:szCs w:val="22"/>
        </w:rPr>
        <w:t>218 ESF+ projects</w:t>
      </w:r>
      <w:r w:rsidRPr="00BF16AE">
        <w:rPr>
          <w:rFonts w:ascii="Segoe UI" w:hAnsi="Segoe UI" w:cs="Segoe UI"/>
          <w:sz w:val="22"/>
          <w:szCs w:val="22"/>
        </w:rPr>
        <w:t xml:space="preserve"> and </w:t>
      </w:r>
      <w:r w:rsidRPr="00BF16AE">
        <w:rPr>
          <w:rFonts w:ascii="Segoe UI" w:hAnsi="Segoe UI" w:cs="Segoe UI"/>
          <w:b/>
          <w:sz w:val="22"/>
          <w:szCs w:val="22"/>
        </w:rPr>
        <w:t>2,192 material investment projects</w:t>
      </w:r>
      <w:r w:rsidRPr="00BF16AE">
        <w:rPr>
          <w:rFonts w:ascii="Segoe UI" w:hAnsi="Segoe UI" w:cs="Segoe UI"/>
          <w:sz w:val="22"/>
          <w:szCs w:val="22"/>
        </w:rPr>
        <w:t xml:space="preserve"> were analysed. In these projects, the requirements of the horizontal principle were integrated into improvements in the accessibility of services, infrastructure and information.</w:t>
      </w:r>
    </w:p>
    <w:p w14:paraId="400D4990" w14:textId="701FBEFD" w:rsidR="00047B53" w:rsidRPr="00BF16AE" w:rsidRDefault="00047B53" w:rsidP="00047B53">
      <w:pPr>
        <w:pStyle w:val="Paraststmeklis"/>
        <w:spacing w:line="300" w:lineRule="atLeast"/>
        <w:jc w:val="both"/>
        <w:rPr>
          <w:rFonts w:ascii="Segoe UI" w:hAnsi="Segoe UI" w:cs="Segoe UI"/>
          <w:sz w:val="22"/>
          <w:szCs w:val="22"/>
        </w:rPr>
      </w:pPr>
      <w:r w:rsidRPr="00BF16AE">
        <w:rPr>
          <w:rFonts w:ascii="Segoe UI" w:hAnsi="Segoe UI" w:cs="Segoe UI"/>
          <w:sz w:val="22"/>
          <w:szCs w:val="22"/>
        </w:rPr>
        <w:t>The most widely used indicators relate to the provision of accessible events, reaching persons with disabilities, supporting people at risk of social exclusion, and integrating the principle of non-discrimination into event and training content. In infrastructure projects, the most significant results relate to the creation of accessible facilities, public transport, digital services and accessible civil protection solutions.</w:t>
      </w:r>
    </w:p>
    <w:p w14:paraId="5CCEE75B" w14:textId="34ACD90B" w:rsidR="00047B53" w:rsidRPr="00BF16AE" w:rsidRDefault="00047B53" w:rsidP="003115D6">
      <w:pPr>
        <w:pStyle w:val="Paraststmeklis"/>
        <w:spacing w:line="300" w:lineRule="atLeast"/>
        <w:jc w:val="both"/>
        <w:rPr>
          <w:rFonts w:ascii="Segoe UI" w:hAnsi="Segoe UI" w:cs="Segoe UI"/>
          <w:sz w:val="22"/>
          <w:szCs w:val="22"/>
        </w:rPr>
      </w:pPr>
      <w:r w:rsidRPr="00BF16AE">
        <w:rPr>
          <w:rFonts w:ascii="Segoe UI" w:hAnsi="Segoe UI" w:cs="Segoe UI"/>
          <w:sz w:val="22"/>
          <w:szCs w:val="22"/>
        </w:rPr>
        <w:t>In practice, this means more accessible services, information and environments, including sign language interpretation, subtitles, easy-to-read information, tailored solutions for persons with disabilities, childcare services and other support mechanisms that help people access services, participate in education and employment measures, use public infrastructure, and participate more fully in public life.</w:t>
      </w:r>
    </w:p>
    <w:p w14:paraId="4E0DDC44" w14:textId="4AD6A61A" w:rsidR="001F2821" w:rsidRPr="00BF16AE" w:rsidRDefault="00436A30" w:rsidP="006B3E45">
      <w:pPr>
        <w:pStyle w:val="Virsraksts3"/>
      </w:pPr>
      <w:r w:rsidRPr="00BF16AE">
        <w:t>Key conclusions and areas for further improvement</w:t>
      </w:r>
    </w:p>
    <w:p w14:paraId="3F350222" w14:textId="098FE804" w:rsidR="00436A30" w:rsidRPr="00BF16AE" w:rsidRDefault="00436A30" w:rsidP="00436A30">
      <w:pPr>
        <w:pStyle w:val="Paraststmeklis"/>
        <w:spacing w:line="300" w:lineRule="atLeast"/>
        <w:jc w:val="both"/>
        <w:rPr>
          <w:rFonts w:ascii="Segoe UI" w:hAnsi="Segoe UI" w:cs="Segoe UI"/>
          <w:sz w:val="22"/>
          <w:szCs w:val="22"/>
        </w:rPr>
      </w:pPr>
      <w:r w:rsidRPr="00BF16AE">
        <w:rPr>
          <w:rFonts w:ascii="Segoe UI" w:hAnsi="Segoe UI" w:cs="Segoe UI"/>
          <w:sz w:val="22"/>
          <w:szCs w:val="22"/>
        </w:rPr>
        <w:t xml:space="preserve">The report confirms that HP VINPI has become an integral part of the planning and implementation of EU funds. The most significant and best-documented results have been achieved in accessibility, social inclusion and support for persons with disabilities. An HP monitoring system has also been established, and a substantial body of evidence has been accumulated on implemented actions and </w:t>
      </w:r>
      <w:r w:rsidRPr="00BF16AE">
        <w:rPr>
          <w:rFonts w:ascii="Segoe UI" w:hAnsi="Segoe UI" w:cs="Segoe UI"/>
          <w:sz w:val="22"/>
          <w:szCs w:val="22"/>
        </w:rPr>
        <w:lastRenderedPageBreak/>
        <w:t>achieved results. At the same time, the analysis shows that the potential of the horizontal principle has not yet been fully realised in all investment areas, particularly in measures relating to innovation, digitalisation, climate and economic development.</w:t>
      </w:r>
    </w:p>
    <w:p w14:paraId="6F9FB5C7" w14:textId="70C49C45" w:rsidR="00436A30" w:rsidRPr="00BF16AE" w:rsidRDefault="00436A30" w:rsidP="00436A30">
      <w:pPr>
        <w:pStyle w:val="Paraststmeklis"/>
        <w:spacing w:line="300" w:lineRule="atLeast"/>
        <w:jc w:val="both"/>
        <w:rPr>
          <w:rFonts w:ascii="Segoe UI" w:hAnsi="Segoe UI" w:cs="Segoe UI"/>
          <w:sz w:val="22"/>
          <w:szCs w:val="22"/>
        </w:rPr>
      </w:pPr>
      <w:r w:rsidRPr="00BF16AE">
        <w:rPr>
          <w:rFonts w:ascii="Segoe UI" w:hAnsi="Segoe UI" w:cs="Segoe UI"/>
          <w:sz w:val="22"/>
          <w:szCs w:val="22"/>
        </w:rPr>
        <w:t>The assessment shows that the existing monitoring system successfully collects information on implemented actions, reached target groups and created accessibility solutions. However, data quality and comparability remain uneven across measures, some indicators are used only to a limited extent, and the available information does not always allow for a comprehensive assessment of the actual impact on people’s lives and the changes achieved. Therefore, in addition to quantitative monitoring, targeted evaluations of the quality of HP implementation and its impact on different groups in society should be carried out in the future.</w:t>
      </w:r>
    </w:p>
    <w:p w14:paraId="5D0D94EB" w14:textId="77777777" w:rsidR="00436A30" w:rsidRPr="00BF16AE" w:rsidRDefault="00436A30" w:rsidP="00436A30">
      <w:pPr>
        <w:pStyle w:val="Paraststmeklis"/>
        <w:spacing w:line="300" w:lineRule="atLeast"/>
        <w:jc w:val="both"/>
        <w:rPr>
          <w:rFonts w:ascii="Segoe UI" w:hAnsi="Segoe UI" w:cs="Segoe UI"/>
          <w:sz w:val="22"/>
          <w:szCs w:val="22"/>
        </w:rPr>
      </w:pPr>
      <w:r w:rsidRPr="00BF16AE">
        <w:rPr>
          <w:rFonts w:ascii="Segoe UI" w:hAnsi="Segoe UI" w:cs="Segoe UI"/>
          <w:sz w:val="22"/>
          <w:szCs w:val="22"/>
        </w:rPr>
        <w:t>For the 2028–2034 programming period, the main task is not to broaden the scope of the horizontal principle, but to strengthen its high-quality implementation based on sector-specific needs. It is necessary to improve the indicator system, enhance data quality and comparability, link HP requirements more closely to sectoral development objectives, and complement quantitative monitoring with an assessment of people’s experiences and the changes actually achieved. This will make it possible to assess and demonstrate more accurately the contribution of EU fund investments to equal opportunities, inclusion, accessibility and the promotion of fundamental rights. It will also strengthen the understanding that equal opportunities, non-discrimination and accessibility are not additional requirements, but an integral part of high-quality and sustainable public investment.</w:t>
      </w:r>
    </w:p>
    <w:sectPr w:rsidR="00436A30" w:rsidRPr="00BF16AE" w:rsidSect="000E3C31">
      <w:footerReference w:type="default" r:id="rId7"/>
      <w:pgSz w:w="11906" w:h="16838"/>
      <w:pgMar w:top="1440" w:right="1133"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4E36D" w14:textId="77777777" w:rsidR="00AD0204" w:rsidRDefault="00AD0204" w:rsidP="00AD0204">
      <w:pPr>
        <w:spacing w:after="0" w:line="240" w:lineRule="auto"/>
      </w:pPr>
      <w:r>
        <w:separator/>
      </w:r>
    </w:p>
  </w:endnote>
  <w:endnote w:type="continuationSeparator" w:id="0">
    <w:p w14:paraId="3BCDBFCE" w14:textId="77777777" w:rsidR="00AD0204" w:rsidRDefault="00AD0204" w:rsidP="00AD0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6321281"/>
      <w:docPartObj>
        <w:docPartGallery w:val="Page Numbers (Bottom of Page)"/>
        <w:docPartUnique/>
      </w:docPartObj>
    </w:sdtPr>
    <w:sdtEndPr/>
    <w:sdtContent>
      <w:p w14:paraId="22211FAE" w14:textId="1E202D19" w:rsidR="00AD0204" w:rsidRDefault="00AD0204">
        <w:pPr>
          <w:pStyle w:val="Kjene"/>
          <w:jc w:val="right"/>
        </w:pPr>
        <w:r>
          <w:fldChar w:fldCharType="begin"/>
        </w:r>
        <w:r>
          <w:instrText>PAGE   \* MERGEFORMAT</w:instrText>
        </w:r>
        <w:r>
          <w:fldChar w:fldCharType="separate"/>
        </w:r>
        <w:r>
          <w:t>2</w:t>
        </w:r>
        <w:r>
          <w:fldChar w:fldCharType="end"/>
        </w:r>
      </w:p>
    </w:sdtContent>
  </w:sdt>
  <w:p w14:paraId="61FEDBC1" w14:textId="77777777" w:rsidR="00AD0204" w:rsidRDefault="00AD020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52D06" w14:textId="77777777" w:rsidR="00AD0204" w:rsidRDefault="00AD0204" w:rsidP="00AD0204">
      <w:pPr>
        <w:spacing w:after="0" w:line="240" w:lineRule="auto"/>
      </w:pPr>
      <w:r>
        <w:separator/>
      </w:r>
    </w:p>
  </w:footnote>
  <w:footnote w:type="continuationSeparator" w:id="0">
    <w:p w14:paraId="1CB27D03" w14:textId="77777777" w:rsidR="00AD0204" w:rsidRDefault="00AD0204" w:rsidP="00AD020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821"/>
    <w:rsid w:val="00016507"/>
    <w:rsid w:val="00047B53"/>
    <w:rsid w:val="00054819"/>
    <w:rsid w:val="00060E0B"/>
    <w:rsid w:val="000B24AF"/>
    <w:rsid w:val="000B2D47"/>
    <w:rsid w:val="000D6550"/>
    <w:rsid w:val="000E3C31"/>
    <w:rsid w:val="001F2821"/>
    <w:rsid w:val="002554A8"/>
    <w:rsid w:val="002D46CC"/>
    <w:rsid w:val="003115D6"/>
    <w:rsid w:val="00316980"/>
    <w:rsid w:val="00357753"/>
    <w:rsid w:val="003E66C7"/>
    <w:rsid w:val="00436A30"/>
    <w:rsid w:val="00470403"/>
    <w:rsid w:val="004D2E9F"/>
    <w:rsid w:val="005413A3"/>
    <w:rsid w:val="00696953"/>
    <w:rsid w:val="006B3E45"/>
    <w:rsid w:val="00826A8E"/>
    <w:rsid w:val="008D0895"/>
    <w:rsid w:val="00981B89"/>
    <w:rsid w:val="009F6A6F"/>
    <w:rsid w:val="00A12F2A"/>
    <w:rsid w:val="00A13C29"/>
    <w:rsid w:val="00A25C71"/>
    <w:rsid w:val="00AD0204"/>
    <w:rsid w:val="00AE1F30"/>
    <w:rsid w:val="00B149B1"/>
    <w:rsid w:val="00B6408C"/>
    <w:rsid w:val="00BF16AE"/>
    <w:rsid w:val="00C61C32"/>
    <w:rsid w:val="00D3089B"/>
    <w:rsid w:val="00D843D6"/>
    <w:rsid w:val="00DD7CA6"/>
    <w:rsid w:val="00E440A6"/>
    <w:rsid w:val="00EA4AD2"/>
    <w:rsid w:val="00EB7564"/>
    <w:rsid w:val="00F46148"/>
    <w:rsid w:val="00F717CE"/>
    <w:rsid w:val="00F77567"/>
    <w:rsid w:val="00F80A76"/>
    <w:rsid w:val="00FA6F6E"/>
    <w:rsid w:val="00FB6541"/>
    <w:rsid w:val="00FC596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04221"/>
  <w15:chartTrackingRefBased/>
  <w15:docId w15:val="{2F472555-336C-49FE-8F8A-54450936D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B149B1"/>
    <w:pPr>
      <w:keepNext/>
      <w:spacing w:before="100" w:beforeAutospacing="1" w:after="100" w:afterAutospacing="1" w:line="300" w:lineRule="atLeast"/>
      <w:jc w:val="both"/>
      <w:outlineLvl w:val="0"/>
    </w:pPr>
    <w:rPr>
      <w:rFonts w:ascii="Segoe UI" w:eastAsia="Times New Roman" w:hAnsi="Segoe UI" w:cs="Segoe UI"/>
      <w:b/>
      <w:bCs/>
      <w:lang w:eastAsia="lv-LV"/>
    </w:rPr>
  </w:style>
  <w:style w:type="paragraph" w:styleId="Virsraksts2">
    <w:name w:val="heading 2"/>
    <w:basedOn w:val="Parasts"/>
    <w:next w:val="Parasts"/>
    <w:link w:val="Virsraksts2Rakstz"/>
    <w:uiPriority w:val="9"/>
    <w:unhideWhenUsed/>
    <w:qFormat/>
    <w:rsid w:val="002554A8"/>
    <w:pPr>
      <w:keepNext/>
      <w:jc w:val="center"/>
      <w:outlineLvl w:val="1"/>
    </w:pPr>
    <w:rPr>
      <w:rFonts w:ascii="Segoe UI" w:hAnsi="Segoe UI" w:cs="Segoe UI"/>
      <w:b/>
      <w:bCs/>
      <w:sz w:val="28"/>
      <w:szCs w:val="28"/>
    </w:rPr>
  </w:style>
  <w:style w:type="paragraph" w:styleId="Virsraksts3">
    <w:name w:val="heading 3"/>
    <w:basedOn w:val="Parasts"/>
    <w:next w:val="Parasts"/>
    <w:link w:val="Virsraksts3Rakstz"/>
    <w:uiPriority w:val="9"/>
    <w:unhideWhenUsed/>
    <w:qFormat/>
    <w:rsid w:val="002554A8"/>
    <w:pPr>
      <w:keepNext/>
      <w:shd w:val="clear" w:color="auto" w:fill="9A0000"/>
      <w:spacing w:before="100" w:beforeAutospacing="1" w:after="100" w:afterAutospacing="1" w:line="300" w:lineRule="atLeast"/>
      <w:jc w:val="both"/>
      <w:outlineLvl w:val="2"/>
    </w:pPr>
    <w:rPr>
      <w:rFonts w:ascii="Segoe UI" w:eastAsia="Times New Roman" w:hAnsi="Segoe UI" w:cs="Segoe UI"/>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149B1"/>
    <w:rPr>
      <w:rFonts w:ascii="Segoe UI" w:eastAsia="Times New Roman" w:hAnsi="Segoe UI" w:cs="Segoe UI"/>
      <w:b/>
      <w:bCs/>
      <w:lang w:eastAsia="lv-LV"/>
    </w:rPr>
  </w:style>
  <w:style w:type="paragraph" w:styleId="Galvene">
    <w:name w:val="header"/>
    <w:basedOn w:val="Parasts"/>
    <w:link w:val="GalveneRakstz"/>
    <w:uiPriority w:val="99"/>
    <w:unhideWhenUsed/>
    <w:rsid w:val="00AD0204"/>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AD0204"/>
  </w:style>
  <w:style w:type="paragraph" w:styleId="Kjene">
    <w:name w:val="footer"/>
    <w:basedOn w:val="Parasts"/>
    <w:link w:val="KjeneRakstz"/>
    <w:uiPriority w:val="99"/>
    <w:unhideWhenUsed/>
    <w:rsid w:val="00AD0204"/>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AD0204"/>
  </w:style>
  <w:style w:type="character" w:customStyle="1" w:styleId="Virsraksts2Rakstz">
    <w:name w:val="Virsraksts 2 Rakstz."/>
    <w:basedOn w:val="Noklusjumarindkopasfonts"/>
    <w:link w:val="Virsraksts2"/>
    <w:uiPriority w:val="9"/>
    <w:rsid w:val="002554A8"/>
    <w:rPr>
      <w:rFonts w:ascii="Segoe UI" w:hAnsi="Segoe UI" w:cs="Segoe UI"/>
      <w:b/>
      <w:bCs/>
      <w:sz w:val="28"/>
      <w:szCs w:val="28"/>
    </w:rPr>
  </w:style>
  <w:style w:type="character" w:customStyle="1" w:styleId="Virsraksts3Rakstz">
    <w:name w:val="Virsraksts 3 Rakstz."/>
    <w:basedOn w:val="Noklusjumarindkopasfonts"/>
    <w:link w:val="Virsraksts3"/>
    <w:uiPriority w:val="9"/>
    <w:rsid w:val="002554A8"/>
    <w:rPr>
      <w:rFonts w:ascii="Segoe UI" w:eastAsia="Times New Roman" w:hAnsi="Segoe UI" w:cs="Segoe UI"/>
      <w:b/>
      <w:bCs/>
      <w:shd w:val="clear" w:color="auto" w:fill="9A0000"/>
      <w:lang w:eastAsia="lv-LV"/>
    </w:rPr>
  </w:style>
  <w:style w:type="paragraph" w:styleId="Pamatteksts">
    <w:name w:val="Body Text"/>
    <w:basedOn w:val="Parasts"/>
    <w:link w:val="PamattekstsRakstz"/>
    <w:uiPriority w:val="99"/>
    <w:unhideWhenUsed/>
    <w:rsid w:val="00826A8E"/>
    <w:pPr>
      <w:spacing w:before="100" w:beforeAutospacing="1" w:after="100" w:afterAutospacing="1" w:line="300" w:lineRule="atLeast"/>
      <w:jc w:val="both"/>
    </w:pPr>
    <w:rPr>
      <w:rFonts w:ascii="Segoe UI" w:eastAsia="Times New Roman" w:hAnsi="Segoe UI" w:cs="Segoe UI"/>
      <w:lang w:eastAsia="lv-LV"/>
    </w:rPr>
  </w:style>
  <w:style w:type="character" w:customStyle="1" w:styleId="PamattekstsRakstz">
    <w:name w:val="Pamatteksts Rakstz."/>
    <w:basedOn w:val="Noklusjumarindkopasfonts"/>
    <w:link w:val="Pamatteksts"/>
    <w:uiPriority w:val="99"/>
    <w:rsid w:val="00826A8E"/>
    <w:rPr>
      <w:rFonts w:ascii="Segoe UI" w:eastAsia="Times New Roman" w:hAnsi="Segoe UI" w:cs="Segoe UI"/>
      <w:lang w:eastAsia="lv-LV"/>
    </w:rPr>
  </w:style>
  <w:style w:type="paragraph" w:styleId="Paraststmeklis">
    <w:name w:val="Normal (Web)"/>
    <w:basedOn w:val="Parasts"/>
    <w:uiPriority w:val="99"/>
    <w:unhideWhenUsed/>
    <w:rsid w:val="00060E0B"/>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ipersaite">
    <w:name w:val="Hyperlink"/>
    <w:basedOn w:val="Noklusjumarindkopasfonts"/>
    <w:uiPriority w:val="99"/>
    <w:semiHidden/>
    <w:unhideWhenUsed/>
    <w:rsid w:val="00F46148"/>
    <w:rPr>
      <w:strike w:val="0"/>
      <w:dstrike w:val="0"/>
      <w:color w:val="464FEB"/>
      <w:u w:val="none"/>
      <w:effect w:val="none"/>
    </w:rPr>
  </w:style>
  <w:style w:type="character" w:styleId="Izteiksmgs">
    <w:name w:val="Strong"/>
    <w:basedOn w:val="Noklusjumarindkopasfonts"/>
    <w:uiPriority w:val="22"/>
    <w:qFormat/>
    <w:rsid w:val="0047040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9708">
      <w:bodyDiv w:val="1"/>
      <w:marLeft w:val="0"/>
      <w:marRight w:val="0"/>
      <w:marTop w:val="0"/>
      <w:marBottom w:val="0"/>
      <w:divBdr>
        <w:top w:val="none" w:sz="0" w:space="0" w:color="auto"/>
        <w:left w:val="none" w:sz="0" w:space="0" w:color="auto"/>
        <w:bottom w:val="none" w:sz="0" w:space="0" w:color="auto"/>
        <w:right w:val="none" w:sz="0" w:space="0" w:color="auto"/>
      </w:divBdr>
      <w:divsChild>
        <w:div w:id="811093428">
          <w:marLeft w:val="0"/>
          <w:marRight w:val="0"/>
          <w:marTop w:val="0"/>
          <w:marBottom w:val="0"/>
          <w:divBdr>
            <w:top w:val="none" w:sz="0" w:space="0" w:color="auto"/>
            <w:left w:val="none" w:sz="0" w:space="0" w:color="auto"/>
            <w:bottom w:val="none" w:sz="0" w:space="0" w:color="auto"/>
            <w:right w:val="none" w:sz="0" w:space="0" w:color="auto"/>
          </w:divBdr>
        </w:div>
      </w:divsChild>
    </w:div>
    <w:div w:id="377362335">
      <w:bodyDiv w:val="1"/>
      <w:marLeft w:val="0"/>
      <w:marRight w:val="0"/>
      <w:marTop w:val="0"/>
      <w:marBottom w:val="0"/>
      <w:divBdr>
        <w:top w:val="none" w:sz="0" w:space="0" w:color="auto"/>
        <w:left w:val="none" w:sz="0" w:space="0" w:color="auto"/>
        <w:bottom w:val="none" w:sz="0" w:space="0" w:color="auto"/>
        <w:right w:val="none" w:sz="0" w:space="0" w:color="auto"/>
      </w:divBdr>
      <w:divsChild>
        <w:div w:id="126171511">
          <w:marLeft w:val="0"/>
          <w:marRight w:val="0"/>
          <w:marTop w:val="0"/>
          <w:marBottom w:val="0"/>
          <w:divBdr>
            <w:top w:val="none" w:sz="0" w:space="0" w:color="auto"/>
            <w:left w:val="none" w:sz="0" w:space="0" w:color="auto"/>
            <w:bottom w:val="none" w:sz="0" w:space="0" w:color="auto"/>
            <w:right w:val="none" w:sz="0" w:space="0" w:color="auto"/>
          </w:divBdr>
        </w:div>
      </w:divsChild>
    </w:div>
    <w:div w:id="392433006">
      <w:bodyDiv w:val="1"/>
      <w:marLeft w:val="0"/>
      <w:marRight w:val="0"/>
      <w:marTop w:val="0"/>
      <w:marBottom w:val="0"/>
      <w:divBdr>
        <w:top w:val="none" w:sz="0" w:space="0" w:color="auto"/>
        <w:left w:val="none" w:sz="0" w:space="0" w:color="auto"/>
        <w:bottom w:val="none" w:sz="0" w:space="0" w:color="auto"/>
        <w:right w:val="none" w:sz="0" w:space="0" w:color="auto"/>
      </w:divBdr>
      <w:divsChild>
        <w:div w:id="266547641">
          <w:marLeft w:val="0"/>
          <w:marRight w:val="0"/>
          <w:marTop w:val="0"/>
          <w:marBottom w:val="0"/>
          <w:divBdr>
            <w:top w:val="none" w:sz="0" w:space="0" w:color="auto"/>
            <w:left w:val="none" w:sz="0" w:space="0" w:color="auto"/>
            <w:bottom w:val="none" w:sz="0" w:space="0" w:color="auto"/>
            <w:right w:val="none" w:sz="0" w:space="0" w:color="auto"/>
          </w:divBdr>
        </w:div>
      </w:divsChild>
    </w:div>
    <w:div w:id="427778705">
      <w:bodyDiv w:val="1"/>
      <w:marLeft w:val="0"/>
      <w:marRight w:val="0"/>
      <w:marTop w:val="0"/>
      <w:marBottom w:val="0"/>
      <w:divBdr>
        <w:top w:val="none" w:sz="0" w:space="0" w:color="auto"/>
        <w:left w:val="none" w:sz="0" w:space="0" w:color="auto"/>
        <w:bottom w:val="none" w:sz="0" w:space="0" w:color="auto"/>
        <w:right w:val="none" w:sz="0" w:space="0" w:color="auto"/>
      </w:divBdr>
      <w:divsChild>
        <w:div w:id="390084486">
          <w:marLeft w:val="0"/>
          <w:marRight w:val="0"/>
          <w:marTop w:val="0"/>
          <w:marBottom w:val="0"/>
          <w:divBdr>
            <w:top w:val="none" w:sz="0" w:space="0" w:color="auto"/>
            <w:left w:val="none" w:sz="0" w:space="0" w:color="auto"/>
            <w:bottom w:val="none" w:sz="0" w:space="0" w:color="auto"/>
            <w:right w:val="none" w:sz="0" w:space="0" w:color="auto"/>
          </w:divBdr>
        </w:div>
      </w:divsChild>
    </w:div>
    <w:div w:id="552355763">
      <w:bodyDiv w:val="1"/>
      <w:marLeft w:val="0"/>
      <w:marRight w:val="0"/>
      <w:marTop w:val="0"/>
      <w:marBottom w:val="0"/>
      <w:divBdr>
        <w:top w:val="none" w:sz="0" w:space="0" w:color="auto"/>
        <w:left w:val="none" w:sz="0" w:space="0" w:color="auto"/>
        <w:bottom w:val="none" w:sz="0" w:space="0" w:color="auto"/>
        <w:right w:val="none" w:sz="0" w:space="0" w:color="auto"/>
      </w:divBdr>
      <w:divsChild>
        <w:div w:id="1354721385">
          <w:marLeft w:val="0"/>
          <w:marRight w:val="0"/>
          <w:marTop w:val="0"/>
          <w:marBottom w:val="0"/>
          <w:divBdr>
            <w:top w:val="none" w:sz="0" w:space="0" w:color="auto"/>
            <w:left w:val="none" w:sz="0" w:space="0" w:color="auto"/>
            <w:bottom w:val="none" w:sz="0" w:space="0" w:color="auto"/>
            <w:right w:val="none" w:sz="0" w:space="0" w:color="auto"/>
          </w:divBdr>
        </w:div>
      </w:divsChild>
    </w:div>
    <w:div w:id="685600982">
      <w:bodyDiv w:val="1"/>
      <w:marLeft w:val="0"/>
      <w:marRight w:val="0"/>
      <w:marTop w:val="0"/>
      <w:marBottom w:val="0"/>
      <w:divBdr>
        <w:top w:val="none" w:sz="0" w:space="0" w:color="auto"/>
        <w:left w:val="none" w:sz="0" w:space="0" w:color="auto"/>
        <w:bottom w:val="none" w:sz="0" w:space="0" w:color="auto"/>
        <w:right w:val="none" w:sz="0" w:space="0" w:color="auto"/>
      </w:divBdr>
      <w:divsChild>
        <w:div w:id="78065348">
          <w:marLeft w:val="0"/>
          <w:marRight w:val="0"/>
          <w:marTop w:val="0"/>
          <w:marBottom w:val="0"/>
          <w:divBdr>
            <w:top w:val="none" w:sz="0" w:space="0" w:color="auto"/>
            <w:left w:val="none" w:sz="0" w:space="0" w:color="auto"/>
            <w:bottom w:val="none" w:sz="0" w:space="0" w:color="auto"/>
            <w:right w:val="none" w:sz="0" w:space="0" w:color="auto"/>
          </w:divBdr>
        </w:div>
      </w:divsChild>
    </w:div>
    <w:div w:id="814951601">
      <w:bodyDiv w:val="1"/>
      <w:marLeft w:val="0"/>
      <w:marRight w:val="0"/>
      <w:marTop w:val="0"/>
      <w:marBottom w:val="0"/>
      <w:divBdr>
        <w:top w:val="none" w:sz="0" w:space="0" w:color="auto"/>
        <w:left w:val="none" w:sz="0" w:space="0" w:color="auto"/>
        <w:bottom w:val="none" w:sz="0" w:space="0" w:color="auto"/>
        <w:right w:val="none" w:sz="0" w:space="0" w:color="auto"/>
      </w:divBdr>
      <w:divsChild>
        <w:div w:id="852115225">
          <w:marLeft w:val="0"/>
          <w:marRight w:val="0"/>
          <w:marTop w:val="0"/>
          <w:marBottom w:val="0"/>
          <w:divBdr>
            <w:top w:val="none" w:sz="0" w:space="0" w:color="auto"/>
            <w:left w:val="none" w:sz="0" w:space="0" w:color="auto"/>
            <w:bottom w:val="none" w:sz="0" w:space="0" w:color="auto"/>
            <w:right w:val="none" w:sz="0" w:space="0" w:color="auto"/>
          </w:divBdr>
        </w:div>
      </w:divsChild>
    </w:div>
    <w:div w:id="923074931">
      <w:bodyDiv w:val="1"/>
      <w:marLeft w:val="0"/>
      <w:marRight w:val="0"/>
      <w:marTop w:val="0"/>
      <w:marBottom w:val="0"/>
      <w:divBdr>
        <w:top w:val="none" w:sz="0" w:space="0" w:color="auto"/>
        <w:left w:val="none" w:sz="0" w:space="0" w:color="auto"/>
        <w:bottom w:val="none" w:sz="0" w:space="0" w:color="auto"/>
        <w:right w:val="none" w:sz="0" w:space="0" w:color="auto"/>
      </w:divBdr>
      <w:divsChild>
        <w:div w:id="1388996293">
          <w:marLeft w:val="0"/>
          <w:marRight w:val="0"/>
          <w:marTop w:val="0"/>
          <w:marBottom w:val="0"/>
          <w:divBdr>
            <w:top w:val="none" w:sz="0" w:space="0" w:color="auto"/>
            <w:left w:val="none" w:sz="0" w:space="0" w:color="auto"/>
            <w:bottom w:val="none" w:sz="0" w:space="0" w:color="auto"/>
            <w:right w:val="none" w:sz="0" w:space="0" w:color="auto"/>
          </w:divBdr>
        </w:div>
      </w:divsChild>
    </w:div>
    <w:div w:id="1460344731">
      <w:bodyDiv w:val="1"/>
      <w:marLeft w:val="0"/>
      <w:marRight w:val="0"/>
      <w:marTop w:val="0"/>
      <w:marBottom w:val="0"/>
      <w:divBdr>
        <w:top w:val="none" w:sz="0" w:space="0" w:color="auto"/>
        <w:left w:val="none" w:sz="0" w:space="0" w:color="auto"/>
        <w:bottom w:val="none" w:sz="0" w:space="0" w:color="auto"/>
        <w:right w:val="none" w:sz="0" w:space="0" w:color="auto"/>
      </w:divBdr>
      <w:divsChild>
        <w:div w:id="211620661">
          <w:marLeft w:val="0"/>
          <w:marRight w:val="0"/>
          <w:marTop w:val="0"/>
          <w:marBottom w:val="0"/>
          <w:divBdr>
            <w:top w:val="none" w:sz="0" w:space="0" w:color="auto"/>
            <w:left w:val="none" w:sz="0" w:space="0" w:color="auto"/>
            <w:bottom w:val="none" w:sz="0" w:space="0" w:color="auto"/>
            <w:right w:val="none" w:sz="0" w:space="0" w:color="auto"/>
          </w:divBdr>
        </w:div>
      </w:divsChild>
    </w:div>
    <w:div w:id="1764298197">
      <w:bodyDiv w:val="1"/>
      <w:marLeft w:val="0"/>
      <w:marRight w:val="0"/>
      <w:marTop w:val="0"/>
      <w:marBottom w:val="0"/>
      <w:divBdr>
        <w:top w:val="none" w:sz="0" w:space="0" w:color="auto"/>
        <w:left w:val="none" w:sz="0" w:space="0" w:color="auto"/>
        <w:bottom w:val="none" w:sz="0" w:space="0" w:color="auto"/>
        <w:right w:val="none" w:sz="0" w:space="0" w:color="auto"/>
      </w:divBdr>
      <w:divsChild>
        <w:div w:id="552040092">
          <w:marLeft w:val="0"/>
          <w:marRight w:val="0"/>
          <w:marTop w:val="0"/>
          <w:marBottom w:val="0"/>
          <w:divBdr>
            <w:top w:val="none" w:sz="0" w:space="0" w:color="auto"/>
            <w:left w:val="none" w:sz="0" w:space="0" w:color="auto"/>
            <w:bottom w:val="none" w:sz="0" w:space="0" w:color="auto"/>
            <w:right w:val="none" w:sz="0" w:space="0" w:color="auto"/>
          </w:divBdr>
        </w:div>
      </w:divsChild>
    </w:div>
    <w:div w:id="1809013073">
      <w:bodyDiv w:val="1"/>
      <w:marLeft w:val="0"/>
      <w:marRight w:val="0"/>
      <w:marTop w:val="0"/>
      <w:marBottom w:val="0"/>
      <w:divBdr>
        <w:top w:val="none" w:sz="0" w:space="0" w:color="auto"/>
        <w:left w:val="none" w:sz="0" w:space="0" w:color="auto"/>
        <w:bottom w:val="none" w:sz="0" w:space="0" w:color="auto"/>
        <w:right w:val="none" w:sz="0" w:space="0" w:color="auto"/>
      </w:divBdr>
      <w:divsChild>
        <w:div w:id="262997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AC4C3-BE3A-4DFC-B08C-714A10DF1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5078</Words>
  <Characters>2895</Characters>
  <Application>Microsoft Office Word</Application>
  <DocSecurity>0</DocSecurity>
  <Lines>24</Lines>
  <Paragraphs>15</Paragraphs>
  <ScaleCrop>false</ScaleCrop>
  <HeadingPairs>
    <vt:vector size="2" baseType="variant">
      <vt:variant>
        <vt:lpstr>Nosaukums</vt:lpstr>
      </vt:variant>
      <vt:variant>
        <vt:i4>1</vt:i4>
      </vt:variant>
    </vt:vector>
  </HeadingPairs>
  <TitlesOfParts>
    <vt:vector size="1" baseType="lpstr">
      <vt:lpstr/>
    </vt:vector>
  </TitlesOfParts>
  <Company>LRLM</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the HP VINPI Implementation Monitoring Report</dc:title>
  <dc:subject>English translation</dc:subject>
  <dc:creator>Inese Vilcāne</dc:creator>
  <cp:keywords/>
  <dc:description/>
  <cp:lastModifiedBy>Inese Vilcāne</cp:lastModifiedBy>
  <cp:revision>3</cp:revision>
  <dcterms:created xsi:type="dcterms:W3CDTF">2026-10-14T12:46:00Z</dcterms:created>
  <dcterms:modified xsi:type="dcterms:W3CDTF">2026-10-14T12:47:00Z</dcterms:modified>
</cp:coreProperties>
</file>