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2.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3.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2.xml" ContentType="application/vnd.openxmlformats-officedocument.themeOverride+xml"/>
  <Override PartName="/word/charts/chart19.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1E2A0" w14:textId="16AE4348" w:rsidR="00200837" w:rsidRPr="007157D3" w:rsidRDefault="00200837" w:rsidP="00200837">
      <w:pPr>
        <w:shd w:val="clear" w:color="auto" w:fill="FFFFFF"/>
        <w:spacing w:after="0" w:line="240" w:lineRule="auto"/>
        <w:ind w:firstLine="300"/>
        <w:jc w:val="right"/>
        <w:rPr>
          <w:rFonts w:ascii="Times New Roman" w:eastAsia="Times New Roman" w:hAnsi="Times New Roman" w:cs="Times New Roman"/>
          <w:sz w:val="24"/>
          <w:szCs w:val="24"/>
          <w:lang w:eastAsia="lv-LV"/>
        </w:rPr>
      </w:pPr>
      <w:bookmarkStart w:id="0" w:name="_Hlk51598113"/>
      <w:bookmarkEnd w:id="0"/>
      <w:r w:rsidRPr="007157D3">
        <w:rPr>
          <w:rFonts w:ascii="Times New Roman" w:eastAsia="Times New Roman" w:hAnsi="Times New Roman" w:cs="Times New Roman"/>
          <w:sz w:val="24"/>
          <w:szCs w:val="24"/>
          <w:lang w:eastAsia="lv-LV"/>
        </w:rPr>
        <w:t>2.pielikums</w:t>
      </w:r>
    </w:p>
    <w:p w14:paraId="3657DFF2" w14:textId="643728FE" w:rsidR="00096C2C" w:rsidRPr="007157D3" w:rsidRDefault="00096C2C" w:rsidP="00200837">
      <w:pPr>
        <w:shd w:val="clear" w:color="auto" w:fill="FFFFFF"/>
        <w:spacing w:after="0" w:line="240" w:lineRule="auto"/>
        <w:ind w:firstLine="300"/>
        <w:jc w:val="right"/>
        <w:rPr>
          <w:rFonts w:ascii="Times New Roman" w:eastAsia="Times New Roman" w:hAnsi="Times New Roman" w:cs="Times New Roman"/>
          <w:sz w:val="24"/>
          <w:szCs w:val="24"/>
          <w:lang w:eastAsia="lv-LV"/>
        </w:rPr>
      </w:pPr>
    </w:p>
    <w:p w14:paraId="332C8F8F" w14:textId="1FCDB9C8"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325CFF1B" w14:textId="34B3734B"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635ADED5" w14:textId="3023825F"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5D4D4D0D" w14:textId="7991E40E"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6CE6E259" w14:textId="70865482"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6C64F9E2" w14:textId="78D33A46"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5A6F9447" w14:textId="05984396"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3D657229" w14:textId="77D97039"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6BB33909" w14:textId="559FF1B3"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74083B5D" w14:textId="7ADA48BB"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23252825" w14:textId="6381D0CE"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063465FA" w14:textId="2338D3F5"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562810F4" w14:textId="5A1F4E42"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7E0A3036" w14:textId="77777777" w:rsidR="00096C2C" w:rsidRPr="007157D3" w:rsidRDefault="00096C2C" w:rsidP="00096C2C">
      <w:pPr>
        <w:shd w:val="clear" w:color="auto" w:fill="FFFFFF"/>
        <w:spacing w:after="0" w:line="240" w:lineRule="auto"/>
        <w:ind w:firstLine="300"/>
        <w:jc w:val="center"/>
        <w:rPr>
          <w:rFonts w:ascii="Times New Roman" w:eastAsia="Times New Roman" w:hAnsi="Times New Roman" w:cs="Times New Roman"/>
          <w:sz w:val="24"/>
          <w:szCs w:val="24"/>
          <w:lang w:eastAsia="lv-LV"/>
        </w:rPr>
      </w:pPr>
    </w:p>
    <w:p w14:paraId="073FD1F2" w14:textId="4F8C4162" w:rsidR="00200837" w:rsidRPr="007157D3" w:rsidRDefault="00200837" w:rsidP="00096C2C">
      <w:pPr>
        <w:spacing w:after="0" w:line="240" w:lineRule="auto"/>
        <w:jc w:val="center"/>
        <w:rPr>
          <w:rFonts w:ascii="Times New Roman" w:hAnsi="Times New Roman" w:cs="Times New Roman"/>
          <w:sz w:val="24"/>
          <w:szCs w:val="24"/>
        </w:rPr>
      </w:pPr>
      <w:r w:rsidRPr="007157D3">
        <w:rPr>
          <w:rFonts w:ascii="Times New Roman" w:hAnsi="Times New Roman" w:cs="Times New Roman"/>
          <w:sz w:val="24"/>
          <w:szCs w:val="24"/>
        </w:rPr>
        <w:t>Sociālās aizsardzības un darba tirgus politikas</w:t>
      </w:r>
    </w:p>
    <w:p w14:paraId="3665DEC5" w14:textId="56007ED4" w:rsidR="00096C2C" w:rsidRPr="007157D3" w:rsidRDefault="00200837" w:rsidP="00096C2C">
      <w:pPr>
        <w:spacing w:after="0" w:line="240" w:lineRule="auto"/>
        <w:jc w:val="center"/>
        <w:rPr>
          <w:rFonts w:ascii="Times New Roman" w:hAnsi="Times New Roman" w:cs="Times New Roman"/>
          <w:sz w:val="24"/>
          <w:szCs w:val="24"/>
        </w:rPr>
      </w:pPr>
      <w:r w:rsidRPr="007157D3">
        <w:rPr>
          <w:rFonts w:ascii="Times New Roman" w:hAnsi="Times New Roman" w:cs="Times New Roman"/>
          <w:sz w:val="24"/>
          <w:szCs w:val="24"/>
        </w:rPr>
        <w:t>pamatnostādn</w:t>
      </w:r>
      <w:r w:rsidR="00096C2C" w:rsidRPr="007157D3">
        <w:rPr>
          <w:rFonts w:ascii="Times New Roman" w:hAnsi="Times New Roman" w:cs="Times New Roman"/>
          <w:sz w:val="24"/>
          <w:szCs w:val="24"/>
        </w:rPr>
        <w:t>es</w:t>
      </w:r>
      <w:r w:rsidRPr="007157D3">
        <w:rPr>
          <w:rFonts w:ascii="Times New Roman" w:hAnsi="Times New Roman" w:cs="Times New Roman"/>
          <w:sz w:val="24"/>
          <w:szCs w:val="24"/>
        </w:rPr>
        <w:t xml:space="preserve"> 2021</w:t>
      </w:r>
      <w:r w:rsidR="00096C2C" w:rsidRPr="007157D3">
        <w:rPr>
          <w:rFonts w:ascii="Times New Roman" w:hAnsi="Times New Roman" w:cs="Times New Roman"/>
          <w:sz w:val="24"/>
          <w:szCs w:val="24"/>
        </w:rPr>
        <w:t> </w:t>
      </w:r>
      <w:r w:rsidRPr="007157D3">
        <w:rPr>
          <w:rFonts w:ascii="Times New Roman" w:hAnsi="Times New Roman" w:cs="Times New Roman"/>
          <w:sz w:val="24"/>
          <w:szCs w:val="24"/>
        </w:rPr>
        <w:t>.-2027.</w:t>
      </w:r>
      <w:r w:rsidR="00096C2C" w:rsidRPr="007157D3">
        <w:rPr>
          <w:rFonts w:ascii="Times New Roman" w:hAnsi="Times New Roman" w:cs="Times New Roman"/>
          <w:sz w:val="24"/>
          <w:szCs w:val="24"/>
        </w:rPr>
        <w:t> </w:t>
      </w:r>
      <w:r w:rsidRPr="007157D3">
        <w:rPr>
          <w:rFonts w:ascii="Times New Roman" w:hAnsi="Times New Roman" w:cs="Times New Roman"/>
          <w:sz w:val="24"/>
          <w:szCs w:val="24"/>
        </w:rPr>
        <w:t>gadam</w:t>
      </w:r>
    </w:p>
    <w:p w14:paraId="6C0E79D5" w14:textId="0264D306" w:rsidR="00096C2C" w:rsidRPr="007157D3" w:rsidRDefault="00096C2C" w:rsidP="00096C2C">
      <w:pPr>
        <w:spacing w:after="0" w:line="240" w:lineRule="auto"/>
        <w:jc w:val="center"/>
        <w:rPr>
          <w:rFonts w:ascii="Times New Roman" w:hAnsi="Times New Roman" w:cs="Times New Roman"/>
          <w:sz w:val="24"/>
          <w:szCs w:val="24"/>
        </w:rPr>
      </w:pPr>
    </w:p>
    <w:p w14:paraId="71003D5B" w14:textId="6878EBD6" w:rsidR="00096C2C" w:rsidRPr="007157D3" w:rsidRDefault="00096C2C" w:rsidP="00096C2C">
      <w:pPr>
        <w:spacing w:after="0" w:line="240" w:lineRule="auto"/>
        <w:jc w:val="center"/>
        <w:rPr>
          <w:rFonts w:ascii="Times New Roman" w:hAnsi="Times New Roman" w:cs="Times New Roman"/>
          <w:sz w:val="24"/>
          <w:szCs w:val="24"/>
        </w:rPr>
      </w:pPr>
    </w:p>
    <w:p w14:paraId="01FC7167" w14:textId="4C971BD0" w:rsidR="00096C2C" w:rsidRPr="007157D3" w:rsidRDefault="00096C2C" w:rsidP="00096C2C">
      <w:pPr>
        <w:spacing w:after="0" w:line="240" w:lineRule="auto"/>
        <w:jc w:val="center"/>
        <w:rPr>
          <w:rFonts w:ascii="Times New Roman" w:hAnsi="Times New Roman" w:cs="Times New Roman"/>
          <w:sz w:val="24"/>
          <w:szCs w:val="24"/>
        </w:rPr>
      </w:pPr>
    </w:p>
    <w:p w14:paraId="5C12D886" w14:textId="77777777" w:rsidR="00096C2C" w:rsidRPr="007157D3" w:rsidRDefault="00096C2C" w:rsidP="00096C2C">
      <w:pPr>
        <w:spacing w:after="0" w:line="240" w:lineRule="auto"/>
        <w:jc w:val="center"/>
        <w:rPr>
          <w:rFonts w:ascii="Times New Roman" w:hAnsi="Times New Roman" w:cs="Times New Roman"/>
          <w:sz w:val="24"/>
          <w:szCs w:val="24"/>
        </w:rPr>
      </w:pPr>
    </w:p>
    <w:p w14:paraId="50013CAB" w14:textId="01CE755C" w:rsidR="00096C2C" w:rsidRPr="007157D3" w:rsidRDefault="00096C2C" w:rsidP="00096C2C">
      <w:pPr>
        <w:spacing w:after="0" w:line="240" w:lineRule="auto"/>
        <w:jc w:val="center"/>
        <w:rPr>
          <w:rFonts w:ascii="Times New Roman" w:hAnsi="Times New Roman" w:cs="Times New Roman"/>
          <w:color w:val="002060"/>
          <w:sz w:val="56"/>
          <w:szCs w:val="56"/>
        </w:rPr>
      </w:pPr>
      <w:r w:rsidRPr="007157D3">
        <w:rPr>
          <w:rFonts w:ascii="Times New Roman" w:hAnsi="Times New Roman" w:cs="Times New Roman"/>
          <w:color w:val="002060"/>
          <w:sz w:val="56"/>
          <w:szCs w:val="56"/>
        </w:rPr>
        <w:t>Esošās situācijas raksturoj</w:t>
      </w:r>
      <w:bookmarkStart w:id="1" w:name="_GoBack"/>
      <w:bookmarkEnd w:id="1"/>
      <w:r w:rsidRPr="007157D3">
        <w:rPr>
          <w:rFonts w:ascii="Times New Roman" w:hAnsi="Times New Roman" w:cs="Times New Roman"/>
          <w:color w:val="002060"/>
          <w:sz w:val="56"/>
          <w:szCs w:val="56"/>
        </w:rPr>
        <w:t>ums un galvenie izaicinājumi</w:t>
      </w:r>
    </w:p>
    <w:p w14:paraId="73019C15" w14:textId="77367023" w:rsidR="00096C2C" w:rsidRDefault="00096C2C">
      <w:pPr>
        <w:rPr>
          <w:rFonts w:ascii="Times New Roman" w:hAnsi="Times New Roman" w:cs="Times New Roman"/>
          <w:sz w:val="24"/>
          <w:szCs w:val="24"/>
        </w:rPr>
      </w:pPr>
      <w:r w:rsidRPr="007157D3">
        <w:rPr>
          <w:rFonts w:ascii="Times New Roman" w:hAnsi="Times New Roman" w:cs="Times New Roman"/>
          <w:sz w:val="24"/>
          <w:szCs w:val="24"/>
        </w:rPr>
        <w:br w:type="page"/>
      </w:r>
    </w:p>
    <w:p w14:paraId="7E78E745" w14:textId="7F4D4C4E" w:rsidR="00E77E34" w:rsidRDefault="00E77E34">
      <w:pPr>
        <w:rPr>
          <w:rFonts w:ascii="Times New Roman" w:hAnsi="Times New Roman" w:cs="Times New Roman"/>
          <w:sz w:val="24"/>
          <w:szCs w:val="24"/>
        </w:rPr>
      </w:pPr>
    </w:p>
    <w:p w14:paraId="5375517C" w14:textId="5FEF2EA3" w:rsidR="00E77E34" w:rsidRPr="007157D3" w:rsidRDefault="00E77E34" w:rsidP="00E77E34">
      <w:pPr>
        <w:pStyle w:val="Saturardtjavirsraksts1"/>
      </w:pPr>
      <w:r>
        <w:t>Saturs</w:t>
      </w:r>
    </w:p>
    <w:p w14:paraId="4C929AA7" w14:textId="36CBCFF1" w:rsidR="00525F21" w:rsidRDefault="00482C2E"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r w:rsidRPr="0015154B">
        <w:rPr>
          <w:noProof w:val="0"/>
        </w:rPr>
        <w:fldChar w:fldCharType="begin"/>
      </w:r>
      <w:r w:rsidRPr="00FB1506">
        <w:rPr>
          <w:noProof w:val="0"/>
        </w:rPr>
        <w:instrText xml:space="preserve"> TOC \o "1-3" \h \z \u </w:instrText>
      </w:r>
      <w:r w:rsidRPr="0015154B">
        <w:rPr>
          <w:noProof w:val="0"/>
        </w:rPr>
        <w:fldChar w:fldCharType="separate"/>
      </w:r>
      <w:hyperlink w:anchor="_Toc55316055" w:history="1">
        <w:r w:rsidR="00525F21" w:rsidRPr="000378BC">
          <w:rPr>
            <w:rStyle w:val="Hyperlink"/>
          </w:rPr>
          <w:t>1</w:t>
        </w:r>
        <w:r w:rsidR="00525F21">
          <w:rPr>
            <w:rFonts w:asciiTheme="minorHAnsi" w:eastAsiaTheme="minorEastAsia" w:hAnsiTheme="minorHAnsi" w:cstheme="minorBidi"/>
            <w:sz w:val="22"/>
            <w:szCs w:val="22"/>
            <w:lang w:eastAsia="lv-LV"/>
          </w:rPr>
          <w:tab/>
        </w:r>
        <w:r w:rsidR="00525F21" w:rsidRPr="000378BC">
          <w:rPr>
            <w:rStyle w:val="Hyperlink"/>
          </w:rPr>
          <w:t>Izmantotie saīsinājumi</w:t>
        </w:r>
        <w:r w:rsidR="00525F21">
          <w:rPr>
            <w:webHidden/>
          </w:rPr>
          <w:tab/>
        </w:r>
        <w:r w:rsidR="00525F21">
          <w:rPr>
            <w:webHidden/>
          </w:rPr>
          <w:fldChar w:fldCharType="begin"/>
        </w:r>
        <w:r w:rsidR="00525F21">
          <w:rPr>
            <w:webHidden/>
          </w:rPr>
          <w:instrText xml:space="preserve"> PAGEREF _Toc55316055 \h </w:instrText>
        </w:r>
        <w:r w:rsidR="00525F21">
          <w:rPr>
            <w:webHidden/>
          </w:rPr>
        </w:r>
        <w:r w:rsidR="00525F21">
          <w:rPr>
            <w:webHidden/>
          </w:rPr>
          <w:fldChar w:fldCharType="separate"/>
        </w:r>
        <w:r w:rsidR="00D67CF6">
          <w:rPr>
            <w:webHidden/>
          </w:rPr>
          <w:t>4</w:t>
        </w:r>
        <w:r w:rsidR="00525F21">
          <w:rPr>
            <w:webHidden/>
          </w:rPr>
          <w:fldChar w:fldCharType="end"/>
        </w:r>
      </w:hyperlink>
    </w:p>
    <w:p w14:paraId="2F43DE7F" w14:textId="3110A279"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056" w:history="1">
        <w:r w:rsidR="00525F21" w:rsidRPr="000378BC">
          <w:rPr>
            <w:rStyle w:val="Hyperlink"/>
          </w:rPr>
          <w:t>2</w:t>
        </w:r>
        <w:r w:rsidR="00525F21">
          <w:rPr>
            <w:rFonts w:asciiTheme="minorHAnsi" w:eastAsiaTheme="minorEastAsia" w:hAnsiTheme="minorHAnsi" w:cstheme="minorBidi"/>
            <w:sz w:val="22"/>
            <w:szCs w:val="22"/>
            <w:lang w:eastAsia="lv-LV"/>
          </w:rPr>
          <w:tab/>
        </w:r>
        <w:r w:rsidR="00525F21" w:rsidRPr="000378BC">
          <w:rPr>
            <w:rStyle w:val="Hyperlink"/>
          </w:rPr>
          <w:t>Lietotie termini</w:t>
        </w:r>
        <w:r w:rsidR="00525F21">
          <w:rPr>
            <w:webHidden/>
          </w:rPr>
          <w:tab/>
        </w:r>
        <w:r w:rsidR="00525F21">
          <w:rPr>
            <w:webHidden/>
          </w:rPr>
          <w:fldChar w:fldCharType="begin"/>
        </w:r>
        <w:r w:rsidR="00525F21">
          <w:rPr>
            <w:webHidden/>
          </w:rPr>
          <w:instrText xml:space="preserve"> PAGEREF _Toc55316056 \h </w:instrText>
        </w:r>
        <w:r w:rsidR="00525F21">
          <w:rPr>
            <w:webHidden/>
          </w:rPr>
        </w:r>
        <w:r w:rsidR="00525F21">
          <w:rPr>
            <w:webHidden/>
          </w:rPr>
          <w:fldChar w:fldCharType="separate"/>
        </w:r>
        <w:r w:rsidR="00D67CF6">
          <w:rPr>
            <w:webHidden/>
          </w:rPr>
          <w:t>6</w:t>
        </w:r>
        <w:r w:rsidR="00525F21">
          <w:rPr>
            <w:webHidden/>
          </w:rPr>
          <w:fldChar w:fldCharType="end"/>
        </w:r>
      </w:hyperlink>
    </w:p>
    <w:p w14:paraId="59BB8234" w14:textId="4C2C1E78"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057" w:history="1">
        <w:r w:rsidR="00525F21" w:rsidRPr="000378BC">
          <w:rPr>
            <w:rStyle w:val="Hyperlink"/>
          </w:rPr>
          <w:t>3</w:t>
        </w:r>
        <w:r w:rsidR="00525F21">
          <w:rPr>
            <w:rFonts w:asciiTheme="minorHAnsi" w:eastAsiaTheme="minorEastAsia" w:hAnsiTheme="minorHAnsi" w:cstheme="minorBidi"/>
            <w:sz w:val="22"/>
            <w:szCs w:val="22"/>
            <w:lang w:eastAsia="lv-LV"/>
          </w:rPr>
          <w:tab/>
        </w:r>
        <w:r w:rsidR="00525F21" w:rsidRPr="000378BC">
          <w:rPr>
            <w:rStyle w:val="Hyperlink"/>
          </w:rPr>
          <w:t>Sociāli ekonomiskās situācijas raksturojums</w:t>
        </w:r>
        <w:r w:rsidR="00525F21">
          <w:rPr>
            <w:webHidden/>
          </w:rPr>
          <w:tab/>
        </w:r>
        <w:r w:rsidR="00525F21">
          <w:rPr>
            <w:webHidden/>
          </w:rPr>
          <w:fldChar w:fldCharType="begin"/>
        </w:r>
        <w:r w:rsidR="00525F21">
          <w:rPr>
            <w:webHidden/>
          </w:rPr>
          <w:instrText xml:space="preserve"> PAGEREF _Toc55316057 \h </w:instrText>
        </w:r>
        <w:r w:rsidR="00525F21">
          <w:rPr>
            <w:webHidden/>
          </w:rPr>
        </w:r>
        <w:r w:rsidR="00525F21">
          <w:rPr>
            <w:webHidden/>
          </w:rPr>
          <w:fldChar w:fldCharType="separate"/>
        </w:r>
        <w:r w:rsidR="00D67CF6">
          <w:rPr>
            <w:webHidden/>
          </w:rPr>
          <w:t>10</w:t>
        </w:r>
        <w:r w:rsidR="00525F21">
          <w:rPr>
            <w:webHidden/>
          </w:rPr>
          <w:fldChar w:fldCharType="end"/>
        </w:r>
      </w:hyperlink>
    </w:p>
    <w:p w14:paraId="097EFD74" w14:textId="0F3C0719" w:rsidR="00525F21" w:rsidRDefault="00301F26" w:rsidP="00F2340D">
      <w:pPr>
        <w:pStyle w:val="TOC2"/>
        <w:rPr>
          <w:rFonts w:asciiTheme="minorHAnsi" w:eastAsiaTheme="minorEastAsia" w:hAnsiTheme="minorHAnsi" w:cstheme="minorBidi"/>
          <w:noProof/>
          <w:sz w:val="22"/>
          <w:lang w:eastAsia="lv-LV"/>
        </w:rPr>
      </w:pPr>
      <w:hyperlink w:anchor="_Toc55316058" w:history="1">
        <w:r w:rsidR="00525F21" w:rsidRPr="000378BC">
          <w:rPr>
            <w:rStyle w:val="Hyperlink"/>
            <w:noProof/>
          </w:rPr>
          <w:t>3.1</w:t>
        </w:r>
        <w:r w:rsidR="00525F21">
          <w:rPr>
            <w:rFonts w:asciiTheme="minorHAnsi" w:eastAsiaTheme="minorEastAsia" w:hAnsiTheme="minorHAnsi" w:cstheme="minorBidi"/>
            <w:noProof/>
            <w:sz w:val="22"/>
            <w:lang w:eastAsia="lv-LV"/>
          </w:rPr>
          <w:tab/>
        </w:r>
        <w:r w:rsidR="00525F21" w:rsidRPr="000378BC">
          <w:rPr>
            <w:rStyle w:val="Hyperlink"/>
            <w:noProof/>
          </w:rPr>
          <w:t>Demogrāfiskā situācija un prognozes</w:t>
        </w:r>
        <w:r w:rsidR="00525F21">
          <w:rPr>
            <w:noProof/>
            <w:webHidden/>
          </w:rPr>
          <w:tab/>
        </w:r>
        <w:r w:rsidR="00525F21">
          <w:rPr>
            <w:noProof/>
            <w:webHidden/>
          </w:rPr>
          <w:fldChar w:fldCharType="begin"/>
        </w:r>
        <w:r w:rsidR="00525F21">
          <w:rPr>
            <w:noProof/>
            <w:webHidden/>
          </w:rPr>
          <w:instrText xml:space="preserve"> PAGEREF _Toc55316058 \h </w:instrText>
        </w:r>
        <w:r w:rsidR="00525F21">
          <w:rPr>
            <w:noProof/>
            <w:webHidden/>
          </w:rPr>
        </w:r>
        <w:r w:rsidR="00525F21">
          <w:rPr>
            <w:noProof/>
            <w:webHidden/>
          </w:rPr>
          <w:fldChar w:fldCharType="separate"/>
        </w:r>
        <w:r w:rsidR="00D67CF6">
          <w:rPr>
            <w:noProof/>
            <w:webHidden/>
          </w:rPr>
          <w:t>10</w:t>
        </w:r>
        <w:r w:rsidR="00525F21">
          <w:rPr>
            <w:noProof/>
            <w:webHidden/>
          </w:rPr>
          <w:fldChar w:fldCharType="end"/>
        </w:r>
      </w:hyperlink>
    </w:p>
    <w:p w14:paraId="67CE0894" w14:textId="04B8216A" w:rsidR="00525F21" w:rsidRDefault="00301F26" w:rsidP="00F2340D">
      <w:pPr>
        <w:pStyle w:val="TOC2"/>
        <w:rPr>
          <w:rFonts w:asciiTheme="minorHAnsi" w:eastAsiaTheme="minorEastAsia" w:hAnsiTheme="minorHAnsi" w:cstheme="minorBidi"/>
          <w:noProof/>
          <w:sz w:val="22"/>
          <w:lang w:eastAsia="lv-LV"/>
        </w:rPr>
      </w:pPr>
      <w:hyperlink w:anchor="_Toc55316059" w:history="1">
        <w:r w:rsidR="00525F21" w:rsidRPr="000378BC">
          <w:rPr>
            <w:rStyle w:val="Hyperlink"/>
            <w:noProof/>
          </w:rPr>
          <w:t>3.2</w:t>
        </w:r>
        <w:r w:rsidR="00525F21">
          <w:rPr>
            <w:rFonts w:asciiTheme="minorHAnsi" w:eastAsiaTheme="minorEastAsia" w:hAnsiTheme="minorHAnsi" w:cstheme="minorBidi"/>
            <w:noProof/>
            <w:sz w:val="22"/>
            <w:lang w:eastAsia="lv-LV"/>
          </w:rPr>
          <w:tab/>
        </w:r>
        <w:r w:rsidR="00525F21" w:rsidRPr="000378BC">
          <w:rPr>
            <w:rStyle w:val="Hyperlink"/>
            <w:noProof/>
          </w:rPr>
          <w:t>Nabadzība un sociālā atstumtība</w:t>
        </w:r>
        <w:r w:rsidR="00525F21">
          <w:rPr>
            <w:noProof/>
            <w:webHidden/>
          </w:rPr>
          <w:tab/>
        </w:r>
        <w:r w:rsidR="00525F21">
          <w:rPr>
            <w:noProof/>
            <w:webHidden/>
          </w:rPr>
          <w:fldChar w:fldCharType="begin"/>
        </w:r>
        <w:r w:rsidR="00525F21">
          <w:rPr>
            <w:noProof/>
            <w:webHidden/>
          </w:rPr>
          <w:instrText xml:space="preserve"> PAGEREF _Toc55316059 \h </w:instrText>
        </w:r>
        <w:r w:rsidR="00525F21">
          <w:rPr>
            <w:noProof/>
            <w:webHidden/>
          </w:rPr>
        </w:r>
        <w:r w:rsidR="00525F21">
          <w:rPr>
            <w:noProof/>
            <w:webHidden/>
          </w:rPr>
          <w:fldChar w:fldCharType="separate"/>
        </w:r>
        <w:r w:rsidR="00D67CF6">
          <w:rPr>
            <w:noProof/>
            <w:webHidden/>
          </w:rPr>
          <w:t>13</w:t>
        </w:r>
        <w:r w:rsidR="00525F21">
          <w:rPr>
            <w:noProof/>
            <w:webHidden/>
          </w:rPr>
          <w:fldChar w:fldCharType="end"/>
        </w:r>
      </w:hyperlink>
    </w:p>
    <w:p w14:paraId="662C13DE" w14:textId="56C01104" w:rsidR="00525F21" w:rsidRDefault="00301F26" w:rsidP="00F2340D">
      <w:pPr>
        <w:pStyle w:val="TOC2"/>
        <w:rPr>
          <w:rFonts w:asciiTheme="minorHAnsi" w:eastAsiaTheme="minorEastAsia" w:hAnsiTheme="minorHAnsi" w:cstheme="minorBidi"/>
          <w:noProof/>
          <w:sz w:val="22"/>
          <w:lang w:eastAsia="lv-LV"/>
        </w:rPr>
      </w:pPr>
      <w:hyperlink w:anchor="_Toc55316060" w:history="1">
        <w:r w:rsidR="00525F21" w:rsidRPr="000378BC">
          <w:rPr>
            <w:rStyle w:val="Hyperlink"/>
            <w:noProof/>
          </w:rPr>
          <w:t>3.3</w:t>
        </w:r>
        <w:r w:rsidR="00525F21">
          <w:rPr>
            <w:rFonts w:asciiTheme="minorHAnsi" w:eastAsiaTheme="minorEastAsia" w:hAnsiTheme="minorHAnsi" w:cstheme="minorBidi"/>
            <w:noProof/>
            <w:sz w:val="22"/>
            <w:lang w:eastAsia="lv-LV"/>
          </w:rPr>
          <w:tab/>
        </w:r>
        <w:r w:rsidR="00525F21" w:rsidRPr="000378BC">
          <w:rPr>
            <w:rStyle w:val="Hyperlink"/>
            <w:noProof/>
          </w:rPr>
          <w:t>Nodarbinātība un bezdarbs</w:t>
        </w:r>
        <w:r w:rsidR="00525F21">
          <w:rPr>
            <w:noProof/>
            <w:webHidden/>
          </w:rPr>
          <w:tab/>
        </w:r>
        <w:r w:rsidR="00525F21">
          <w:rPr>
            <w:noProof/>
            <w:webHidden/>
          </w:rPr>
          <w:fldChar w:fldCharType="begin"/>
        </w:r>
        <w:r w:rsidR="00525F21">
          <w:rPr>
            <w:noProof/>
            <w:webHidden/>
          </w:rPr>
          <w:instrText xml:space="preserve"> PAGEREF _Toc55316060 \h </w:instrText>
        </w:r>
        <w:r w:rsidR="00525F21">
          <w:rPr>
            <w:noProof/>
            <w:webHidden/>
          </w:rPr>
        </w:r>
        <w:r w:rsidR="00525F21">
          <w:rPr>
            <w:noProof/>
            <w:webHidden/>
          </w:rPr>
          <w:fldChar w:fldCharType="separate"/>
        </w:r>
        <w:r w:rsidR="00D67CF6">
          <w:rPr>
            <w:noProof/>
            <w:webHidden/>
          </w:rPr>
          <w:t>19</w:t>
        </w:r>
        <w:r w:rsidR="00525F21">
          <w:rPr>
            <w:noProof/>
            <w:webHidden/>
          </w:rPr>
          <w:fldChar w:fldCharType="end"/>
        </w:r>
      </w:hyperlink>
    </w:p>
    <w:p w14:paraId="44032063" w14:textId="23E66503" w:rsidR="00525F21" w:rsidRDefault="00301F26" w:rsidP="00F2340D">
      <w:pPr>
        <w:pStyle w:val="TOC2"/>
        <w:rPr>
          <w:rFonts w:asciiTheme="minorHAnsi" w:eastAsiaTheme="minorEastAsia" w:hAnsiTheme="minorHAnsi" w:cstheme="minorBidi"/>
          <w:noProof/>
          <w:sz w:val="22"/>
          <w:lang w:eastAsia="lv-LV"/>
        </w:rPr>
      </w:pPr>
      <w:hyperlink w:anchor="_Toc55316061" w:history="1">
        <w:r w:rsidR="00525F21" w:rsidRPr="000378BC">
          <w:rPr>
            <w:rStyle w:val="Hyperlink"/>
            <w:noProof/>
          </w:rPr>
          <w:t>3.4</w:t>
        </w:r>
        <w:r w:rsidR="00525F21">
          <w:rPr>
            <w:rFonts w:asciiTheme="minorHAnsi" w:eastAsiaTheme="minorEastAsia" w:hAnsiTheme="minorHAnsi" w:cstheme="minorBidi"/>
            <w:noProof/>
            <w:sz w:val="22"/>
            <w:lang w:eastAsia="lv-LV"/>
          </w:rPr>
          <w:tab/>
        </w:r>
        <w:r w:rsidR="00525F21" w:rsidRPr="000378BC">
          <w:rPr>
            <w:rStyle w:val="Hyperlink"/>
            <w:noProof/>
          </w:rPr>
          <w:t>Izdevumi sociālai aizsardzībai</w:t>
        </w:r>
        <w:r w:rsidR="00525F21">
          <w:rPr>
            <w:noProof/>
            <w:webHidden/>
          </w:rPr>
          <w:tab/>
        </w:r>
        <w:r w:rsidR="00525F21">
          <w:rPr>
            <w:noProof/>
            <w:webHidden/>
          </w:rPr>
          <w:fldChar w:fldCharType="begin"/>
        </w:r>
        <w:r w:rsidR="00525F21">
          <w:rPr>
            <w:noProof/>
            <w:webHidden/>
          </w:rPr>
          <w:instrText xml:space="preserve"> PAGEREF _Toc55316061 \h </w:instrText>
        </w:r>
        <w:r w:rsidR="00525F21">
          <w:rPr>
            <w:noProof/>
            <w:webHidden/>
          </w:rPr>
        </w:r>
        <w:r w:rsidR="00525F21">
          <w:rPr>
            <w:noProof/>
            <w:webHidden/>
          </w:rPr>
          <w:fldChar w:fldCharType="separate"/>
        </w:r>
        <w:r w:rsidR="00D67CF6">
          <w:rPr>
            <w:noProof/>
            <w:webHidden/>
          </w:rPr>
          <w:t>22</w:t>
        </w:r>
        <w:r w:rsidR="00525F21">
          <w:rPr>
            <w:noProof/>
            <w:webHidden/>
          </w:rPr>
          <w:fldChar w:fldCharType="end"/>
        </w:r>
      </w:hyperlink>
    </w:p>
    <w:p w14:paraId="46FE4FA7" w14:textId="136A9CF2" w:rsidR="00525F21" w:rsidRDefault="00301F26" w:rsidP="00F2340D">
      <w:pPr>
        <w:pStyle w:val="TOC2"/>
        <w:rPr>
          <w:rFonts w:asciiTheme="minorHAnsi" w:eastAsiaTheme="minorEastAsia" w:hAnsiTheme="minorHAnsi" w:cstheme="minorBidi"/>
          <w:noProof/>
          <w:sz w:val="22"/>
          <w:lang w:eastAsia="lv-LV"/>
        </w:rPr>
      </w:pPr>
      <w:hyperlink w:anchor="_Toc55316062" w:history="1">
        <w:r w:rsidR="00525F21" w:rsidRPr="000378BC">
          <w:rPr>
            <w:rStyle w:val="Hyperlink"/>
            <w:noProof/>
          </w:rPr>
          <w:t>3.5</w:t>
        </w:r>
        <w:r w:rsidR="00525F21">
          <w:rPr>
            <w:rFonts w:asciiTheme="minorHAnsi" w:eastAsiaTheme="minorEastAsia" w:hAnsiTheme="minorHAnsi" w:cstheme="minorBidi"/>
            <w:noProof/>
            <w:sz w:val="22"/>
            <w:lang w:eastAsia="lv-LV"/>
          </w:rPr>
          <w:tab/>
        </w:r>
        <w:r w:rsidR="00525F21" w:rsidRPr="000378BC">
          <w:rPr>
            <w:rStyle w:val="Hyperlink"/>
            <w:noProof/>
          </w:rPr>
          <w:t>Sociālie transferti</w:t>
        </w:r>
        <w:r w:rsidR="00525F21">
          <w:rPr>
            <w:noProof/>
            <w:webHidden/>
          </w:rPr>
          <w:tab/>
        </w:r>
        <w:r w:rsidR="00525F21">
          <w:rPr>
            <w:noProof/>
            <w:webHidden/>
          </w:rPr>
          <w:fldChar w:fldCharType="begin"/>
        </w:r>
        <w:r w:rsidR="00525F21">
          <w:rPr>
            <w:noProof/>
            <w:webHidden/>
          </w:rPr>
          <w:instrText xml:space="preserve"> PAGEREF _Toc55316062 \h </w:instrText>
        </w:r>
        <w:r w:rsidR="00525F21">
          <w:rPr>
            <w:noProof/>
            <w:webHidden/>
          </w:rPr>
        </w:r>
        <w:r w:rsidR="00525F21">
          <w:rPr>
            <w:noProof/>
            <w:webHidden/>
          </w:rPr>
          <w:fldChar w:fldCharType="separate"/>
        </w:r>
        <w:r w:rsidR="00D67CF6">
          <w:rPr>
            <w:noProof/>
            <w:webHidden/>
          </w:rPr>
          <w:t>24</w:t>
        </w:r>
        <w:r w:rsidR="00525F21">
          <w:rPr>
            <w:noProof/>
            <w:webHidden/>
          </w:rPr>
          <w:fldChar w:fldCharType="end"/>
        </w:r>
      </w:hyperlink>
    </w:p>
    <w:p w14:paraId="2542A3C5" w14:textId="5B89385B"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063" w:history="1">
        <w:r w:rsidR="00525F21" w:rsidRPr="000378BC">
          <w:rPr>
            <w:rStyle w:val="Hyperlink"/>
          </w:rPr>
          <w:t>4</w:t>
        </w:r>
        <w:r w:rsidR="00525F21">
          <w:rPr>
            <w:rFonts w:asciiTheme="minorHAnsi" w:eastAsiaTheme="minorEastAsia" w:hAnsiTheme="minorHAnsi" w:cstheme="minorBidi"/>
            <w:sz w:val="22"/>
            <w:szCs w:val="22"/>
            <w:lang w:eastAsia="lv-LV"/>
          </w:rPr>
          <w:tab/>
        </w:r>
        <w:r w:rsidR="00525F21" w:rsidRPr="000378BC">
          <w:rPr>
            <w:rStyle w:val="Hyperlink"/>
          </w:rPr>
          <w:t>Valsts un pašvaldību sniegtais finansiālais atbalsts</w:t>
        </w:r>
        <w:r w:rsidR="00525F21">
          <w:rPr>
            <w:webHidden/>
          </w:rPr>
          <w:tab/>
        </w:r>
        <w:r w:rsidR="00525F21">
          <w:rPr>
            <w:webHidden/>
          </w:rPr>
          <w:fldChar w:fldCharType="begin"/>
        </w:r>
        <w:r w:rsidR="00525F21">
          <w:rPr>
            <w:webHidden/>
          </w:rPr>
          <w:instrText xml:space="preserve"> PAGEREF _Toc55316063 \h </w:instrText>
        </w:r>
        <w:r w:rsidR="00525F21">
          <w:rPr>
            <w:webHidden/>
          </w:rPr>
        </w:r>
        <w:r w:rsidR="00525F21">
          <w:rPr>
            <w:webHidden/>
          </w:rPr>
          <w:fldChar w:fldCharType="separate"/>
        </w:r>
        <w:r w:rsidR="00D67CF6">
          <w:rPr>
            <w:webHidden/>
          </w:rPr>
          <w:t>26</w:t>
        </w:r>
        <w:r w:rsidR="00525F21">
          <w:rPr>
            <w:webHidden/>
          </w:rPr>
          <w:fldChar w:fldCharType="end"/>
        </w:r>
      </w:hyperlink>
    </w:p>
    <w:p w14:paraId="089177D7" w14:textId="024EF445" w:rsidR="00525F21" w:rsidRDefault="00301F26" w:rsidP="00F2340D">
      <w:pPr>
        <w:pStyle w:val="TOC2"/>
        <w:rPr>
          <w:rFonts w:asciiTheme="minorHAnsi" w:eastAsiaTheme="minorEastAsia" w:hAnsiTheme="minorHAnsi" w:cstheme="minorBidi"/>
          <w:noProof/>
          <w:sz w:val="22"/>
          <w:lang w:eastAsia="lv-LV"/>
        </w:rPr>
      </w:pPr>
      <w:hyperlink w:anchor="_Toc55316064" w:history="1">
        <w:r w:rsidR="00525F21" w:rsidRPr="000378BC">
          <w:rPr>
            <w:rStyle w:val="Hyperlink"/>
            <w:noProof/>
          </w:rPr>
          <w:t>4.1</w:t>
        </w:r>
        <w:r w:rsidR="00525F21">
          <w:rPr>
            <w:rFonts w:asciiTheme="minorHAnsi" w:eastAsiaTheme="minorEastAsia" w:hAnsiTheme="minorHAnsi" w:cstheme="minorBidi"/>
            <w:noProof/>
            <w:sz w:val="22"/>
            <w:lang w:eastAsia="lv-LV"/>
          </w:rPr>
          <w:tab/>
        </w:r>
        <w:r w:rsidR="00525F21" w:rsidRPr="000378BC">
          <w:rPr>
            <w:rStyle w:val="Hyperlink"/>
            <w:noProof/>
          </w:rPr>
          <w:t>Sistēmas raksturojums</w:t>
        </w:r>
        <w:r w:rsidR="00525F21">
          <w:rPr>
            <w:noProof/>
            <w:webHidden/>
          </w:rPr>
          <w:tab/>
        </w:r>
        <w:r w:rsidR="00525F21">
          <w:rPr>
            <w:noProof/>
            <w:webHidden/>
          </w:rPr>
          <w:fldChar w:fldCharType="begin"/>
        </w:r>
        <w:r w:rsidR="00525F21">
          <w:rPr>
            <w:noProof/>
            <w:webHidden/>
          </w:rPr>
          <w:instrText xml:space="preserve"> PAGEREF _Toc55316064 \h </w:instrText>
        </w:r>
        <w:r w:rsidR="00525F21">
          <w:rPr>
            <w:noProof/>
            <w:webHidden/>
          </w:rPr>
        </w:r>
        <w:r w:rsidR="00525F21">
          <w:rPr>
            <w:noProof/>
            <w:webHidden/>
          </w:rPr>
          <w:fldChar w:fldCharType="separate"/>
        </w:r>
        <w:r w:rsidR="00D67CF6">
          <w:rPr>
            <w:noProof/>
            <w:webHidden/>
          </w:rPr>
          <w:t>26</w:t>
        </w:r>
        <w:r w:rsidR="00525F21">
          <w:rPr>
            <w:noProof/>
            <w:webHidden/>
          </w:rPr>
          <w:fldChar w:fldCharType="end"/>
        </w:r>
      </w:hyperlink>
    </w:p>
    <w:p w14:paraId="4FAF1A38" w14:textId="3B7CD4F5" w:rsidR="00525F21" w:rsidRDefault="00301F26" w:rsidP="00F2340D">
      <w:pPr>
        <w:pStyle w:val="TOC2"/>
        <w:rPr>
          <w:rFonts w:asciiTheme="minorHAnsi" w:eastAsiaTheme="minorEastAsia" w:hAnsiTheme="minorHAnsi" w:cstheme="minorBidi"/>
          <w:noProof/>
          <w:sz w:val="22"/>
          <w:lang w:eastAsia="lv-LV"/>
        </w:rPr>
      </w:pPr>
      <w:hyperlink w:anchor="_Toc55316065" w:history="1">
        <w:r w:rsidR="00525F21" w:rsidRPr="000378BC">
          <w:rPr>
            <w:rStyle w:val="Hyperlink"/>
            <w:noProof/>
          </w:rPr>
          <w:t>4.2</w:t>
        </w:r>
        <w:r w:rsidR="00525F21">
          <w:rPr>
            <w:rFonts w:asciiTheme="minorHAnsi" w:eastAsiaTheme="minorEastAsia" w:hAnsiTheme="minorHAnsi" w:cstheme="minorBidi"/>
            <w:noProof/>
            <w:sz w:val="22"/>
            <w:lang w:eastAsia="lv-LV"/>
          </w:rPr>
          <w:tab/>
        </w:r>
        <w:r w:rsidR="00525F21" w:rsidRPr="000378BC">
          <w:rPr>
            <w:rStyle w:val="Hyperlink"/>
            <w:noProof/>
          </w:rPr>
          <w:t>Pensiju adekvātums</w:t>
        </w:r>
        <w:r w:rsidR="00525F21">
          <w:rPr>
            <w:noProof/>
            <w:webHidden/>
          </w:rPr>
          <w:tab/>
        </w:r>
        <w:r w:rsidR="00525F21">
          <w:rPr>
            <w:noProof/>
            <w:webHidden/>
          </w:rPr>
          <w:fldChar w:fldCharType="begin"/>
        </w:r>
        <w:r w:rsidR="00525F21">
          <w:rPr>
            <w:noProof/>
            <w:webHidden/>
          </w:rPr>
          <w:instrText xml:space="preserve"> PAGEREF _Toc55316065 \h </w:instrText>
        </w:r>
        <w:r w:rsidR="00525F21">
          <w:rPr>
            <w:noProof/>
            <w:webHidden/>
          </w:rPr>
        </w:r>
        <w:r w:rsidR="00525F21">
          <w:rPr>
            <w:noProof/>
            <w:webHidden/>
          </w:rPr>
          <w:fldChar w:fldCharType="separate"/>
        </w:r>
        <w:r w:rsidR="00D67CF6">
          <w:rPr>
            <w:noProof/>
            <w:webHidden/>
          </w:rPr>
          <w:t>28</w:t>
        </w:r>
        <w:r w:rsidR="00525F21">
          <w:rPr>
            <w:noProof/>
            <w:webHidden/>
          </w:rPr>
          <w:fldChar w:fldCharType="end"/>
        </w:r>
      </w:hyperlink>
    </w:p>
    <w:p w14:paraId="0B8DA925" w14:textId="09B39359" w:rsidR="00525F21" w:rsidRDefault="00301F26" w:rsidP="00F2340D">
      <w:pPr>
        <w:pStyle w:val="TOC2"/>
        <w:rPr>
          <w:rFonts w:asciiTheme="minorHAnsi" w:eastAsiaTheme="minorEastAsia" w:hAnsiTheme="minorHAnsi" w:cstheme="minorBidi"/>
          <w:noProof/>
          <w:sz w:val="22"/>
          <w:lang w:eastAsia="lv-LV"/>
        </w:rPr>
      </w:pPr>
      <w:hyperlink w:anchor="_Toc55316066" w:history="1">
        <w:r w:rsidR="00525F21" w:rsidRPr="000378BC">
          <w:rPr>
            <w:rStyle w:val="Hyperlink"/>
            <w:noProof/>
          </w:rPr>
          <w:t>4.3</w:t>
        </w:r>
        <w:r w:rsidR="00525F21">
          <w:rPr>
            <w:rFonts w:asciiTheme="minorHAnsi" w:eastAsiaTheme="minorEastAsia" w:hAnsiTheme="minorHAnsi" w:cstheme="minorBidi"/>
            <w:noProof/>
            <w:sz w:val="22"/>
            <w:lang w:eastAsia="lv-LV"/>
          </w:rPr>
          <w:tab/>
        </w:r>
        <w:r w:rsidR="00525F21" w:rsidRPr="000378BC">
          <w:rPr>
            <w:rStyle w:val="Hyperlink"/>
            <w:noProof/>
          </w:rPr>
          <w:t>Speciālie nodokļu režīmi</w:t>
        </w:r>
        <w:r w:rsidR="00525F21">
          <w:rPr>
            <w:noProof/>
            <w:webHidden/>
          </w:rPr>
          <w:tab/>
        </w:r>
        <w:r w:rsidR="00525F21">
          <w:rPr>
            <w:noProof/>
            <w:webHidden/>
          </w:rPr>
          <w:fldChar w:fldCharType="begin"/>
        </w:r>
        <w:r w:rsidR="00525F21">
          <w:rPr>
            <w:noProof/>
            <w:webHidden/>
          </w:rPr>
          <w:instrText xml:space="preserve"> PAGEREF _Toc55316066 \h </w:instrText>
        </w:r>
        <w:r w:rsidR="00525F21">
          <w:rPr>
            <w:noProof/>
            <w:webHidden/>
          </w:rPr>
        </w:r>
        <w:r w:rsidR="00525F21">
          <w:rPr>
            <w:noProof/>
            <w:webHidden/>
          </w:rPr>
          <w:fldChar w:fldCharType="separate"/>
        </w:r>
        <w:r w:rsidR="00D67CF6">
          <w:rPr>
            <w:noProof/>
            <w:webHidden/>
          </w:rPr>
          <w:t>34</w:t>
        </w:r>
        <w:r w:rsidR="00525F21">
          <w:rPr>
            <w:noProof/>
            <w:webHidden/>
          </w:rPr>
          <w:fldChar w:fldCharType="end"/>
        </w:r>
      </w:hyperlink>
    </w:p>
    <w:p w14:paraId="549E98E7" w14:textId="57AC49B9" w:rsidR="00525F21" w:rsidRDefault="00301F26" w:rsidP="00F2340D">
      <w:pPr>
        <w:pStyle w:val="TOC2"/>
        <w:rPr>
          <w:rFonts w:asciiTheme="minorHAnsi" w:eastAsiaTheme="minorEastAsia" w:hAnsiTheme="minorHAnsi" w:cstheme="minorBidi"/>
          <w:noProof/>
          <w:sz w:val="22"/>
          <w:lang w:eastAsia="lv-LV"/>
        </w:rPr>
      </w:pPr>
      <w:hyperlink w:anchor="_Toc55316067" w:history="1">
        <w:r w:rsidR="00525F21" w:rsidRPr="000378BC">
          <w:rPr>
            <w:rStyle w:val="Hyperlink"/>
            <w:noProof/>
          </w:rPr>
          <w:t>4.4</w:t>
        </w:r>
        <w:r w:rsidR="00525F21">
          <w:rPr>
            <w:rFonts w:asciiTheme="minorHAnsi" w:eastAsiaTheme="minorEastAsia" w:hAnsiTheme="minorHAnsi" w:cstheme="minorBidi"/>
            <w:noProof/>
            <w:sz w:val="22"/>
            <w:lang w:eastAsia="lv-LV"/>
          </w:rPr>
          <w:tab/>
        </w:r>
        <w:r w:rsidR="00525F21" w:rsidRPr="000378BC">
          <w:rPr>
            <w:rStyle w:val="Hyperlink"/>
            <w:noProof/>
          </w:rPr>
          <w:t>Valsts sociālās apdrošināšanas pabalsti</w:t>
        </w:r>
        <w:r w:rsidR="00525F21">
          <w:rPr>
            <w:noProof/>
            <w:webHidden/>
          </w:rPr>
          <w:tab/>
        </w:r>
        <w:r w:rsidR="00525F21">
          <w:rPr>
            <w:noProof/>
            <w:webHidden/>
          </w:rPr>
          <w:fldChar w:fldCharType="begin"/>
        </w:r>
        <w:r w:rsidR="00525F21">
          <w:rPr>
            <w:noProof/>
            <w:webHidden/>
          </w:rPr>
          <w:instrText xml:space="preserve"> PAGEREF _Toc55316067 \h </w:instrText>
        </w:r>
        <w:r w:rsidR="00525F21">
          <w:rPr>
            <w:noProof/>
            <w:webHidden/>
          </w:rPr>
        </w:r>
        <w:r w:rsidR="00525F21">
          <w:rPr>
            <w:noProof/>
            <w:webHidden/>
          </w:rPr>
          <w:fldChar w:fldCharType="separate"/>
        </w:r>
        <w:r w:rsidR="00D67CF6">
          <w:rPr>
            <w:noProof/>
            <w:webHidden/>
          </w:rPr>
          <w:t>39</w:t>
        </w:r>
        <w:r w:rsidR="00525F21">
          <w:rPr>
            <w:noProof/>
            <w:webHidden/>
          </w:rPr>
          <w:fldChar w:fldCharType="end"/>
        </w:r>
      </w:hyperlink>
    </w:p>
    <w:p w14:paraId="635CB30D" w14:textId="607171E2" w:rsidR="00525F21" w:rsidRDefault="00301F26" w:rsidP="00F2340D">
      <w:pPr>
        <w:pStyle w:val="TOC2"/>
        <w:rPr>
          <w:rFonts w:asciiTheme="minorHAnsi" w:eastAsiaTheme="minorEastAsia" w:hAnsiTheme="minorHAnsi" w:cstheme="minorBidi"/>
          <w:noProof/>
          <w:sz w:val="22"/>
          <w:lang w:eastAsia="lv-LV"/>
        </w:rPr>
      </w:pPr>
      <w:hyperlink w:anchor="_Toc55316068" w:history="1">
        <w:r w:rsidR="00525F21" w:rsidRPr="000378BC">
          <w:rPr>
            <w:rStyle w:val="Hyperlink"/>
            <w:noProof/>
          </w:rPr>
          <w:t>4.5</w:t>
        </w:r>
        <w:r w:rsidR="00525F21">
          <w:rPr>
            <w:rFonts w:asciiTheme="minorHAnsi" w:eastAsiaTheme="minorEastAsia" w:hAnsiTheme="minorHAnsi" w:cstheme="minorBidi"/>
            <w:noProof/>
            <w:sz w:val="22"/>
            <w:lang w:eastAsia="lv-LV"/>
          </w:rPr>
          <w:tab/>
        </w:r>
        <w:r w:rsidR="00525F21" w:rsidRPr="000378BC">
          <w:rPr>
            <w:rStyle w:val="Hyperlink"/>
            <w:noProof/>
          </w:rPr>
          <w:t>Valsts sociālie pabalsti</w:t>
        </w:r>
        <w:r w:rsidR="00525F21">
          <w:rPr>
            <w:noProof/>
            <w:webHidden/>
          </w:rPr>
          <w:tab/>
        </w:r>
        <w:r w:rsidR="00525F21">
          <w:rPr>
            <w:noProof/>
            <w:webHidden/>
          </w:rPr>
          <w:fldChar w:fldCharType="begin"/>
        </w:r>
        <w:r w:rsidR="00525F21">
          <w:rPr>
            <w:noProof/>
            <w:webHidden/>
          </w:rPr>
          <w:instrText xml:space="preserve"> PAGEREF _Toc55316068 \h </w:instrText>
        </w:r>
        <w:r w:rsidR="00525F21">
          <w:rPr>
            <w:noProof/>
            <w:webHidden/>
          </w:rPr>
        </w:r>
        <w:r w:rsidR="00525F21">
          <w:rPr>
            <w:noProof/>
            <w:webHidden/>
          </w:rPr>
          <w:fldChar w:fldCharType="separate"/>
        </w:r>
        <w:r w:rsidR="00D67CF6">
          <w:rPr>
            <w:noProof/>
            <w:webHidden/>
          </w:rPr>
          <w:t>44</w:t>
        </w:r>
        <w:r w:rsidR="00525F21">
          <w:rPr>
            <w:noProof/>
            <w:webHidden/>
          </w:rPr>
          <w:fldChar w:fldCharType="end"/>
        </w:r>
      </w:hyperlink>
    </w:p>
    <w:p w14:paraId="764DF174" w14:textId="3822BE13" w:rsidR="00525F21" w:rsidRDefault="00301F26" w:rsidP="00F2340D">
      <w:pPr>
        <w:pStyle w:val="TOC2"/>
        <w:rPr>
          <w:rFonts w:asciiTheme="minorHAnsi" w:eastAsiaTheme="minorEastAsia" w:hAnsiTheme="minorHAnsi" w:cstheme="minorBidi"/>
          <w:noProof/>
          <w:sz w:val="22"/>
          <w:lang w:eastAsia="lv-LV"/>
        </w:rPr>
      </w:pPr>
      <w:hyperlink w:anchor="_Toc55316069" w:history="1">
        <w:r w:rsidR="00525F21" w:rsidRPr="000378BC">
          <w:rPr>
            <w:rStyle w:val="Hyperlink"/>
            <w:noProof/>
          </w:rPr>
          <w:t>4.6</w:t>
        </w:r>
        <w:r w:rsidR="00525F21">
          <w:rPr>
            <w:rFonts w:asciiTheme="minorHAnsi" w:eastAsiaTheme="minorEastAsia" w:hAnsiTheme="minorHAnsi" w:cstheme="minorBidi"/>
            <w:noProof/>
            <w:sz w:val="22"/>
            <w:lang w:eastAsia="lv-LV"/>
          </w:rPr>
          <w:tab/>
        </w:r>
        <w:r w:rsidR="00525F21" w:rsidRPr="000378BC">
          <w:rPr>
            <w:rStyle w:val="Hyperlink"/>
            <w:noProof/>
          </w:rPr>
          <w:t>Atbalsta trūcīgām personām adekvātums</w:t>
        </w:r>
        <w:r w:rsidR="00525F21">
          <w:rPr>
            <w:noProof/>
            <w:webHidden/>
          </w:rPr>
          <w:tab/>
        </w:r>
        <w:r w:rsidR="00525F21">
          <w:rPr>
            <w:noProof/>
            <w:webHidden/>
          </w:rPr>
          <w:fldChar w:fldCharType="begin"/>
        </w:r>
        <w:r w:rsidR="00525F21">
          <w:rPr>
            <w:noProof/>
            <w:webHidden/>
          </w:rPr>
          <w:instrText xml:space="preserve"> PAGEREF _Toc55316069 \h </w:instrText>
        </w:r>
        <w:r w:rsidR="00525F21">
          <w:rPr>
            <w:noProof/>
            <w:webHidden/>
          </w:rPr>
        </w:r>
        <w:r w:rsidR="00525F21">
          <w:rPr>
            <w:noProof/>
            <w:webHidden/>
          </w:rPr>
          <w:fldChar w:fldCharType="separate"/>
        </w:r>
        <w:r w:rsidR="00D67CF6">
          <w:rPr>
            <w:noProof/>
            <w:webHidden/>
          </w:rPr>
          <w:t>47</w:t>
        </w:r>
        <w:r w:rsidR="00525F21">
          <w:rPr>
            <w:noProof/>
            <w:webHidden/>
          </w:rPr>
          <w:fldChar w:fldCharType="end"/>
        </w:r>
      </w:hyperlink>
    </w:p>
    <w:p w14:paraId="2734F963" w14:textId="07CCC0B8" w:rsidR="00525F21" w:rsidRDefault="00301F26" w:rsidP="00F2340D">
      <w:pPr>
        <w:pStyle w:val="TOC3"/>
        <w:rPr>
          <w:rFonts w:asciiTheme="minorHAnsi" w:hAnsiTheme="minorHAnsi" w:cstheme="minorBidi"/>
          <w:noProof/>
          <w:sz w:val="22"/>
          <w:lang w:val="lv-LV" w:eastAsia="lv-LV"/>
        </w:rPr>
      </w:pPr>
      <w:hyperlink w:anchor="_Toc55316070" w:history="1">
        <w:r w:rsidR="00525F21" w:rsidRPr="000378BC">
          <w:rPr>
            <w:rStyle w:val="Hyperlink"/>
            <w:noProof/>
          </w:rPr>
          <w:t>4.6.1</w:t>
        </w:r>
        <w:r w:rsidR="00525F21">
          <w:rPr>
            <w:rFonts w:asciiTheme="minorHAnsi" w:hAnsiTheme="minorHAnsi" w:cstheme="minorBidi"/>
            <w:noProof/>
            <w:sz w:val="22"/>
            <w:lang w:val="lv-LV" w:eastAsia="lv-LV"/>
          </w:rPr>
          <w:tab/>
        </w:r>
        <w:r w:rsidR="00525F21" w:rsidRPr="000378BC">
          <w:rPr>
            <w:rStyle w:val="Hyperlink"/>
            <w:noProof/>
          </w:rPr>
          <w:t>Pašvaldības sociālās palīdzības pabalsti</w:t>
        </w:r>
        <w:r w:rsidR="00525F21">
          <w:rPr>
            <w:noProof/>
            <w:webHidden/>
          </w:rPr>
          <w:tab/>
        </w:r>
        <w:r w:rsidR="00525F21">
          <w:rPr>
            <w:noProof/>
            <w:webHidden/>
          </w:rPr>
          <w:fldChar w:fldCharType="begin"/>
        </w:r>
        <w:r w:rsidR="00525F21">
          <w:rPr>
            <w:noProof/>
            <w:webHidden/>
          </w:rPr>
          <w:instrText xml:space="preserve"> PAGEREF _Toc55316070 \h </w:instrText>
        </w:r>
        <w:r w:rsidR="00525F21">
          <w:rPr>
            <w:noProof/>
            <w:webHidden/>
          </w:rPr>
        </w:r>
        <w:r w:rsidR="00525F21">
          <w:rPr>
            <w:noProof/>
            <w:webHidden/>
          </w:rPr>
          <w:fldChar w:fldCharType="separate"/>
        </w:r>
        <w:r w:rsidR="00D67CF6">
          <w:rPr>
            <w:noProof/>
            <w:webHidden/>
          </w:rPr>
          <w:t>47</w:t>
        </w:r>
        <w:r w:rsidR="00525F21">
          <w:rPr>
            <w:noProof/>
            <w:webHidden/>
          </w:rPr>
          <w:fldChar w:fldCharType="end"/>
        </w:r>
      </w:hyperlink>
    </w:p>
    <w:p w14:paraId="36500363" w14:textId="726FAB8F" w:rsidR="00525F21" w:rsidRDefault="00301F26" w:rsidP="00F2340D">
      <w:pPr>
        <w:pStyle w:val="TOC3"/>
        <w:rPr>
          <w:rFonts w:asciiTheme="minorHAnsi" w:hAnsiTheme="minorHAnsi" w:cstheme="minorBidi"/>
          <w:noProof/>
          <w:sz w:val="22"/>
          <w:lang w:val="lv-LV" w:eastAsia="lv-LV"/>
        </w:rPr>
      </w:pPr>
      <w:hyperlink w:anchor="_Toc55316071" w:history="1">
        <w:r w:rsidR="00525F21" w:rsidRPr="000378BC">
          <w:rPr>
            <w:rStyle w:val="Hyperlink"/>
            <w:noProof/>
          </w:rPr>
          <w:t>4.6.2</w:t>
        </w:r>
        <w:r w:rsidR="00525F21">
          <w:rPr>
            <w:rFonts w:asciiTheme="minorHAnsi" w:hAnsiTheme="minorHAnsi" w:cstheme="minorBidi"/>
            <w:noProof/>
            <w:sz w:val="22"/>
            <w:lang w:val="lv-LV" w:eastAsia="lv-LV"/>
          </w:rPr>
          <w:tab/>
        </w:r>
        <w:r w:rsidR="00525F21" w:rsidRPr="000378BC">
          <w:rPr>
            <w:rStyle w:val="Hyperlink"/>
            <w:noProof/>
          </w:rPr>
          <w:t>Eiropas Atbalsta Fonda vistrūcīgākām personām sniegtais atbalsts</w:t>
        </w:r>
        <w:r w:rsidR="00525F21">
          <w:rPr>
            <w:noProof/>
            <w:webHidden/>
          </w:rPr>
          <w:tab/>
        </w:r>
        <w:r w:rsidR="00525F21">
          <w:rPr>
            <w:noProof/>
            <w:webHidden/>
          </w:rPr>
          <w:fldChar w:fldCharType="begin"/>
        </w:r>
        <w:r w:rsidR="00525F21">
          <w:rPr>
            <w:noProof/>
            <w:webHidden/>
          </w:rPr>
          <w:instrText xml:space="preserve"> PAGEREF _Toc55316071 \h </w:instrText>
        </w:r>
        <w:r w:rsidR="00525F21">
          <w:rPr>
            <w:noProof/>
            <w:webHidden/>
          </w:rPr>
        </w:r>
        <w:r w:rsidR="00525F21">
          <w:rPr>
            <w:noProof/>
            <w:webHidden/>
          </w:rPr>
          <w:fldChar w:fldCharType="separate"/>
        </w:r>
        <w:r w:rsidR="00D67CF6">
          <w:rPr>
            <w:noProof/>
            <w:webHidden/>
          </w:rPr>
          <w:t>51</w:t>
        </w:r>
        <w:r w:rsidR="00525F21">
          <w:rPr>
            <w:noProof/>
            <w:webHidden/>
          </w:rPr>
          <w:fldChar w:fldCharType="end"/>
        </w:r>
      </w:hyperlink>
    </w:p>
    <w:p w14:paraId="369EBE30" w14:textId="4ECFFFC4" w:rsidR="00525F21" w:rsidRDefault="00301F26" w:rsidP="00F2340D">
      <w:pPr>
        <w:pStyle w:val="TOC2"/>
        <w:rPr>
          <w:rFonts w:asciiTheme="minorHAnsi" w:eastAsiaTheme="minorEastAsia" w:hAnsiTheme="minorHAnsi" w:cstheme="minorBidi"/>
          <w:noProof/>
          <w:sz w:val="22"/>
          <w:lang w:eastAsia="lv-LV"/>
        </w:rPr>
      </w:pPr>
      <w:hyperlink w:anchor="_Toc55316072" w:history="1">
        <w:r w:rsidR="00525F21" w:rsidRPr="000378BC">
          <w:rPr>
            <w:rStyle w:val="Hyperlink"/>
            <w:noProof/>
          </w:rPr>
          <w:t>4.7</w:t>
        </w:r>
        <w:r w:rsidR="00525F21">
          <w:rPr>
            <w:rFonts w:asciiTheme="minorHAnsi" w:eastAsiaTheme="minorEastAsia" w:hAnsiTheme="minorHAnsi" w:cstheme="minorBidi"/>
            <w:noProof/>
            <w:sz w:val="22"/>
            <w:lang w:eastAsia="lv-LV"/>
          </w:rPr>
          <w:tab/>
        </w:r>
        <w:r w:rsidR="00525F21" w:rsidRPr="000378BC">
          <w:rPr>
            <w:rStyle w:val="Hyperlink"/>
            <w:noProof/>
          </w:rPr>
          <w:t>Minimālo atbalsta sliekšņu paaugstināšana</w:t>
        </w:r>
        <w:r w:rsidR="00525F21">
          <w:rPr>
            <w:noProof/>
            <w:webHidden/>
          </w:rPr>
          <w:tab/>
        </w:r>
        <w:r w:rsidR="00525F21">
          <w:rPr>
            <w:noProof/>
            <w:webHidden/>
          </w:rPr>
          <w:fldChar w:fldCharType="begin"/>
        </w:r>
        <w:r w:rsidR="00525F21">
          <w:rPr>
            <w:noProof/>
            <w:webHidden/>
          </w:rPr>
          <w:instrText xml:space="preserve"> PAGEREF _Toc55316072 \h </w:instrText>
        </w:r>
        <w:r w:rsidR="00525F21">
          <w:rPr>
            <w:noProof/>
            <w:webHidden/>
          </w:rPr>
        </w:r>
        <w:r w:rsidR="00525F21">
          <w:rPr>
            <w:noProof/>
            <w:webHidden/>
          </w:rPr>
          <w:fldChar w:fldCharType="separate"/>
        </w:r>
        <w:r w:rsidR="00D67CF6">
          <w:rPr>
            <w:noProof/>
            <w:webHidden/>
          </w:rPr>
          <w:t>52</w:t>
        </w:r>
        <w:r w:rsidR="00525F21">
          <w:rPr>
            <w:noProof/>
            <w:webHidden/>
          </w:rPr>
          <w:fldChar w:fldCharType="end"/>
        </w:r>
      </w:hyperlink>
    </w:p>
    <w:p w14:paraId="02F30D62" w14:textId="642FE983"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073" w:history="1">
        <w:r w:rsidR="00525F21" w:rsidRPr="000378BC">
          <w:rPr>
            <w:rStyle w:val="Hyperlink"/>
          </w:rPr>
          <w:t>5</w:t>
        </w:r>
        <w:r w:rsidR="00525F21">
          <w:rPr>
            <w:rFonts w:asciiTheme="minorHAnsi" w:eastAsiaTheme="minorEastAsia" w:hAnsiTheme="minorHAnsi" w:cstheme="minorBidi"/>
            <w:sz w:val="22"/>
            <w:szCs w:val="22"/>
            <w:lang w:eastAsia="lv-LV"/>
          </w:rPr>
          <w:tab/>
        </w:r>
        <w:r w:rsidR="00525F21" w:rsidRPr="000378BC">
          <w:rPr>
            <w:rStyle w:val="Hyperlink"/>
          </w:rPr>
          <w:t>Valsts sociālās apdrošināšanas sistēmas ilgtspēja un stabilitāte</w:t>
        </w:r>
        <w:r w:rsidR="00525F21">
          <w:rPr>
            <w:webHidden/>
          </w:rPr>
          <w:tab/>
        </w:r>
        <w:r w:rsidR="00525F21">
          <w:rPr>
            <w:webHidden/>
          </w:rPr>
          <w:fldChar w:fldCharType="begin"/>
        </w:r>
        <w:r w:rsidR="00525F21">
          <w:rPr>
            <w:webHidden/>
          </w:rPr>
          <w:instrText xml:space="preserve"> PAGEREF _Toc55316073 \h </w:instrText>
        </w:r>
        <w:r w:rsidR="00525F21">
          <w:rPr>
            <w:webHidden/>
          </w:rPr>
        </w:r>
        <w:r w:rsidR="00525F21">
          <w:rPr>
            <w:webHidden/>
          </w:rPr>
          <w:fldChar w:fldCharType="separate"/>
        </w:r>
        <w:r w:rsidR="00D67CF6">
          <w:rPr>
            <w:webHidden/>
          </w:rPr>
          <w:t>56</w:t>
        </w:r>
        <w:r w:rsidR="00525F21">
          <w:rPr>
            <w:webHidden/>
          </w:rPr>
          <w:fldChar w:fldCharType="end"/>
        </w:r>
      </w:hyperlink>
    </w:p>
    <w:p w14:paraId="41552931" w14:textId="4A27E317" w:rsidR="00525F21" w:rsidRDefault="00301F26" w:rsidP="00F2340D">
      <w:pPr>
        <w:pStyle w:val="TOC2"/>
        <w:rPr>
          <w:rFonts w:asciiTheme="minorHAnsi" w:eastAsiaTheme="minorEastAsia" w:hAnsiTheme="minorHAnsi" w:cstheme="minorBidi"/>
          <w:noProof/>
          <w:sz w:val="22"/>
          <w:lang w:eastAsia="lv-LV"/>
        </w:rPr>
      </w:pPr>
      <w:hyperlink w:anchor="_Toc55316074" w:history="1">
        <w:r w:rsidR="00525F21" w:rsidRPr="000378BC">
          <w:rPr>
            <w:rStyle w:val="Hyperlink"/>
            <w:noProof/>
          </w:rPr>
          <w:t>5.1</w:t>
        </w:r>
        <w:r w:rsidR="00525F21">
          <w:rPr>
            <w:rFonts w:asciiTheme="minorHAnsi" w:eastAsiaTheme="minorEastAsia" w:hAnsiTheme="minorHAnsi" w:cstheme="minorBidi"/>
            <w:noProof/>
            <w:sz w:val="22"/>
            <w:lang w:eastAsia="lv-LV"/>
          </w:rPr>
          <w:tab/>
        </w:r>
        <w:r w:rsidR="00525F21" w:rsidRPr="000378BC">
          <w:rPr>
            <w:rStyle w:val="Hyperlink"/>
            <w:noProof/>
          </w:rPr>
          <w:t>Finansiālā stabilitāte</w:t>
        </w:r>
        <w:r w:rsidR="00525F21">
          <w:rPr>
            <w:noProof/>
            <w:webHidden/>
          </w:rPr>
          <w:tab/>
        </w:r>
        <w:r w:rsidR="00525F21">
          <w:rPr>
            <w:noProof/>
            <w:webHidden/>
          </w:rPr>
          <w:fldChar w:fldCharType="begin"/>
        </w:r>
        <w:r w:rsidR="00525F21">
          <w:rPr>
            <w:noProof/>
            <w:webHidden/>
          </w:rPr>
          <w:instrText xml:space="preserve"> PAGEREF _Toc55316074 \h </w:instrText>
        </w:r>
        <w:r w:rsidR="00525F21">
          <w:rPr>
            <w:noProof/>
            <w:webHidden/>
          </w:rPr>
        </w:r>
        <w:r w:rsidR="00525F21">
          <w:rPr>
            <w:noProof/>
            <w:webHidden/>
          </w:rPr>
          <w:fldChar w:fldCharType="separate"/>
        </w:r>
        <w:r w:rsidR="00D67CF6">
          <w:rPr>
            <w:noProof/>
            <w:webHidden/>
          </w:rPr>
          <w:t>56</w:t>
        </w:r>
        <w:r w:rsidR="00525F21">
          <w:rPr>
            <w:noProof/>
            <w:webHidden/>
          </w:rPr>
          <w:fldChar w:fldCharType="end"/>
        </w:r>
      </w:hyperlink>
    </w:p>
    <w:p w14:paraId="7B1A064E" w14:textId="5D242562" w:rsidR="00525F21" w:rsidRDefault="00301F26" w:rsidP="00F2340D">
      <w:pPr>
        <w:pStyle w:val="TOC2"/>
        <w:rPr>
          <w:rFonts w:asciiTheme="minorHAnsi" w:eastAsiaTheme="minorEastAsia" w:hAnsiTheme="minorHAnsi" w:cstheme="minorBidi"/>
          <w:noProof/>
          <w:sz w:val="22"/>
          <w:lang w:eastAsia="lv-LV"/>
        </w:rPr>
      </w:pPr>
      <w:hyperlink w:anchor="_Toc55316075" w:history="1">
        <w:r w:rsidR="00525F21" w:rsidRPr="000378BC">
          <w:rPr>
            <w:rStyle w:val="Hyperlink"/>
            <w:noProof/>
          </w:rPr>
          <w:t>5.2</w:t>
        </w:r>
        <w:r w:rsidR="00525F21">
          <w:rPr>
            <w:rFonts w:asciiTheme="minorHAnsi" w:eastAsiaTheme="minorEastAsia" w:hAnsiTheme="minorHAnsi" w:cstheme="minorBidi"/>
            <w:noProof/>
            <w:sz w:val="22"/>
            <w:lang w:eastAsia="lv-LV"/>
          </w:rPr>
          <w:tab/>
        </w:r>
        <w:r w:rsidR="00525F21" w:rsidRPr="000378BC">
          <w:rPr>
            <w:rStyle w:val="Hyperlink"/>
            <w:noProof/>
          </w:rPr>
          <w:t>Fondētā pensiju līmeņa pilnveide</w:t>
        </w:r>
        <w:r w:rsidR="00525F21">
          <w:rPr>
            <w:noProof/>
            <w:webHidden/>
          </w:rPr>
          <w:tab/>
        </w:r>
        <w:r w:rsidR="00525F21">
          <w:rPr>
            <w:noProof/>
            <w:webHidden/>
          </w:rPr>
          <w:fldChar w:fldCharType="begin"/>
        </w:r>
        <w:r w:rsidR="00525F21">
          <w:rPr>
            <w:noProof/>
            <w:webHidden/>
          </w:rPr>
          <w:instrText xml:space="preserve"> PAGEREF _Toc55316075 \h </w:instrText>
        </w:r>
        <w:r w:rsidR="00525F21">
          <w:rPr>
            <w:noProof/>
            <w:webHidden/>
          </w:rPr>
        </w:r>
        <w:r w:rsidR="00525F21">
          <w:rPr>
            <w:noProof/>
            <w:webHidden/>
          </w:rPr>
          <w:fldChar w:fldCharType="separate"/>
        </w:r>
        <w:r w:rsidR="00D67CF6">
          <w:rPr>
            <w:noProof/>
            <w:webHidden/>
          </w:rPr>
          <w:t>59</w:t>
        </w:r>
        <w:r w:rsidR="00525F21">
          <w:rPr>
            <w:noProof/>
            <w:webHidden/>
          </w:rPr>
          <w:fldChar w:fldCharType="end"/>
        </w:r>
      </w:hyperlink>
    </w:p>
    <w:p w14:paraId="3070D673" w14:textId="11214C40" w:rsidR="00525F21" w:rsidRDefault="00301F26" w:rsidP="00F2340D">
      <w:pPr>
        <w:pStyle w:val="TOC2"/>
        <w:rPr>
          <w:rFonts w:asciiTheme="minorHAnsi" w:eastAsiaTheme="minorEastAsia" w:hAnsiTheme="minorHAnsi" w:cstheme="minorBidi"/>
          <w:noProof/>
          <w:sz w:val="22"/>
          <w:lang w:eastAsia="lv-LV"/>
        </w:rPr>
      </w:pPr>
      <w:hyperlink w:anchor="_Toc55316076" w:history="1">
        <w:r w:rsidR="00525F21" w:rsidRPr="000378BC">
          <w:rPr>
            <w:rStyle w:val="Hyperlink"/>
            <w:noProof/>
          </w:rPr>
          <w:t>5.3</w:t>
        </w:r>
        <w:r w:rsidR="00525F21">
          <w:rPr>
            <w:rFonts w:asciiTheme="minorHAnsi" w:eastAsiaTheme="minorEastAsia" w:hAnsiTheme="minorHAnsi" w:cstheme="minorBidi"/>
            <w:noProof/>
            <w:sz w:val="22"/>
            <w:lang w:eastAsia="lv-LV"/>
          </w:rPr>
          <w:tab/>
        </w:r>
        <w:r w:rsidR="00525F21" w:rsidRPr="000378BC">
          <w:rPr>
            <w:rStyle w:val="Hyperlink"/>
            <w:noProof/>
          </w:rPr>
          <w:t>Pensionēšanās nosacījumu pārskatīšana</w:t>
        </w:r>
        <w:r w:rsidR="00525F21">
          <w:rPr>
            <w:noProof/>
            <w:webHidden/>
          </w:rPr>
          <w:tab/>
        </w:r>
        <w:r w:rsidR="00525F21">
          <w:rPr>
            <w:noProof/>
            <w:webHidden/>
          </w:rPr>
          <w:fldChar w:fldCharType="begin"/>
        </w:r>
        <w:r w:rsidR="00525F21">
          <w:rPr>
            <w:noProof/>
            <w:webHidden/>
          </w:rPr>
          <w:instrText xml:space="preserve"> PAGEREF _Toc55316076 \h </w:instrText>
        </w:r>
        <w:r w:rsidR="00525F21">
          <w:rPr>
            <w:noProof/>
            <w:webHidden/>
          </w:rPr>
        </w:r>
        <w:r w:rsidR="00525F21">
          <w:rPr>
            <w:noProof/>
            <w:webHidden/>
          </w:rPr>
          <w:fldChar w:fldCharType="separate"/>
        </w:r>
        <w:r w:rsidR="00D67CF6">
          <w:rPr>
            <w:noProof/>
            <w:webHidden/>
          </w:rPr>
          <w:t>61</w:t>
        </w:r>
        <w:r w:rsidR="00525F21">
          <w:rPr>
            <w:noProof/>
            <w:webHidden/>
          </w:rPr>
          <w:fldChar w:fldCharType="end"/>
        </w:r>
      </w:hyperlink>
    </w:p>
    <w:p w14:paraId="73DFB3D8" w14:textId="7F009BD9" w:rsidR="00525F21" w:rsidRDefault="00301F26" w:rsidP="00F2340D">
      <w:pPr>
        <w:pStyle w:val="TOC2"/>
        <w:rPr>
          <w:rFonts w:asciiTheme="minorHAnsi" w:eastAsiaTheme="minorEastAsia" w:hAnsiTheme="minorHAnsi" w:cstheme="minorBidi"/>
          <w:noProof/>
          <w:sz w:val="22"/>
          <w:lang w:eastAsia="lv-LV"/>
        </w:rPr>
      </w:pPr>
      <w:hyperlink w:anchor="_Toc55316077" w:history="1">
        <w:r w:rsidR="00525F21" w:rsidRPr="000378BC">
          <w:rPr>
            <w:rStyle w:val="Hyperlink"/>
            <w:noProof/>
          </w:rPr>
          <w:t>5.4</w:t>
        </w:r>
        <w:r w:rsidR="00525F21">
          <w:rPr>
            <w:rFonts w:asciiTheme="minorHAnsi" w:eastAsiaTheme="minorEastAsia" w:hAnsiTheme="minorHAnsi" w:cstheme="minorBidi"/>
            <w:noProof/>
            <w:sz w:val="22"/>
            <w:lang w:eastAsia="lv-LV"/>
          </w:rPr>
          <w:tab/>
        </w:r>
        <w:r w:rsidR="00525F21" w:rsidRPr="000378BC">
          <w:rPr>
            <w:rStyle w:val="Hyperlink"/>
            <w:noProof/>
          </w:rPr>
          <w:t>Izdienas pensijas</w:t>
        </w:r>
        <w:r w:rsidR="00525F21">
          <w:rPr>
            <w:noProof/>
            <w:webHidden/>
          </w:rPr>
          <w:tab/>
        </w:r>
        <w:r w:rsidR="00525F21">
          <w:rPr>
            <w:noProof/>
            <w:webHidden/>
          </w:rPr>
          <w:fldChar w:fldCharType="begin"/>
        </w:r>
        <w:r w:rsidR="00525F21">
          <w:rPr>
            <w:noProof/>
            <w:webHidden/>
          </w:rPr>
          <w:instrText xml:space="preserve"> PAGEREF _Toc55316077 \h </w:instrText>
        </w:r>
        <w:r w:rsidR="00525F21">
          <w:rPr>
            <w:noProof/>
            <w:webHidden/>
          </w:rPr>
        </w:r>
        <w:r w:rsidR="00525F21">
          <w:rPr>
            <w:noProof/>
            <w:webHidden/>
          </w:rPr>
          <w:fldChar w:fldCharType="separate"/>
        </w:r>
        <w:r w:rsidR="00D67CF6">
          <w:rPr>
            <w:noProof/>
            <w:webHidden/>
          </w:rPr>
          <w:t>61</w:t>
        </w:r>
        <w:r w:rsidR="00525F21">
          <w:rPr>
            <w:noProof/>
            <w:webHidden/>
          </w:rPr>
          <w:fldChar w:fldCharType="end"/>
        </w:r>
      </w:hyperlink>
    </w:p>
    <w:p w14:paraId="68035CE7" w14:textId="63C4C257"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078" w:history="1">
        <w:r w:rsidR="00525F21" w:rsidRPr="000378BC">
          <w:rPr>
            <w:rStyle w:val="Hyperlink"/>
          </w:rPr>
          <w:t>6</w:t>
        </w:r>
        <w:r w:rsidR="00525F21">
          <w:rPr>
            <w:rFonts w:asciiTheme="minorHAnsi" w:eastAsiaTheme="minorEastAsia" w:hAnsiTheme="minorHAnsi" w:cstheme="minorBidi"/>
            <w:sz w:val="22"/>
            <w:szCs w:val="22"/>
            <w:lang w:eastAsia="lv-LV"/>
          </w:rPr>
          <w:tab/>
        </w:r>
        <w:r w:rsidR="00525F21" w:rsidRPr="000378BC">
          <w:rPr>
            <w:rStyle w:val="Hyperlink"/>
          </w:rPr>
          <w:t>Sociālie pakalpojumi</w:t>
        </w:r>
        <w:r w:rsidR="00525F21">
          <w:rPr>
            <w:webHidden/>
          </w:rPr>
          <w:tab/>
        </w:r>
        <w:r w:rsidR="00525F21">
          <w:rPr>
            <w:webHidden/>
          </w:rPr>
          <w:fldChar w:fldCharType="begin"/>
        </w:r>
        <w:r w:rsidR="00525F21">
          <w:rPr>
            <w:webHidden/>
          </w:rPr>
          <w:instrText xml:space="preserve"> PAGEREF _Toc55316078 \h </w:instrText>
        </w:r>
        <w:r w:rsidR="00525F21">
          <w:rPr>
            <w:webHidden/>
          </w:rPr>
        </w:r>
        <w:r w:rsidR="00525F21">
          <w:rPr>
            <w:webHidden/>
          </w:rPr>
          <w:fldChar w:fldCharType="separate"/>
        </w:r>
        <w:r w:rsidR="00D67CF6">
          <w:rPr>
            <w:webHidden/>
          </w:rPr>
          <w:t>70</w:t>
        </w:r>
        <w:r w:rsidR="00525F21">
          <w:rPr>
            <w:webHidden/>
          </w:rPr>
          <w:fldChar w:fldCharType="end"/>
        </w:r>
      </w:hyperlink>
    </w:p>
    <w:p w14:paraId="640FF86F" w14:textId="26590C04" w:rsidR="00525F21" w:rsidRDefault="00301F26" w:rsidP="00F2340D">
      <w:pPr>
        <w:pStyle w:val="TOC2"/>
        <w:rPr>
          <w:rFonts w:asciiTheme="minorHAnsi" w:eastAsiaTheme="minorEastAsia" w:hAnsiTheme="minorHAnsi" w:cstheme="minorBidi"/>
          <w:noProof/>
          <w:sz w:val="22"/>
          <w:lang w:eastAsia="lv-LV"/>
        </w:rPr>
      </w:pPr>
      <w:hyperlink w:anchor="_Toc55316079" w:history="1">
        <w:r w:rsidR="00525F21" w:rsidRPr="000378BC">
          <w:rPr>
            <w:rStyle w:val="Hyperlink"/>
            <w:noProof/>
          </w:rPr>
          <w:t>6.1</w:t>
        </w:r>
        <w:r w:rsidR="00525F21">
          <w:rPr>
            <w:rFonts w:asciiTheme="minorHAnsi" w:eastAsiaTheme="minorEastAsia" w:hAnsiTheme="minorHAnsi" w:cstheme="minorBidi"/>
            <w:noProof/>
            <w:sz w:val="22"/>
            <w:lang w:eastAsia="lv-LV"/>
          </w:rPr>
          <w:tab/>
        </w:r>
        <w:r w:rsidR="00525F21" w:rsidRPr="000378BC">
          <w:rPr>
            <w:rStyle w:val="Hyperlink"/>
            <w:noProof/>
          </w:rPr>
          <w:t>Sociālo pakalpojumu klāsts/ pieejamība</w:t>
        </w:r>
        <w:r w:rsidR="00525F21">
          <w:rPr>
            <w:noProof/>
            <w:webHidden/>
          </w:rPr>
          <w:tab/>
        </w:r>
        <w:r w:rsidR="00525F21">
          <w:rPr>
            <w:noProof/>
            <w:webHidden/>
          </w:rPr>
          <w:fldChar w:fldCharType="begin"/>
        </w:r>
        <w:r w:rsidR="00525F21">
          <w:rPr>
            <w:noProof/>
            <w:webHidden/>
          </w:rPr>
          <w:instrText xml:space="preserve"> PAGEREF _Toc55316079 \h </w:instrText>
        </w:r>
        <w:r w:rsidR="00525F21">
          <w:rPr>
            <w:noProof/>
            <w:webHidden/>
          </w:rPr>
        </w:r>
        <w:r w:rsidR="00525F21">
          <w:rPr>
            <w:noProof/>
            <w:webHidden/>
          </w:rPr>
          <w:fldChar w:fldCharType="separate"/>
        </w:r>
        <w:r w:rsidR="00D67CF6">
          <w:rPr>
            <w:noProof/>
            <w:webHidden/>
          </w:rPr>
          <w:t>70</w:t>
        </w:r>
        <w:r w:rsidR="00525F21">
          <w:rPr>
            <w:noProof/>
            <w:webHidden/>
          </w:rPr>
          <w:fldChar w:fldCharType="end"/>
        </w:r>
      </w:hyperlink>
    </w:p>
    <w:p w14:paraId="53BAB774" w14:textId="035AD1D8" w:rsidR="00525F21" w:rsidRDefault="00301F26" w:rsidP="00F2340D">
      <w:pPr>
        <w:pStyle w:val="TOC2"/>
        <w:rPr>
          <w:rFonts w:asciiTheme="minorHAnsi" w:eastAsiaTheme="minorEastAsia" w:hAnsiTheme="minorHAnsi" w:cstheme="minorBidi"/>
          <w:noProof/>
          <w:sz w:val="22"/>
          <w:lang w:eastAsia="lv-LV"/>
        </w:rPr>
      </w:pPr>
      <w:hyperlink w:anchor="_Toc55316080" w:history="1">
        <w:r w:rsidR="00525F21" w:rsidRPr="000378BC">
          <w:rPr>
            <w:rStyle w:val="Hyperlink"/>
            <w:noProof/>
          </w:rPr>
          <w:t>6.2</w:t>
        </w:r>
        <w:r w:rsidR="00525F21">
          <w:rPr>
            <w:rFonts w:asciiTheme="minorHAnsi" w:eastAsiaTheme="minorEastAsia" w:hAnsiTheme="minorHAnsi" w:cstheme="minorBidi"/>
            <w:noProof/>
            <w:sz w:val="22"/>
            <w:lang w:eastAsia="lv-LV"/>
          </w:rPr>
          <w:tab/>
        </w:r>
        <w:r w:rsidR="00525F21" w:rsidRPr="000378BC">
          <w:rPr>
            <w:rStyle w:val="Hyperlink"/>
            <w:noProof/>
          </w:rPr>
          <w:t>Sociālo pakalpojumu nodrošināšana</w:t>
        </w:r>
        <w:r w:rsidR="00525F21">
          <w:rPr>
            <w:noProof/>
            <w:webHidden/>
          </w:rPr>
          <w:tab/>
        </w:r>
        <w:r w:rsidR="00525F21">
          <w:rPr>
            <w:noProof/>
            <w:webHidden/>
          </w:rPr>
          <w:fldChar w:fldCharType="begin"/>
        </w:r>
        <w:r w:rsidR="00525F21">
          <w:rPr>
            <w:noProof/>
            <w:webHidden/>
          </w:rPr>
          <w:instrText xml:space="preserve"> PAGEREF _Toc55316080 \h </w:instrText>
        </w:r>
        <w:r w:rsidR="00525F21">
          <w:rPr>
            <w:noProof/>
            <w:webHidden/>
          </w:rPr>
        </w:r>
        <w:r w:rsidR="00525F21">
          <w:rPr>
            <w:noProof/>
            <w:webHidden/>
          </w:rPr>
          <w:fldChar w:fldCharType="separate"/>
        </w:r>
        <w:r w:rsidR="00D67CF6">
          <w:rPr>
            <w:noProof/>
            <w:webHidden/>
          </w:rPr>
          <w:t>72</w:t>
        </w:r>
        <w:r w:rsidR="00525F21">
          <w:rPr>
            <w:noProof/>
            <w:webHidden/>
          </w:rPr>
          <w:fldChar w:fldCharType="end"/>
        </w:r>
      </w:hyperlink>
    </w:p>
    <w:p w14:paraId="3D1CC405" w14:textId="264FFA38" w:rsidR="00525F21" w:rsidRDefault="00301F26" w:rsidP="00F2340D">
      <w:pPr>
        <w:pStyle w:val="TOC3"/>
        <w:rPr>
          <w:rFonts w:asciiTheme="minorHAnsi" w:hAnsiTheme="minorHAnsi" w:cstheme="minorBidi"/>
          <w:noProof/>
          <w:sz w:val="22"/>
          <w:lang w:val="lv-LV" w:eastAsia="lv-LV"/>
        </w:rPr>
      </w:pPr>
      <w:hyperlink w:anchor="_Toc55316081" w:history="1">
        <w:r w:rsidR="00525F21" w:rsidRPr="000378BC">
          <w:rPr>
            <w:rStyle w:val="Hyperlink"/>
            <w:noProof/>
          </w:rPr>
          <w:t>6.2.1</w:t>
        </w:r>
        <w:r w:rsidR="00525F21">
          <w:rPr>
            <w:rFonts w:asciiTheme="minorHAnsi" w:hAnsiTheme="minorHAnsi" w:cstheme="minorBidi"/>
            <w:noProof/>
            <w:sz w:val="22"/>
            <w:lang w:val="lv-LV" w:eastAsia="lv-LV"/>
          </w:rPr>
          <w:tab/>
        </w:r>
        <w:r w:rsidR="00525F21" w:rsidRPr="000378BC">
          <w:rPr>
            <w:rStyle w:val="Hyperlink"/>
            <w:noProof/>
          </w:rPr>
          <w:t>Sociālā aprūpe personām ar funkcionāliem traucējumiem</w:t>
        </w:r>
        <w:r w:rsidR="00525F21">
          <w:rPr>
            <w:noProof/>
            <w:webHidden/>
          </w:rPr>
          <w:tab/>
        </w:r>
        <w:r w:rsidR="00525F21">
          <w:rPr>
            <w:noProof/>
            <w:webHidden/>
          </w:rPr>
          <w:fldChar w:fldCharType="begin"/>
        </w:r>
        <w:r w:rsidR="00525F21">
          <w:rPr>
            <w:noProof/>
            <w:webHidden/>
          </w:rPr>
          <w:instrText xml:space="preserve"> PAGEREF _Toc55316081 \h </w:instrText>
        </w:r>
        <w:r w:rsidR="00525F21">
          <w:rPr>
            <w:noProof/>
            <w:webHidden/>
          </w:rPr>
        </w:r>
        <w:r w:rsidR="00525F21">
          <w:rPr>
            <w:noProof/>
            <w:webHidden/>
          </w:rPr>
          <w:fldChar w:fldCharType="separate"/>
        </w:r>
        <w:r w:rsidR="00D67CF6">
          <w:rPr>
            <w:noProof/>
            <w:webHidden/>
          </w:rPr>
          <w:t>72</w:t>
        </w:r>
        <w:r w:rsidR="00525F21">
          <w:rPr>
            <w:noProof/>
            <w:webHidden/>
          </w:rPr>
          <w:fldChar w:fldCharType="end"/>
        </w:r>
      </w:hyperlink>
    </w:p>
    <w:p w14:paraId="1398B65B" w14:textId="42905C6F" w:rsidR="00525F21" w:rsidRDefault="00301F26" w:rsidP="00F2340D">
      <w:pPr>
        <w:pStyle w:val="TOC3"/>
        <w:rPr>
          <w:rFonts w:asciiTheme="minorHAnsi" w:hAnsiTheme="minorHAnsi" w:cstheme="minorBidi"/>
          <w:noProof/>
          <w:sz w:val="22"/>
          <w:lang w:val="lv-LV" w:eastAsia="lv-LV"/>
        </w:rPr>
      </w:pPr>
      <w:hyperlink w:anchor="_Toc55316082" w:history="1">
        <w:r w:rsidR="00525F21" w:rsidRPr="000378BC">
          <w:rPr>
            <w:rStyle w:val="Hyperlink"/>
            <w:noProof/>
            <w:lang w:eastAsia="lv-LV"/>
          </w:rPr>
          <w:t>6.2.2</w:t>
        </w:r>
        <w:r w:rsidR="00525F21">
          <w:rPr>
            <w:rFonts w:asciiTheme="minorHAnsi" w:hAnsiTheme="minorHAnsi" w:cstheme="minorBidi"/>
            <w:noProof/>
            <w:sz w:val="22"/>
            <w:lang w:val="lv-LV" w:eastAsia="lv-LV"/>
          </w:rPr>
          <w:tab/>
        </w:r>
        <w:r w:rsidR="00525F21" w:rsidRPr="000378BC">
          <w:rPr>
            <w:rStyle w:val="Hyperlink"/>
            <w:noProof/>
            <w:lang w:eastAsia="lv-LV"/>
          </w:rPr>
          <w:t>Sociālie pakalpojumi personām ar garīga rakstura traucējumiem</w:t>
        </w:r>
        <w:r w:rsidR="00525F21">
          <w:rPr>
            <w:noProof/>
            <w:webHidden/>
          </w:rPr>
          <w:tab/>
        </w:r>
        <w:r w:rsidR="00525F21">
          <w:rPr>
            <w:noProof/>
            <w:webHidden/>
          </w:rPr>
          <w:fldChar w:fldCharType="begin"/>
        </w:r>
        <w:r w:rsidR="00525F21">
          <w:rPr>
            <w:noProof/>
            <w:webHidden/>
          </w:rPr>
          <w:instrText xml:space="preserve"> PAGEREF _Toc55316082 \h </w:instrText>
        </w:r>
        <w:r w:rsidR="00525F21">
          <w:rPr>
            <w:noProof/>
            <w:webHidden/>
          </w:rPr>
        </w:r>
        <w:r w:rsidR="00525F21">
          <w:rPr>
            <w:noProof/>
            <w:webHidden/>
          </w:rPr>
          <w:fldChar w:fldCharType="separate"/>
        </w:r>
        <w:r w:rsidR="00D67CF6">
          <w:rPr>
            <w:noProof/>
            <w:webHidden/>
          </w:rPr>
          <w:t>76</w:t>
        </w:r>
        <w:r w:rsidR="00525F21">
          <w:rPr>
            <w:noProof/>
            <w:webHidden/>
          </w:rPr>
          <w:fldChar w:fldCharType="end"/>
        </w:r>
      </w:hyperlink>
    </w:p>
    <w:p w14:paraId="64987FEC" w14:textId="1760E12A" w:rsidR="00525F21" w:rsidRDefault="00301F26" w:rsidP="00F2340D">
      <w:pPr>
        <w:pStyle w:val="TOC3"/>
        <w:rPr>
          <w:rFonts w:asciiTheme="minorHAnsi" w:hAnsiTheme="minorHAnsi" w:cstheme="minorBidi"/>
          <w:noProof/>
          <w:sz w:val="22"/>
          <w:lang w:val="lv-LV" w:eastAsia="lv-LV"/>
        </w:rPr>
      </w:pPr>
      <w:hyperlink w:anchor="_Toc55316083" w:history="1">
        <w:r w:rsidR="00525F21" w:rsidRPr="000378BC">
          <w:rPr>
            <w:rStyle w:val="Hyperlink"/>
            <w:noProof/>
          </w:rPr>
          <w:t>6.2.3</w:t>
        </w:r>
        <w:r w:rsidR="00525F21">
          <w:rPr>
            <w:rFonts w:asciiTheme="minorHAnsi" w:hAnsiTheme="minorHAnsi" w:cstheme="minorBidi"/>
            <w:noProof/>
            <w:sz w:val="22"/>
            <w:lang w:val="lv-LV" w:eastAsia="lv-LV"/>
          </w:rPr>
          <w:tab/>
        </w:r>
        <w:r w:rsidR="00525F21" w:rsidRPr="000378BC">
          <w:rPr>
            <w:rStyle w:val="Hyperlink"/>
            <w:noProof/>
          </w:rPr>
          <w:t>Atbalsts bāreņiem un bez vecāku gādības palikušajiem bērniem, bērniem ar smagiem funkcionāliem traucējumiem</w:t>
        </w:r>
        <w:r w:rsidR="00525F21">
          <w:rPr>
            <w:noProof/>
            <w:webHidden/>
          </w:rPr>
          <w:tab/>
        </w:r>
        <w:r w:rsidR="00525F21">
          <w:rPr>
            <w:noProof/>
            <w:webHidden/>
          </w:rPr>
          <w:fldChar w:fldCharType="begin"/>
        </w:r>
        <w:r w:rsidR="00525F21">
          <w:rPr>
            <w:noProof/>
            <w:webHidden/>
          </w:rPr>
          <w:instrText xml:space="preserve"> PAGEREF _Toc55316083 \h </w:instrText>
        </w:r>
        <w:r w:rsidR="00525F21">
          <w:rPr>
            <w:noProof/>
            <w:webHidden/>
          </w:rPr>
        </w:r>
        <w:r w:rsidR="00525F21">
          <w:rPr>
            <w:noProof/>
            <w:webHidden/>
          </w:rPr>
          <w:fldChar w:fldCharType="separate"/>
        </w:r>
        <w:r w:rsidR="00D67CF6">
          <w:rPr>
            <w:noProof/>
            <w:webHidden/>
          </w:rPr>
          <w:t>78</w:t>
        </w:r>
        <w:r w:rsidR="00525F21">
          <w:rPr>
            <w:noProof/>
            <w:webHidden/>
          </w:rPr>
          <w:fldChar w:fldCharType="end"/>
        </w:r>
      </w:hyperlink>
    </w:p>
    <w:p w14:paraId="497069C9" w14:textId="5F709915" w:rsidR="00525F21" w:rsidRDefault="00301F26" w:rsidP="00F2340D">
      <w:pPr>
        <w:pStyle w:val="TOC3"/>
        <w:rPr>
          <w:rFonts w:asciiTheme="minorHAnsi" w:hAnsiTheme="minorHAnsi" w:cstheme="minorBidi"/>
          <w:noProof/>
          <w:sz w:val="22"/>
          <w:lang w:val="lv-LV" w:eastAsia="lv-LV"/>
        </w:rPr>
      </w:pPr>
      <w:hyperlink w:anchor="_Toc55316084" w:history="1">
        <w:r w:rsidR="00525F21" w:rsidRPr="000378BC">
          <w:rPr>
            <w:rStyle w:val="Hyperlink"/>
            <w:rFonts w:eastAsia="Calibri"/>
            <w:noProof/>
          </w:rPr>
          <w:t>6.2.4</w:t>
        </w:r>
        <w:r w:rsidR="00525F21">
          <w:rPr>
            <w:rFonts w:asciiTheme="minorHAnsi" w:hAnsiTheme="minorHAnsi" w:cstheme="minorBidi"/>
            <w:noProof/>
            <w:sz w:val="22"/>
            <w:lang w:val="lv-LV" w:eastAsia="lv-LV"/>
          </w:rPr>
          <w:tab/>
        </w:r>
        <w:r w:rsidR="00525F21" w:rsidRPr="000378BC">
          <w:rPr>
            <w:rStyle w:val="Hyperlink"/>
            <w:rFonts w:eastAsia="Calibri"/>
            <w:noProof/>
          </w:rPr>
          <w:t>Funkcionālo traucējumu kompensēšana ar tehniskajiem palīglīdzekļiem</w:t>
        </w:r>
        <w:r w:rsidR="00525F21">
          <w:rPr>
            <w:noProof/>
            <w:webHidden/>
          </w:rPr>
          <w:tab/>
        </w:r>
        <w:r w:rsidR="00525F21">
          <w:rPr>
            <w:noProof/>
            <w:webHidden/>
          </w:rPr>
          <w:fldChar w:fldCharType="begin"/>
        </w:r>
        <w:r w:rsidR="00525F21">
          <w:rPr>
            <w:noProof/>
            <w:webHidden/>
          </w:rPr>
          <w:instrText xml:space="preserve"> PAGEREF _Toc55316084 \h </w:instrText>
        </w:r>
        <w:r w:rsidR="00525F21">
          <w:rPr>
            <w:noProof/>
            <w:webHidden/>
          </w:rPr>
        </w:r>
        <w:r w:rsidR="00525F21">
          <w:rPr>
            <w:noProof/>
            <w:webHidden/>
          </w:rPr>
          <w:fldChar w:fldCharType="separate"/>
        </w:r>
        <w:r w:rsidR="00D67CF6">
          <w:rPr>
            <w:noProof/>
            <w:webHidden/>
          </w:rPr>
          <w:t>82</w:t>
        </w:r>
        <w:r w:rsidR="00525F21">
          <w:rPr>
            <w:noProof/>
            <w:webHidden/>
          </w:rPr>
          <w:fldChar w:fldCharType="end"/>
        </w:r>
      </w:hyperlink>
    </w:p>
    <w:p w14:paraId="789710D1" w14:textId="2701C18B" w:rsidR="00525F21" w:rsidRDefault="00301F26" w:rsidP="00F2340D">
      <w:pPr>
        <w:pStyle w:val="TOC3"/>
        <w:rPr>
          <w:rFonts w:asciiTheme="minorHAnsi" w:hAnsiTheme="minorHAnsi" w:cstheme="minorBidi"/>
          <w:noProof/>
          <w:sz w:val="22"/>
          <w:lang w:val="lv-LV" w:eastAsia="lv-LV"/>
        </w:rPr>
      </w:pPr>
      <w:hyperlink w:anchor="_Toc55316085" w:history="1">
        <w:r w:rsidR="00525F21" w:rsidRPr="000378BC">
          <w:rPr>
            <w:rStyle w:val="Hyperlink"/>
            <w:noProof/>
          </w:rPr>
          <w:t>6.2.5</w:t>
        </w:r>
        <w:r w:rsidR="00525F21">
          <w:rPr>
            <w:rFonts w:asciiTheme="minorHAnsi" w:hAnsiTheme="minorHAnsi" w:cstheme="minorBidi"/>
            <w:noProof/>
            <w:sz w:val="22"/>
            <w:lang w:val="lv-LV" w:eastAsia="lv-LV"/>
          </w:rPr>
          <w:tab/>
        </w:r>
        <w:r w:rsidR="00525F21" w:rsidRPr="000378BC">
          <w:rPr>
            <w:rStyle w:val="Hyperlink"/>
            <w:noProof/>
          </w:rPr>
          <w:t>Sociālā rehabilitācija personām ar funkcionāliem traucējumiem</w:t>
        </w:r>
        <w:r w:rsidR="00525F21">
          <w:rPr>
            <w:noProof/>
            <w:webHidden/>
          </w:rPr>
          <w:tab/>
        </w:r>
        <w:r w:rsidR="00525F21">
          <w:rPr>
            <w:noProof/>
            <w:webHidden/>
          </w:rPr>
          <w:fldChar w:fldCharType="begin"/>
        </w:r>
        <w:r w:rsidR="00525F21">
          <w:rPr>
            <w:noProof/>
            <w:webHidden/>
          </w:rPr>
          <w:instrText xml:space="preserve"> PAGEREF _Toc55316085 \h </w:instrText>
        </w:r>
        <w:r w:rsidR="00525F21">
          <w:rPr>
            <w:noProof/>
            <w:webHidden/>
          </w:rPr>
        </w:r>
        <w:r w:rsidR="00525F21">
          <w:rPr>
            <w:noProof/>
            <w:webHidden/>
          </w:rPr>
          <w:fldChar w:fldCharType="separate"/>
        </w:r>
        <w:r w:rsidR="00D67CF6">
          <w:rPr>
            <w:noProof/>
            <w:webHidden/>
          </w:rPr>
          <w:t>85</w:t>
        </w:r>
        <w:r w:rsidR="00525F21">
          <w:rPr>
            <w:noProof/>
            <w:webHidden/>
          </w:rPr>
          <w:fldChar w:fldCharType="end"/>
        </w:r>
      </w:hyperlink>
    </w:p>
    <w:p w14:paraId="566D2918" w14:textId="6C551FF8" w:rsidR="00525F21" w:rsidRDefault="00301F26" w:rsidP="00F2340D">
      <w:pPr>
        <w:pStyle w:val="TOC3"/>
        <w:rPr>
          <w:rFonts w:asciiTheme="minorHAnsi" w:hAnsiTheme="minorHAnsi" w:cstheme="minorBidi"/>
          <w:noProof/>
          <w:sz w:val="22"/>
          <w:lang w:val="lv-LV" w:eastAsia="lv-LV"/>
        </w:rPr>
      </w:pPr>
      <w:hyperlink w:anchor="_Toc55316086" w:history="1">
        <w:r w:rsidR="00525F21" w:rsidRPr="000378BC">
          <w:rPr>
            <w:rStyle w:val="Hyperlink"/>
            <w:noProof/>
          </w:rPr>
          <w:t>6.2.6</w:t>
        </w:r>
        <w:r w:rsidR="00525F21">
          <w:rPr>
            <w:rFonts w:asciiTheme="minorHAnsi" w:hAnsiTheme="minorHAnsi" w:cstheme="minorBidi"/>
            <w:noProof/>
            <w:sz w:val="22"/>
            <w:lang w:val="lv-LV" w:eastAsia="lv-LV"/>
          </w:rPr>
          <w:tab/>
        </w:r>
        <w:r w:rsidR="00525F21" w:rsidRPr="000378BC">
          <w:rPr>
            <w:rStyle w:val="Hyperlink"/>
            <w:noProof/>
          </w:rPr>
          <w:t>Profesionālā rehabilitācija</w:t>
        </w:r>
        <w:r w:rsidR="00525F21">
          <w:rPr>
            <w:noProof/>
            <w:webHidden/>
          </w:rPr>
          <w:tab/>
        </w:r>
        <w:r w:rsidR="00525F21">
          <w:rPr>
            <w:noProof/>
            <w:webHidden/>
          </w:rPr>
          <w:fldChar w:fldCharType="begin"/>
        </w:r>
        <w:r w:rsidR="00525F21">
          <w:rPr>
            <w:noProof/>
            <w:webHidden/>
          </w:rPr>
          <w:instrText xml:space="preserve"> PAGEREF _Toc55316086 \h </w:instrText>
        </w:r>
        <w:r w:rsidR="00525F21">
          <w:rPr>
            <w:noProof/>
            <w:webHidden/>
          </w:rPr>
        </w:r>
        <w:r w:rsidR="00525F21">
          <w:rPr>
            <w:noProof/>
            <w:webHidden/>
          </w:rPr>
          <w:fldChar w:fldCharType="separate"/>
        </w:r>
        <w:r w:rsidR="00D67CF6">
          <w:rPr>
            <w:noProof/>
            <w:webHidden/>
          </w:rPr>
          <w:t>86</w:t>
        </w:r>
        <w:r w:rsidR="00525F21">
          <w:rPr>
            <w:noProof/>
            <w:webHidden/>
          </w:rPr>
          <w:fldChar w:fldCharType="end"/>
        </w:r>
      </w:hyperlink>
    </w:p>
    <w:p w14:paraId="34CE71A2" w14:textId="07142D41" w:rsidR="00525F21" w:rsidRDefault="00301F26" w:rsidP="00F2340D">
      <w:pPr>
        <w:pStyle w:val="TOC3"/>
        <w:rPr>
          <w:rFonts w:asciiTheme="minorHAnsi" w:hAnsiTheme="minorHAnsi" w:cstheme="minorBidi"/>
          <w:noProof/>
          <w:sz w:val="22"/>
          <w:lang w:val="lv-LV" w:eastAsia="lv-LV"/>
        </w:rPr>
      </w:pPr>
      <w:hyperlink w:anchor="_Toc55316087" w:history="1">
        <w:r w:rsidR="00525F21" w:rsidRPr="000378BC">
          <w:rPr>
            <w:rStyle w:val="Hyperlink"/>
            <w:noProof/>
          </w:rPr>
          <w:t>6.2.7</w:t>
        </w:r>
        <w:r w:rsidR="00525F21">
          <w:rPr>
            <w:rFonts w:asciiTheme="minorHAnsi" w:hAnsiTheme="minorHAnsi" w:cstheme="minorBidi"/>
            <w:noProof/>
            <w:sz w:val="22"/>
            <w:lang w:val="lv-LV" w:eastAsia="lv-LV"/>
          </w:rPr>
          <w:tab/>
        </w:r>
        <w:r w:rsidR="00525F21" w:rsidRPr="000378BC">
          <w:rPr>
            <w:rStyle w:val="Hyperlink"/>
            <w:noProof/>
          </w:rPr>
          <w:t>Sociālā rehabilitācija personām ar redzes vai dzirdes invaliditāti</w:t>
        </w:r>
        <w:r w:rsidR="00525F21">
          <w:rPr>
            <w:noProof/>
            <w:webHidden/>
          </w:rPr>
          <w:tab/>
        </w:r>
        <w:r w:rsidR="00525F21">
          <w:rPr>
            <w:noProof/>
            <w:webHidden/>
          </w:rPr>
          <w:fldChar w:fldCharType="begin"/>
        </w:r>
        <w:r w:rsidR="00525F21">
          <w:rPr>
            <w:noProof/>
            <w:webHidden/>
          </w:rPr>
          <w:instrText xml:space="preserve"> PAGEREF _Toc55316087 \h </w:instrText>
        </w:r>
        <w:r w:rsidR="00525F21">
          <w:rPr>
            <w:noProof/>
            <w:webHidden/>
          </w:rPr>
        </w:r>
        <w:r w:rsidR="00525F21">
          <w:rPr>
            <w:noProof/>
            <w:webHidden/>
          </w:rPr>
          <w:fldChar w:fldCharType="separate"/>
        </w:r>
        <w:r w:rsidR="00D67CF6">
          <w:rPr>
            <w:noProof/>
            <w:webHidden/>
          </w:rPr>
          <w:t>88</w:t>
        </w:r>
        <w:r w:rsidR="00525F21">
          <w:rPr>
            <w:noProof/>
            <w:webHidden/>
          </w:rPr>
          <w:fldChar w:fldCharType="end"/>
        </w:r>
      </w:hyperlink>
    </w:p>
    <w:p w14:paraId="6EEA2D9D" w14:textId="2590D222" w:rsidR="00525F21" w:rsidRDefault="00301F26" w:rsidP="00F2340D">
      <w:pPr>
        <w:pStyle w:val="TOC3"/>
        <w:rPr>
          <w:rFonts w:asciiTheme="minorHAnsi" w:hAnsiTheme="minorHAnsi" w:cstheme="minorBidi"/>
          <w:noProof/>
          <w:sz w:val="22"/>
          <w:lang w:val="lv-LV" w:eastAsia="lv-LV"/>
        </w:rPr>
      </w:pPr>
      <w:hyperlink w:anchor="_Toc55316088" w:history="1">
        <w:r w:rsidR="00525F21" w:rsidRPr="000378BC">
          <w:rPr>
            <w:rStyle w:val="Hyperlink"/>
            <w:noProof/>
          </w:rPr>
          <w:t>6.2.8</w:t>
        </w:r>
        <w:r w:rsidR="00525F21">
          <w:rPr>
            <w:rFonts w:asciiTheme="minorHAnsi" w:hAnsiTheme="minorHAnsi" w:cstheme="minorBidi"/>
            <w:noProof/>
            <w:sz w:val="22"/>
            <w:lang w:val="lv-LV" w:eastAsia="lv-LV"/>
          </w:rPr>
          <w:tab/>
        </w:r>
        <w:r w:rsidR="00525F21" w:rsidRPr="000378BC">
          <w:rPr>
            <w:rStyle w:val="Hyperlink"/>
            <w:noProof/>
          </w:rPr>
          <w:t>Sociālā rehabilitācija vardarbības mazināšanai</w:t>
        </w:r>
        <w:r w:rsidR="00525F21">
          <w:rPr>
            <w:noProof/>
            <w:webHidden/>
          </w:rPr>
          <w:tab/>
        </w:r>
        <w:r w:rsidR="00525F21">
          <w:rPr>
            <w:noProof/>
            <w:webHidden/>
          </w:rPr>
          <w:fldChar w:fldCharType="begin"/>
        </w:r>
        <w:r w:rsidR="00525F21">
          <w:rPr>
            <w:noProof/>
            <w:webHidden/>
          </w:rPr>
          <w:instrText xml:space="preserve"> PAGEREF _Toc55316088 \h </w:instrText>
        </w:r>
        <w:r w:rsidR="00525F21">
          <w:rPr>
            <w:noProof/>
            <w:webHidden/>
          </w:rPr>
        </w:r>
        <w:r w:rsidR="00525F21">
          <w:rPr>
            <w:noProof/>
            <w:webHidden/>
          </w:rPr>
          <w:fldChar w:fldCharType="separate"/>
        </w:r>
        <w:r w:rsidR="00D67CF6">
          <w:rPr>
            <w:noProof/>
            <w:webHidden/>
          </w:rPr>
          <w:t>88</w:t>
        </w:r>
        <w:r w:rsidR="00525F21">
          <w:rPr>
            <w:noProof/>
            <w:webHidden/>
          </w:rPr>
          <w:fldChar w:fldCharType="end"/>
        </w:r>
      </w:hyperlink>
    </w:p>
    <w:p w14:paraId="28E4D11B" w14:textId="559F9E37" w:rsidR="00525F21" w:rsidRDefault="00301F26" w:rsidP="00F2340D">
      <w:pPr>
        <w:pStyle w:val="TOC3"/>
        <w:rPr>
          <w:rFonts w:asciiTheme="minorHAnsi" w:hAnsiTheme="minorHAnsi" w:cstheme="minorBidi"/>
          <w:noProof/>
          <w:sz w:val="22"/>
          <w:lang w:val="lv-LV" w:eastAsia="lv-LV"/>
        </w:rPr>
      </w:pPr>
      <w:hyperlink w:anchor="_Toc55316089" w:history="1">
        <w:r w:rsidR="00525F21" w:rsidRPr="000378BC">
          <w:rPr>
            <w:rStyle w:val="Hyperlink"/>
            <w:noProof/>
          </w:rPr>
          <w:t>6.2.9</w:t>
        </w:r>
        <w:r w:rsidR="00525F21">
          <w:rPr>
            <w:rFonts w:asciiTheme="minorHAnsi" w:hAnsiTheme="minorHAnsi" w:cstheme="minorBidi"/>
            <w:noProof/>
            <w:sz w:val="22"/>
            <w:lang w:val="lv-LV" w:eastAsia="lv-LV"/>
          </w:rPr>
          <w:tab/>
        </w:r>
        <w:r w:rsidR="00525F21" w:rsidRPr="000378BC">
          <w:rPr>
            <w:rStyle w:val="Hyperlink"/>
            <w:noProof/>
          </w:rPr>
          <w:t>Sociālā rehabilitācija cilvēku tirdzniecības upuriem</w:t>
        </w:r>
        <w:r w:rsidR="00525F21">
          <w:rPr>
            <w:noProof/>
            <w:webHidden/>
          </w:rPr>
          <w:tab/>
        </w:r>
        <w:r w:rsidR="00525F21">
          <w:rPr>
            <w:noProof/>
            <w:webHidden/>
          </w:rPr>
          <w:fldChar w:fldCharType="begin"/>
        </w:r>
        <w:r w:rsidR="00525F21">
          <w:rPr>
            <w:noProof/>
            <w:webHidden/>
          </w:rPr>
          <w:instrText xml:space="preserve"> PAGEREF _Toc55316089 \h </w:instrText>
        </w:r>
        <w:r w:rsidR="00525F21">
          <w:rPr>
            <w:noProof/>
            <w:webHidden/>
          </w:rPr>
        </w:r>
        <w:r w:rsidR="00525F21">
          <w:rPr>
            <w:noProof/>
            <w:webHidden/>
          </w:rPr>
          <w:fldChar w:fldCharType="separate"/>
        </w:r>
        <w:r w:rsidR="00D67CF6">
          <w:rPr>
            <w:noProof/>
            <w:webHidden/>
          </w:rPr>
          <w:t>90</w:t>
        </w:r>
        <w:r w:rsidR="00525F21">
          <w:rPr>
            <w:noProof/>
            <w:webHidden/>
          </w:rPr>
          <w:fldChar w:fldCharType="end"/>
        </w:r>
      </w:hyperlink>
    </w:p>
    <w:p w14:paraId="6D36B007" w14:textId="14C81D2E" w:rsidR="00525F21" w:rsidRDefault="00301F26" w:rsidP="00F2340D">
      <w:pPr>
        <w:pStyle w:val="TOC3"/>
        <w:rPr>
          <w:rFonts w:asciiTheme="minorHAnsi" w:hAnsiTheme="minorHAnsi" w:cstheme="minorBidi"/>
          <w:noProof/>
          <w:sz w:val="22"/>
          <w:lang w:val="lv-LV" w:eastAsia="lv-LV"/>
        </w:rPr>
      </w:pPr>
      <w:hyperlink w:anchor="_Toc55316090" w:history="1">
        <w:r w:rsidR="00525F21" w:rsidRPr="000378BC">
          <w:rPr>
            <w:rStyle w:val="Hyperlink"/>
            <w:noProof/>
          </w:rPr>
          <w:t>6.2.10</w:t>
        </w:r>
        <w:r w:rsidR="00525F21">
          <w:rPr>
            <w:rFonts w:asciiTheme="minorHAnsi" w:hAnsiTheme="minorHAnsi" w:cstheme="minorBidi"/>
            <w:noProof/>
            <w:sz w:val="22"/>
            <w:lang w:val="lv-LV" w:eastAsia="lv-LV"/>
          </w:rPr>
          <w:tab/>
        </w:r>
        <w:r w:rsidR="00525F21" w:rsidRPr="000378BC">
          <w:rPr>
            <w:rStyle w:val="Hyperlink"/>
            <w:noProof/>
          </w:rPr>
          <w:t>Sociālā rehabilitācija no apreibinošām vielām un procesiem atkarīgajiem</w:t>
        </w:r>
        <w:r w:rsidR="00525F21">
          <w:rPr>
            <w:noProof/>
            <w:webHidden/>
          </w:rPr>
          <w:tab/>
        </w:r>
        <w:r w:rsidR="00525F21">
          <w:rPr>
            <w:noProof/>
            <w:webHidden/>
          </w:rPr>
          <w:fldChar w:fldCharType="begin"/>
        </w:r>
        <w:r w:rsidR="00525F21">
          <w:rPr>
            <w:noProof/>
            <w:webHidden/>
          </w:rPr>
          <w:instrText xml:space="preserve"> PAGEREF _Toc55316090 \h </w:instrText>
        </w:r>
        <w:r w:rsidR="00525F21">
          <w:rPr>
            <w:noProof/>
            <w:webHidden/>
          </w:rPr>
        </w:r>
        <w:r w:rsidR="00525F21">
          <w:rPr>
            <w:noProof/>
            <w:webHidden/>
          </w:rPr>
          <w:fldChar w:fldCharType="separate"/>
        </w:r>
        <w:r w:rsidR="00D67CF6">
          <w:rPr>
            <w:noProof/>
            <w:webHidden/>
          </w:rPr>
          <w:t>92</w:t>
        </w:r>
        <w:r w:rsidR="00525F21">
          <w:rPr>
            <w:noProof/>
            <w:webHidden/>
          </w:rPr>
          <w:fldChar w:fldCharType="end"/>
        </w:r>
      </w:hyperlink>
    </w:p>
    <w:p w14:paraId="660BF7B9" w14:textId="73AE448C" w:rsidR="00525F21" w:rsidRDefault="00301F26" w:rsidP="00F2340D">
      <w:pPr>
        <w:pStyle w:val="TOC2"/>
        <w:rPr>
          <w:rFonts w:asciiTheme="minorHAnsi" w:eastAsiaTheme="minorEastAsia" w:hAnsiTheme="minorHAnsi" w:cstheme="minorBidi"/>
          <w:noProof/>
          <w:sz w:val="22"/>
          <w:lang w:eastAsia="lv-LV"/>
        </w:rPr>
      </w:pPr>
      <w:hyperlink w:anchor="_Toc55316091" w:history="1">
        <w:r w:rsidR="00525F21" w:rsidRPr="000378BC">
          <w:rPr>
            <w:rStyle w:val="Hyperlink"/>
            <w:noProof/>
          </w:rPr>
          <w:t>6.3</w:t>
        </w:r>
        <w:r w:rsidR="00525F21">
          <w:rPr>
            <w:rFonts w:asciiTheme="minorHAnsi" w:eastAsiaTheme="minorEastAsia" w:hAnsiTheme="minorHAnsi" w:cstheme="minorBidi"/>
            <w:noProof/>
            <w:sz w:val="22"/>
            <w:lang w:eastAsia="lv-LV"/>
          </w:rPr>
          <w:tab/>
        </w:r>
        <w:r w:rsidR="00525F21" w:rsidRPr="000378BC">
          <w:rPr>
            <w:rStyle w:val="Hyperlink"/>
            <w:noProof/>
          </w:rPr>
          <w:t>Sociālo pakalpojumu grozs</w:t>
        </w:r>
        <w:r w:rsidR="00525F21">
          <w:rPr>
            <w:noProof/>
            <w:webHidden/>
          </w:rPr>
          <w:tab/>
        </w:r>
        <w:r w:rsidR="00525F21">
          <w:rPr>
            <w:noProof/>
            <w:webHidden/>
          </w:rPr>
          <w:fldChar w:fldCharType="begin"/>
        </w:r>
        <w:r w:rsidR="00525F21">
          <w:rPr>
            <w:noProof/>
            <w:webHidden/>
          </w:rPr>
          <w:instrText xml:space="preserve"> PAGEREF _Toc55316091 \h </w:instrText>
        </w:r>
        <w:r w:rsidR="00525F21">
          <w:rPr>
            <w:noProof/>
            <w:webHidden/>
          </w:rPr>
        </w:r>
        <w:r w:rsidR="00525F21">
          <w:rPr>
            <w:noProof/>
            <w:webHidden/>
          </w:rPr>
          <w:fldChar w:fldCharType="separate"/>
        </w:r>
        <w:r w:rsidR="00D67CF6">
          <w:rPr>
            <w:noProof/>
            <w:webHidden/>
          </w:rPr>
          <w:t>94</w:t>
        </w:r>
        <w:r w:rsidR="00525F21">
          <w:rPr>
            <w:noProof/>
            <w:webHidden/>
          </w:rPr>
          <w:fldChar w:fldCharType="end"/>
        </w:r>
      </w:hyperlink>
    </w:p>
    <w:p w14:paraId="742B65B8" w14:textId="4A89E841" w:rsidR="00525F21" w:rsidRDefault="00301F26" w:rsidP="00F2340D">
      <w:pPr>
        <w:pStyle w:val="TOC2"/>
        <w:rPr>
          <w:rFonts w:asciiTheme="minorHAnsi" w:eastAsiaTheme="minorEastAsia" w:hAnsiTheme="minorHAnsi" w:cstheme="minorBidi"/>
          <w:noProof/>
          <w:sz w:val="22"/>
          <w:lang w:eastAsia="lv-LV"/>
        </w:rPr>
      </w:pPr>
      <w:hyperlink w:anchor="_Toc55316092" w:history="1">
        <w:r w:rsidR="00525F21" w:rsidRPr="000378BC">
          <w:rPr>
            <w:rStyle w:val="Hyperlink"/>
            <w:noProof/>
          </w:rPr>
          <w:t>6.4</w:t>
        </w:r>
        <w:r w:rsidR="00525F21">
          <w:rPr>
            <w:rFonts w:asciiTheme="minorHAnsi" w:eastAsiaTheme="minorEastAsia" w:hAnsiTheme="minorHAnsi" w:cstheme="minorBidi"/>
            <w:noProof/>
            <w:sz w:val="22"/>
            <w:lang w:eastAsia="lv-LV"/>
          </w:rPr>
          <w:tab/>
        </w:r>
        <w:r w:rsidR="00525F21" w:rsidRPr="000378BC">
          <w:rPr>
            <w:rStyle w:val="Hyperlink"/>
            <w:noProof/>
          </w:rPr>
          <w:t>Sabiedrībā balstītu pakalpojumu attīstība</w:t>
        </w:r>
        <w:r w:rsidR="00525F21">
          <w:rPr>
            <w:noProof/>
            <w:webHidden/>
          </w:rPr>
          <w:tab/>
        </w:r>
        <w:r w:rsidR="00525F21">
          <w:rPr>
            <w:noProof/>
            <w:webHidden/>
          </w:rPr>
          <w:fldChar w:fldCharType="begin"/>
        </w:r>
        <w:r w:rsidR="00525F21">
          <w:rPr>
            <w:noProof/>
            <w:webHidden/>
          </w:rPr>
          <w:instrText xml:space="preserve"> PAGEREF _Toc55316092 \h </w:instrText>
        </w:r>
        <w:r w:rsidR="00525F21">
          <w:rPr>
            <w:noProof/>
            <w:webHidden/>
          </w:rPr>
        </w:r>
        <w:r w:rsidR="00525F21">
          <w:rPr>
            <w:noProof/>
            <w:webHidden/>
          </w:rPr>
          <w:fldChar w:fldCharType="separate"/>
        </w:r>
        <w:r w:rsidR="00D67CF6">
          <w:rPr>
            <w:noProof/>
            <w:webHidden/>
          </w:rPr>
          <w:t>95</w:t>
        </w:r>
        <w:r w:rsidR="00525F21">
          <w:rPr>
            <w:noProof/>
            <w:webHidden/>
          </w:rPr>
          <w:fldChar w:fldCharType="end"/>
        </w:r>
      </w:hyperlink>
    </w:p>
    <w:p w14:paraId="3FEA4B2A" w14:textId="09801D21"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093" w:history="1">
        <w:r w:rsidR="00525F21" w:rsidRPr="000378BC">
          <w:rPr>
            <w:rStyle w:val="Hyperlink"/>
          </w:rPr>
          <w:t>7</w:t>
        </w:r>
        <w:r w:rsidR="00525F21">
          <w:rPr>
            <w:rFonts w:asciiTheme="minorHAnsi" w:eastAsiaTheme="minorEastAsia" w:hAnsiTheme="minorHAnsi" w:cstheme="minorBidi"/>
            <w:sz w:val="22"/>
            <w:szCs w:val="22"/>
            <w:lang w:eastAsia="lv-LV"/>
          </w:rPr>
          <w:tab/>
        </w:r>
        <w:r w:rsidR="00525F21" w:rsidRPr="000378BC">
          <w:rPr>
            <w:rStyle w:val="Hyperlink"/>
          </w:rPr>
          <w:t>Pakalpojumu kvalitātes uzraudzība</w:t>
        </w:r>
        <w:r w:rsidR="00525F21">
          <w:rPr>
            <w:webHidden/>
          </w:rPr>
          <w:tab/>
        </w:r>
        <w:r w:rsidR="00525F21">
          <w:rPr>
            <w:webHidden/>
          </w:rPr>
          <w:fldChar w:fldCharType="begin"/>
        </w:r>
        <w:r w:rsidR="00525F21">
          <w:rPr>
            <w:webHidden/>
          </w:rPr>
          <w:instrText xml:space="preserve"> PAGEREF _Toc55316093 \h </w:instrText>
        </w:r>
        <w:r w:rsidR="00525F21">
          <w:rPr>
            <w:webHidden/>
          </w:rPr>
        </w:r>
        <w:r w:rsidR="00525F21">
          <w:rPr>
            <w:webHidden/>
          </w:rPr>
          <w:fldChar w:fldCharType="separate"/>
        </w:r>
        <w:r w:rsidR="00D67CF6">
          <w:rPr>
            <w:webHidden/>
          </w:rPr>
          <w:t>98</w:t>
        </w:r>
        <w:r w:rsidR="00525F21">
          <w:rPr>
            <w:webHidden/>
          </w:rPr>
          <w:fldChar w:fldCharType="end"/>
        </w:r>
      </w:hyperlink>
    </w:p>
    <w:p w14:paraId="1A5265E6" w14:textId="2F4A291F"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094" w:history="1">
        <w:r w:rsidR="00525F21" w:rsidRPr="000378BC">
          <w:rPr>
            <w:rStyle w:val="Hyperlink"/>
          </w:rPr>
          <w:t>8</w:t>
        </w:r>
        <w:r w:rsidR="00525F21">
          <w:rPr>
            <w:rFonts w:asciiTheme="minorHAnsi" w:eastAsiaTheme="minorEastAsia" w:hAnsiTheme="minorHAnsi" w:cstheme="minorBidi"/>
            <w:sz w:val="22"/>
            <w:szCs w:val="22"/>
            <w:lang w:eastAsia="lv-LV"/>
          </w:rPr>
          <w:tab/>
        </w:r>
        <w:r w:rsidR="00525F21" w:rsidRPr="000378BC">
          <w:rPr>
            <w:rStyle w:val="Hyperlink"/>
          </w:rPr>
          <w:t>Sociālais darbs</w:t>
        </w:r>
        <w:r w:rsidR="00525F21">
          <w:rPr>
            <w:webHidden/>
          </w:rPr>
          <w:tab/>
        </w:r>
        <w:r w:rsidR="00525F21">
          <w:rPr>
            <w:webHidden/>
          </w:rPr>
          <w:fldChar w:fldCharType="begin"/>
        </w:r>
        <w:r w:rsidR="00525F21">
          <w:rPr>
            <w:webHidden/>
          </w:rPr>
          <w:instrText xml:space="preserve"> PAGEREF _Toc55316094 \h </w:instrText>
        </w:r>
        <w:r w:rsidR="00525F21">
          <w:rPr>
            <w:webHidden/>
          </w:rPr>
        </w:r>
        <w:r w:rsidR="00525F21">
          <w:rPr>
            <w:webHidden/>
          </w:rPr>
          <w:fldChar w:fldCharType="separate"/>
        </w:r>
        <w:r w:rsidR="00D67CF6">
          <w:rPr>
            <w:webHidden/>
          </w:rPr>
          <w:t>99</w:t>
        </w:r>
        <w:r w:rsidR="00525F21">
          <w:rPr>
            <w:webHidden/>
          </w:rPr>
          <w:fldChar w:fldCharType="end"/>
        </w:r>
      </w:hyperlink>
    </w:p>
    <w:p w14:paraId="661BE1A6" w14:textId="4E27974D" w:rsidR="00525F21" w:rsidRDefault="00301F26" w:rsidP="00F2340D">
      <w:pPr>
        <w:pStyle w:val="TOC2"/>
        <w:rPr>
          <w:rFonts w:asciiTheme="minorHAnsi" w:eastAsiaTheme="minorEastAsia" w:hAnsiTheme="minorHAnsi" w:cstheme="minorBidi"/>
          <w:noProof/>
          <w:sz w:val="22"/>
          <w:lang w:eastAsia="lv-LV"/>
        </w:rPr>
      </w:pPr>
      <w:hyperlink w:anchor="_Toc55316095" w:history="1">
        <w:r w:rsidR="00525F21" w:rsidRPr="000378BC">
          <w:rPr>
            <w:rStyle w:val="Hyperlink"/>
            <w:noProof/>
          </w:rPr>
          <w:t>8.1</w:t>
        </w:r>
        <w:r w:rsidR="00525F21">
          <w:rPr>
            <w:rFonts w:asciiTheme="minorHAnsi" w:eastAsiaTheme="minorEastAsia" w:hAnsiTheme="minorHAnsi" w:cstheme="minorBidi"/>
            <w:noProof/>
            <w:sz w:val="22"/>
            <w:lang w:eastAsia="lv-LV"/>
          </w:rPr>
          <w:tab/>
        </w:r>
        <w:r w:rsidR="00525F21" w:rsidRPr="000378BC">
          <w:rPr>
            <w:rStyle w:val="Hyperlink"/>
            <w:noProof/>
          </w:rPr>
          <w:t>Sociālā darba loma</w:t>
        </w:r>
        <w:r w:rsidR="00525F21">
          <w:rPr>
            <w:noProof/>
            <w:webHidden/>
          </w:rPr>
          <w:tab/>
        </w:r>
        <w:r w:rsidR="00525F21">
          <w:rPr>
            <w:noProof/>
            <w:webHidden/>
          </w:rPr>
          <w:fldChar w:fldCharType="begin"/>
        </w:r>
        <w:r w:rsidR="00525F21">
          <w:rPr>
            <w:noProof/>
            <w:webHidden/>
          </w:rPr>
          <w:instrText xml:space="preserve"> PAGEREF _Toc55316095 \h </w:instrText>
        </w:r>
        <w:r w:rsidR="00525F21">
          <w:rPr>
            <w:noProof/>
            <w:webHidden/>
          </w:rPr>
        </w:r>
        <w:r w:rsidR="00525F21">
          <w:rPr>
            <w:noProof/>
            <w:webHidden/>
          </w:rPr>
          <w:fldChar w:fldCharType="separate"/>
        </w:r>
        <w:r w:rsidR="00D67CF6">
          <w:rPr>
            <w:noProof/>
            <w:webHidden/>
          </w:rPr>
          <w:t>99</w:t>
        </w:r>
        <w:r w:rsidR="00525F21">
          <w:rPr>
            <w:noProof/>
            <w:webHidden/>
          </w:rPr>
          <w:fldChar w:fldCharType="end"/>
        </w:r>
      </w:hyperlink>
    </w:p>
    <w:p w14:paraId="56AC86E1" w14:textId="63DF256F" w:rsidR="00525F21" w:rsidRDefault="00301F26" w:rsidP="00F2340D">
      <w:pPr>
        <w:pStyle w:val="TOC2"/>
        <w:rPr>
          <w:rFonts w:asciiTheme="minorHAnsi" w:eastAsiaTheme="minorEastAsia" w:hAnsiTheme="minorHAnsi" w:cstheme="minorBidi"/>
          <w:noProof/>
          <w:sz w:val="22"/>
          <w:lang w:eastAsia="lv-LV"/>
        </w:rPr>
      </w:pPr>
      <w:hyperlink w:anchor="_Toc55316096" w:history="1">
        <w:r w:rsidR="00525F21" w:rsidRPr="000378BC">
          <w:rPr>
            <w:rStyle w:val="Hyperlink"/>
            <w:noProof/>
          </w:rPr>
          <w:t>8.2</w:t>
        </w:r>
        <w:r w:rsidR="00525F21">
          <w:rPr>
            <w:rFonts w:asciiTheme="minorHAnsi" w:eastAsiaTheme="minorEastAsia" w:hAnsiTheme="minorHAnsi" w:cstheme="minorBidi"/>
            <w:noProof/>
            <w:sz w:val="22"/>
            <w:lang w:eastAsia="lv-LV"/>
          </w:rPr>
          <w:tab/>
        </w:r>
        <w:r w:rsidR="00525F21" w:rsidRPr="000378BC">
          <w:rPr>
            <w:rStyle w:val="Hyperlink"/>
            <w:noProof/>
          </w:rPr>
          <w:t>Sociālā darbinieka profesijas standarts</w:t>
        </w:r>
        <w:r w:rsidR="00525F21">
          <w:rPr>
            <w:noProof/>
            <w:webHidden/>
          </w:rPr>
          <w:tab/>
        </w:r>
        <w:r w:rsidR="00525F21">
          <w:rPr>
            <w:noProof/>
            <w:webHidden/>
          </w:rPr>
          <w:fldChar w:fldCharType="begin"/>
        </w:r>
        <w:r w:rsidR="00525F21">
          <w:rPr>
            <w:noProof/>
            <w:webHidden/>
          </w:rPr>
          <w:instrText xml:space="preserve"> PAGEREF _Toc55316096 \h </w:instrText>
        </w:r>
        <w:r w:rsidR="00525F21">
          <w:rPr>
            <w:noProof/>
            <w:webHidden/>
          </w:rPr>
        </w:r>
        <w:r w:rsidR="00525F21">
          <w:rPr>
            <w:noProof/>
            <w:webHidden/>
          </w:rPr>
          <w:fldChar w:fldCharType="separate"/>
        </w:r>
        <w:r w:rsidR="00D67CF6">
          <w:rPr>
            <w:noProof/>
            <w:webHidden/>
          </w:rPr>
          <w:t>100</w:t>
        </w:r>
        <w:r w:rsidR="00525F21">
          <w:rPr>
            <w:noProof/>
            <w:webHidden/>
          </w:rPr>
          <w:fldChar w:fldCharType="end"/>
        </w:r>
      </w:hyperlink>
    </w:p>
    <w:p w14:paraId="33BF3CF5" w14:textId="6A0D015A" w:rsidR="00525F21" w:rsidRDefault="00301F26" w:rsidP="00F2340D">
      <w:pPr>
        <w:pStyle w:val="TOC2"/>
        <w:rPr>
          <w:rFonts w:asciiTheme="minorHAnsi" w:eastAsiaTheme="minorEastAsia" w:hAnsiTheme="minorHAnsi" w:cstheme="minorBidi"/>
          <w:noProof/>
          <w:sz w:val="22"/>
          <w:lang w:eastAsia="lv-LV"/>
        </w:rPr>
      </w:pPr>
      <w:hyperlink w:anchor="_Toc55316097" w:history="1">
        <w:r w:rsidR="00525F21" w:rsidRPr="000378BC">
          <w:rPr>
            <w:rStyle w:val="Hyperlink"/>
            <w:noProof/>
          </w:rPr>
          <w:t>8.3</w:t>
        </w:r>
        <w:r w:rsidR="00525F21">
          <w:rPr>
            <w:rFonts w:asciiTheme="minorHAnsi" w:eastAsiaTheme="minorEastAsia" w:hAnsiTheme="minorHAnsi" w:cstheme="minorBidi"/>
            <w:noProof/>
            <w:sz w:val="22"/>
            <w:lang w:eastAsia="lv-LV"/>
          </w:rPr>
          <w:tab/>
        </w:r>
        <w:r w:rsidR="00525F21" w:rsidRPr="000378BC">
          <w:rPr>
            <w:rStyle w:val="Hyperlink"/>
            <w:noProof/>
          </w:rPr>
          <w:t>Sociālo darbinieku izglītība</w:t>
        </w:r>
        <w:r w:rsidR="00525F21">
          <w:rPr>
            <w:noProof/>
            <w:webHidden/>
          </w:rPr>
          <w:tab/>
        </w:r>
        <w:r w:rsidR="00525F21">
          <w:rPr>
            <w:noProof/>
            <w:webHidden/>
          </w:rPr>
          <w:fldChar w:fldCharType="begin"/>
        </w:r>
        <w:r w:rsidR="00525F21">
          <w:rPr>
            <w:noProof/>
            <w:webHidden/>
          </w:rPr>
          <w:instrText xml:space="preserve"> PAGEREF _Toc55316097 \h </w:instrText>
        </w:r>
        <w:r w:rsidR="00525F21">
          <w:rPr>
            <w:noProof/>
            <w:webHidden/>
          </w:rPr>
        </w:r>
        <w:r w:rsidR="00525F21">
          <w:rPr>
            <w:noProof/>
            <w:webHidden/>
          </w:rPr>
          <w:fldChar w:fldCharType="separate"/>
        </w:r>
        <w:r w:rsidR="00D67CF6">
          <w:rPr>
            <w:noProof/>
            <w:webHidden/>
          </w:rPr>
          <w:t>101</w:t>
        </w:r>
        <w:r w:rsidR="00525F21">
          <w:rPr>
            <w:noProof/>
            <w:webHidden/>
          </w:rPr>
          <w:fldChar w:fldCharType="end"/>
        </w:r>
      </w:hyperlink>
    </w:p>
    <w:p w14:paraId="4A9246F7" w14:textId="4076B654" w:rsidR="00525F21" w:rsidRDefault="00301F26" w:rsidP="00F2340D">
      <w:pPr>
        <w:pStyle w:val="TOC2"/>
        <w:rPr>
          <w:rFonts w:asciiTheme="minorHAnsi" w:eastAsiaTheme="minorEastAsia" w:hAnsiTheme="minorHAnsi" w:cstheme="minorBidi"/>
          <w:noProof/>
          <w:sz w:val="22"/>
          <w:lang w:eastAsia="lv-LV"/>
        </w:rPr>
      </w:pPr>
      <w:hyperlink w:anchor="_Toc55316098" w:history="1">
        <w:r w:rsidR="00525F21" w:rsidRPr="000378BC">
          <w:rPr>
            <w:rStyle w:val="Hyperlink"/>
            <w:noProof/>
          </w:rPr>
          <w:t>8.4</w:t>
        </w:r>
        <w:r w:rsidR="00525F21">
          <w:rPr>
            <w:rFonts w:asciiTheme="minorHAnsi" w:eastAsiaTheme="minorEastAsia" w:hAnsiTheme="minorHAnsi" w:cstheme="minorBidi"/>
            <w:noProof/>
            <w:sz w:val="22"/>
            <w:lang w:eastAsia="lv-LV"/>
          </w:rPr>
          <w:tab/>
        </w:r>
        <w:r w:rsidR="00525F21" w:rsidRPr="000378BC">
          <w:rPr>
            <w:rStyle w:val="Hyperlink"/>
            <w:noProof/>
          </w:rPr>
          <w:t>Sociālā darba prakse</w:t>
        </w:r>
        <w:r w:rsidR="00525F21">
          <w:rPr>
            <w:noProof/>
            <w:webHidden/>
          </w:rPr>
          <w:tab/>
        </w:r>
        <w:r w:rsidR="00525F21">
          <w:rPr>
            <w:noProof/>
            <w:webHidden/>
          </w:rPr>
          <w:fldChar w:fldCharType="begin"/>
        </w:r>
        <w:r w:rsidR="00525F21">
          <w:rPr>
            <w:noProof/>
            <w:webHidden/>
          </w:rPr>
          <w:instrText xml:space="preserve"> PAGEREF _Toc55316098 \h </w:instrText>
        </w:r>
        <w:r w:rsidR="00525F21">
          <w:rPr>
            <w:noProof/>
            <w:webHidden/>
          </w:rPr>
        </w:r>
        <w:r w:rsidR="00525F21">
          <w:rPr>
            <w:noProof/>
            <w:webHidden/>
          </w:rPr>
          <w:fldChar w:fldCharType="separate"/>
        </w:r>
        <w:r w:rsidR="00D67CF6">
          <w:rPr>
            <w:noProof/>
            <w:webHidden/>
          </w:rPr>
          <w:t>103</w:t>
        </w:r>
        <w:r w:rsidR="00525F21">
          <w:rPr>
            <w:noProof/>
            <w:webHidden/>
          </w:rPr>
          <w:fldChar w:fldCharType="end"/>
        </w:r>
      </w:hyperlink>
    </w:p>
    <w:p w14:paraId="68B941E7" w14:textId="0265BB8A" w:rsidR="00525F21" w:rsidRDefault="00301F26" w:rsidP="00F2340D">
      <w:pPr>
        <w:pStyle w:val="TOC3"/>
        <w:rPr>
          <w:rFonts w:asciiTheme="minorHAnsi" w:hAnsiTheme="minorHAnsi" w:cstheme="minorBidi"/>
          <w:noProof/>
          <w:sz w:val="22"/>
          <w:lang w:val="lv-LV" w:eastAsia="lv-LV"/>
        </w:rPr>
      </w:pPr>
      <w:hyperlink w:anchor="_Toc55316099" w:history="1">
        <w:r w:rsidR="00525F21" w:rsidRPr="000378BC">
          <w:rPr>
            <w:rStyle w:val="Hyperlink"/>
            <w:rFonts w:eastAsia="Times New Roman"/>
            <w:bCs/>
            <w:noProof/>
            <w:lang w:eastAsia="lv-LV"/>
          </w:rPr>
          <w:t>8.4.1</w:t>
        </w:r>
        <w:r w:rsidR="00525F21">
          <w:rPr>
            <w:rFonts w:asciiTheme="minorHAnsi" w:hAnsiTheme="minorHAnsi" w:cstheme="minorBidi"/>
            <w:noProof/>
            <w:sz w:val="22"/>
            <w:lang w:val="lv-LV" w:eastAsia="lv-LV"/>
          </w:rPr>
          <w:tab/>
        </w:r>
        <w:r w:rsidR="00525F21" w:rsidRPr="000378BC">
          <w:rPr>
            <w:rStyle w:val="Hyperlink"/>
            <w:rFonts w:eastAsia="Times New Roman"/>
            <w:noProof/>
            <w:lang w:eastAsia="lv-LV"/>
          </w:rPr>
          <w:t>Profesionālās kompetences pilnveide</w:t>
        </w:r>
        <w:r w:rsidR="00525F21">
          <w:rPr>
            <w:noProof/>
            <w:webHidden/>
          </w:rPr>
          <w:tab/>
        </w:r>
        <w:r w:rsidR="00525F21">
          <w:rPr>
            <w:noProof/>
            <w:webHidden/>
          </w:rPr>
          <w:fldChar w:fldCharType="begin"/>
        </w:r>
        <w:r w:rsidR="00525F21">
          <w:rPr>
            <w:noProof/>
            <w:webHidden/>
          </w:rPr>
          <w:instrText xml:space="preserve"> PAGEREF _Toc55316099 \h </w:instrText>
        </w:r>
        <w:r w:rsidR="00525F21">
          <w:rPr>
            <w:noProof/>
            <w:webHidden/>
          </w:rPr>
        </w:r>
        <w:r w:rsidR="00525F21">
          <w:rPr>
            <w:noProof/>
            <w:webHidden/>
          </w:rPr>
          <w:fldChar w:fldCharType="separate"/>
        </w:r>
        <w:r w:rsidR="00D67CF6">
          <w:rPr>
            <w:noProof/>
            <w:webHidden/>
          </w:rPr>
          <w:t>103</w:t>
        </w:r>
        <w:r w:rsidR="00525F21">
          <w:rPr>
            <w:noProof/>
            <w:webHidden/>
          </w:rPr>
          <w:fldChar w:fldCharType="end"/>
        </w:r>
      </w:hyperlink>
    </w:p>
    <w:p w14:paraId="26222265" w14:textId="24CFB06B" w:rsidR="00525F21" w:rsidRDefault="00301F26" w:rsidP="00F2340D">
      <w:pPr>
        <w:pStyle w:val="TOC3"/>
        <w:rPr>
          <w:rFonts w:asciiTheme="minorHAnsi" w:hAnsiTheme="minorHAnsi" w:cstheme="minorBidi"/>
          <w:noProof/>
          <w:sz w:val="22"/>
          <w:lang w:val="lv-LV" w:eastAsia="lv-LV"/>
        </w:rPr>
      </w:pPr>
      <w:hyperlink w:anchor="_Toc55316100" w:history="1">
        <w:r w:rsidR="00525F21" w:rsidRPr="000378BC">
          <w:rPr>
            <w:rStyle w:val="Hyperlink"/>
            <w:rFonts w:eastAsia="Times New Roman"/>
            <w:bCs/>
            <w:noProof/>
            <w:lang w:eastAsia="lv-LV"/>
          </w:rPr>
          <w:t>8.4.2</w:t>
        </w:r>
        <w:r w:rsidR="00525F21">
          <w:rPr>
            <w:rFonts w:asciiTheme="minorHAnsi" w:hAnsiTheme="minorHAnsi" w:cstheme="minorBidi"/>
            <w:noProof/>
            <w:sz w:val="22"/>
            <w:lang w:val="lv-LV" w:eastAsia="lv-LV"/>
          </w:rPr>
          <w:tab/>
        </w:r>
        <w:r w:rsidR="00525F21" w:rsidRPr="000378BC">
          <w:rPr>
            <w:rStyle w:val="Hyperlink"/>
            <w:rFonts w:eastAsia="Times New Roman"/>
            <w:noProof/>
            <w:lang w:eastAsia="lv-LV"/>
          </w:rPr>
          <w:t>Metodikas darbam ar noteiktām mērķa grupām padziļinātās mācības</w:t>
        </w:r>
        <w:r w:rsidR="00525F21">
          <w:rPr>
            <w:noProof/>
            <w:webHidden/>
          </w:rPr>
          <w:tab/>
        </w:r>
        <w:r w:rsidR="00525F21">
          <w:rPr>
            <w:noProof/>
            <w:webHidden/>
          </w:rPr>
          <w:fldChar w:fldCharType="begin"/>
        </w:r>
        <w:r w:rsidR="00525F21">
          <w:rPr>
            <w:noProof/>
            <w:webHidden/>
          </w:rPr>
          <w:instrText xml:space="preserve"> PAGEREF _Toc55316100 \h </w:instrText>
        </w:r>
        <w:r w:rsidR="00525F21">
          <w:rPr>
            <w:noProof/>
            <w:webHidden/>
          </w:rPr>
        </w:r>
        <w:r w:rsidR="00525F21">
          <w:rPr>
            <w:noProof/>
            <w:webHidden/>
          </w:rPr>
          <w:fldChar w:fldCharType="separate"/>
        </w:r>
        <w:r w:rsidR="00D67CF6">
          <w:rPr>
            <w:noProof/>
            <w:webHidden/>
          </w:rPr>
          <w:t>103</w:t>
        </w:r>
        <w:r w:rsidR="00525F21">
          <w:rPr>
            <w:noProof/>
            <w:webHidden/>
          </w:rPr>
          <w:fldChar w:fldCharType="end"/>
        </w:r>
      </w:hyperlink>
    </w:p>
    <w:p w14:paraId="068E509D" w14:textId="501EFA14" w:rsidR="00525F21" w:rsidRDefault="00301F26" w:rsidP="00F2340D">
      <w:pPr>
        <w:pStyle w:val="TOC3"/>
        <w:rPr>
          <w:rFonts w:asciiTheme="minorHAnsi" w:hAnsiTheme="minorHAnsi" w:cstheme="minorBidi"/>
          <w:noProof/>
          <w:sz w:val="22"/>
          <w:lang w:val="lv-LV" w:eastAsia="lv-LV"/>
        </w:rPr>
      </w:pPr>
      <w:hyperlink w:anchor="_Toc55316101" w:history="1">
        <w:r w:rsidR="00525F21" w:rsidRPr="000378BC">
          <w:rPr>
            <w:rStyle w:val="Hyperlink"/>
            <w:rFonts w:eastAsia="Times New Roman"/>
            <w:bCs/>
            <w:noProof/>
            <w:lang w:eastAsia="lv-LV"/>
          </w:rPr>
          <w:t>8.4.3</w:t>
        </w:r>
        <w:r w:rsidR="00525F21">
          <w:rPr>
            <w:rFonts w:asciiTheme="minorHAnsi" w:hAnsiTheme="minorHAnsi" w:cstheme="minorBidi"/>
            <w:noProof/>
            <w:sz w:val="22"/>
            <w:lang w:val="lv-LV" w:eastAsia="lv-LV"/>
          </w:rPr>
          <w:tab/>
        </w:r>
        <w:r w:rsidR="00525F21" w:rsidRPr="000378BC">
          <w:rPr>
            <w:rStyle w:val="Hyperlink"/>
            <w:rFonts w:eastAsia="Times New Roman"/>
            <w:noProof/>
            <w:lang w:eastAsia="lv-LV"/>
          </w:rPr>
          <w:t>Supervīzijas sociālā darba speciālistiem</w:t>
        </w:r>
        <w:r w:rsidR="00525F21">
          <w:rPr>
            <w:noProof/>
            <w:webHidden/>
          </w:rPr>
          <w:tab/>
        </w:r>
        <w:r w:rsidR="00525F21">
          <w:rPr>
            <w:noProof/>
            <w:webHidden/>
          </w:rPr>
          <w:fldChar w:fldCharType="begin"/>
        </w:r>
        <w:r w:rsidR="00525F21">
          <w:rPr>
            <w:noProof/>
            <w:webHidden/>
          </w:rPr>
          <w:instrText xml:space="preserve"> PAGEREF _Toc55316101 \h </w:instrText>
        </w:r>
        <w:r w:rsidR="00525F21">
          <w:rPr>
            <w:noProof/>
            <w:webHidden/>
          </w:rPr>
        </w:r>
        <w:r w:rsidR="00525F21">
          <w:rPr>
            <w:noProof/>
            <w:webHidden/>
          </w:rPr>
          <w:fldChar w:fldCharType="separate"/>
        </w:r>
        <w:r w:rsidR="00D67CF6">
          <w:rPr>
            <w:noProof/>
            <w:webHidden/>
          </w:rPr>
          <w:t>104</w:t>
        </w:r>
        <w:r w:rsidR="00525F21">
          <w:rPr>
            <w:noProof/>
            <w:webHidden/>
          </w:rPr>
          <w:fldChar w:fldCharType="end"/>
        </w:r>
      </w:hyperlink>
    </w:p>
    <w:p w14:paraId="1CB75B4C" w14:textId="11165E96" w:rsidR="00525F21" w:rsidRDefault="00301F26" w:rsidP="00F2340D">
      <w:pPr>
        <w:pStyle w:val="TOC3"/>
        <w:rPr>
          <w:rFonts w:asciiTheme="minorHAnsi" w:hAnsiTheme="minorHAnsi" w:cstheme="minorBidi"/>
          <w:noProof/>
          <w:sz w:val="22"/>
          <w:lang w:val="lv-LV" w:eastAsia="lv-LV"/>
        </w:rPr>
      </w:pPr>
      <w:hyperlink w:anchor="_Toc55316102" w:history="1">
        <w:r w:rsidR="00525F21" w:rsidRPr="000378BC">
          <w:rPr>
            <w:rStyle w:val="Hyperlink"/>
            <w:rFonts w:eastAsia="Times New Roman"/>
            <w:bCs/>
            <w:noProof/>
            <w:lang w:eastAsia="lv-LV"/>
          </w:rPr>
          <w:t>8.4.4</w:t>
        </w:r>
        <w:r w:rsidR="00525F21">
          <w:rPr>
            <w:rFonts w:asciiTheme="minorHAnsi" w:hAnsiTheme="minorHAnsi" w:cstheme="minorBidi"/>
            <w:noProof/>
            <w:sz w:val="22"/>
            <w:lang w:val="lv-LV" w:eastAsia="lv-LV"/>
          </w:rPr>
          <w:tab/>
        </w:r>
        <w:r w:rsidR="00525F21" w:rsidRPr="000378BC">
          <w:rPr>
            <w:rStyle w:val="Hyperlink"/>
            <w:rFonts w:eastAsia="Times New Roman"/>
            <w:noProof/>
            <w:lang w:eastAsia="lv-LV"/>
          </w:rPr>
          <w:t>Metodikas darbam ar ģimenēm ar bērniem ilgtspēja</w:t>
        </w:r>
        <w:r w:rsidR="00525F21">
          <w:rPr>
            <w:noProof/>
            <w:webHidden/>
          </w:rPr>
          <w:tab/>
        </w:r>
        <w:r w:rsidR="00525F21">
          <w:rPr>
            <w:noProof/>
            <w:webHidden/>
          </w:rPr>
          <w:fldChar w:fldCharType="begin"/>
        </w:r>
        <w:r w:rsidR="00525F21">
          <w:rPr>
            <w:noProof/>
            <w:webHidden/>
          </w:rPr>
          <w:instrText xml:space="preserve"> PAGEREF _Toc55316102 \h </w:instrText>
        </w:r>
        <w:r w:rsidR="00525F21">
          <w:rPr>
            <w:noProof/>
            <w:webHidden/>
          </w:rPr>
        </w:r>
        <w:r w:rsidR="00525F21">
          <w:rPr>
            <w:noProof/>
            <w:webHidden/>
          </w:rPr>
          <w:fldChar w:fldCharType="separate"/>
        </w:r>
        <w:r w:rsidR="00D67CF6">
          <w:rPr>
            <w:noProof/>
            <w:webHidden/>
          </w:rPr>
          <w:t>106</w:t>
        </w:r>
        <w:r w:rsidR="00525F21">
          <w:rPr>
            <w:noProof/>
            <w:webHidden/>
          </w:rPr>
          <w:fldChar w:fldCharType="end"/>
        </w:r>
      </w:hyperlink>
    </w:p>
    <w:p w14:paraId="4136384B" w14:textId="25A6BA21" w:rsidR="00525F21" w:rsidRDefault="00301F26" w:rsidP="00F2340D">
      <w:pPr>
        <w:pStyle w:val="TOC3"/>
        <w:rPr>
          <w:rFonts w:asciiTheme="minorHAnsi" w:hAnsiTheme="minorHAnsi" w:cstheme="minorBidi"/>
          <w:noProof/>
          <w:sz w:val="22"/>
          <w:lang w:val="lv-LV" w:eastAsia="lv-LV"/>
        </w:rPr>
      </w:pPr>
      <w:hyperlink w:anchor="_Toc55316103" w:history="1">
        <w:r w:rsidR="00525F21" w:rsidRPr="000378BC">
          <w:rPr>
            <w:rStyle w:val="Hyperlink"/>
            <w:rFonts w:eastAsia="Times New Roman"/>
            <w:bCs/>
            <w:noProof/>
            <w:lang w:eastAsia="lv-LV"/>
          </w:rPr>
          <w:t>8.4.5</w:t>
        </w:r>
        <w:r w:rsidR="00525F21">
          <w:rPr>
            <w:rFonts w:asciiTheme="minorHAnsi" w:hAnsiTheme="minorHAnsi" w:cstheme="minorBidi"/>
            <w:noProof/>
            <w:sz w:val="22"/>
            <w:lang w:val="lv-LV" w:eastAsia="lv-LV"/>
          </w:rPr>
          <w:tab/>
        </w:r>
        <w:r w:rsidR="00525F21" w:rsidRPr="000378BC">
          <w:rPr>
            <w:rStyle w:val="Hyperlink"/>
            <w:rFonts w:eastAsia="Times New Roman"/>
            <w:noProof/>
            <w:lang w:eastAsia="lv-LV"/>
          </w:rPr>
          <w:t>Specializācija sociālajam darbam izglītības iestādē</w:t>
        </w:r>
        <w:r w:rsidR="00525F21">
          <w:rPr>
            <w:noProof/>
            <w:webHidden/>
          </w:rPr>
          <w:tab/>
        </w:r>
        <w:r w:rsidR="00525F21">
          <w:rPr>
            <w:noProof/>
            <w:webHidden/>
          </w:rPr>
          <w:fldChar w:fldCharType="begin"/>
        </w:r>
        <w:r w:rsidR="00525F21">
          <w:rPr>
            <w:noProof/>
            <w:webHidden/>
          </w:rPr>
          <w:instrText xml:space="preserve"> PAGEREF _Toc55316103 \h </w:instrText>
        </w:r>
        <w:r w:rsidR="00525F21">
          <w:rPr>
            <w:noProof/>
            <w:webHidden/>
          </w:rPr>
        </w:r>
        <w:r w:rsidR="00525F21">
          <w:rPr>
            <w:noProof/>
            <w:webHidden/>
          </w:rPr>
          <w:fldChar w:fldCharType="separate"/>
        </w:r>
        <w:r w:rsidR="00D67CF6">
          <w:rPr>
            <w:noProof/>
            <w:webHidden/>
          </w:rPr>
          <w:t>106</w:t>
        </w:r>
        <w:r w:rsidR="00525F21">
          <w:rPr>
            <w:noProof/>
            <w:webHidden/>
          </w:rPr>
          <w:fldChar w:fldCharType="end"/>
        </w:r>
      </w:hyperlink>
    </w:p>
    <w:p w14:paraId="581A6C3D" w14:textId="74589CEE" w:rsidR="00525F21" w:rsidRDefault="00301F26" w:rsidP="00F2340D">
      <w:pPr>
        <w:pStyle w:val="TOC3"/>
        <w:rPr>
          <w:rFonts w:asciiTheme="minorHAnsi" w:hAnsiTheme="minorHAnsi" w:cstheme="minorBidi"/>
          <w:noProof/>
          <w:sz w:val="22"/>
          <w:lang w:val="lv-LV" w:eastAsia="lv-LV"/>
        </w:rPr>
      </w:pPr>
      <w:hyperlink w:anchor="_Toc55316104" w:history="1">
        <w:r w:rsidR="00525F21" w:rsidRPr="000378BC">
          <w:rPr>
            <w:rStyle w:val="Hyperlink"/>
            <w:rFonts w:eastAsia="Times New Roman"/>
            <w:bCs/>
            <w:noProof/>
            <w:lang w:eastAsia="lv-LV"/>
          </w:rPr>
          <w:t>8.4.6</w:t>
        </w:r>
        <w:r w:rsidR="00525F21">
          <w:rPr>
            <w:rFonts w:asciiTheme="minorHAnsi" w:hAnsiTheme="minorHAnsi" w:cstheme="minorBidi"/>
            <w:noProof/>
            <w:sz w:val="22"/>
            <w:lang w:val="lv-LV" w:eastAsia="lv-LV"/>
          </w:rPr>
          <w:tab/>
        </w:r>
        <w:r w:rsidR="00525F21" w:rsidRPr="000378BC">
          <w:rPr>
            <w:rStyle w:val="Hyperlink"/>
            <w:rFonts w:eastAsia="Times New Roman"/>
            <w:noProof/>
            <w:lang w:eastAsia="lv-LV"/>
          </w:rPr>
          <w:t>Sociālā darba vadības un pētniecības aspekts izglītībā</w:t>
        </w:r>
        <w:r w:rsidR="00525F21">
          <w:rPr>
            <w:noProof/>
            <w:webHidden/>
          </w:rPr>
          <w:tab/>
        </w:r>
        <w:r w:rsidR="00525F21">
          <w:rPr>
            <w:noProof/>
            <w:webHidden/>
          </w:rPr>
          <w:fldChar w:fldCharType="begin"/>
        </w:r>
        <w:r w:rsidR="00525F21">
          <w:rPr>
            <w:noProof/>
            <w:webHidden/>
          </w:rPr>
          <w:instrText xml:space="preserve"> PAGEREF _Toc55316104 \h </w:instrText>
        </w:r>
        <w:r w:rsidR="00525F21">
          <w:rPr>
            <w:noProof/>
            <w:webHidden/>
          </w:rPr>
        </w:r>
        <w:r w:rsidR="00525F21">
          <w:rPr>
            <w:noProof/>
            <w:webHidden/>
          </w:rPr>
          <w:fldChar w:fldCharType="separate"/>
        </w:r>
        <w:r w:rsidR="00D67CF6">
          <w:rPr>
            <w:noProof/>
            <w:webHidden/>
          </w:rPr>
          <w:t>107</w:t>
        </w:r>
        <w:r w:rsidR="00525F21">
          <w:rPr>
            <w:noProof/>
            <w:webHidden/>
          </w:rPr>
          <w:fldChar w:fldCharType="end"/>
        </w:r>
      </w:hyperlink>
    </w:p>
    <w:p w14:paraId="08B73595" w14:textId="3603B44D" w:rsidR="00525F21" w:rsidRDefault="00301F26" w:rsidP="00F2340D">
      <w:pPr>
        <w:pStyle w:val="TOC2"/>
        <w:rPr>
          <w:rFonts w:asciiTheme="minorHAnsi" w:eastAsiaTheme="minorEastAsia" w:hAnsiTheme="minorHAnsi" w:cstheme="minorBidi"/>
          <w:noProof/>
          <w:sz w:val="22"/>
          <w:lang w:eastAsia="lv-LV"/>
        </w:rPr>
      </w:pPr>
      <w:hyperlink w:anchor="_Toc55316105" w:history="1">
        <w:r w:rsidR="00525F21" w:rsidRPr="000378BC">
          <w:rPr>
            <w:rStyle w:val="Hyperlink"/>
            <w:noProof/>
          </w:rPr>
          <w:t>8.5</w:t>
        </w:r>
        <w:r w:rsidR="00525F21">
          <w:rPr>
            <w:rFonts w:asciiTheme="minorHAnsi" w:eastAsiaTheme="minorEastAsia" w:hAnsiTheme="minorHAnsi" w:cstheme="minorBidi"/>
            <w:noProof/>
            <w:sz w:val="22"/>
            <w:lang w:eastAsia="lv-LV"/>
          </w:rPr>
          <w:tab/>
        </w:r>
        <w:r w:rsidR="00525F21" w:rsidRPr="000378BC">
          <w:rPr>
            <w:rStyle w:val="Hyperlink"/>
            <w:noProof/>
          </w:rPr>
          <w:t>Sociālā darba tiesiskais ietvars</w:t>
        </w:r>
        <w:r w:rsidR="00525F21">
          <w:rPr>
            <w:noProof/>
            <w:webHidden/>
          </w:rPr>
          <w:tab/>
        </w:r>
        <w:r w:rsidR="00525F21">
          <w:rPr>
            <w:noProof/>
            <w:webHidden/>
          </w:rPr>
          <w:fldChar w:fldCharType="begin"/>
        </w:r>
        <w:r w:rsidR="00525F21">
          <w:rPr>
            <w:noProof/>
            <w:webHidden/>
          </w:rPr>
          <w:instrText xml:space="preserve"> PAGEREF _Toc55316105 \h </w:instrText>
        </w:r>
        <w:r w:rsidR="00525F21">
          <w:rPr>
            <w:noProof/>
            <w:webHidden/>
          </w:rPr>
        </w:r>
        <w:r w:rsidR="00525F21">
          <w:rPr>
            <w:noProof/>
            <w:webHidden/>
          </w:rPr>
          <w:fldChar w:fldCharType="separate"/>
        </w:r>
        <w:r w:rsidR="00D67CF6">
          <w:rPr>
            <w:noProof/>
            <w:webHidden/>
          </w:rPr>
          <w:t>107</w:t>
        </w:r>
        <w:r w:rsidR="00525F21">
          <w:rPr>
            <w:noProof/>
            <w:webHidden/>
          </w:rPr>
          <w:fldChar w:fldCharType="end"/>
        </w:r>
      </w:hyperlink>
    </w:p>
    <w:p w14:paraId="778F4B4D" w14:textId="27F2FA8F" w:rsidR="00525F21" w:rsidRDefault="00301F26" w:rsidP="00F2340D">
      <w:pPr>
        <w:pStyle w:val="TOC2"/>
        <w:rPr>
          <w:rFonts w:asciiTheme="minorHAnsi" w:eastAsiaTheme="minorEastAsia" w:hAnsiTheme="minorHAnsi" w:cstheme="minorBidi"/>
          <w:noProof/>
          <w:sz w:val="22"/>
          <w:lang w:eastAsia="lv-LV"/>
        </w:rPr>
      </w:pPr>
      <w:hyperlink w:anchor="_Toc55316106" w:history="1">
        <w:r w:rsidR="00525F21" w:rsidRPr="000378BC">
          <w:rPr>
            <w:rStyle w:val="Hyperlink"/>
            <w:noProof/>
          </w:rPr>
          <w:t>8.6</w:t>
        </w:r>
        <w:r w:rsidR="00525F21">
          <w:rPr>
            <w:rFonts w:asciiTheme="minorHAnsi" w:eastAsiaTheme="minorEastAsia" w:hAnsiTheme="minorHAnsi" w:cstheme="minorBidi"/>
            <w:noProof/>
            <w:sz w:val="22"/>
            <w:lang w:eastAsia="lv-LV"/>
          </w:rPr>
          <w:tab/>
        </w:r>
        <w:r w:rsidR="00525F21" w:rsidRPr="000378BC">
          <w:rPr>
            <w:rStyle w:val="Hyperlink"/>
            <w:noProof/>
          </w:rPr>
          <w:t>Dalība profesionālajās organizācijās</w:t>
        </w:r>
        <w:r w:rsidR="00525F21">
          <w:rPr>
            <w:noProof/>
            <w:webHidden/>
          </w:rPr>
          <w:tab/>
        </w:r>
        <w:r w:rsidR="00525F21">
          <w:rPr>
            <w:noProof/>
            <w:webHidden/>
          </w:rPr>
          <w:fldChar w:fldCharType="begin"/>
        </w:r>
        <w:r w:rsidR="00525F21">
          <w:rPr>
            <w:noProof/>
            <w:webHidden/>
          </w:rPr>
          <w:instrText xml:space="preserve"> PAGEREF _Toc55316106 \h </w:instrText>
        </w:r>
        <w:r w:rsidR="00525F21">
          <w:rPr>
            <w:noProof/>
            <w:webHidden/>
          </w:rPr>
        </w:r>
        <w:r w:rsidR="00525F21">
          <w:rPr>
            <w:noProof/>
            <w:webHidden/>
          </w:rPr>
          <w:fldChar w:fldCharType="separate"/>
        </w:r>
        <w:r w:rsidR="00D67CF6">
          <w:rPr>
            <w:noProof/>
            <w:webHidden/>
          </w:rPr>
          <w:t>108</w:t>
        </w:r>
        <w:r w:rsidR="00525F21">
          <w:rPr>
            <w:noProof/>
            <w:webHidden/>
          </w:rPr>
          <w:fldChar w:fldCharType="end"/>
        </w:r>
      </w:hyperlink>
    </w:p>
    <w:p w14:paraId="4F48AF53" w14:textId="6867BE72" w:rsidR="00525F21" w:rsidRDefault="00301F26" w:rsidP="00F2340D">
      <w:pPr>
        <w:pStyle w:val="TOC2"/>
        <w:rPr>
          <w:rFonts w:asciiTheme="minorHAnsi" w:eastAsiaTheme="minorEastAsia" w:hAnsiTheme="minorHAnsi" w:cstheme="minorBidi"/>
          <w:noProof/>
          <w:sz w:val="22"/>
          <w:lang w:eastAsia="lv-LV"/>
        </w:rPr>
      </w:pPr>
      <w:hyperlink w:anchor="_Toc55316107" w:history="1">
        <w:r w:rsidR="00525F21" w:rsidRPr="000378BC">
          <w:rPr>
            <w:rStyle w:val="Hyperlink"/>
            <w:noProof/>
          </w:rPr>
          <w:t>8.7</w:t>
        </w:r>
        <w:r w:rsidR="00525F21">
          <w:rPr>
            <w:rFonts w:asciiTheme="minorHAnsi" w:eastAsiaTheme="minorEastAsia" w:hAnsiTheme="minorHAnsi" w:cstheme="minorBidi"/>
            <w:noProof/>
            <w:sz w:val="22"/>
            <w:lang w:eastAsia="lv-LV"/>
          </w:rPr>
          <w:tab/>
        </w:r>
        <w:r w:rsidR="00525F21" w:rsidRPr="000378BC">
          <w:rPr>
            <w:rStyle w:val="Hyperlink"/>
            <w:noProof/>
          </w:rPr>
          <w:t>Sociālo dienestu vadība un kapacitāte</w:t>
        </w:r>
        <w:r w:rsidR="00525F21">
          <w:rPr>
            <w:noProof/>
            <w:webHidden/>
          </w:rPr>
          <w:tab/>
        </w:r>
        <w:r w:rsidR="00525F21">
          <w:rPr>
            <w:noProof/>
            <w:webHidden/>
          </w:rPr>
          <w:fldChar w:fldCharType="begin"/>
        </w:r>
        <w:r w:rsidR="00525F21">
          <w:rPr>
            <w:noProof/>
            <w:webHidden/>
          </w:rPr>
          <w:instrText xml:space="preserve"> PAGEREF _Toc55316107 \h </w:instrText>
        </w:r>
        <w:r w:rsidR="00525F21">
          <w:rPr>
            <w:noProof/>
            <w:webHidden/>
          </w:rPr>
        </w:r>
        <w:r w:rsidR="00525F21">
          <w:rPr>
            <w:noProof/>
            <w:webHidden/>
          </w:rPr>
          <w:fldChar w:fldCharType="separate"/>
        </w:r>
        <w:r w:rsidR="00D67CF6">
          <w:rPr>
            <w:noProof/>
            <w:webHidden/>
          </w:rPr>
          <w:t>109</w:t>
        </w:r>
        <w:r w:rsidR="00525F21">
          <w:rPr>
            <w:noProof/>
            <w:webHidden/>
          </w:rPr>
          <w:fldChar w:fldCharType="end"/>
        </w:r>
      </w:hyperlink>
    </w:p>
    <w:p w14:paraId="327AE1CA" w14:textId="1B288189" w:rsidR="00525F21" w:rsidRDefault="00301F26" w:rsidP="00F2340D">
      <w:pPr>
        <w:pStyle w:val="TOC2"/>
        <w:rPr>
          <w:rFonts w:asciiTheme="minorHAnsi" w:eastAsiaTheme="minorEastAsia" w:hAnsiTheme="minorHAnsi" w:cstheme="minorBidi"/>
          <w:noProof/>
          <w:sz w:val="22"/>
          <w:lang w:eastAsia="lv-LV"/>
        </w:rPr>
      </w:pPr>
      <w:hyperlink w:anchor="_Toc55316108" w:history="1">
        <w:r w:rsidR="00525F21" w:rsidRPr="000378BC">
          <w:rPr>
            <w:rStyle w:val="Hyperlink"/>
            <w:noProof/>
          </w:rPr>
          <w:t>8.8</w:t>
        </w:r>
        <w:r w:rsidR="00525F21">
          <w:rPr>
            <w:rFonts w:asciiTheme="minorHAnsi" w:eastAsiaTheme="minorEastAsia" w:hAnsiTheme="minorHAnsi" w:cstheme="minorBidi"/>
            <w:noProof/>
            <w:sz w:val="22"/>
            <w:lang w:eastAsia="lv-LV"/>
          </w:rPr>
          <w:tab/>
        </w:r>
        <w:r w:rsidR="00525F21" w:rsidRPr="000378BC">
          <w:rPr>
            <w:rStyle w:val="Hyperlink"/>
            <w:noProof/>
          </w:rPr>
          <w:t>Profesijas prestižs</w:t>
        </w:r>
        <w:r w:rsidR="00525F21">
          <w:rPr>
            <w:noProof/>
            <w:webHidden/>
          </w:rPr>
          <w:tab/>
        </w:r>
        <w:r w:rsidR="00525F21">
          <w:rPr>
            <w:noProof/>
            <w:webHidden/>
          </w:rPr>
          <w:fldChar w:fldCharType="begin"/>
        </w:r>
        <w:r w:rsidR="00525F21">
          <w:rPr>
            <w:noProof/>
            <w:webHidden/>
          </w:rPr>
          <w:instrText xml:space="preserve"> PAGEREF _Toc55316108 \h </w:instrText>
        </w:r>
        <w:r w:rsidR="00525F21">
          <w:rPr>
            <w:noProof/>
            <w:webHidden/>
          </w:rPr>
        </w:r>
        <w:r w:rsidR="00525F21">
          <w:rPr>
            <w:noProof/>
            <w:webHidden/>
          </w:rPr>
          <w:fldChar w:fldCharType="separate"/>
        </w:r>
        <w:r w:rsidR="00D67CF6">
          <w:rPr>
            <w:noProof/>
            <w:webHidden/>
          </w:rPr>
          <w:t>110</w:t>
        </w:r>
        <w:r w:rsidR="00525F21">
          <w:rPr>
            <w:noProof/>
            <w:webHidden/>
          </w:rPr>
          <w:fldChar w:fldCharType="end"/>
        </w:r>
      </w:hyperlink>
    </w:p>
    <w:p w14:paraId="2F34C5AB" w14:textId="785379EF" w:rsidR="00525F21" w:rsidRDefault="00301F26" w:rsidP="00F2340D">
      <w:pPr>
        <w:pStyle w:val="TOC2"/>
        <w:rPr>
          <w:rFonts w:asciiTheme="minorHAnsi" w:eastAsiaTheme="minorEastAsia" w:hAnsiTheme="minorHAnsi" w:cstheme="minorBidi"/>
          <w:noProof/>
          <w:sz w:val="22"/>
          <w:lang w:eastAsia="lv-LV"/>
        </w:rPr>
      </w:pPr>
      <w:hyperlink w:anchor="_Toc55316109" w:history="1">
        <w:r w:rsidR="00525F21" w:rsidRPr="000378BC">
          <w:rPr>
            <w:rStyle w:val="Hyperlink"/>
            <w:noProof/>
          </w:rPr>
          <w:t>8.9</w:t>
        </w:r>
        <w:r w:rsidR="00525F21">
          <w:rPr>
            <w:rFonts w:asciiTheme="minorHAnsi" w:eastAsiaTheme="minorEastAsia" w:hAnsiTheme="minorHAnsi" w:cstheme="minorBidi"/>
            <w:noProof/>
            <w:sz w:val="22"/>
            <w:lang w:eastAsia="lv-LV"/>
          </w:rPr>
          <w:tab/>
        </w:r>
        <w:r w:rsidR="00525F21" w:rsidRPr="000378BC">
          <w:rPr>
            <w:rStyle w:val="Hyperlink"/>
            <w:noProof/>
          </w:rPr>
          <w:t>Sociālo darbinieku atalgojuma sistēma</w:t>
        </w:r>
        <w:r w:rsidR="00525F21">
          <w:rPr>
            <w:noProof/>
            <w:webHidden/>
          </w:rPr>
          <w:tab/>
        </w:r>
        <w:r w:rsidR="00525F21">
          <w:rPr>
            <w:noProof/>
            <w:webHidden/>
          </w:rPr>
          <w:fldChar w:fldCharType="begin"/>
        </w:r>
        <w:r w:rsidR="00525F21">
          <w:rPr>
            <w:noProof/>
            <w:webHidden/>
          </w:rPr>
          <w:instrText xml:space="preserve"> PAGEREF _Toc55316109 \h </w:instrText>
        </w:r>
        <w:r w:rsidR="00525F21">
          <w:rPr>
            <w:noProof/>
            <w:webHidden/>
          </w:rPr>
        </w:r>
        <w:r w:rsidR="00525F21">
          <w:rPr>
            <w:noProof/>
            <w:webHidden/>
          </w:rPr>
          <w:fldChar w:fldCharType="separate"/>
        </w:r>
        <w:r w:rsidR="00D67CF6">
          <w:rPr>
            <w:noProof/>
            <w:webHidden/>
          </w:rPr>
          <w:t>112</w:t>
        </w:r>
        <w:r w:rsidR="00525F21">
          <w:rPr>
            <w:noProof/>
            <w:webHidden/>
          </w:rPr>
          <w:fldChar w:fldCharType="end"/>
        </w:r>
      </w:hyperlink>
    </w:p>
    <w:p w14:paraId="16900F4F" w14:textId="239DA07A"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110" w:history="1">
        <w:r w:rsidR="00525F21" w:rsidRPr="000378BC">
          <w:rPr>
            <w:rStyle w:val="Hyperlink"/>
          </w:rPr>
          <w:t>9</w:t>
        </w:r>
        <w:r w:rsidR="00525F21">
          <w:rPr>
            <w:rFonts w:asciiTheme="minorHAnsi" w:eastAsiaTheme="minorEastAsia" w:hAnsiTheme="minorHAnsi" w:cstheme="minorBidi"/>
            <w:sz w:val="22"/>
            <w:szCs w:val="22"/>
            <w:lang w:eastAsia="lv-LV"/>
          </w:rPr>
          <w:tab/>
        </w:r>
        <w:r w:rsidR="00525F21" w:rsidRPr="000378BC">
          <w:rPr>
            <w:rStyle w:val="Hyperlink"/>
          </w:rPr>
          <w:t>Mazāk aizsargāto personu pieeja tiesiskumam</w:t>
        </w:r>
        <w:r w:rsidR="00525F21">
          <w:rPr>
            <w:webHidden/>
          </w:rPr>
          <w:tab/>
        </w:r>
        <w:r w:rsidR="00525F21">
          <w:rPr>
            <w:webHidden/>
          </w:rPr>
          <w:fldChar w:fldCharType="begin"/>
        </w:r>
        <w:r w:rsidR="00525F21">
          <w:rPr>
            <w:webHidden/>
          </w:rPr>
          <w:instrText xml:space="preserve"> PAGEREF _Toc55316110 \h </w:instrText>
        </w:r>
        <w:r w:rsidR="00525F21">
          <w:rPr>
            <w:webHidden/>
          </w:rPr>
        </w:r>
        <w:r w:rsidR="00525F21">
          <w:rPr>
            <w:webHidden/>
          </w:rPr>
          <w:fldChar w:fldCharType="separate"/>
        </w:r>
        <w:r w:rsidR="00D67CF6">
          <w:rPr>
            <w:webHidden/>
          </w:rPr>
          <w:t>114</w:t>
        </w:r>
        <w:r w:rsidR="00525F21">
          <w:rPr>
            <w:webHidden/>
          </w:rPr>
          <w:fldChar w:fldCharType="end"/>
        </w:r>
      </w:hyperlink>
    </w:p>
    <w:p w14:paraId="2FA8098A" w14:textId="1117C1D6"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111" w:history="1">
        <w:r w:rsidR="00525F21" w:rsidRPr="000378BC">
          <w:rPr>
            <w:rStyle w:val="Hyperlink"/>
          </w:rPr>
          <w:t>10</w:t>
        </w:r>
        <w:r w:rsidR="00525F21">
          <w:rPr>
            <w:rFonts w:asciiTheme="minorHAnsi" w:eastAsiaTheme="minorEastAsia" w:hAnsiTheme="minorHAnsi" w:cstheme="minorBidi"/>
            <w:sz w:val="22"/>
            <w:szCs w:val="22"/>
            <w:lang w:eastAsia="lv-LV"/>
          </w:rPr>
          <w:tab/>
        </w:r>
        <w:r w:rsidR="00525F21" w:rsidRPr="000378BC">
          <w:rPr>
            <w:rStyle w:val="Hyperlink"/>
          </w:rPr>
          <w:t>Darba tirgus</w:t>
        </w:r>
        <w:r w:rsidR="00525F21">
          <w:rPr>
            <w:webHidden/>
          </w:rPr>
          <w:tab/>
        </w:r>
        <w:r w:rsidR="00525F21">
          <w:rPr>
            <w:webHidden/>
          </w:rPr>
          <w:fldChar w:fldCharType="begin"/>
        </w:r>
        <w:r w:rsidR="00525F21">
          <w:rPr>
            <w:webHidden/>
          </w:rPr>
          <w:instrText xml:space="preserve"> PAGEREF _Toc55316111 \h </w:instrText>
        </w:r>
        <w:r w:rsidR="00525F21">
          <w:rPr>
            <w:webHidden/>
          </w:rPr>
        </w:r>
        <w:r w:rsidR="00525F21">
          <w:rPr>
            <w:webHidden/>
          </w:rPr>
          <w:fldChar w:fldCharType="separate"/>
        </w:r>
        <w:r w:rsidR="00D67CF6">
          <w:rPr>
            <w:webHidden/>
          </w:rPr>
          <w:t>118</w:t>
        </w:r>
        <w:r w:rsidR="00525F21">
          <w:rPr>
            <w:webHidden/>
          </w:rPr>
          <w:fldChar w:fldCharType="end"/>
        </w:r>
      </w:hyperlink>
    </w:p>
    <w:p w14:paraId="5C82C3AE" w14:textId="1AEF7AB4" w:rsidR="00525F21" w:rsidRDefault="00301F26" w:rsidP="00F2340D">
      <w:pPr>
        <w:pStyle w:val="TOC2"/>
        <w:rPr>
          <w:rFonts w:asciiTheme="minorHAnsi" w:eastAsiaTheme="minorEastAsia" w:hAnsiTheme="minorHAnsi" w:cstheme="minorBidi"/>
          <w:noProof/>
          <w:sz w:val="22"/>
          <w:lang w:eastAsia="lv-LV"/>
        </w:rPr>
      </w:pPr>
      <w:hyperlink w:anchor="_Toc55316112" w:history="1">
        <w:r w:rsidR="00525F21" w:rsidRPr="000378BC">
          <w:rPr>
            <w:rStyle w:val="Hyperlink"/>
            <w:noProof/>
          </w:rPr>
          <w:t>10.1</w:t>
        </w:r>
        <w:r w:rsidR="00525F21">
          <w:rPr>
            <w:rFonts w:asciiTheme="minorHAnsi" w:eastAsiaTheme="minorEastAsia" w:hAnsiTheme="minorHAnsi" w:cstheme="minorBidi"/>
            <w:noProof/>
            <w:sz w:val="22"/>
            <w:lang w:eastAsia="lv-LV"/>
          </w:rPr>
          <w:tab/>
        </w:r>
        <w:r w:rsidR="00525F21" w:rsidRPr="000378BC">
          <w:rPr>
            <w:rStyle w:val="Hyperlink"/>
            <w:noProof/>
          </w:rPr>
          <w:t>Nodarbinātība un reģistrētais bezdarbs</w:t>
        </w:r>
        <w:r w:rsidR="00525F21">
          <w:rPr>
            <w:noProof/>
            <w:webHidden/>
          </w:rPr>
          <w:tab/>
        </w:r>
        <w:r w:rsidR="00525F21">
          <w:rPr>
            <w:noProof/>
            <w:webHidden/>
          </w:rPr>
          <w:fldChar w:fldCharType="begin"/>
        </w:r>
        <w:r w:rsidR="00525F21">
          <w:rPr>
            <w:noProof/>
            <w:webHidden/>
          </w:rPr>
          <w:instrText xml:space="preserve"> PAGEREF _Toc55316112 \h </w:instrText>
        </w:r>
        <w:r w:rsidR="00525F21">
          <w:rPr>
            <w:noProof/>
            <w:webHidden/>
          </w:rPr>
        </w:r>
        <w:r w:rsidR="00525F21">
          <w:rPr>
            <w:noProof/>
            <w:webHidden/>
          </w:rPr>
          <w:fldChar w:fldCharType="separate"/>
        </w:r>
        <w:r w:rsidR="00D67CF6">
          <w:rPr>
            <w:noProof/>
            <w:webHidden/>
          </w:rPr>
          <w:t>118</w:t>
        </w:r>
        <w:r w:rsidR="00525F21">
          <w:rPr>
            <w:noProof/>
            <w:webHidden/>
          </w:rPr>
          <w:fldChar w:fldCharType="end"/>
        </w:r>
      </w:hyperlink>
    </w:p>
    <w:p w14:paraId="1F99CE2B" w14:textId="190B1197" w:rsidR="00525F21" w:rsidRDefault="00301F26" w:rsidP="00F2340D">
      <w:pPr>
        <w:pStyle w:val="TOC3"/>
        <w:rPr>
          <w:rFonts w:asciiTheme="minorHAnsi" w:hAnsiTheme="minorHAnsi" w:cstheme="minorBidi"/>
          <w:noProof/>
          <w:sz w:val="22"/>
          <w:lang w:val="lv-LV" w:eastAsia="lv-LV"/>
        </w:rPr>
      </w:pPr>
      <w:hyperlink w:anchor="_Toc55316113" w:history="1">
        <w:r w:rsidR="00525F21" w:rsidRPr="000378BC">
          <w:rPr>
            <w:rStyle w:val="Hyperlink"/>
            <w:rFonts w:eastAsia="Calibri"/>
            <w:noProof/>
          </w:rPr>
          <w:t>10.1.1</w:t>
        </w:r>
        <w:r w:rsidR="00525F21">
          <w:rPr>
            <w:rFonts w:asciiTheme="minorHAnsi" w:hAnsiTheme="minorHAnsi" w:cstheme="minorBidi"/>
            <w:noProof/>
            <w:sz w:val="22"/>
            <w:lang w:val="lv-LV" w:eastAsia="lv-LV"/>
          </w:rPr>
          <w:tab/>
        </w:r>
        <w:r w:rsidR="00525F21" w:rsidRPr="000378BC">
          <w:rPr>
            <w:rStyle w:val="Hyperlink"/>
            <w:rFonts w:eastAsia="Calibri"/>
            <w:noProof/>
          </w:rPr>
          <w:t>Gados vecāku personu iekļaušana</w:t>
        </w:r>
        <w:r w:rsidR="00525F21">
          <w:rPr>
            <w:noProof/>
            <w:webHidden/>
          </w:rPr>
          <w:tab/>
        </w:r>
        <w:r w:rsidR="00525F21">
          <w:rPr>
            <w:noProof/>
            <w:webHidden/>
          </w:rPr>
          <w:fldChar w:fldCharType="begin"/>
        </w:r>
        <w:r w:rsidR="00525F21">
          <w:rPr>
            <w:noProof/>
            <w:webHidden/>
          </w:rPr>
          <w:instrText xml:space="preserve"> PAGEREF _Toc55316113 \h </w:instrText>
        </w:r>
        <w:r w:rsidR="00525F21">
          <w:rPr>
            <w:noProof/>
            <w:webHidden/>
          </w:rPr>
        </w:r>
        <w:r w:rsidR="00525F21">
          <w:rPr>
            <w:noProof/>
            <w:webHidden/>
          </w:rPr>
          <w:fldChar w:fldCharType="separate"/>
        </w:r>
        <w:r w:rsidR="00D67CF6">
          <w:rPr>
            <w:noProof/>
            <w:webHidden/>
          </w:rPr>
          <w:t>120</w:t>
        </w:r>
        <w:r w:rsidR="00525F21">
          <w:rPr>
            <w:noProof/>
            <w:webHidden/>
          </w:rPr>
          <w:fldChar w:fldCharType="end"/>
        </w:r>
      </w:hyperlink>
    </w:p>
    <w:p w14:paraId="6A8706EF" w14:textId="0AB0A77D" w:rsidR="00525F21" w:rsidRDefault="00301F26" w:rsidP="00F2340D">
      <w:pPr>
        <w:pStyle w:val="TOC3"/>
        <w:rPr>
          <w:rFonts w:asciiTheme="minorHAnsi" w:hAnsiTheme="minorHAnsi" w:cstheme="minorBidi"/>
          <w:noProof/>
          <w:sz w:val="22"/>
          <w:lang w:val="lv-LV" w:eastAsia="lv-LV"/>
        </w:rPr>
      </w:pPr>
      <w:hyperlink w:anchor="_Toc55316114" w:history="1">
        <w:r w:rsidR="00525F21" w:rsidRPr="000378BC">
          <w:rPr>
            <w:rStyle w:val="Hyperlink"/>
            <w:noProof/>
          </w:rPr>
          <w:t>10.1.2</w:t>
        </w:r>
        <w:r w:rsidR="00525F21">
          <w:rPr>
            <w:rFonts w:asciiTheme="minorHAnsi" w:hAnsiTheme="minorHAnsi" w:cstheme="minorBidi"/>
            <w:noProof/>
            <w:sz w:val="22"/>
            <w:lang w:val="lv-LV" w:eastAsia="lv-LV"/>
          </w:rPr>
          <w:tab/>
        </w:r>
        <w:r w:rsidR="00525F21" w:rsidRPr="000378BC">
          <w:rPr>
            <w:rStyle w:val="Hyperlink"/>
            <w:noProof/>
          </w:rPr>
          <w:t>Ilgstošais bezdarbs</w:t>
        </w:r>
        <w:r w:rsidR="00525F21">
          <w:rPr>
            <w:noProof/>
            <w:webHidden/>
          </w:rPr>
          <w:tab/>
        </w:r>
        <w:r w:rsidR="00525F21">
          <w:rPr>
            <w:noProof/>
            <w:webHidden/>
          </w:rPr>
          <w:fldChar w:fldCharType="begin"/>
        </w:r>
        <w:r w:rsidR="00525F21">
          <w:rPr>
            <w:noProof/>
            <w:webHidden/>
          </w:rPr>
          <w:instrText xml:space="preserve"> PAGEREF _Toc55316114 \h </w:instrText>
        </w:r>
        <w:r w:rsidR="00525F21">
          <w:rPr>
            <w:noProof/>
            <w:webHidden/>
          </w:rPr>
        </w:r>
        <w:r w:rsidR="00525F21">
          <w:rPr>
            <w:noProof/>
            <w:webHidden/>
          </w:rPr>
          <w:fldChar w:fldCharType="separate"/>
        </w:r>
        <w:r w:rsidR="00D67CF6">
          <w:rPr>
            <w:noProof/>
            <w:webHidden/>
          </w:rPr>
          <w:t>121</w:t>
        </w:r>
        <w:r w:rsidR="00525F21">
          <w:rPr>
            <w:noProof/>
            <w:webHidden/>
          </w:rPr>
          <w:fldChar w:fldCharType="end"/>
        </w:r>
      </w:hyperlink>
    </w:p>
    <w:p w14:paraId="5921EB52" w14:textId="6544075C" w:rsidR="00525F21" w:rsidRDefault="00301F26" w:rsidP="00F2340D">
      <w:pPr>
        <w:pStyle w:val="TOC3"/>
        <w:rPr>
          <w:rFonts w:asciiTheme="minorHAnsi" w:hAnsiTheme="minorHAnsi" w:cstheme="minorBidi"/>
          <w:noProof/>
          <w:sz w:val="22"/>
          <w:lang w:val="lv-LV" w:eastAsia="lv-LV"/>
        </w:rPr>
      </w:pPr>
      <w:hyperlink w:anchor="_Toc55316115" w:history="1">
        <w:r w:rsidR="00525F21" w:rsidRPr="000378BC">
          <w:rPr>
            <w:rStyle w:val="Hyperlink"/>
            <w:noProof/>
          </w:rPr>
          <w:t>10.1.3</w:t>
        </w:r>
        <w:r w:rsidR="00525F21">
          <w:rPr>
            <w:rFonts w:asciiTheme="minorHAnsi" w:hAnsiTheme="minorHAnsi" w:cstheme="minorBidi"/>
            <w:noProof/>
            <w:sz w:val="22"/>
            <w:lang w:val="lv-LV" w:eastAsia="lv-LV"/>
          </w:rPr>
          <w:tab/>
        </w:r>
        <w:r w:rsidR="00525F21" w:rsidRPr="000378BC">
          <w:rPr>
            <w:rStyle w:val="Hyperlink"/>
            <w:noProof/>
          </w:rPr>
          <w:t>Personu ar invaliditāti nodarbinātība</w:t>
        </w:r>
        <w:r w:rsidR="00525F21">
          <w:rPr>
            <w:noProof/>
            <w:webHidden/>
          </w:rPr>
          <w:tab/>
        </w:r>
        <w:r w:rsidR="00525F21">
          <w:rPr>
            <w:noProof/>
            <w:webHidden/>
          </w:rPr>
          <w:fldChar w:fldCharType="begin"/>
        </w:r>
        <w:r w:rsidR="00525F21">
          <w:rPr>
            <w:noProof/>
            <w:webHidden/>
          </w:rPr>
          <w:instrText xml:space="preserve"> PAGEREF _Toc55316115 \h </w:instrText>
        </w:r>
        <w:r w:rsidR="00525F21">
          <w:rPr>
            <w:noProof/>
            <w:webHidden/>
          </w:rPr>
        </w:r>
        <w:r w:rsidR="00525F21">
          <w:rPr>
            <w:noProof/>
            <w:webHidden/>
          </w:rPr>
          <w:fldChar w:fldCharType="separate"/>
        </w:r>
        <w:r w:rsidR="00D67CF6">
          <w:rPr>
            <w:noProof/>
            <w:webHidden/>
          </w:rPr>
          <w:t>122</w:t>
        </w:r>
        <w:r w:rsidR="00525F21">
          <w:rPr>
            <w:noProof/>
            <w:webHidden/>
          </w:rPr>
          <w:fldChar w:fldCharType="end"/>
        </w:r>
      </w:hyperlink>
    </w:p>
    <w:p w14:paraId="054D833B" w14:textId="1FA442C3" w:rsidR="00525F21" w:rsidRDefault="00301F26" w:rsidP="00F2340D">
      <w:pPr>
        <w:pStyle w:val="TOC3"/>
        <w:rPr>
          <w:rFonts w:asciiTheme="minorHAnsi" w:hAnsiTheme="minorHAnsi" w:cstheme="minorBidi"/>
          <w:noProof/>
          <w:sz w:val="22"/>
          <w:lang w:val="lv-LV" w:eastAsia="lv-LV"/>
        </w:rPr>
      </w:pPr>
      <w:hyperlink w:anchor="_Toc55316116" w:history="1">
        <w:r w:rsidR="00525F21" w:rsidRPr="000378BC">
          <w:rPr>
            <w:rStyle w:val="Hyperlink"/>
            <w:rFonts w:eastAsia="Calibri"/>
            <w:noProof/>
          </w:rPr>
          <w:t>10.1.4</w:t>
        </w:r>
        <w:r w:rsidR="00525F21">
          <w:rPr>
            <w:rFonts w:asciiTheme="minorHAnsi" w:hAnsiTheme="minorHAnsi" w:cstheme="minorBidi"/>
            <w:noProof/>
            <w:sz w:val="22"/>
            <w:lang w:val="lv-LV" w:eastAsia="lv-LV"/>
          </w:rPr>
          <w:tab/>
        </w:r>
        <w:r w:rsidR="00525F21" w:rsidRPr="000378BC">
          <w:rPr>
            <w:rStyle w:val="Hyperlink"/>
            <w:rFonts w:eastAsia="Calibri"/>
            <w:noProof/>
          </w:rPr>
          <w:t>Jauniešu bezdarbs</w:t>
        </w:r>
        <w:r w:rsidR="00525F21">
          <w:rPr>
            <w:noProof/>
            <w:webHidden/>
          </w:rPr>
          <w:tab/>
        </w:r>
        <w:r w:rsidR="00525F21">
          <w:rPr>
            <w:noProof/>
            <w:webHidden/>
          </w:rPr>
          <w:fldChar w:fldCharType="begin"/>
        </w:r>
        <w:r w:rsidR="00525F21">
          <w:rPr>
            <w:noProof/>
            <w:webHidden/>
          </w:rPr>
          <w:instrText xml:space="preserve"> PAGEREF _Toc55316116 \h </w:instrText>
        </w:r>
        <w:r w:rsidR="00525F21">
          <w:rPr>
            <w:noProof/>
            <w:webHidden/>
          </w:rPr>
        </w:r>
        <w:r w:rsidR="00525F21">
          <w:rPr>
            <w:noProof/>
            <w:webHidden/>
          </w:rPr>
          <w:fldChar w:fldCharType="separate"/>
        </w:r>
        <w:r w:rsidR="00D67CF6">
          <w:rPr>
            <w:noProof/>
            <w:webHidden/>
          </w:rPr>
          <w:t>126</w:t>
        </w:r>
        <w:r w:rsidR="00525F21">
          <w:rPr>
            <w:noProof/>
            <w:webHidden/>
          </w:rPr>
          <w:fldChar w:fldCharType="end"/>
        </w:r>
      </w:hyperlink>
    </w:p>
    <w:p w14:paraId="09B02B21" w14:textId="4C41275A" w:rsidR="00525F21" w:rsidRDefault="00301F26" w:rsidP="00F2340D">
      <w:pPr>
        <w:pStyle w:val="TOC2"/>
        <w:rPr>
          <w:rFonts w:asciiTheme="minorHAnsi" w:eastAsiaTheme="minorEastAsia" w:hAnsiTheme="minorHAnsi" w:cstheme="minorBidi"/>
          <w:noProof/>
          <w:sz w:val="22"/>
          <w:lang w:eastAsia="lv-LV"/>
        </w:rPr>
      </w:pPr>
      <w:hyperlink w:anchor="_Toc55316117" w:history="1">
        <w:r w:rsidR="00525F21" w:rsidRPr="000378BC">
          <w:rPr>
            <w:rStyle w:val="Hyperlink"/>
            <w:noProof/>
          </w:rPr>
          <w:t>10.2</w:t>
        </w:r>
        <w:r w:rsidR="00525F21">
          <w:rPr>
            <w:rFonts w:asciiTheme="minorHAnsi" w:eastAsiaTheme="minorEastAsia" w:hAnsiTheme="minorHAnsi" w:cstheme="minorBidi"/>
            <w:noProof/>
            <w:sz w:val="22"/>
            <w:lang w:eastAsia="lv-LV"/>
          </w:rPr>
          <w:tab/>
        </w:r>
        <w:r w:rsidR="00525F21" w:rsidRPr="000378BC">
          <w:rPr>
            <w:rStyle w:val="Hyperlink"/>
            <w:noProof/>
          </w:rPr>
          <w:t>Aktīvās darba tirgus politikas pasākumi</w:t>
        </w:r>
        <w:r w:rsidR="00525F21">
          <w:rPr>
            <w:noProof/>
            <w:webHidden/>
          </w:rPr>
          <w:tab/>
        </w:r>
        <w:r w:rsidR="00525F21">
          <w:rPr>
            <w:noProof/>
            <w:webHidden/>
          </w:rPr>
          <w:fldChar w:fldCharType="begin"/>
        </w:r>
        <w:r w:rsidR="00525F21">
          <w:rPr>
            <w:noProof/>
            <w:webHidden/>
          </w:rPr>
          <w:instrText xml:space="preserve"> PAGEREF _Toc55316117 \h </w:instrText>
        </w:r>
        <w:r w:rsidR="00525F21">
          <w:rPr>
            <w:noProof/>
            <w:webHidden/>
          </w:rPr>
        </w:r>
        <w:r w:rsidR="00525F21">
          <w:rPr>
            <w:noProof/>
            <w:webHidden/>
          </w:rPr>
          <w:fldChar w:fldCharType="separate"/>
        </w:r>
        <w:r w:rsidR="00D67CF6">
          <w:rPr>
            <w:noProof/>
            <w:webHidden/>
          </w:rPr>
          <w:t>128</w:t>
        </w:r>
        <w:r w:rsidR="00525F21">
          <w:rPr>
            <w:noProof/>
            <w:webHidden/>
          </w:rPr>
          <w:fldChar w:fldCharType="end"/>
        </w:r>
      </w:hyperlink>
    </w:p>
    <w:p w14:paraId="46734969" w14:textId="3FD30847" w:rsidR="00525F21" w:rsidRDefault="00301F26" w:rsidP="00F2340D">
      <w:pPr>
        <w:pStyle w:val="TOC2"/>
        <w:rPr>
          <w:rFonts w:asciiTheme="minorHAnsi" w:eastAsiaTheme="minorEastAsia" w:hAnsiTheme="minorHAnsi" w:cstheme="minorBidi"/>
          <w:noProof/>
          <w:sz w:val="22"/>
          <w:lang w:eastAsia="lv-LV"/>
        </w:rPr>
      </w:pPr>
      <w:hyperlink w:anchor="_Toc55316118" w:history="1">
        <w:r w:rsidR="00525F21" w:rsidRPr="000378BC">
          <w:rPr>
            <w:rStyle w:val="Hyperlink"/>
            <w:noProof/>
          </w:rPr>
          <w:t>10.3</w:t>
        </w:r>
        <w:r w:rsidR="00525F21">
          <w:rPr>
            <w:rFonts w:asciiTheme="minorHAnsi" w:eastAsiaTheme="minorEastAsia" w:hAnsiTheme="minorHAnsi" w:cstheme="minorBidi"/>
            <w:noProof/>
            <w:sz w:val="22"/>
            <w:lang w:eastAsia="lv-LV"/>
          </w:rPr>
          <w:tab/>
        </w:r>
        <w:r w:rsidR="00525F21" w:rsidRPr="000378BC">
          <w:rPr>
            <w:rStyle w:val="Hyperlink"/>
            <w:noProof/>
          </w:rPr>
          <w:t>Aktīvās darba tirgus politikas pasākumu finansēšana un pārklājums</w:t>
        </w:r>
        <w:r w:rsidR="00525F21">
          <w:rPr>
            <w:noProof/>
            <w:webHidden/>
          </w:rPr>
          <w:tab/>
        </w:r>
        <w:r w:rsidR="00525F21">
          <w:rPr>
            <w:noProof/>
            <w:webHidden/>
          </w:rPr>
          <w:fldChar w:fldCharType="begin"/>
        </w:r>
        <w:r w:rsidR="00525F21">
          <w:rPr>
            <w:noProof/>
            <w:webHidden/>
          </w:rPr>
          <w:instrText xml:space="preserve"> PAGEREF _Toc55316118 \h </w:instrText>
        </w:r>
        <w:r w:rsidR="00525F21">
          <w:rPr>
            <w:noProof/>
            <w:webHidden/>
          </w:rPr>
        </w:r>
        <w:r w:rsidR="00525F21">
          <w:rPr>
            <w:noProof/>
            <w:webHidden/>
          </w:rPr>
          <w:fldChar w:fldCharType="separate"/>
        </w:r>
        <w:r w:rsidR="00D67CF6">
          <w:rPr>
            <w:noProof/>
            <w:webHidden/>
          </w:rPr>
          <w:t>136</w:t>
        </w:r>
        <w:r w:rsidR="00525F21">
          <w:rPr>
            <w:noProof/>
            <w:webHidden/>
          </w:rPr>
          <w:fldChar w:fldCharType="end"/>
        </w:r>
      </w:hyperlink>
    </w:p>
    <w:p w14:paraId="4FD4125E" w14:textId="68ABA892" w:rsidR="00525F21" w:rsidRDefault="00301F26" w:rsidP="00F2340D">
      <w:pPr>
        <w:pStyle w:val="TOC2"/>
        <w:rPr>
          <w:rFonts w:asciiTheme="minorHAnsi" w:eastAsiaTheme="minorEastAsia" w:hAnsiTheme="minorHAnsi" w:cstheme="minorBidi"/>
          <w:noProof/>
          <w:sz w:val="22"/>
          <w:lang w:eastAsia="lv-LV"/>
        </w:rPr>
      </w:pPr>
      <w:hyperlink w:anchor="_Toc55316119" w:history="1">
        <w:r w:rsidR="00525F21" w:rsidRPr="000378BC">
          <w:rPr>
            <w:rStyle w:val="Hyperlink"/>
            <w:noProof/>
          </w:rPr>
          <w:t>10.4</w:t>
        </w:r>
        <w:r w:rsidR="00525F21">
          <w:rPr>
            <w:rFonts w:asciiTheme="minorHAnsi" w:eastAsiaTheme="minorEastAsia" w:hAnsiTheme="minorHAnsi" w:cstheme="minorBidi"/>
            <w:noProof/>
            <w:sz w:val="22"/>
            <w:lang w:eastAsia="lv-LV"/>
          </w:rPr>
          <w:tab/>
        </w:r>
        <w:r w:rsidR="00525F21" w:rsidRPr="000378BC">
          <w:rPr>
            <w:rStyle w:val="Hyperlink"/>
            <w:noProof/>
          </w:rPr>
          <w:t>NVA veiktspējas stiprināšana</w:t>
        </w:r>
        <w:r w:rsidR="00525F21">
          <w:rPr>
            <w:noProof/>
            <w:webHidden/>
          </w:rPr>
          <w:tab/>
        </w:r>
        <w:r w:rsidR="00525F21">
          <w:rPr>
            <w:noProof/>
            <w:webHidden/>
          </w:rPr>
          <w:fldChar w:fldCharType="begin"/>
        </w:r>
        <w:r w:rsidR="00525F21">
          <w:rPr>
            <w:noProof/>
            <w:webHidden/>
          </w:rPr>
          <w:instrText xml:space="preserve"> PAGEREF _Toc55316119 \h </w:instrText>
        </w:r>
        <w:r w:rsidR="00525F21">
          <w:rPr>
            <w:noProof/>
            <w:webHidden/>
          </w:rPr>
        </w:r>
        <w:r w:rsidR="00525F21">
          <w:rPr>
            <w:noProof/>
            <w:webHidden/>
          </w:rPr>
          <w:fldChar w:fldCharType="separate"/>
        </w:r>
        <w:r w:rsidR="00D67CF6">
          <w:rPr>
            <w:noProof/>
            <w:webHidden/>
          </w:rPr>
          <w:t>136</w:t>
        </w:r>
        <w:r w:rsidR="00525F21">
          <w:rPr>
            <w:noProof/>
            <w:webHidden/>
          </w:rPr>
          <w:fldChar w:fldCharType="end"/>
        </w:r>
      </w:hyperlink>
    </w:p>
    <w:p w14:paraId="15D17618" w14:textId="38EF1B00" w:rsidR="00525F21" w:rsidRDefault="00301F26" w:rsidP="00F2340D">
      <w:pPr>
        <w:pStyle w:val="TOC2"/>
        <w:rPr>
          <w:rFonts w:asciiTheme="minorHAnsi" w:eastAsiaTheme="minorEastAsia" w:hAnsiTheme="minorHAnsi" w:cstheme="minorBidi"/>
          <w:noProof/>
          <w:sz w:val="22"/>
          <w:lang w:eastAsia="lv-LV"/>
        </w:rPr>
      </w:pPr>
      <w:hyperlink w:anchor="_Toc55316120" w:history="1">
        <w:r w:rsidR="00525F21" w:rsidRPr="000378BC">
          <w:rPr>
            <w:rStyle w:val="Hyperlink"/>
            <w:noProof/>
          </w:rPr>
          <w:t>10.5</w:t>
        </w:r>
        <w:r w:rsidR="00525F21">
          <w:rPr>
            <w:rFonts w:asciiTheme="minorHAnsi" w:eastAsiaTheme="minorEastAsia" w:hAnsiTheme="minorHAnsi" w:cstheme="minorBidi"/>
            <w:noProof/>
            <w:sz w:val="22"/>
            <w:lang w:eastAsia="lv-LV"/>
          </w:rPr>
          <w:tab/>
        </w:r>
        <w:r w:rsidR="00525F21" w:rsidRPr="000378BC">
          <w:rPr>
            <w:rStyle w:val="Hyperlink"/>
            <w:noProof/>
          </w:rPr>
          <w:t>Sociālā uzņēmējdarbība</w:t>
        </w:r>
        <w:r w:rsidR="00525F21">
          <w:rPr>
            <w:noProof/>
            <w:webHidden/>
          </w:rPr>
          <w:tab/>
        </w:r>
        <w:r w:rsidR="00525F21">
          <w:rPr>
            <w:noProof/>
            <w:webHidden/>
          </w:rPr>
          <w:fldChar w:fldCharType="begin"/>
        </w:r>
        <w:r w:rsidR="00525F21">
          <w:rPr>
            <w:noProof/>
            <w:webHidden/>
          </w:rPr>
          <w:instrText xml:space="preserve"> PAGEREF _Toc55316120 \h </w:instrText>
        </w:r>
        <w:r w:rsidR="00525F21">
          <w:rPr>
            <w:noProof/>
            <w:webHidden/>
          </w:rPr>
        </w:r>
        <w:r w:rsidR="00525F21">
          <w:rPr>
            <w:noProof/>
            <w:webHidden/>
          </w:rPr>
          <w:fldChar w:fldCharType="separate"/>
        </w:r>
        <w:r w:rsidR="00D67CF6">
          <w:rPr>
            <w:noProof/>
            <w:webHidden/>
          </w:rPr>
          <w:t>139</w:t>
        </w:r>
        <w:r w:rsidR="00525F21">
          <w:rPr>
            <w:noProof/>
            <w:webHidden/>
          </w:rPr>
          <w:fldChar w:fldCharType="end"/>
        </w:r>
      </w:hyperlink>
    </w:p>
    <w:p w14:paraId="1FAC374F" w14:textId="06C48BE7" w:rsidR="00525F21" w:rsidRDefault="00301F26" w:rsidP="00F2340D">
      <w:pPr>
        <w:pStyle w:val="TOC2"/>
        <w:rPr>
          <w:rFonts w:asciiTheme="minorHAnsi" w:eastAsiaTheme="minorEastAsia" w:hAnsiTheme="minorHAnsi" w:cstheme="minorBidi"/>
          <w:noProof/>
          <w:sz w:val="22"/>
          <w:lang w:eastAsia="lv-LV"/>
        </w:rPr>
      </w:pPr>
      <w:hyperlink w:anchor="_Toc55316121" w:history="1">
        <w:r w:rsidR="00525F21" w:rsidRPr="000378BC">
          <w:rPr>
            <w:rStyle w:val="Hyperlink"/>
            <w:noProof/>
          </w:rPr>
          <w:t>10.6</w:t>
        </w:r>
        <w:r w:rsidR="00525F21">
          <w:rPr>
            <w:rFonts w:asciiTheme="minorHAnsi" w:eastAsiaTheme="minorEastAsia" w:hAnsiTheme="minorHAnsi" w:cstheme="minorBidi"/>
            <w:noProof/>
            <w:sz w:val="22"/>
            <w:lang w:eastAsia="lv-LV"/>
          </w:rPr>
          <w:tab/>
        </w:r>
        <w:r w:rsidR="00525F21" w:rsidRPr="000378BC">
          <w:rPr>
            <w:rStyle w:val="Hyperlink"/>
            <w:noProof/>
          </w:rPr>
          <w:t>Darba samaksa un minimālā darba alga</w:t>
        </w:r>
        <w:r w:rsidR="00525F21">
          <w:rPr>
            <w:noProof/>
            <w:webHidden/>
          </w:rPr>
          <w:tab/>
        </w:r>
        <w:r w:rsidR="00525F21">
          <w:rPr>
            <w:noProof/>
            <w:webHidden/>
          </w:rPr>
          <w:fldChar w:fldCharType="begin"/>
        </w:r>
        <w:r w:rsidR="00525F21">
          <w:rPr>
            <w:noProof/>
            <w:webHidden/>
          </w:rPr>
          <w:instrText xml:space="preserve"> PAGEREF _Toc55316121 \h </w:instrText>
        </w:r>
        <w:r w:rsidR="00525F21">
          <w:rPr>
            <w:noProof/>
            <w:webHidden/>
          </w:rPr>
        </w:r>
        <w:r w:rsidR="00525F21">
          <w:rPr>
            <w:noProof/>
            <w:webHidden/>
          </w:rPr>
          <w:fldChar w:fldCharType="separate"/>
        </w:r>
        <w:r w:rsidR="00D67CF6">
          <w:rPr>
            <w:noProof/>
            <w:webHidden/>
          </w:rPr>
          <w:t>141</w:t>
        </w:r>
        <w:r w:rsidR="00525F21">
          <w:rPr>
            <w:noProof/>
            <w:webHidden/>
          </w:rPr>
          <w:fldChar w:fldCharType="end"/>
        </w:r>
      </w:hyperlink>
    </w:p>
    <w:p w14:paraId="2CD29B35" w14:textId="3149E839"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122" w:history="1">
        <w:r w:rsidR="00525F21" w:rsidRPr="000378BC">
          <w:rPr>
            <w:rStyle w:val="Hyperlink"/>
          </w:rPr>
          <w:t>11</w:t>
        </w:r>
        <w:r w:rsidR="00525F21">
          <w:rPr>
            <w:rFonts w:asciiTheme="minorHAnsi" w:eastAsiaTheme="minorEastAsia" w:hAnsiTheme="minorHAnsi" w:cstheme="minorBidi"/>
            <w:sz w:val="22"/>
            <w:szCs w:val="22"/>
            <w:lang w:eastAsia="lv-LV"/>
          </w:rPr>
          <w:tab/>
        </w:r>
        <w:r w:rsidR="00525F21" w:rsidRPr="000378BC">
          <w:rPr>
            <w:rStyle w:val="Hyperlink"/>
          </w:rPr>
          <w:t>Darba aizsardzība un darba tiesiskās attiecības</w:t>
        </w:r>
        <w:r w:rsidR="00525F21">
          <w:rPr>
            <w:webHidden/>
          </w:rPr>
          <w:tab/>
        </w:r>
        <w:r w:rsidR="00525F21">
          <w:rPr>
            <w:webHidden/>
          </w:rPr>
          <w:fldChar w:fldCharType="begin"/>
        </w:r>
        <w:r w:rsidR="00525F21">
          <w:rPr>
            <w:webHidden/>
          </w:rPr>
          <w:instrText xml:space="preserve"> PAGEREF _Toc55316122 \h </w:instrText>
        </w:r>
        <w:r w:rsidR="00525F21">
          <w:rPr>
            <w:webHidden/>
          </w:rPr>
        </w:r>
        <w:r w:rsidR="00525F21">
          <w:rPr>
            <w:webHidden/>
          </w:rPr>
          <w:fldChar w:fldCharType="separate"/>
        </w:r>
        <w:r w:rsidR="00D67CF6">
          <w:rPr>
            <w:webHidden/>
          </w:rPr>
          <w:t>147</w:t>
        </w:r>
        <w:r w:rsidR="00525F21">
          <w:rPr>
            <w:webHidden/>
          </w:rPr>
          <w:fldChar w:fldCharType="end"/>
        </w:r>
      </w:hyperlink>
    </w:p>
    <w:p w14:paraId="2698FB00" w14:textId="73811D21" w:rsidR="00525F21" w:rsidRDefault="00301F26" w:rsidP="00525F21">
      <w:pPr>
        <w:pStyle w:val="TOC1"/>
        <w:tabs>
          <w:tab w:val="clear" w:pos="660"/>
          <w:tab w:val="left" w:pos="567"/>
        </w:tabs>
        <w:spacing w:line="240" w:lineRule="auto"/>
        <w:rPr>
          <w:rFonts w:asciiTheme="minorHAnsi" w:eastAsiaTheme="minorEastAsia" w:hAnsiTheme="minorHAnsi" w:cstheme="minorBidi"/>
          <w:sz w:val="22"/>
          <w:szCs w:val="22"/>
          <w:lang w:eastAsia="lv-LV"/>
        </w:rPr>
      </w:pPr>
      <w:hyperlink w:anchor="_Toc55316123" w:history="1">
        <w:r w:rsidR="00525F21" w:rsidRPr="000378BC">
          <w:rPr>
            <w:rStyle w:val="Hyperlink"/>
          </w:rPr>
          <w:t>12</w:t>
        </w:r>
        <w:r w:rsidR="00525F21">
          <w:rPr>
            <w:rFonts w:asciiTheme="minorHAnsi" w:eastAsiaTheme="minorEastAsia" w:hAnsiTheme="minorHAnsi" w:cstheme="minorBidi"/>
            <w:sz w:val="22"/>
            <w:szCs w:val="22"/>
            <w:lang w:eastAsia="lv-LV"/>
          </w:rPr>
          <w:tab/>
        </w:r>
        <w:r w:rsidR="00525F21" w:rsidRPr="000378BC">
          <w:rPr>
            <w:rStyle w:val="Hyperlink"/>
          </w:rPr>
          <w:t>Horizontālie jautājumi</w:t>
        </w:r>
        <w:r w:rsidR="00525F21">
          <w:rPr>
            <w:webHidden/>
          </w:rPr>
          <w:tab/>
        </w:r>
        <w:r w:rsidR="00525F21">
          <w:rPr>
            <w:webHidden/>
          </w:rPr>
          <w:fldChar w:fldCharType="begin"/>
        </w:r>
        <w:r w:rsidR="00525F21">
          <w:rPr>
            <w:webHidden/>
          </w:rPr>
          <w:instrText xml:space="preserve"> PAGEREF _Toc55316123 \h </w:instrText>
        </w:r>
        <w:r w:rsidR="00525F21">
          <w:rPr>
            <w:webHidden/>
          </w:rPr>
        </w:r>
        <w:r w:rsidR="00525F21">
          <w:rPr>
            <w:webHidden/>
          </w:rPr>
          <w:fldChar w:fldCharType="separate"/>
        </w:r>
        <w:r w:rsidR="00D67CF6">
          <w:rPr>
            <w:webHidden/>
          </w:rPr>
          <w:t>154</w:t>
        </w:r>
        <w:r w:rsidR="00525F21">
          <w:rPr>
            <w:webHidden/>
          </w:rPr>
          <w:fldChar w:fldCharType="end"/>
        </w:r>
      </w:hyperlink>
    </w:p>
    <w:p w14:paraId="55E1F20F" w14:textId="3AC532A7" w:rsidR="00525F21" w:rsidRDefault="00301F26" w:rsidP="00F2340D">
      <w:pPr>
        <w:pStyle w:val="TOC2"/>
        <w:rPr>
          <w:rFonts w:asciiTheme="minorHAnsi" w:eastAsiaTheme="minorEastAsia" w:hAnsiTheme="minorHAnsi" w:cstheme="minorBidi"/>
          <w:noProof/>
          <w:sz w:val="22"/>
          <w:lang w:eastAsia="lv-LV"/>
        </w:rPr>
      </w:pPr>
      <w:hyperlink w:anchor="_Toc55316124" w:history="1">
        <w:r w:rsidR="00525F21" w:rsidRPr="000378BC">
          <w:rPr>
            <w:rStyle w:val="Hyperlink"/>
            <w:noProof/>
          </w:rPr>
          <w:t>12.1</w:t>
        </w:r>
        <w:r w:rsidR="00525F21">
          <w:rPr>
            <w:rFonts w:asciiTheme="minorHAnsi" w:eastAsiaTheme="minorEastAsia" w:hAnsiTheme="minorHAnsi" w:cstheme="minorBidi"/>
            <w:noProof/>
            <w:sz w:val="22"/>
            <w:lang w:eastAsia="lv-LV"/>
          </w:rPr>
          <w:tab/>
        </w:r>
        <w:r w:rsidR="00525F21" w:rsidRPr="000378BC">
          <w:rPr>
            <w:rStyle w:val="Hyperlink"/>
            <w:noProof/>
          </w:rPr>
          <w:t>Uz pierādījumiem balstītas politikas veidošana</w:t>
        </w:r>
        <w:r w:rsidR="00525F21">
          <w:rPr>
            <w:noProof/>
            <w:webHidden/>
          </w:rPr>
          <w:tab/>
        </w:r>
        <w:r w:rsidR="00525F21">
          <w:rPr>
            <w:noProof/>
            <w:webHidden/>
          </w:rPr>
          <w:fldChar w:fldCharType="begin"/>
        </w:r>
        <w:r w:rsidR="00525F21">
          <w:rPr>
            <w:noProof/>
            <w:webHidden/>
          </w:rPr>
          <w:instrText xml:space="preserve"> PAGEREF _Toc55316124 \h </w:instrText>
        </w:r>
        <w:r w:rsidR="00525F21">
          <w:rPr>
            <w:noProof/>
            <w:webHidden/>
          </w:rPr>
        </w:r>
        <w:r w:rsidR="00525F21">
          <w:rPr>
            <w:noProof/>
            <w:webHidden/>
          </w:rPr>
          <w:fldChar w:fldCharType="separate"/>
        </w:r>
        <w:r w:rsidR="00D67CF6">
          <w:rPr>
            <w:noProof/>
            <w:webHidden/>
          </w:rPr>
          <w:t>154</w:t>
        </w:r>
        <w:r w:rsidR="00525F21">
          <w:rPr>
            <w:noProof/>
            <w:webHidden/>
          </w:rPr>
          <w:fldChar w:fldCharType="end"/>
        </w:r>
      </w:hyperlink>
    </w:p>
    <w:p w14:paraId="58101917" w14:textId="34C60F1A" w:rsidR="00525F21" w:rsidRDefault="00301F26" w:rsidP="00F2340D">
      <w:pPr>
        <w:pStyle w:val="TOC2"/>
        <w:rPr>
          <w:rFonts w:asciiTheme="minorHAnsi" w:eastAsiaTheme="minorEastAsia" w:hAnsiTheme="minorHAnsi" w:cstheme="minorBidi"/>
          <w:noProof/>
          <w:sz w:val="22"/>
          <w:lang w:eastAsia="lv-LV"/>
        </w:rPr>
      </w:pPr>
      <w:hyperlink w:anchor="_Toc55316125" w:history="1">
        <w:r w:rsidR="00525F21" w:rsidRPr="000378BC">
          <w:rPr>
            <w:rStyle w:val="Hyperlink"/>
            <w:noProof/>
          </w:rPr>
          <w:t>12.2</w:t>
        </w:r>
        <w:r w:rsidR="00525F21">
          <w:rPr>
            <w:rFonts w:asciiTheme="minorHAnsi" w:eastAsiaTheme="minorEastAsia" w:hAnsiTheme="minorHAnsi" w:cstheme="minorBidi"/>
            <w:noProof/>
            <w:sz w:val="22"/>
            <w:lang w:eastAsia="lv-LV"/>
          </w:rPr>
          <w:tab/>
        </w:r>
        <w:r w:rsidR="00525F21" w:rsidRPr="000378BC">
          <w:rPr>
            <w:rStyle w:val="Hyperlink"/>
            <w:noProof/>
          </w:rPr>
          <w:t>Integrētās pieejas nodrošināšana politikas veidošanas procesos</w:t>
        </w:r>
        <w:r w:rsidR="00525F21">
          <w:rPr>
            <w:noProof/>
            <w:webHidden/>
          </w:rPr>
          <w:tab/>
        </w:r>
        <w:r w:rsidR="00525F21">
          <w:rPr>
            <w:noProof/>
            <w:webHidden/>
          </w:rPr>
          <w:fldChar w:fldCharType="begin"/>
        </w:r>
        <w:r w:rsidR="00525F21">
          <w:rPr>
            <w:noProof/>
            <w:webHidden/>
          </w:rPr>
          <w:instrText xml:space="preserve"> PAGEREF _Toc55316125 \h </w:instrText>
        </w:r>
        <w:r w:rsidR="00525F21">
          <w:rPr>
            <w:noProof/>
            <w:webHidden/>
          </w:rPr>
        </w:r>
        <w:r w:rsidR="00525F21">
          <w:rPr>
            <w:noProof/>
            <w:webHidden/>
          </w:rPr>
          <w:fldChar w:fldCharType="separate"/>
        </w:r>
        <w:r w:rsidR="00D67CF6">
          <w:rPr>
            <w:noProof/>
            <w:webHidden/>
          </w:rPr>
          <w:t>157</w:t>
        </w:r>
        <w:r w:rsidR="00525F21">
          <w:rPr>
            <w:noProof/>
            <w:webHidden/>
          </w:rPr>
          <w:fldChar w:fldCharType="end"/>
        </w:r>
      </w:hyperlink>
    </w:p>
    <w:p w14:paraId="7C9F79EB" w14:textId="1B5C38EA" w:rsidR="00525F21" w:rsidRDefault="00301F26" w:rsidP="00F2340D">
      <w:pPr>
        <w:pStyle w:val="TOC3"/>
        <w:rPr>
          <w:rFonts w:asciiTheme="minorHAnsi" w:hAnsiTheme="minorHAnsi" w:cstheme="minorBidi"/>
          <w:noProof/>
          <w:sz w:val="22"/>
          <w:lang w:val="lv-LV" w:eastAsia="lv-LV"/>
        </w:rPr>
      </w:pPr>
      <w:hyperlink w:anchor="_Toc55316126" w:history="1">
        <w:r w:rsidR="00525F21" w:rsidRPr="000378BC">
          <w:rPr>
            <w:rStyle w:val="Hyperlink"/>
            <w:noProof/>
          </w:rPr>
          <w:t>12.2.1</w:t>
        </w:r>
        <w:r w:rsidR="00525F21">
          <w:rPr>
            <w:rFonts w:asciiTheme="minorHAnsi" w:hAnsiTheme="minorHAnsi" w:cstheme="minorBidi"/>
            <w:noProof/>
            <w:sz w:val="22"/>
            <w:lang w:val="lv-LV" w:eastAsia="lv-LV"/>
          </w:rPr>
          <w:tab/>
        </w:r>
        <w:r w:rsidR="00525F21" w:rsidRPr="000378BC">
          <w:rPr>
            <w:rStyle w:val="Hyperlink"/>
            <w:noProof/>
          </w:rPr>
          <w:t>Vienlīdzīgu iespēju integrēta pieeja</w:t>
        </w:r>
        <w:r w:rsidR="00525F21">
          <w:rPr>
            <w:noProof/>
            <w:webHidden/>
          </w:rPr>
          <w:tab/>
        </w:r>
        <w:r w:rsidR="00525F21">
          <w:rPr>
            <w:noProof/>
            <w:webHidden/>
          </w:rPr>
          <w:fldChar w:fldCharType="begin"/>
        </w:r>
        <w:r w:rsidR="00525F21">
          <w:rPr>
            <w:noProof/>
            <w:webHidden/>
          </w:rPr>
          <w:instrText xml:space="preserve"> PAGEREF _Toc55316126 \h </w:instrText>
        </w:r>
        <w:r w:rsidR="00525F21">
          <w:rPr>
            <w:noProof/>
            <w:webHidden/>
          </w:rPr>
        </w:r>
        <w:r w:rsidR="00525F21">
          <w:rPr>
            <w:noProof/>
            <w:webHidden/>
          </w:rPr>
          <w:fldChar w:fldCharType="separate"/>
        </w:r>
        <w:r w:rsidR="00D67CF6">
          <w:rPr>
            <w:noProof/>
            <w:webHidden/>
          </w:rPr>
          <w:t>157</w:t>
        </w:r>
        <w:r w:rsidR="00525F21">
          <w:rPr>
            <w:noProof/>
            <w:webHidden/>
          </w:rPr>
          <w:fldChar w:fldCharType="end"/>
        </w:r>
      </w:hyperlink>
    </w:p>
    <w:p w14:paraId="0D152229" w14:textId="11ABF3DE" w:rsidR="00525F21" w:rsidRDefault="00301F26" w:rsidP="00F2340D">
      <w:pPr>
        <w:pStyle w:val="TOC3"/>
        <w:rPr>
          <w:rFonts w:asciiTheme="minorHAnsi" w:hAnsiTheme="minorHAnsi" w:cstheme="minorBidi"/>
          <w:noProof/>
          <w:sz w:val="22"/>
          <w:lang w:val="lv-LV" w:eastAsia="lv-LV"/>
        </w:rPr>
      </w:pPr>
      <w:hyperlink w:anchor="_Toc55316127" w:history="1">
        <w:r w:rsidR="00525F21" w:rsidRPr="000378BC">
          <w:rPr>
            <w:rStyle w:val="Hyperlink"/>
            <w:noProof/>
          </w:rPr>
          <w:t>12.2.2</w:t>
        </w:r>
        <w:r w:rsidR="00525F21">
          <w:rPr>
            <w:rFonts w:asciiTheme="minorHAnsi" w:hAnsiTheme="minorHAnsi" w:cstheme="minorBidi"/>
            <w:noProof/>
            <w:sz w:val="22"/>
            <w:lang w:val="lv-LV" w:eastAsia="lv-LV"/>
          </w:rPr>
          <w:tab/>
        </w:r>
        <w:r w:rsidR="00525F21" w:rsidRPr="000378BC">
          <w:rPr>
            <w:rStyle w:val="Hyperlink"/>
            <w:noProof/>
          </w:rPr>
          <w:t>Personu ar invaliditāti nediskriminēšanas un vienlīdzīgu tiesību princips</w:t>
        </w:r>
        <w:r w:rsidR="00525F21">
          <w:rPr>
            <w:noProof/>
            <w:webHidden/>
          </w:rPr>
          <w:tab/>
        </w:r>
        <w:r w:rsidR="00525F21">
          <w:rPr>
            <w:noProof/>
            <w:webHidden/>
          </w:rPr>
          <w:fldChar w:fldCharType="begin"/>
        </w:r>
        <w:r w:rsidR="00525F21">
          <w:rPr>
            <w:noProof/>
            <w:webHidden/>
          </w:rPr>
          <w:instrText xml:space="preserve"> PAGEREF _Toc55316127 \h </w:instrText>
        </w:r>
        <w:r w:rsidR="00525F21">
          <w:rPr>
            <w:noProof/>
            <w:webHidden/>
          </w:rPr>
        </w:r>
        <w:r w:rsidR="00525F21">
          <w:rPr>
            <w:noProof/>
            <w:webHidden/>
          </w:rPr>
          <w:fldChar w:fldCharType="separate"/>
        </w:r>
        <w:r w:rsidR="00D67CF6">
          <w:rPr>
            <w:noProof/>
            <w:webHidden/>
          </w:rPr>
          <w:t>162</w:t>
        </w:r>
        <w:r w:rsidR="00525F21">
          <w:rPr>
            <w:noProof/>
            <w:webHidden/>
          </w:rPr>
          <w:fldChar w:fldCharType="end"/>
        </w:r>
      </w:hyperlink>
    </w:p>
    <w:p w14:paraId="7ECC470C" w14:textId="480BB5F9" w:rsidR="00525F21" w:rsidRDefault="00301F26" w:rsidP="00F2340D">
      <w:pPr>
        <w:pStyle w:val="TOC2"/>
        <w:rPr>
          <w:rFonts w:asciiTheme="minorHAnsi" w:eastAsiaTheme="minorEastAsia" w:hAnsiTheme="minorHAnsi" w:cstheme="minorBidi"/>
          <w:noProof/>
          <w:sz w:val="22"/>
          <w:lang w:eastAsia="lv-LV"/>
        </w:rPr>
      </w:pPr>
      <w:hyperlink w:anchor="_Toc55316128" w:history="1">
        <w:r w:rsidR="00525F21" w:rsidRPr="000378BC">
          <w:rPr>
            <w:rStyle w:val="Hyperlink"/>
            <w:noProof/>
          </w:rPr>
          <w:t>12.3</w:t>
        </w:r>
        <w:r w:rsidR="00525F21">
          <w:rPr>
            <w:rFonts w:asciiTheme="minorHAnsi" w:eastAsiaTheme="minorEastAsia" w:hAnsiTheme="minorHAnsi" w:cstheme="minorBidi"/>
            <w:noProof/>
            <w:sz w:val="22"/>
            <w:lang w:eastAsia="lv-LV"/>
          </w:rPr>
          <w:tab/>
        </w:r>
        <w:r w:rsidR="00525F21" w:rsidRPr="000378BC">
          <w:rPr>
            <w:rStyle w:val="Hyperlink"/>
            <w:noProof/>
          </w:rPr>
          <w:t>Iedzīvotāju finanšu pratība</w:t>
        </w:r>
        <w:r w:rsidR="00525F21">
          <w:rPr>
            <w:noProof/>
            <w:webHidden/>
          </w:rPr>
          <w:tab/>
        </w:r>
        <w:r w:rsidR="00525F21">
          <w:rPr>
            <w:noProof/>
            <w:webHidden/>
          </w:rPr>
          <w:fldChar w:fldCharType="begin"/>
        </w:r>
        <w:r w:rsidR="00525F21">
          <w:rPr>
            <w:noProof/>
            <w:webHidden/>
          </w:rPr>
          <w:instrText xml:space="preserve"> PAGEREF _Toc55316128 \h </w:instrText>
        </w:r>
        <w:r w:rsidR="00525F21">
          <w:rPr>
            <w:noProof/>
            <w:webHidden/>
          </w:rPr>
        </w:r>
        <w:r w:rsidR="00525F21">
          <w:rPr>
            <w:noProof/>
            <w:webHidden/>
          </w:rPr>
          <w:fldChar w:fldCharType="separate"/>
        </w:r>
        <w:r w:rsidR="00D67CF6">
          <w:rPr>
            <w:noProof/>
            <w:webHidden/>
          </w:rPr>
          <w:t>163</w:t>
        </w:r>
        <w:r w:rsidR="00525F21">
          <w:rPr>
            <w:noProof/>
            <w:webHidden/>
          </w:rPr>
          <w:fldChar w:fldCharType="end"/>
        </w:r>
      </w:hyperlink>
    </w:p>
    <w:p w14:paraId="7DCE947C" w14:textId="60E4C93D" w:rsidR="00525F21" w:rsidRDefault="00301F26" w:rsidP="00F2340D">
      <w:pPr>
        <w:pStyle w:val="TOC2"/>
        <w:rPr>
          <w:rFonts w:asciiTheme="minorHAnsi" w:eastAsiaTheme="minorEastAsia" w:hAnsiTheme="minorHAnsi" w:cstheme="minorBidi"/>
          <w:noProof/>
          <w:sz w:val="22"/>
          <w:lang w:eastAsia="lv-LV"/>
        </w:rPr>
      </w:pPr>
      <w:hyperlink w:anchor="_Toc55316129" w:history="1">
        <w:r w:rsidR="00525F21" w:rsidRPr="000378BC">
          <w:rPr>
            <w:rStyle w:val="Hyperlink"/>
            <w:noProof/>
          </w:rPr>
          <w:t>12.4</w:t>
        </w:r>
        <w:r w:rsidR="00525F21">
          <w:rPr>
            <w:rFonts w:asciiTheme="minorHAnsi" w:eastAsiaTheme="minorEastAsia" w:hAnsiTheme="minorHAnsi" w:cstheme="minorBidi"/>
            <w:noProof/>
            <w:sz w:val="22"/>
            <w:lang w:eastAsia="lv-LV"/>
          </w:rPr>
          <w:tab/>
        </w:r>
        <w:r w:rsidR="00525F21" w:rsidRPr="000378BC">
          <w:rPr>
            <w:rStyle w:val="Hyperlink"/>
            <w:noProof/>
          </w:rPr>
          <w:t>Sabiedrības un iesaistīto sadarbības partneru informēšana</w:t>
        </w:r>
        <w:r w:rsidR="00525F21">
          <w:rPr>
            <w:noProof/>
            <w:webHidden/>
          </w:rPr>
          <w:tab/>
        </w:r>
        <w:r w:rsidR="00525F21">
          <w:rPr>
            <w:noProof/>
            <w:webHidden/>
          </w:rPr>
          <w:fldChar w:fldCharType="begin"/>
        </w:r>
        <w:r w:rsidR="00525F21">
          <w:rPr>
            <w:noProof/>
            <w:webHidden/>
          </w:rPr>
          <w:instrText xml:space="preserve"> PAGEREF _Toc55316129 \h </w:instrText>
        </w:r>
        <w:r w:rsidR="00525F21">
          <w:rPr>
            <w:noProof/>
            <w:webHidden/>
          </w:rPr>
        </w:r>
        <w:r w:rsidR="00525F21">
          <w:rPr>
            <w:noProof/>
            <w:webHidden/>
          </w:rPr>
          <w:fldChar w:fldCharType="separate"/>
        </w:r>
        <w:r w:rsidR="00D67CF6">
          <w:rPr>
            <w:noProof/>
            <w:webHidden/>
          </w:rPr>
          <w:t>165</w:t>
        </w:r>
        <w:r w:rsidR="00525F21">
          <w:rPr>
            <w:noProof/>
            <w:webHidden/>
          </w:rPr>
          <w:fldChar w:fldCharType="end"/>
        </w:r>
      </w:hyperlink>
    </w:p>
    <w:p w14:paraId="7923666F" w14:textId="3436EB47" w:rsidR="00525F21" w:rsidRDefault="00301F26" w:rsidP="00F2340D">
      <w:pPr>
        <w:pStyle w:val="TOC2"/>
        <w:rPr>
          <w:rFonts w:asciiTheme="minorHAnsi" w:eastAsiaTheme="minorEastAsia" w:hAnsiTheme="minorHAnsi" w:cstheme="minorBidi"/>
          <w:noProof/>
          <w:sz w:val="22"/>
          <w:lang w:eastAsia="lv-LV"/>
        </w:rPr>
      </w:pPr>
      <w:hyperlink w:anchor="_Toc55316130" w:history="1">
        <w:r w:rsidR="00525F21" w:rsidRPr="000378BC">
          <w:rPr>
            <w:rStyle w:val="Hyperlink"/>
            <w:noProof/>
          </w:rPr>
          <w:t>12.5</w:t>
        </w:r>
        <w:r w:rsidR="00525F21">
          <w:rPr>
            <w:rFonts w:asciiTheme="minorHAnsi" w:eastAsiaTheme="minorEastAsia" w:hAnsiTheme="minorHAnsi" w:cstheme="minorBidi"/>
            <w:noProof/>
            <w:sz w:val="22"/>
            <w:lang w:eastAsia="lv-LV"/>
          </w:rPr>
          <w:tab/>
        </w:r>
        <w:r w:rsidR="00525F21" w:rsidRPr="000378BC">
          <w:rPr>
            <w:rStyle w:val="Hyperlink"/>
            <w:noProof/>
          </w:rPr>
          <w:t>Cilvēkkapitāls</w:t>
        </w:r>
        <w:r w:rsidR="00525F21">
          <w:rPr>
            <w:noProof/>
            <w:webHidden/>
          </w:rPr>
          <w:tab/>
        </w:r>
        <w:r w:rsidR="00525F21">
          <w:rPr>
            <w:noProof/>
            <w:webHidden/>
          </w:rPr>
          <w:fldChar w:fldCharType="begin"/>
        </w:r>
        <w:r w:rsidR="00525F21">
          <w:rPr>
            <w:noProof/>
            <w:webHidden/>
          </w:rPr>
          <w:instrText xml:space="preserve"> PAGEREF _Toc55316130 \h </w:instrText>
        </w:r>
        <w:r w:rsidR="00525F21">
          <w:rPr>
            <w:noProof/>
            <w:webHidden/>
          </w:rPr>
        </w:r>
        <w:r w:rsidR="00525F21">
          <w:rPr>
            <w:noProof/>
            <w:webHidden/>
          </w:rPr>
          <w:fldChar w:fldCharType="separate"/>
        </w:r>
        <w:r w:rsidR="00D67CF6">
          <w:rPr>
            <w:noProof/>
            <w:webHidden/>
          </w:rPr>
          <w:t>166</w:t>
        </w:r>
        <w:r w:rsidR="00525F21">
          <w:rPr>
            <w:noProof/>
            <w:webHidden/>
          </w:rPr>
          <w:fldChar w:fldCharType="end"/>
        </w:r>
      </w:hyperlink>
    </w:p>
    <w:p w14:paraId="5E1DA73C" w14:textId="56E9FDFA" w:rsidR="00525F21" w:rsidRDefault="00301F26" w:rsidP="00F2340D">
      <w:pPr>
        <w:pStyle w:val="TOC2"/>
        <w:rPr>
          <w:rFonts w:asciiTheme="minorHAnsi" w:eastAsiaTheme="minorEastAsia" w:hAnsiTheme="minorHAnsi" w:cstheme="minorBidi"/>
          <w:noProof/>
          <w:sz w:val="22"/>
          <w:lang w:eastAsia="lv-LV"/>
        </w:rPr>
      </w:pPr>
      <w:hyperlink w:anchor="_Toc55316131" w:history="1">
        <w:r w:rsidR="00525F21" w:rsidRPr="000378BC">
          <w:rPr>
            <w:rStyle w:val="Hyperlink"/>
            <w:noProof/>
          </w:rPr>
          <w:t>12.6</w:t>
        </w:r>
        <w:r w:rsidR="00525F21">
          <w:rPr>
            <w:rFonts w:asciiTheme="minorHAnsi" w:eastAsiaTheme="minorEastAsia" w:hAnsiTheme="minorHAnsi" w:cstheme="minorBidi"/>
            <w:noProof/>
            <w:sz w:val="22"/>
            <w:lang w:eastAsia="lv-LV"/>
          </w:rPr>
          <w:tab/>
        </w:r>
        <w:r w:rsidR="00525F21" w:rsidRPr="000378BC">
          <w:rPr>
            <w:rStyle w:val="Hyperlink"/>
            <w:noProof/>
          </w:rPr>
          <w:t>IKT, infrastruktūras un darba procesu attīstība un modernizācija</w:t>
        </w:r>
        <w:r w:rsidR="00525F21">
          <w:rPr>
            <w:noProof/>
            <w:webHidden/>
          </w:rPr>
          <w:tab/>
        </w:r>
        <w:r w:rsidR="00525F21">
          <w:rPr>
            <w:noProof/>
            <w:webHidden/>
          </w:rPr>
          <w:fldChar w:fldCharType="begin"/>
        </w:r>
        <w:r w:rsidR="00525F21">
          <w:rPr>
            <w:noProof/>
            <w:webHidden/>
          </w:rPr>
          <w:instrText xml:space="preserve"> PAGEREF _Toc55316131 \h </w:instrText>
        </w:r>
        <w:r w:rsidR="00525F21">
          <w:rPr>
            <w:noProof/>
            <w:webHidden/>
          </w:rPr>
        </w:r>
        <w:r w:rsidR="00525F21">
          <w:rPr>
            <w:noProof/>
            <w:webHidden/>
          </w:rPr>
          <w:fldChar w:fldCharType="separate"/>
        </w:r>
        <w:r w:rsidR="00D67CF6">
          <w:rPr>
            <w:noProof/>
            <w:webHidden/>
          </w:rPr>
          <w:t>171</w:t>
        </w:r>
        <w:r w:rsidR="00525F21">
          <w:rPr>
            <w:noProof/>
            <w:webHidden/>
          </w:rPr>
          <w:fldChar w:fldCharType="end"/>
        </w:r>
      </w:hyperlink>
    </w:p>
    <w:p w14:paraId="59480E0D" w14:textId="7003604F" w:rsidR="00482C2E" w:rsidRPr="007157D3" w:rsidRDefault="00482C2E" w:rsidP="00525F21">
      <w:pPr>
        <w:tabs>
          <w:tab w:val="left" w:pos="567"/>
        </w:tabs>
        <w:spacing w:after="0" w:line="240" w:lineRule="auto"/>
        <w:rPr>
          <w:rFonts w:ascii="Times New Roman" w:hAnsi="Times New Roman" w:cs="Times New Roman"/>
          <w:sz w:val="24"/>
          <w:szCs w:val="24"/>
        </w:rPr>
      </w:pPr>
      <w:r w:rsidRPr="0015154B">
        <w:rPr>
          <w:rFonts w:ascii="Times New Roman" w:hAnsi="Times New Roman" w:cs="Times New Roman"/>
          <w:sz w:val="24"/>
          <w:szCs w:val="24"/>
        </w:rPr>
        <w:fldChar w:fldCharType="end"/>
      </w:r>
    </w:p>
    <w:p w14:paraId="09403DDB" w14:textId="7C07FB7E" w:rsidR="00096C2C" w:rsidRPr="002F5278" w:rsidRDefault="00096C2C">
      <w:pPr>
        <w:rPr>
          <w:rFonts w:ascii="Times New Roman" w:hAnsi="Times New Roman" w:cs="Times New Roman"/>
          <w:sz w:val="24"/>
          <w:szCs w:val="24"/>
        </w:rPr>
      </w:pPr>
      <w:r w:rsidRPr="002F5278">
        <w:rPr>
          <w:rFonts w:ascii="Times New Roman" w:hAnsi="Times New Roman" w:cs="Times New Roman"/>
          <w:sz w:val="24"/>
          <w:szCs w:val="24"/>
        </w:rPr>
        <w:br w:type="page"/>
      </w:r>
    </w:p>
    <w:p w14:paraId="77A9527E" w14:textId="77777777" w:rsidR="00200837" w:rsidRPr="002F5278" w:rsidRDefault="00200837" w:rsidP="00EC7537">
      <w:pPr>
        <w:pStyle w:val="Heading1"/>
      </w:pPr>
      <w:bookmarkStart w:id="2" w:name="_Toc55316055"/>
      <w:r w:rsidRPr="002F5278">
        <w:lastRenderedPageBreak/>
        <w:t>Izmantotie saīsinājumi</w:t>
      </w:r>
      <w:bookmarkEnd w:id="2"/>
    </w:p>
    <w:p w14:paraId="35CEA768" w14:textId="77777777" w:rsidR="00200837" w:rsidRPr="0025422D" w:rsidRDefault="00200837" w:rsidP="00200837">
      <w:pPr>
        <w:spacing w:after="0" w:line="240" w:lineRule="auto"/>
        <w:rPr>
          <w:rFonts w:ascii="Times New Roman" w:hAnsi="Times New Roman" w:cs="Times New Roman"/>
          <w:sz w:val="24"/>
          <w:szCs w:val="24"/>
          <w:highlight w:val="cyan"/>
        </w:rPr>
      </w:pPr>
    </w:p>
    <w:p w14:paraId="7EAEFF9D" w14:textId="77777777" w:rsidR="002A785B" w:rsidRPr="00A857F2" w:rsidRDefault="002A785B" w:rsidP="002A785B">
      <w:pPr>
        <w:spacing w:after="0" w:line="240" w:lineRule="auto"/>
        <w:rPr>
          <w:rFonts w:ascii="Times New Roman" w:hAnsi="Times New Roman" w:cs="Times New Roman"/>
          <w:sz w:val="24"/>
          <w:szCs w:val="24"/>
        </w:rPr>
      </w:pPr>
      <w:r w:rsidRPr="00A857F2">
        <w:rPr>
          <w:rFonts w:ascii="Times New Roman" w:hAnsi="Times New Roman" w:cs="Times New Roman"/>
          <w:sz w:val="24"/>
          <w:szCs w:val="24"/>
        </w:rPr>
        <w:t>ADTP</w:t>
      </w:r>
      <w:r w:rsidRPr="00A857F2">
        <w:rPr>
          <w:rFonts w:ascii="Times New Roman" w:hAnsi="Times New Roman" w:cs="Times New Roman"/>
          <w:sz w:val="24"/>
          <w:szCs w:val="24"/>
        </w:rPr>
        <w:tab/>
      </w:r>
      <w:r w:rsidRPr="00A857F2">
        <w:rPr>
          <w:rFonts w:ascii="Times New Roman" w:hAnsi="Times New Roman" w:cs="Times New Roman"/>
          <w:sz w:val="24"/>
          <w:szCs w:val="24"/>
        </w:rPr>
        <w:tab/>
      </w:r>
      <w:r w:rsidRPr="00A857F2">
        <w:rPr>
          <w:rFonts w:ascii="Times New Roman" w:hAnsi="Times New Roman" w:cs="Times New Roman"/>
          <w:sz w:val="24"/>
          <w:szCs w:val="24"/>
        </w:rPr>
        <w:tab/>
      </w:r>
      <w:r w:rsidRPr="00A857F2">
        <w:rPr>
          <w:rFonts w:ascii="Times New Roman" w:hAnsi="Times New Roman" w:cs="Times New Roman"/>
          <w:sz w:val="24"/>
          <w:szCs w:val="24"/>
        </w:rPr>
        <w:tab/>
        <w:t>Aktīvā darba tirgus politika</w:t>
      </w:r>
    </w:p>
    <w:p w14:paraId="53F90F88" w14:textId="1A912C30" w:rsidR="00200837" w:rsidRPr="009703E6" w:rsidRDefault="00200837" w:rsidP="00200837">
      <w:pPr>
        <w:spacing w:after="0" w:line="240" w:lineRule="auto"/>
        <w:rPr>
          <w:rFonts w:ascii="Times New Roman" w:hAnsi="Times New Roman" w:cs="Times New Roman"/>
          <w:sz w:val="24"/>
          <w:szCs w:val="24"/>
        </w:rPr>
      </w:pPr>
      <w:r w:rsidRPr="009703E6">
        <w:rPr>
          <w:rFonts w:ascii="Times New Roman" w:hAnsi="Times New Roman" w:cs="Times New Roman"/>
          <w:sz w:val="24"/>
          <w:szCs w:val="24"/>
        </w:rPr>
        <w:t>ANO</w:t>
      </w:r>
      <w:r w:rsidRPr="009703E6">
        <w:rPr>
          <w:rFonts w:ascii="Times New Roman" w:hAnsi="Times New Roman" w:cs="Times New Roman"/>
          <w:sz w:val="24"/>
          <w:szCs w:val="24"/>
        </w:rPr>
        <w:tab/>
      </w:r>
      <w:r w:rsidRPr="009703E6">
        <w:rPr>
          <w:rFonts w:ascii="Times New Roman" w:hAnsi="Times New Roman" w:cs="Times New Roman"/>
          <w:sz w:val="24"/>
          <w:szCs w:val="24"/>
        </w:rPr>
        <w:tab/>
      </w:r>
      <w:r w:rsidRPr="009703E6">
        <w:rPr>
          <w:rFonts w:ascii="Times New Roman" w:hAnsi="Times New Roman" w:cs="Times New Roman"/>
          <w:sz w:val="24"/>
          <w:szCs w:val="24"/>
        </w:rPr>
        <w:tab/>
      </w:r>
      <w:r w:rsidRPr="009703E6">
        <w:rPr>
          <w:rFonts w:ascii="Times New Roman" w:hAnsi="Times New Roman" w:cs="Times New Roman"/>
          <w:sz w:val="24"/>
          <w:szCs w:val="24"/>
        </w:rPr>
        <w:tab/>
        <w:t>Apvienoto Nāciju Organizācija</w:t>
      </w:r>
    </w:p>
    <w:p w14:paraId="4E58F48B" w14:textId="2C2B5D24" w:rsidR="002A785B" w:rsidRPr="0015154B" w:rsidRDefault="002A785B" w:rsidP="00200837">
      <w:pPr>
        <w:spacing w:after="0" w:line="240" w:lineRule="auto"/>
        <w:rPr>
          <w:rFonts w:ascii="Times New Roman" w:hAnsi="Times New Roman" w:cs="Times New Roman"/>
          <w:sz w:val="24"/>
          <w:szCs w:val="24"/>
        </w:rPr>
      </w:pPr>
      <w:r w:rsidRPr="009703E6">
        <w:rPr>
          <w:rFonts w:ascii="Times New Roman" w:hAnsi="Times New Roman" w:cs="Times New Roman"/>
          <w:sz w:val="24"/>
          <w:szCs w:val="24"/>
        </w:rPr>
        <w:t>AUS</w:t>
      </w:r>
      <w:r w:rsidRPr="009703E6">
        <w:rPr>
          <w:rFonts w:ascii="Times New Roman" w:hAnsi="Times New Roman" w:cs="Times New Roman"/>
          <w:sz w:val="24"/>
          <w:szCs w:val="24"/>
        </w:rPr>
        <w:tab/>
      </w:r>
      <w:r w:rsidRPr="009703E6">
        <w:rPr>
          <w:rFonts w:ascii="Times New Roman" w:hAnsi="Times New Roman" w:cs="Times New Roman"/>
          <w:sz w:val="24"/>
          <w:szCs w:val="24"/>
        </w:rPr>
        <w:tab/>
      </w:r>
      <w:r w:rsidRPr="009703E6">
        <w:rPr>
          <w:rFonts w:ascii="Times New Roman" w:hAnsi="Times New Roman" w:cs="Times New Roman"/>
          <w:sz w:val="24"/>
          <w:szCs w:val="24"/>
        </w:rPr>
        <w:tab/>
      </w:r>
      <w:r w:rsidRPr="009703E6">
        <w:rPr>
          <w:rFonts w:ascii="Times New Roman" w:hAnsi="Times New Roman" w:cs="Times New Roman"/>
          <w:sz w:val="24"/>
          <w:szCs w:val="24"/>
        </w:rPr>
        <w:tab/>
      </w:r>
      <w:r w:rsidR="0033352D" w:rsidRPr="0015154B">
        <w:rPr>
          <w:rFonts w:ascii="Times New Roman" w:hAnsi="Times New Roman" w:cs="Times New Roman"/>
          <w:sz w:val="24"/>
          <w:szCs w:val="24"/>
        </w:rPr>
        <w:t>Atlīdzības uzskaites sistēma</w:t>
      </w:r>
    </w:p>
    <w:p w14:paraId="63FD9EE5" w14:textId="77777777" w:rsidR="00200837" w:rsidRPr="0015154B" w:rsidRDefault="00200837" w:rsidP="00200837">
      <w:pPr>
        <w:tabs>
          <w:tab w:val="center" w:pos="1843"/>
        </w:tabs>
        <w:spacing w:after="0" w:line="240" w:lineRule="auto"/>
        <w:ind w:left="2835" w:hanging="2835"/>
        <w:jc w:val="both"/>
        <w:rPr>
          <w:rFonts w:ascii="Times New Roman" w:eastAsia="TimesNewRoman" w:hAnsi="Times New Roman" w:cs="Times New Roman"/>
          <w:sz w:val="24"/>
          <w:szCs w:val="24"/>
          <w:lang w:bidi="lo-LA"/>
        </w:rPr>
      </w:pPr>
      <w:r w:rsidRPr="0015154B">
        <w:rPr>
          <w:rFonts w:ascii="Times New Roman" w:eastAsia="TimesNewRoman" w:hAnsi="Times New Roman" w:cs="Times New Roman"/>
          <w:sz w:val="24"/>
          <w:szCs w:val="24"/>
          <w:lang w:bidi="lo-LA"/>
        </w:rPr>
        <w:t xml:space="preserve">BURVIS </w:t>
      </w:r>
      <w:r w:rsidRPr="0015154B">
        <w:rPr>
          <w:rFonts w:ascii="Times New Roman" w:eastAsia="TimesNewRoman" w:hAnsi="Times New Roman" w:cs="Times New Roman"/>
          <w:sz w:val="24"/>
          <w:szCs w:val="24"/>
          <w:lang w:bidi="lo-LA"/>
        </w:rPr>
        <w:tab/>
      </w:r>
      <w:r w:rsidRPr="0015154B">
        <w:rPr>
          <w:rFonts w:ascii="Times New Roman" w:eastAsia="TimesNewRoman" w:hAnsi="Times New Roman" w:cs="Times New Roman"/>
          <w:sz w:val="24"/>
          <w:szCs w:val="24"/>
          <w:lang w:bidi="lo-LA"/>
        </w:rPr>
        <w:tab/>
      </w:r>
      <w:r w:rsidRPr="0015154B">
        <w:rPr>
          <w:rFonts w:ascii="Times New Roman" w:eastAsia="TimesNewRoman" w:hAnsi="Times New Roman" w:cs="Times New Roman"/>
          <w:sz w:val="24"/>
          <w:szCs w:val="24"/>
          <w:lang w:bidi="lo-LA"/>
        </w:rPr>
        <w:tab/>
        <w:t>Bezdarbnieku uzskaites un reģistrēto vakanču informācijas sistēma</w:t>
      </w:r>
    </w:p>
    <w:p w14:paraId="13C59AB3" w14:textId="77777777" w:rsidR="00200837" w:rsidRPr="0015154B" w:rsidRDefault="00200837" w:rsidP="00200837">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t>CSP</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Centrālā statistikas pārvalde</w:t>
      </w:r>
    </w:p>
    <w:p w14:paraId="2563BAEA" w14:textId="77777777" w:rsidR="00200837" w:rsidRPr="0015154B" w:rsidRDefault="00200837" w:rsidP="00200837">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t>EK</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Eiropas Komisija</w:t>
      </w:r>
    </w:p>
    <w:p w14:paraId="7E0674D3" w14:textId="0B503D59" w:rsidR="00200837"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EM</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Ekonomikas ministrija</w:t>
      </w:r>
    </w:p>
    <w:p w14:paraId="204E300A" w14:textId="6AB931EB" w:rsidR="00F81B3E" w:rsidRPr="0015154B" w:rsidRDefault="00F81B3E" w:rsidP="002008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EPK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Ekonomikas politikas komiteja</w:t>
      </w:r>
    </w:p>
    <w:p w14:paraId="58BCD057" w14:textId="77777777" w:rsidR="00200837" w:rsidRPr="0015154B" w:rsidRDefault="00200837" w:rsidP="00200837">
      <w:pPr>
        <w:spacing w:after="0" w:line="240" w:lineRule="auto"/>
        <w:jc w:val="both"/>
        <w:rPr>
          <w:rFonts w:ascii="Times New Roman" w:hAnsi="Times New Roman" w:cs="Times New Roman"/>
          <w:iCs/>
          <w:sz w:val="24"/>
          <w:szCs w:val="24"/>
        </w:rPr>
      </w:pPr>
      <w:r w:rsidRPr="0015154B">
        <w:rPr>
          <w:rFonts w:ascii="Times New Roman" w:hAnsi="Times New Roman" w:cs="Times New Roman"/>
          <w:iCs/>
          <w:sz w:val="24"/>
          <w:szCs w:val="24"/>
        </w:rPr>
        <w:t>EP</w:t>
      </w:r>
      <w:r w:rsidRPr="0015154B">
        <w:rPr>
          <w:rFonts w:ascii="Times New Roman" w:hAnsi="Times New Roman" w:cs="Times New Roman"/>
          <w:iCs/>
          <w:sz w:val="24"/>
          <w:szCs w:val="24"/>
        </w:rPr>
        <w:tab/>
      </w:r>
      <w:r w:rsidRPr="0015154B">
        <w:rPr>
          <w:rFonts w:ascii="Times New Roman" w:hAnsi="Times New Roman" w:cs="Times New Roman"/>
          <w:iCs/>
          <w:sz w:val="24"/>
          <w:szCs w:val="24"/>
        </w:rPr>
        <w:tab/>
      </w:r>
      <w:r w:rsidRPr="0015154B">
        <w:rPr>
          <w:rFonts w:ascii="Times New Roman" w:hAnsi="Times New Roman" w:cs="Times New Roman"/>
          <w:iCs/>
          <w:sz w:val="24"/>
          <w:szCs w:val="24"/>
        </w:rPr>
        <w:tab/>
      </w:r>
      <w:r w:rsidRPr="0015154B">
        <w:rPr>
          <w:rFonts w:ascii="Times New Roman" w:hAnsi="Times New Roman" w:cs="Times New Roman"/>
          <w:iCs/>
          <w:sz w:val="24"/>
          <w:szCs w:val="24"/>
        </w:rPr>
        <w:tab/>
        <w:t>Eiropas Padome</w:t>
      </w:r>
    </w:p>
    <w:p w14:paraId="14646300" w14:textId="360AF111" w:rsidR="001B0694" w:rsidRDefault="001B0694" w:rsidP="001B0694">
      <w:pPr>
        <w:spacing w:after="0" w:line="240" w:lineRule="auto"/>
        <w:ind w:left="2880" w:hanging="2880"/>
        <w:jc w:val="both"/>
        <w:rPr>
          <w:rFonts w:ascii="Times New Roman" w:hAnsi="Times New Roman" w:cs="Times New Roman"/>
          <w:sz w:val="24"/>
          <w:szCs w:val="24"/>
        </w:rPr>
      </w:pPr>
      <w:r>
        <w:rPr>
          <w:rFonts w:ascii="Times New Roman" w:hAnsi="Times New Roman" w:cs="Times New Roman"/>
          <w:sz w:val="24"/>
          <w:szCs w:val="24"/>
        </w:rPr>
        <w:t>EPM</w:t>
      </w:r>
      <w:r>
        <w:rPr>
          <w:rFonts w:ascii="Times New Roman" w:hAnsi="Times New Roman" w:cs="Times New Roman"/>
          <w:sz w:val="24"/>
          <w:szCs w:val="24"/>
        </w:rPr>
        <w:tab/>
        <w:t xml:space="preserve">Nodarbinātības snieguma monitors </w:t>
      </w:r>
    </w:p>
    <w:p w14:paraId="5E918606" w14:textId="759C9DF3"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ERAF</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Eiropas Reģionālās attīstības fonds</w:t>
      </w:r>
    </w:p>
    <w:p w14:paraId="0FCF8E04"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ES</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Eiropas Savienība</w:t>
      </w:r>
    </w:p>
    <w:p w14:paraId="2887F045"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ESF</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Eiropas Sociālais fonds</w:t>
      </w:r>
    </w:p>
    <w:p w14:paraId="02193F1E" w14:textId="77777777" w:rsidR="00200837" w:rsidRPr="0015154B" w:rsidRDefault="00200837" w:rsidP="00200837">
      <w:pPr>
        <w:spacing w:after="0" w:line="240" w:lineRule="auto"/>
        <w:ind w:left="2880" w:hanging="2880"/>
        <w:rPr>
          <w:rFonts w:ascii="Times New Roman" w:hAnsi="Times New Roman" w:cs="Times New Roman"/>
          <w:sz w:val="24"/>
          <w:szCs w:val="24"/>
        </w:rPr>
      </w:pPr>
      <w:r w:rsidRPr="0015154B">
        <w:rPr>
          <w:rFonts w:ascii="Times New Roman" w:eastAsia="Times New Roman" w:hAnsi="Times New Roman"/>
          <w:sz w:val="24"/>
          <w:szCs w:val="24"/>
          <w:lang w:eastAsia="lv-LV"/>
        </w:rPr>
        <w:t xml:space="preserve">ESSPROS  </w:t>
      </w:r>
      <w:r w:rsidRPr="0015154B">
        <w:rPr>
          <w:rFonts w:ascii="Times New Roman" w:eastAsia="Times New Roman" w:hAnsi="Times New Roman"/>
          <w:sz w:val="24"/>
          <w:szCs w:val="24"/>
          <w:lang w:eastAsia="lv-LV"/>
        </w:rPr>
        <w:tab/>
        <w:t>Eiropas integrētā sociālās aizsardzības statistikas sistēma</w:t>
      </w:r>
    </w:p>
    <w:p w14:paraId="1D971048" w14:textId="77777777" w:rsidR="00200837" w:rsidRPr="0015154B" w:rsidRDefault="00200837" w:rsidP="00200837">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t>Eirostat</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Eiropas Savienības statistikas birojs</w:t>
      </w:r>
    </w:p>
    <w:p w14:paraId="47585E58" w14:textId="08B5D69B" w:rsidR="00200837" w:rsidRPr="0015154B" w:rsidRDefault="00200837" w:rsidP="00200837">
      <w:pPr>
        <w:spacing w:after="0" w:line="240" w:lineRule="auto"/>
        <w:ind w:left="2880" w:hanging="2880"/>
        <w:jc w:val="both"/>
        <w:rPr>
          <w:rFonts w:ascii="Times New Roman" w:hAnsi="Times New Roman" w:cs="Times New Roman"/>
          <w:sz w:val="24"/>
          <w:szCs w:val="24"/>
        </w:rPr>
      </w:pPr>
      <w:r w:rsidRPr="0015154B">
        <w:rPr>
          <w:rFonts w:ascii="Times New Roman" w:hAnsi="Times New Roman" w:cs="Times New Roman"/>
          <w:sz w:val="24"/>
          <w:szCs w:val="24"/>
        </w:rPr>
        <w:t>EU-SILC</w:t>
      </w:r>
      <w:r w:rsidRPr="0015154B">
        <w:rPr>
          <w:rFonts w:ascii="Times New Roman" w:hAnsi="Times New Roman" w:cs="Times New Roman"/>
          <w:sz w:val="24"/>
          <w:szCs w:val="24"/>
        </w:rPr>
        <w:tab/>
        <w:t xml:space="preserve">apsekojums “Eiropas </w:t>
      </w:r>
      <w:r w:rsidR="00DF7A40">
        <w:rPr>
          <w:rFonts w:ascii="Times New Roman" w:hAnsi="Times New Roman" w:cs="Times New Roman"/>
          <w:sz w:val="24"/>
          <w:szCs w:val="24"/>
        </w:rPr>
        <w:t>S</w:t>
      </w:r>
      <w:r w:rsidRPr="0015154B">
        <w:rPr>
          <w:rFonts w:ascii="Times New Roman" w:hAnsi="Times New Roman" w:cs="Times New Roman"/>
          <w:sz w:val="24"/>
          <w:szCs w:val="24"/>
        </w:rPr>
        <w:t>avienības statistika par ienākumiem un dzīves apstākļiem” (</w:t>
      </w:r>
      <w:r w:rsidRPr="0015154B">
        <w:rPr>
          <w:rFonts w:ascii="Times New Roman" w:hAnsi="Times New Roman" w:cs="Times New Roman"/>
          <w:i/>
          <w:sz w:val="24"/>
          <w:szCs w:val="24"/>
        </w:rPr>
        <w:t>The European Union Statistics on Income and Living Conditions</w:t>
      </w:r>
      <w:r w:rsidRPr="0015154B">
        <w:rPr>
          <w:rFonts w:ascii="Times New Roman" w:hAnsi="Times New Roman" w:cs="Times New Roman"/>
          <w:sz w:val="24"/>
          <w:szCs w:val="24"/>
        </w:rPr>
        <w:t>)</w:t>
      </w:r>
    </w:p>
    <w:p w14:paraId="24282BB0" w14:textId="15776981"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FM</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Finanšu ministrija</w:t>
      </w:r>
    </w:p>
    <w:p w14:paraId="2117488A" w14:textId="48532928" w:rsidR="00CC6716" w:rsidRPr="0015154B" w:rsidRDefault="00CC6716" w:rsidP="00200837">
      <w:pPr>
        <w:spacing w:after="0" w:line="240" w:lineRule="auto"/>
        <w:jc w:val="both"/>
        <w:rPr>
          <w:rFonts w:ascii="Times New Roman" w:hAnsi="Times New Roman" w:cs="Times New Roman"/>
          <w:sz w:val="24"/>
          <w:szCs w:val="24"/>
        </w:rPr>
      </w:pPr>
      <w:r w:rsidRPr="0015154B">
        <w:rPr>
          <w:rFonts w:ascii="Times New Roman" w:eastAsia="Calibri" w:hAnsi="Times New Roman" w:cs="Times New Roman"/>
          <w:sz w:val="24"/>
          <w:szCs w:val="24"/>
        </w:rPr>
        <w:t>FNL</w:t>
      </w:r>
      <w:r w:rsidRPr="0015154B">
        <w:rPr>
          <w:rFonts w:ascii="Times New Roman" w:eastAsia="Calibri" w:hAnsi="Times New Roman" w:cs="Times New Roman"/>
          <w:sz w:val="24"/>
          <w:szCs w:val="24"/>
        </w:rPr>
        <w:tab/>
      </w:r>
      <w:r w:rsidRPr="0015154B">
        <w:rPr>
          <w:rFonts w:ascii="Times New Roman" w:eastAsia="Calibri" w:hAnsi="Times New Roman" w:cs="Times New Roman"/>
          <w:sz w:val="24"/>
          <w:szCs w:val="24"/>
        </w:rPr>
        <w:tab/>
      </w:r>
      <w:r w:rsidRPr="0015154B">
        <w:rPr>
          <w:rFonts w:ascii="Times New Roman" w:eastAsia="Calibri" w:hAnsi="Times New Roman" w:cs="Times New Roman"/>
          <w:sz w:val="24"/>
          <w:szCs w:val="24"/>
        </w:rPr>
        <w:tab/>
      </w:r>
      <w:r w:rsidRPr="0015154B">
        <w:rPr>
          <w:rFonts w:ascii="Times New Roman" w:eastAsia="Calibri" w:hAnsi="Times New Roman" w:cs="Times New Roman"/>
          <w:sz w:val="24"/>
          <w:szCs w:val="24"/>
        </w:rPr>
        <w:tab/>
      </w:r>
      <w:r w:rsidR="00C565DA" w:rsidRPr="0015154B">
        <w:rPr>
          <w:rFonts w:ascii="Times New Roman" w:eastAsia="Calibri" w:hAnsi="Times New Roman" w:cs="Times New Roman"/>
          <w:sz w:val="24"/>
          <w:szCs w:val="24"/>
        </w:rPr>
        <w:t>Funkcionēšanas novērtēšanas laboratorija</w:t>
      </w:r>
    </w:p>
    <w:p w14:paraId="3420D0FC" w14:textId="76DEB8E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GMI</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Garantētais minimālais ienākumu līmenis</w:t>
      </w:r>
    </w:p>
    <w:p w14:paraId="59687CF0" w14:textId="307A075F" w:rsidR="00CC6716" w:rsidRPr="0015154B" w:rsidRDefault="00CC6716"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GRT</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Garīga rakstura traucējumi</w:t>
      </w:r>
    </w:p>
    <w:p w14:paraId="5687A77D" w14:textId="77777777" w:rsidR="00200837" w:rsidRPr="0015154B" w:rsidRDefault="00200837" w:rsidP="00200837">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t>IKP</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Iekšzemes kopprodukts</w:t>
      </w:r>
    </w:p>
    <w:p w14:paraId="5DE7A29F" w14:textId="3E350135" w:rsidR="00677E5C" w:rsidRPr="0015154B" w:rsidRDefault="00677E5C" w:rsidP="00200837">
      <w:pPr>
        <w:spacing w:after="0" w:line="240" w:lineRule="auto"/>
        <w:jc w:val="both"/>
        <w:rPr>
          <w:rFonts w:ascii="Times New Roman" w:hAnsi="Times New Roman" w:cs="Times New Roman"/>
          <w:sz w:val="24"/>
          <w:szCs w:val="24"/>
        </w:rPr>
      </w:pPr>
      <w:r w:rsidRPr="0015154B">
        <w:rPr>
          <w:rFonts w:ascii="Times New Roman" w:eastAsia="Calibri" w:hAnsi="Times New Roman"/>
          <w:iCs/>
          <w:color w:val="000000"/>
          <w:sz w:val="24"/>
          <w:szCs w:val="24"/>
        </w:rPr>
        <w:t xml:space="preserve">IKVD </w:t>
      </w:r>
      <w:r w:rsidRPr="0015154B">
        <w:rPr>
          <w:rFonts w:ascii="Times New Roman" w:eastAsia="Calibri" w:hAnsi="Times New Roman"/>
          <w:iCs/>
          <w:color w:val="000000"/>
          <w:sz w:val="24"/>
          <w:szCs w:val="24"/>
        </w:rPr>
        <w:tab/>
      </w:r>
      <w:r w:rsidRPr="0015154B">
        <w:rPr>
          <w:rFonts w:ascii="Times New Roman" w:eastAsia="Calibri" w:hAnsi="Times New Roman"/>
          <w:iCs/>
          <w:color w:val="000000"/>
          <w:sz w:val="24"/>
          <w:szCs w:val="24"/>
        </w:rPr>
        <w:tab/>
      </w:r>
      <w:r w:rsidRPr="0015154B">
        <w:rPr>
          <w:rFonts w:ascii="Times New Roman" w:eastAsia="Calibri" w:hAnsi="Times New Roman"/>
          <w:iCs/>
          <w:color w:val="000000"/>
          <w:sz w:val="24"/>
          <w:szCs w:val="24"/>
        </w:rPr>
        <w:tab/>
      </w:r>
      <w:r w:rsidRPr="0015154B">
        <w:rPr>
          <w:rFonts w:ascii="Times New Roman" w:eastAsia="Calibri" w:hAnsi="Times New Roman"/>
          <w:iCs/>
          <w:color w:val="000000"/>
          <w:sz w:val="24"/>
          <w:szCs w:val="24"/>
        </w:rPr>
        <w:tab/>
        <w:t>Izglītības kvalitātes valsts dienests</w:t>
      </w:r>
    </w:p>
    <w:p w14:paraId="54CECBF7" w14:textId="3F5BABAB" w:rsidR="0015403E" w:rsidRPr="0015154B" w:rsidRDefault="0015403E"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IS</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Informāc</w:t>
      </w:r>
      <w:r w:rsidR="004A6572">
        <w:rPr>
          <w:rFonts w:ascii="Times New Roman" w:hAnsi="Times New Roman" w:cs="Times New Roman"/>
          <w:sz w:val="24"/>
          <w:szCs w:val="24"/>
        </w:rPr>
        <w:t>i</w:t>
      </w:r>
      <w:r w:rsidRPr="0015154B">
        <w:rPr>
          <w:rFonts w:ascii="Times New Roman" w:hAnsi="Times New Roman" w:cs="Times New Roman"/>
          <w:sz w:val="24"/>
          <w:szCs w:val="24"/>
        </w:rPr>
        <w:t>jas sistēma</w:t>
      </w:r>
    </w:p>
    <w:p w14:paraId="2D315A67" w14:textId="421FB0CF"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 xml:space="preserve">IZM </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Izglītības un zinātnes ministrija</w:t>
      </w:r>
    </w:p>
    <w:p w14:paraId="1FE1B665" w14:textId="3D4F2F93" w:rsidR="0080291F" w:rsidRPr="0015154B" w:rsidRDefault="0080291F" w:rsidP="00200837">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t>JPA</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Juridiskās palīdzības administrācija</w:t>
      </w:r>
    </w:p>
    <w:p w14:paraId="33AD9AF7" w14:textId="43A80557" w:rsidR="00200837" w:rsidRPr="0015154B" w:rsidRDefault="00200837" w:rsidP="00200837">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t xml:space="preserve">KPP </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Konkurētspējas paaugstināšanas pasākumi</w:t>
      </w:r>
    </w:p>
    <w:p w14:paraId="261ED39E" w14:textId="77777777" w:rsidR="00200837" w:rsidRPr="0015154B" w:rsidRDefault="00200837" w:rsidP="00200837">
      <w:pPr>
        <w:pStyle w:val="NormalWeb"/>
        <w:shd w:val="clear" w:color="auto" w:fill="FFFFFF"/>
        <w:spacing w:before="0" w:beforeAutospacing="0" w:after="0" w:afterAutospacing="0"/>
        <w:jc w:val="both"/>
        <w:rPr>
          <w:rFonts w:ascii="Times New Roman" w:hAnsi="Times New Roman"/>
          <w:sz w:val="24"/>
          <w:szCs w:val="24"/>
        </w:rPr>
      </w:pPr>
      <w:r w:rsidRPr="0015154B">
        <w:rPr>
          <w:rFonts w:ascii="Times New Roman" w:hAnsi="Times New Roman"/>
          <w:sz w:val="24"/>
          <w:szCs w:val="24"/>
        </w:rPr>
        <w:t>LABIS</w:t>
      </w:r>
      <w:r w:rsidRPr="0015154B">
        <w:rPr>
          <w:rFonts w:ascii="Times New Roman" w:hAnsi="Times New Roman"/>
          <w:sz w:val="24"/>
          <w:szCs w:val="24"/>
        </w:rPr>
        <w:tab/>
      </w:r>
      <w:r w:rsidRPr="0015154B">
        <w:rPr>
          <w:rFonts w:ascii="Times New Roman" w:hAnsi="Times New Roman"/>
          <w:sz w:val="24"/>
          <w:szCs w:val="24"/>
        </w:rPr>
        <w:tab/>
      </w:r>
      <w:r w:rsidRPr="0015154B">
        <w:rPr>
          <w:rFonts w:ascii="Times New Roman" w:hAnsi="Times New Roman"/>
          <w:sz w:val="24"/>
          <w:szCs w:val="24"/>
        </w:rPr>
        <w:tab/>
      </w:r>
      <w:r w:rsidRPr="0015154B">
        <w:rPr>
          <w:rFonts w:ascii="Times New Roman" w:hAnsi="Times New Roman"/>
          <w:sz w:val="24"/>
          <w:szCs w:val="24"/>
        </w:rPr>
        <w:tab/>
        <w:t>Labklājības informācijas sistēma</w:t>
      </w:r>
    </w:p>
    <w:p w14:paraId="07A91EBB" w14:textId="3CD92F97" w:rsidR="00200837" w:rsidRPr="0015154B" w:rsidRDefault="00200837" w:rsidP="00200837">
      <w:pPr>
        <w:pStyle w:val="NormalWeb"/>
        <w:shd w:val="clear" w:color="auto" w:fill="FFFFFF"/>
        <w:spacing w:before="0" w:beforeAutospacing="0" w:after="0" w:afterAutospacing="0"/>
        <w:jc w:val="both"/>
        <w:rPr>
          <w:rFonts w:ascii="Times New Roman" w:hAnsi="Times New Roman"/>
          <w:sz w:val="24"/>
          <w:szCs w:val="24"/>
        </w:rPr>
      </w:pPr>
      <w:r w:rsidRPr="0015154B">
        <w:rPr>
          <w:rFonts w:ascii="Times New Roman" w:hAnsi="Times New Roman"/>
          <w:sz w:val="24"/>
          <w:szCs w:val="24"/>
        </w:rPr>
        <w:t>LBAS</w:t>
      </w:r>
      <w:r w:rsidRPr="0015154B">
        <w:rPr>
          <w:rFonts w:ascii="Times New Roman" w:hAnsi="Times New Roman"/>
          <w:sz w:val="24"/>
          <w:szCs w:val="24"/>
        </w:rPr>
        <w:tab/>
      </w:r>
      <w:r w:rsidRPr="0015154B">
        <w:rPr>
          <w:rFonts w:ascii="Times New Roman" w:hAnsi="Times New Roman"/>
          <w:sz w:val="24"/>
          <w:szCs w:val="24"/>
        </w:rPr>
        <w:tab/>
      </w:r>
      <w:r w:rsidRPr="0015154B">
        <w:rPr>
          <w:rFonts w:ascii="Times New Roman" w:hAnsi="Times New Roman"/>
          <w:sz w:val="24"/>
          <w:szCs w:val="24"/>
        </w:rPr>
        <w:tab/>
      </w:r>
      <w:r w:rsidRPr="0015154B">
        <w:rPr>
          <w:rFonts w:ascii="Times New Roman" w:hAnsi="Times New Roman"/>
          <w:sz w:val="24"/>
          <w:szCs w:val="24"/>
        </w:rPr>
        <w:tab/>
        <w:t>Latvijas Brīvo arodbiedrību savienība</w:t>
      </w:r>
    </w:p>
    <w:p w14:paraId="73037FFB" w14:textId="5CE44F7E" w:rsidR="00CC6716" w:rsidRPr="0015154B" w:rsidRDefault="00CC6716" w:rsidP="00200837">
      <w:pPr>
        <w:pStyle w:val="NormalWeb"/>
        <w:shd w:val="clear" w:color="auto" w:fill="FFFFFF"/>
        <w:spacing w:before="0" w:beforeAutospacing="0" w:after="0" w:afterAutospacing="0"/>
        <w:jc w:val="both"/>
        <w:rPr>
          <w:rFonts w:ascii="Times New Roman" w:hAnsi="Times New Roman"/>
          <w:sz w:val="24"/>
          <w:szCs w:val="24"/>
        </w:rPr>
      </w:pPr>
      <w:r w:rsidRPr="0015154B">
        <w:rPr>
          <w:rFonts w:ascii="Times New Roman" w:hAnsi="Times New Roman"/>
          <w:sz w:val="24"/>
          <w:szCs w:val="24"/>
        </w:rPr>
        <w:t>LBF</w:t>
      </w:r>
      <w:r w:rsidRPr="0015154B">
        <w:rPr>
          <w:rFonts w:ascii="Times New Roman" w:hAnsi="Times New Roman"/>
          <w:sz w:val="24"/>
          <w:szCs w:val="24"/>
        </w:rPr>
        <w:tab/>
      </w:r>
      <w:r w:rsidRPr="0015154B">
        <w:rPr>
          <w:rFonts w:ascii="Times New Roman" w:hAnsi="Times New Roman"/>
          <w:sz w:val="24"/>
          <w:szCs w:val="24"/>
        </w:rPr>
        <w:tab/>
      </w:r>
      <w:r w:rsidRPr="0015154B">
        <w:rPr>
          <w:rFonts w:ascii="Times New Roman" w:hAnsi="Times New Roman"/>
          <w:sz w:val="24"/>
          <w:szCs w:val="24"/>
        </w:rPr>
        <w:tab/>
      </w:r>
      <w:r w:rsidRPr="0015154B">
        <w:rPr>
          <w:rFonts w:ascii="Times New Roman" w:hAnsi="Times New Roman"/>
          <w:sz w:val="24"/>
          <w:szCs w:val="24"/>
        </w:rPr>
        <w:tab/>
      </w:r>
      <w:r w:rsidRPr="0015154B">
        <w:rPr>
          <w:rFonts w:ascii="Times New Roman" w:eastAsia="Calibri" w:hAnsi="Times New Roman"/>
          <w:sz w:val="24"/>
          <w:szCs w:val="24"/>
        </w:rPr>
        <w:t>Latvijas Bērnu fonds</w:t>
      </w:r>
    </w:p>
    <w:p w14:paraId="7E0CA699" w14:textId="77777777" w:rsidR="00200837" w:rsidRPr="0015154B" w:rsidRDefault="00200837" w:rsidP="00200837">
      <w:pPr>
        <w:pStyle w:val="NormalWeb"/>
        <w:shd w:val="clear" w:color="auto" w:fill="FFFFFF"/>
        <w:spacing w:before="0" w:beforeAutospacing="0" w:after="0" w:afterAutospacing="0"/>
        <w:jc w:val="both"/>
        <w:rPr>
          <w:rFonts w:ascii="Times New Roman" w:hAnsi="Times New Roman"/>
          <w:sz w:val="24"/>
          <w:szCs w:val="24"/>
        </w:rPr>
      </w:pPr>
      <w:r w:rsidRPr="0015154B">
        <w:rPr>
          <w:rFonts w:ascii="Times New Roman" w:hAnsi="Times New Roman"/>
          <w:sz w:val="24"/>
          <w:szCs w:val="24"/>
        </w:rPr>
        <w:t>LDDK</w:t>
      </w:r>
      <w:r w:rsidRPr="0015154B">
        <w:rPr>
          <w:rFonts w:ascii="Times New Roman" w:hAnsi="Times New Roman"/>
          <w:sz w:val="24"/>
          <w:szCs w:val="24"/>
        </w:rPr>
        <w:tab/>
      </w:r>
      <w:r w:rsidRPr="0015154B">
        <w:rPr>
          <w:rFonts w:ascii="Times New Roman" w:hAnsi="Times New Roman"/>
          <w:sz w:val="24"/>
          <w:szCs w:val="24"/>
        </w:rPr>
        <w:tab/>
      </w:r>
      <w:r w:rsidRPr="0015154B">
        <w:rPr>
          <w:rFonts w:ascii="Times New Roman" w:hAnsi="Times New Roman"/>
          <w:sz w:val="24"/>
          <w:szCs w:val="24"/>
        </w:rPr>
        <w:tab/>
      </w:r>
      <w:r w:rsidRPr="0015154B">
        <w:rPr>
          <w:rFonts w:ascii="Times New Roman" w:hAnsi="Times New Roman"/>
          <w:sz w:val="24"/>
          <w:szCs w:val="24"/>
        </w:rPr>
        <w:tab/>
        <w:t>Latvijas Darba devēju konfederācija</w:t>
      </w:r>
    </w:p>
    <w:p w14:paraId="46604467" w14:textId="736CD80B"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 xml:space="preserve">LM </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Labklājības ministrija</w:t>
      </w:r>
    </w:p>
    <w:p w14:paraId="31A92684" w14:textId="57F45201" w:rsidR="00CC6716" w:rsidRPr="0015154B" w:rsidRDefault="00CC6716"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LNB</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eastAsia="Calibri" w:hAnsi="Times New Roman" w:cs="Times New Roman"/>
          <w:sz w:val="24"/>
          <w:szCs w:val="24"/>
        </w:rPr>
        <w:t>Latvijas Neredzīgo biedrība</w:t>
      </w:r>
    </w:p>
    <w:p w14:paraId="53FEC5BF" w14:textId="103114A7" w:rsidR="00CC6716" w:rsidRPr="0015154B" w:rsidRDefault="00CC6716"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LNS</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eastAsia="Calibri" w:hAnsi="Times New Roman" w:cs="Times New Roman"/>
          <w:sz w:val="24"/>
          <w:szCs w:val="24"/>
        </w:rPr>
        <w:t>Latvijas Nedzirdīgo savienība</w:t>
      </w:r>
    </w:p>
    <w:p w14:paraId="762CF0F7"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LU</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Latvijas Universitāte</w:t>
      </w:r>
    </w:p>
    <w:p w14:paraId="352533DC" w14:textId="3A376434"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MIL</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Minimāl</w:t>
      </w:r>
      <w:r w:rsidR="00DF7A40">
        <w:rPr>
          <w:rFonts w:ascii="Times New Roman" w:hAnsi="Times New Roman" w:cs="Times New Roman"/>
          <w:sz w:val="24"/>
          <w:szCs w:val="24"/>
        </w:rPr>
        <w:t>ā</w:t>
      </w:r>
      <w:r w:rsidRPr="0015154B">
        <w:rPr>
          <w:rFonts w:ascii="Times New Roman" w:hAnsi="Times New Roman" w:cs="Times New Roman"/>
          <w:sz w:val="24"/>
          <w:szCs w:val="24"/>
        </w:rPr>
        <w:t xml:space="preserve"> ienākuma līmenis</w:t>
      </w:r>
    </w:p>
    <w:p w14:paraId="6F4349C6"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MK</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Ministru kabinets</w:t>
      </w:r>
    </w:p>
    <w:p w14:paraId="7F90BDFF" w14:textId="6B9DFC11" w:rsidR="00737C4E" w:rsidRPr="0015154B" w:rsidRDefault="00737C4E" w:rsidP="00200837">
      <w:pPr>
        <w:spacing w:after="0" w:line="240" w:lineRule="auto"/>
        <w:ind w:left="2880" w:hanging="2880"/>
        <w:jc w:val="both"/>
        <w:rPr>
          <w:rFonts w:ascii="Times New Roman" w:hAnsi="Times New Roman" w:cs="Times New Roman"/>
          <w:sz w:val="24"/>
          <w:szCs w:val="24"/>
        </w:rPr>
      </w:pPr>
      <w:r w:rsidRPr="0015154B">
        <w:rPr>
          <w:rFonts w:ascii="Times New Roman" w:hAnsi="Times New Roman" w:cs="Times New Roman"/>
          <w:sz w:val="24"/>
          <w:szCs w:val="24"/>
        </w:rPr>
        <w:t>NAP2027</w:t>
      </w:r>
      <w:r w:rsidRPr="0015154B">
        <w:rPr>
          <w:rFonts w:ascii="Times New Roman" w:hAnsi="Times New Roman" w:cs="Times New Roman"/>
          <w:sz w:val="24"/>
          <w:szCs w:val="24"/>
        </w:rPr>
        <w:tab/>
        <w:t>Latvijas Nacionālais attīstības plāns 2021.-2027.gadam</w:t>
      </w:r>
    </w:p>
    <w:p w14:paraId="03721C62" w14:textId="4D3EDC28" w:rsidR="00200837" w:rsidRPr="0015154B" w:rsidRDefault="00200837" w:rsidP="00200837">
      <w:pPr>
        <w:spacing w:after="0" w:line="240" w:lineRule="auto"/>
        <w:ind w:left="2880" w:hanging="2880"/>
        <w:jc w:val="both"/>
        <w:rPr>
          <w:rFonts w:ascii="Times New Roman" w:hAnsi="Times New Roman" w:cs="Times New Roman"/>
          <w:sz w:val="24"/>
          <w:szCs w:val="24"/>
        </w:rPr>
      </w:pPr>
      <w:r w:rsidRPr="0015154B">
        <w:rPr>
          <w:rFonts w:ascii="Times New Roman" w:hAnsi="Times New Roman" w:cs="Times New Roman"/>
          <w:sz w:val="24"/>
          <w:szCs w:val="24"/>
        </w:rPr>
        <w:t>NRP</w:t>
      </w:r>
      <w:r w:rsidRPr="0015154B">
        <w:rPr>
          <w:rFonts w:ascii="Times New Roman" w:hAnsi="Times New Roman" w:cs="Times New Roman"/>
          <w:sz w:val="24"/>
          <w:szCs w:val="24"/>
        </w:rPr>
        <w:tab/>
        <w:t>Latvijas nacionālā reformu programma „ES 2020” stratēģijas īstenošanai</w:t>
      </w:r>
    </w:p>
    <w:p w14:paraId="4BB77AFF" w14:textId="68D43DF4"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NVA</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Nodarbinātības valsts aģentūra</w:t>
      </w:r>
    </w:p>
    <w:p w14:paraId="3159B4AD" w14:textId="5041FAEC" w:rsidR="00414C6F" w:rsidRPr="0015154B" w:rsidRDefault="00414C6F"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NVD</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Nacionālais veselības dienests</w:t>
      </w:r>
    </w:p>
    <w:p w14:paraId="58F66698" w14:textId="77777777" w:rsidR="00200837" w:rsidRPr="0015154B" w:rsidRDefault="00200837" w:rsidP="00200837">
      <w:pPr>
        <w:spacing w:after="0" w:line="240" w:lineRule="auto"/>
        <w:ind w:left="2880" w:hanging="2880"/>
        <w:jc w:val="both"/>
        <w:rPr>
          <w:rFonts w:ascii="Times New Roman" w:hAnsi="Times New Roman" w:cs="Times New Roman"/>
          <w:sz w:val="24"/>
          <w:szCs w:val="24"/>
        </w:rPr>
      </w:pPr>
      <w:r w:rsidRPr="0015154B">
        <w:rPr>
          <w:rFonts w:ascii="Times New Roman" w:hAnsi="Times New Roman" w:cs="Times New Roman"/>
          <w:sz w:val="24"/>
          <w:szCs w:val="24"/>
        </w:rPr>
        <w:t>OECD</w:t>
      </w:r>
      <w:r w:rsidRPr="0015154B">
        <w:rPr>
          <w:rFonts w:ascii="Times New Roman" w:hAnsi="Times New Roman" w:cs="Times New Roman"/>
          <w:sz w:val="24"/>
          <w:szCs w:val="24"/>
        </w:rPr>
        <w:tab/>
        <w:t>Ekonomiskās sadarbības un attīstības organizācija</w:t>
      </w:r>
    </w:p>
    <w:p w14:paraId="7FCACCE0" w14:textId="72687140" w:rsidR="00200837" w:rsidRPr="0015154B" w:rsidRDefault="00200837" w:rsidP="00200837">
      <w:pPr>
        <w:spacing w:after="0" w:line="240" w:lineRule="auto"/>
        <w:ind w:left="2880" w:hanging="2880"/>
        <w:jc w:val="both"/>
        <w:rPr>
          <w:rFonts w:ascii="Times New Roman" w:hAnsi="Times New Roman" w:cs="Times New Roman"/>
          <w:sz w:val="24"/>
          <w:szCs w:val="24"/>
        </w:rPr>
      </w:pPr>
      <w:r w:rsidRPr="0015154B">
        <w:rPr>
          <w:rFonts w:ascii="Times New Roman" w:hAnsi="Times New Roman" w:cs="Times New Roman"/>
          <w:sz w:val="24"/>
          <w:szCs w:val="24"/>
        </w:rPr>
        <w:t>PB</w:t>
      </w:r>
      <w:r w:rsidRPr="0015154B">
        <w:rPr>
          <w:rFonts w:ascii="Times New Roman" w:hAnsi="Times New Roman" w:cs="Times New Roman"/>
          <w:sz w:val="24"/>
          <w:szCs w:val="24"/>
        </w:rPr>
        <w:tab/>
        <w:t>Pasaules Banka</w:t>
      </w:r>
    </w:p>
    <w:p w14:paraId="2BCDA846" w14:textId="2323BA83" w:rsidR="006618BE" w:rsidRPr="0015154B" w:rsidRDefault="006618BE" w:rsidP="00200837">
      <w:pPr>
        <w:spacing w:after="0" w:line="240" w:lineRule="auto"/>
        <w:ind w:left="2880" w:hanging="2880"/>
        <w:jc w:val="both"/>
        <w:rPr>
          <w:rFonts w:ascii="Times New Roman" w:hAnsi="Times New Roman" w:cs="Times New Roman"/>
          <w:sz w:val="24"/>
          <w:szCs w:val="24"/>
        </w:rPr>
      </w:pPr>
      <w:r w:rsidRPr="0015154B">
        <w:rPr>
          <w:rFonts w:ascii="Times New Roman" w:hAnsi="Times New Roman" w:cs="Times New Roman"/>
          <w:sz w:val="24"/>
          <w:szCs w:val="24"/>
        </w:rPr>
        <w:t>PIL</w:t>
      </w:r>
      <w:r w:rsidRPr="0015154B">
        <w:rPr>
          <w:rFonts w:ascii="Times New Roman" w:hAnsi="Times New Roman" w:cs="Times New Roman"/>
          <w:sz w:val="24"/>
          <w:szCs w:val="24"/>
        </w:rPr>
        <w:tab/>
      </w:r>
      <w:r w:rsidRPr="0015154B">
        <w:rPr>
          <w:rFonts w:ascii="Times New Roman" w:eastAsia="Calibri" w:hAnsi="Times New Roman" w:cs="Times New Roman"/>
          <w:sz w:val="24"/>
          <w:szCs w:val="24"/>
        </w:rPr>
        <w:t>Publiskā iepirkumu likums</w:t>
      </w:r>
    </w:p>
    <w:p w14:paraId="2222B0A7" w14:textId="77777777" w:rsidR="00200837" w:rsidRPr="0015154B" w:rsidRDefault="00200837" w:rsidP="00200837">
      <w:pPr>
        <w:spacing w:after="0" w:line="240" w:lineRule="auto"/>
        <w:ind w:left="2880" w:hanging="2880"/>
        <w:jc w:val="both"/>
        <w:rPr>
          <w:rFonts w:ascii="Times New Roman" w:hAnsi="Times New Roman" w:cs="Times New Roman"/>
          <w:sz w:val="24"/>
          <w:szCs w:val="24"/>
        </w:rPr>
      </w:pPr>
      <w:r w:rsidRPr="0015154B">
        <w:rPr>
          <w:rFonts w:ascii="Times New Roman" w:hAnsi="Times New Roman" w:cs="Times New Roman"/>
          <w:sz w:val="24"/>
          <w:szCs w:val="24"/>
        </w:rPr>
        <w:t>PTAC</w:t>
      </w:r>
      <w:r w:rsidRPr="0015154B">
        <w:rPr>
          <w:rFonts w:ascii="Times New Roman" w:hAnsi="Times New Roman" w:cs="Times New Roman"/>
          <w:sz w:val="24"/>
          <w:szCs w:val="24"/>
        </w:rPr>
        <w:tab/>
        <w:t>Patērētāju tiesību aizsardzības centrs</w:t>
      </w:r>
    </w:p>
    <w:p w14:paraId="2158D093" w14:textId="2EDC1F09" w:rsidR="0083747E" w:rsidRPr="0015154B" w:rsidRDefault="0083747E" w:rsidP="00200837">
      <w:pPr>
        <w:spacing w:after="0" w:line="240" w:lineRule="auto"/>
        <w:ind w:left="2880" w:hanging="2880"/>
        <w:rPr>
          <w:rFonts w:ascii="Times New Roman" w:hAnsi="Times New Roman" w:cs="Times New Roman"/>
          <w:sz w:val="24"/>
          <w:szCs w:val="24"/>
        </w:rPr>
      </w:pPr>
      <w:r w:rsidRPr="0015154B">
        <w:rPr>
          <w:rFonts w:ascii="Times New Roman" w:hAnsi="Times New Roman" w:cs="Times New Roman"/>
          <w:sz w:val="24"/>
          <w:szCs w:val="24"/>
        </w:rPr>
        <w:lastRenderedPageBreak/>
        <w:t>RSU</w:t>
      </w:r>
      <w:r w:rsidRPr="0015154B">
        <w:rPr>
          <w:rFonts w:ascii="Times New Roman" w:hAnsi="Times New Roman" w:cs="Times New Roman"/>
          <w:sz w:val="24"/>
          <w:szCs w:val="24"/>
        </w:rPr>
        <w:tab/>
        <w:t>Rīgas Stradiņa universitāte</w:t>
      </w:r>
    </w:p>
    <w:p w14:paraId="05180BCF" w14:textId="64836F7C" w:rsidR="006618BE" w:rsidRPr="0015154B" w:rsidRDefault="006618BE" w:rsidP="00200837">
      <w:pPr>
        <w:spacing w:after="0" w:line="240" w:lineRule="auto"/>
        <w:ind w:left="2880" w:hanging="2880"/>
        <w:rPr>
          <w:rFonts w:ascii="Times New Roman" w:eastAsia="Calibri" w:hAnsi="Times New Roman" w:cs="Times New Roman"/>
          <w:sz w:val="24"/>
          <w:szCs w:val="24"/>
        </w:rPr>
      </w:pPr>
      <w:r w:rsidRPr="0015154B">
        <w:rPr>
          <w:rFonts w:ascii="Times New Roman" w:hAnsi="Times New Roman" w:cs="Times New Roman"/>
          <w:sz w:val="24"/>
          <w:szCs w:val="24"/>
        </w:rPr>
        <w:t>SAC</w:t>
      </w:r>
      <w:r w:rsidRPr="0015154B">
        <w:rPr>
          <w:rFonts w:ascii="Times New Roman" w:hAnsi="Times New Roman" w:cs="Times New Roman"/>
          <w:sz w:val="24"/>
          <w:szCs w:val="24"/>
        </w:rPr>
        <w:tab/>
      </w:r>
      <w:r w:rsidRPr="0015154B">
        <w:rPr>
          <w:rFonts w:ascii="Times New Roman" w:eastAsia="Calibri" w:hAnsi="Times New Roman" w:cs="Times New Roman"/>
          <w:sz w:val="24"/>
          <w:szCs w:val="24"/>
        </w:rPr>
        <w:t>Ilgstošas sociālās aprūpes un sociālās rehabilitācijas institūcija</w:t>
      </w:r>
    </w:p>
    <w:p w14:paraId="376B1848" w14:textId="7144D4CD" w:rsidR="00F81B3E" w:rsidRDefault="00F81B3E" w:rsidP="00200837">
      <w:pPr>
        <w:spacing w:after="0" w:line="240" w:lineRule="auto"/>
        <w:ind w:left="2880" w:hanging="2880"/>
        <w:rPr>
          <w:rFonts w:ascii="Times New Roman" w:hAnsi="Times New Roman" w:cs="Times New Roman"/>
          <w:sz w:val="24"/>
          <w:szCs w:val="24"/>
        </w:rPr>
      </w:pPr>
      <w:r>
        <w:rPr>
          <w:rFonts w:ascii="Times New Roman" w:hAnsi="Times New Roman" w:cs="Times New Roman"/>
          <w:sz w:val="24"/>
          <w:szCs w:val="24"/>
        </w:rPr>
        <w:t>SAK</w:t>
      </w:r>
      <w:r>
        <w:rPr>
          <w:rFonts w:ascii="Times New Roman" w:hAnsi="Times New Roman" w:cs="Times New Roman"/>
          <w:sz w:val="24"/>
          <w:szCs w:val="24"/>
        </w:rPr>
        <w:tab/>
        <w:t>Sociālās aizsardzības komiteja</w:t>
      </w:r>
    </w:p>
    <w:p w14:paraId="519C6126" w14:textId="5DBD04B9" w:rsidR="006618BE" w:rsidRPr="0015154B" w:rsidRDefault="006618BE" w:rsidP="00200837">
      <w:pPr>
        <w:spacing w:after="0" w:line="240" w:lineRule="auto"/>
        <w:ind w:left="2880" w:hanging="2880"/>
        <w:rPr>
          <w:rFonts w:ascii="Times New Roman" w:hAnsi="Times New Roman" w:cs="Times New Roman"/>
          <w:sz w:val="24"/>
          <w:szCs w:val="24"/>
        </w:rPr>
      </w:pPr>
      <w:r w:rsidRPr="0015154B">
        <w:rPr>
          <w:rFonts w:ascii="Times New Roman" w:hAnsi="Times New Roman" w:cs="Times New Roman"/>
          <w:sz w:val="24"/>
          <w:szCs w:val="24"/>
        </w:rPr>
        <w:t>SBSP</w:t>
      </w:r>
      <w:r w:rsidRPr="0015154B">
        <w:rPr>
          <w:rFonts w:ascii="Times New Roman" w:hAnsi="Times New Roman" w:cs="Times New Roman"/>
          <w:sz w:val="24"/>
          <w:szCs w:val="24"/>
        </w:rPr>
        <w:tab/>
      </w:r>
      <w:r w:rsidRPr="0015154B">
        <w:rPr>
          <w:rFonts w:ascii="Times New Roman" w:eastAsia="Calibri" w:hAnsi="Times New Roman" w:cs="Times New Roman"/>
          <w:sz w:val="24"/>
          <w:szCs w:val="24"/>
        </w:rPr>
        <w:t>Sabiedrībā balstīti sociālie pakalpojumi</w:t>
      </w:r>
    </w:p>
    <w:p w14:paraId="1A288D6C" w14:textId="22271C67" w:rsidR="006618BE" w:rsidRPr="0015154B" w:rsidRDefault="006618BE" w:rsidP="00200837">
      <w:pPr>
        <w:spacing w:after="0" w:line="240" w:lineRule="auto"/>
        <w:ind w:left="2880" w:hanging="2880"/>
        <w:rPr>
          <w:rFonts w:ascii="Times New Roman" w:hAnsi="Times New Roman" w:cs="Times New Roman"/>
          <w:sz w:val="24"/>
          <w:szCs w:val="24"/>
        </w:rPr>
      </w:pPr>
      <w:r w:rsidRPr="0015154B">
        <w:rPr>
          <w:rFonts w:ascii="Times New Roman" w:eastAsia="Calibri" w:hAnsi="Times New Roman" w:cs="Times New Roman"/>
          <w:sz w:val="24"/>
          <w:szCs w:val="24"/>
        </w:rPr>
        <w:t>SIVA</w:t>
      </w:r>
      <w:r w:rsidRPr="0015154B">
        <w:rPr>
          <w:rFonts w:ascii="Times New Roman" w:eastAsia="Calibri" w:hAnsi="Times New Roman" w:cs="Times New Roman"/>
          <w:sz w:val="24"/>
          <w:szCs w:val="24"/>
        </w:rPr>
        <w:tab/>
        <w:t>Sociālās integrācijas valsts aģentūra</w:t>
      </w:r>
    </w:p>
    <w:p w14:paraId="27DFB323" w14:textId="49BE073D" w:rsidR="00200837" w:rsidRPr="0015154B" w:rsidRDefault="00200837" w:rsidP="00200837">
      <w:pPr>
        <w:spacing w:after="0" w:line="240" w:lineRule="auto"/>
        <w:ind w:left="2880" w:hanging="2880"/>
        <w:rPr>
          <w:rFonts w:ascii="Times New Roman" w:hAnsi="Times New Roman" w:cs="Times New Roman"/>
          <w:sz w:val="24"/>
          <w:szCs w:val="24"/>
        </w:rPr>
      </w:pPr>
      <w:r w:rsidRPr="0015154B">
        <w:rPr>
          <w:rFonts w:ascii="Times New Roman" w:hAnsi="Times New Roman" w:cs="Times New Roman"/>
          <w:sz w:val="24"/>
          <w:szCs w:val="24"/>
        </w:rPr>
        <w:t>SOPA</w:t>
      </w:r>
      <w:r w:rsidRPr="0015154B">
        <w:rPr>
          <w:rFonts w:ascii="Times New Roman" w:hAnsi="Times New Roman" w:cs="Times New Roman"/>
          <w:b/>
          <w:bCs/>
          <w:sz w:val="24"/>
          <w:szCs w:val="24"/>
          <w:shd w:val="clear" w:color="auto" w:fill="FFFFFF"/>
        </w:rPr>
        <w:tab/>
      </w:r>
      <w:r w:rsidRPr="0015154B">
        <w:rPr>
          <w:rFonts w:ascii="Times New Roman" w:hAnsi="Times New Roman" w:cs="Times New Roman"/>
          <w:sz w:val="24"/>
          <w:szCs w:val="24"/>
        </w:rPr>
        <w:t>Pašvaldību Sociālās palīdzības administrēšanas lietojumprogramma</w:t>
      </w:r>
    </w:p>
    <w:p w14:paraId="4BE80F98" w14:textId="582AFF0A" w:rsidR="00200837" w:rsidRPr="0015154B" w:rsidRDefault="00200837" w:rsidP="00200837">
      <w:pPr>
        <w:spacing w:after="0" w:line="240" w:lineRule="auto"/>
        <w:ind w:left="2880" w:hanging="2880"/>
        <w:rPr>
          <w:rFonts w:ascii="Times New Roman" w:hAnsi="Times New Roman" w:cs="Times New Roman"/>
          <w:sz w:val="24"/>
          <w:szCs w:val="24"/>
        </w:rPr>
      </w:pPr>
      <w:r w:rsidRPr="0015154B">
        <w:rPr>
          <w:rFonts w:ascii="Times New Roman" w:hAnsi="Times New Roman" w:cs="Times New Roman"/>
          <w:sz w:val="24"/>
          <w:szCs w:val="24"/>
        </w:rPr>
        <w:t>SPOLIS</w:t>
      </w:r>
      <w:r w:rsidRPr="0015154B">
        <w:rPr>
          <w:rFonts w:ascii="Times New Roman" w:hAnsi="Times New Roman" w:cs="Times New Roman"/>
          <w:sz w:val="24"/>
          <w:szCs w:val="24"/>
        </w:rPr>
        <w:tab/>
      </w:r>
      <w:r w:rsidR="000C29A9" w:rsidRPr="0015154B">
        <w:rPr>
          <w:rFonts w:ascii="Times New Roman" w:hAnsi="Times New Roman" w:cs="Times New Roman"/>
          <w:sz w:val="24"/>
          <w:szCs w:val="24"/>
        </w:rPr>
        <w:t>Valsts sociālās politikas monitoringa informācijas sistēma</w:t>
      </w:r>
    </w:p>
    <w:p w14:paraId="6867E2C2" w14:textId="59E863D9" w:rsidR="006618BE" w:rsidRPr="0015154B" w:rsidRDefault="006618BE" w:rsidP="00200837">
      <w:pPr>
        <w:spacing w:after="0" w:line="240" w:lineRule="auto"/>
        <w:ind w:left="2880" w:hanging="2880"/>
        <w:rPr>
          <w:rFonts w:ascii="Times New Roman" w:hAnsi="Times New Roman" w:cs="Times New Roman"/>
          <w:sz w:val="24"/>
          <w:szCs w:val="24"/>
        </w:rPr>
      </w:pPr>
      <w:r w:rsidRPr="0015154B">
        <w:rPr>
          <w:rFonts w:ascii="Times New Roman" w:eastAsia="Calibri" w:hAnsi="Times New Roman" w:cs="Times New Roman"/>
          <w:sz w:val="24"/>
          <w:szCs w:val="24"/>
        </w:rPr>
        <w:t>SPSPL</w:t>
      </w:r>
      <w:r w:rsidRPr="0015154B">
        <w:rPr>
          <w:rFonts w:ascii="Times New Roman" w:eastAsia="Calibri" w:hAnsi="Times New Roman" w:cs="Times New Roman"/>
          <w:sz w:val="24"/>
          <w:szCs w:val="24"/>
        </w:rPr>
        <w:tab/>
        <w:t>Sociālo pakalpojumu un sociālās palīdzības likums</w:t>
      </w:r>
    </w:p>
    <w:p w14:paraId="0F19CF09" w14:textId="5CCEDA23" w:rsidR="00DE5608" w:rsidRDefault="00DE5608" w:rsidP="00200837">
      <w:pPr>
        <w:spacing w:after="0" w:line="240" w:lineRule="auto"/>
        <w:ind w:left="2880" w:hanging="2880"/>
        <w:rPr>
          <w:rFonts w:ascii="Times New Roman" w:eastAsia="Calibri" w:hAnsi="Times New Roman" w:cs="Times New Roman"/>
          <w:sz w:val="24"/>
          <w:szCs w:val="24"/>
        </w:rPr>
      </w:pPr>
      <w:r>
        <w:rPr>
          <w:rFonts w:ascii="Times New Roman" w:eastAsia="Calibri" w:hAnsi="Times New Roman" w:cs="Times New Roman"/>
          <w:sz w:val="24"/>
          <w:szCs w:val="24"/>
        </w:rPr>
        <w:t>SPPM</w:t>
      </w:r>
      <w:r>
        <w:rPr>
          <w:rFonts w:ascii="Times New Roman" w:eastAsia="Calibri" w:hAnsi="Times New Roman" w:cs="Times New Roman"/>
          <w:sz w:val="24"/>
          <w:szCs w:val="24"/>
        </w:rPr>
        <w:tab/>
      </w:r>
      <w:r>
        <w:rPr>
          <w:rFonts w:ascii="Times New Roman" w:hAnsi="Times New Roman" w:cs="Times New Roman"/>
          <w:sz w:val="24"/>
          <w:szCs w:val="24"/>
        </w:rPr>
        <w:t xml:space="preserve">Sociālās politikas snieguma monitoringa ietvars </w:t>
      </w:r>
    </w:p>
    <w:p w14:paraId="00A0E45F" w14:textId="4A17D381" w:rsidR="006618BE" w:rsidRPr="0015154B" w:rsidRDefault="006618BE" w:rsidP="00200837">
      <w:pPr>
        <w:spacing w:after="0" w:line="240" w:lineRule="auto"/>
        <w:ind w:left="2880" w:hanging="2880"/>
        <w:rPr>
          <w:rFonts w:ascii="Times New Roman" w:hAnsi="Times New Roman" w:cs="Times New Roman"/>
          <w:sz w:val="24"/>
          <w:szCs w:val="24"/>
          <w:highlight w:val="yellow"/>
        </w:rPr>
      </w:pPr>
      <w:r w:rsidRPr="0015154B">
        <w:rPr>
          <w:rFonts w:ascii="Times New Roman" w:eastAsia="Calibri" w:hAnsi="Times New Roman" w:cs="Times New Roman"/>
          <w:sz w:val="24"/>
          <w:szCs w:val="24"/>
        </w:rPr>
        <w:t>TPL</w:t>
      </w:r>
      <w:r w:rsidRPr="0015154B">
        <w:rPr>
          <w:rFonts w:ascii="Times New Roman" w:eastAsia="Calibri" w:hAnsi="Times New Roman" w:cs="Times New Roman"/>
          <w:sz w:val="24"/>
          <w:szCs w:val="24"/>
        </w:rPr>
        <w:tab/>
        <w:t>Tehniskie palīglīdzekļi</w:t>
      </w:r>
    </w:p>
    <w:p w14:paraId="5EBD0EA7" w14:textId="77777777" w:rsidR="00200837" w:rsidRPr="0015154B" w:rsidRDefault="00200837" w:rsidP="00200837">
      <w:pPr>
        <w:spacing w:after="0" w:line="240" w:lineRule="auto"/>
        <w:ind w:left="2880" w:hanging="2880"/>
        <w:rPr>
          <w:rFonts w:ascii="Times New Roman" w:hAnsi="Times New Roman" w:cs="Times New Roman"/>
          <w:sz w:val="24"/>
          <w:szCs w:val="24"/>
        </w:rPr>
      </w:pPr>
      <w:r w:rsidRPr="0015154B">
        <w:rPr>
          <w:rFonts w:ascii="Times New Roman" w:hAnsi="Times New Roman" w:cs="Times New Roman"/>
          <w:sz w:val="24"/>
          <w:szCs w:val="24"/>
        </w:rPr>
        <w:t>VDEĀVK</w:t>
      </w:r>
      <w:r w:rsidRPr="0015154B">
        <w:rPr>
          <w:rFonts w:ascii="Times New Roman" w:hAnsi="Times New Roman" w:cs="Times New Roman"/>
          <w:sz w:val="24"/>
          <w:szCs w:val="24"/>
        </w:rPr>
        <w:tab/>
        <w:t>Veselības un darbspēju ekspertīzes ārstu valsts komisija</w:t>
      </w:r>
    </w:p>
    <w:p w14:paraId="15E80E30"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VDI</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Valsts darba inspekcija</w:t>
      </w:r>
    </w:p>
    <w:p w14:paraId="02750209" w14:textId="77777777" w:rsidR="00200837" w:rsidRPr="0015154B" w:rsidRDefault="00200837" w:rsidP="00200837">
      <w:pPr>
        <w:spacing w:after="0" w:line="240" w:lineRule="auto"/>
        <w:ind w:left="2880" w:hanging="2880"/>
        <w:rPr>
          <w:rFonts w:ascii="Times New Roman" w:hAnsi="Times New Roman" w:cs="Times New Roman"/>
          <w:sz w:val="24"/>
          <w:szCs w:val="24"/>
        </w:rPr>
      </w:pPr>
      <w:r w:rsidRPr="0015154B">
        <w:rPr>
          <w:rFonts w:ascii="Times New Roman" w:hAnsi="Times New Roman" w:cs="Times New Roman"/>
          <w:sz w:val="24"/>
          <w:szCs w:val="24"/>
        </w:rPr>
        <w:t xml:space="preserve">VIAA </w:t>
      </w:r>
      <w:r w:rsidRPr="0015154B">
        <w:rPr>
          <w:rFonts w:ascii="Times New Roman" w:hAnsi="Times New Roman" w:cs="Times New Roman"/>
          <w:sz w:val="24"/>
          <w:szCs w:val="24"/>
        </w:rPr>
        <w:tab/>
        <w:t>Valsts izglītības attīstības aģentūra </w:t>
      </w:r>
    </w:p>
    <w:p w14:paraId="5DDBC864"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VID</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Valsts ieņēmumu dienests</w:t>
      </w:r>
    </w:p>
    <w:p w14:paraId="53A39C37" w14:textId="610B9D3E"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VSAA</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Valsts sociālās apdrošināšanas aģentūra</w:t>
      </w:r>
    </w:p>
    <w:p w14:paraId="159C463E" w14:textId="6E8B3E98" w:rsidR="006618BE" w:rsidRDefault="00CC6716" w:rsidP="00200837">
      <w:pPr>
        <w:spacing w:after="0" w:line="240" w:lineRule="auto"/>
        <w:jc w:val="both"/>
        <w:rPr>
          <w:rFonts w:ascii="Times New Roman" w:eastAsia="Calibri" w:hAnsi="Times New Roman" w:cs="Times New Roman"/>
          <w:sz w:val="24"/>
          <w:szCs w:val="24"/>
        </w:rPr>
      </w:pPr>
      <w:r w:rsidRPr="0015154B">
        <w:rPr>
          <w:rFonts w:ascii="Times New Roman" w:hAnsi="Times New Roman" w:cs="Times New Roman"/>
          <w:sz w:val="24"/>
          <w:szCs w:val="24"/>
        </w:rPr>
        <w:t>VSAC</w:t>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r>
      <w:r w:rsidRPr="0015154B">
        <w:rPr>
          <w:rFonts w:ascii="Times New Roman" w:hAnsi="Times New Roman" w:cs="Times New Roman"/>
          <w:sz w:val="24"/>
          <w:szCs w:val="24"/>
        </w:rPr>
        <w:tab/>
        <w:t>V</w:t>
      </w:r>
      <w:r w:rsidRPr="0015154B">
        <w:rPr>
          <w:rFonts w:ascii="Times New Roman" w:eastAsia="Calibri" w:hAnsi="Times New Roman" w:cs="Times New Roman"/>
          <w:sz w:val="24"/>
          <w:szCs w:val="24"/>
        </w:rPr>
        <w:t>alsts sociālās aprūpes centrs</w:t>
      </w:r>
    </w:p>
    <w:p w14:paraId="6EED31FF" w14:textId="431999AB" w:rsidR="0025422D" w:rsidRPr="0025422D" w:rsidRDefault="0025422D" w:rsidP="002008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VSAOI</w:t>
      </w:r>
      <w:r w:rsidR="00B11D8C">
        <w:rPr>
          <w:rFonts w:ascii="Times New Roman" w:eastAsia="Calibri" w:hAnsi="Times New Roman" w:cs="Times New Roman"/>
          <w:sz w:val="24"/>
          <w:szCs w:val="24"/>
        </w:rPr>
        <w:tab/>
      </w:r>
      <w:r w:rsidR="00B11D8C">
        <w:rPr>
          <w:rFonts w:ascii="Times New Roman" w:eastAsia="Calibri" w:hAnsi="Times New Roman" w:cs="Times New Roman"/>
          <w:sz w:val="24"/>
          <w:szCs w:val="24"/>
        </w:rPr>
        <w:tab/>
      </w:r>
      <w:r w:rsidR="00B11D8C">
        <w:rPr>
          <w:rFonts w:ascii="Times New Roman" w:eastAsia="Calibri" w:hAnsi="Times New Roman" w:cs="Times New Roman"/>
          <w:sz w:val="24"/>
          <w:szCs w:val="24"/>
        </w:rPr>
        <w:tab/>
        <w:t>valsts sociālās apdrošināšanas obligātās iemaksas</w:t>
      </w:r>
    </w:p>
    <w:p w14:paraId="7A0A07EC" w14:textId="1B002C8F" w:rsidR="00CC6716" w:rsidRPr="00A857F2" w:rsidRDefault="00CC6716" w:rsidP="00200837">
      <w:pPr>
        <w:spacing w:after="0" w:line="240" w:lineRule="auto"/>
        <w:jc w:val="both"/>
        <w:rPr>
          <w:rFonts w:ascii="Times New Roman" w:hAnsi="Times New Roman" w:cs="Times New Roman"/>
          <w:sz w:val="24"/>
          <w:szCs w:val="24"/>
        </w:rPr>
      </w:pPr>
      <w:r w:rsidRPr="00A857F2">
        <w:rPr>
          <w:rFonts w:ascii="Times New Roman" w:eastAsia="Calibri" w:hAnsi="Times New Roman" w:cs="Times New Roman"/>
          <w:sz w:val="24"/>
          <w:szCs w:val="24"/>
        </w:rPr>
        <w:t xml:space="preserve">VSIA NRC “Vaivari” </w:t>
      </w:r>
      <w:r w:rsidRPr="00A857F2">
        <w:rPr>
          <w:rFonts w:ascii="Times New Roman" w:eastAsia="Calibri" w:hAnsi="Times New Roman" w:cs="Times New Roman"/>
          <w:sz w:val="24"/>
          <w:szCs w:val="24"/>
        </w:rPr>
        <w:tab/>
        <w:t>VSIA “Nacionālais rehabilitācijas centrs “Vaivari”</w:t>
      </w:r>
    </w:p>
    <w:p w14:paraId="46ACCC70" w14:textId="77777777" w:rsidR="00200837" w:rsidRPr="009703E6" w:rsidRDefault="00200837" w:rsidP="00200837">
      <w:pPr>
        <w:spacing w:after="0" w:line="240" w:lineRule="auto"/>
        <w:jc w:val="both"/>
        <w:rPr>
          <w:rFonts w:ascii="Times New Roman" w:hAnsi="Times New Roman" w:cs="Times New Roman"/>
          <w:sz w:val="24"/>
          <w:szCs w:val="24"/>
        </w:rPr>
      </w:pPr>
    </w:p>
    <w:p w14:paraId="2CEC16DC" w14:textId="172162F9" w:rsidR="00203B7C" w:rsidRPr="009703E6" w:rsidRDefault="00203B7C" w:rsidP="00203B7C">
      <w:pPr>
        <w:spacing w:after="0" w:line="240" w:lineRule="auto"/>
        <w:rPr>
          <w:rFonts w:ascii="Times New Roman" w:eastAsia="Calibri" w:hAnsi="Times New Roman" w:cs="Times New Roman"/>
          <w:sz w:val="24"/>
          <w:szCs w:val="24"/>
        </w:rPr>
      </w:pPr>
    </w:p>
    <w:p w14:paraId="6E2BB216" w14:textId="3416A7B8" w:rsidR="00200837" w:rsidRPr="0015154B" w:rsidRDefault="00200837" w:rsidP="00200837">
      <w:pPr>
        <w:rPr>
          <w:rFonts w:ascii="Times New Roman" w:hAnsi="Times New Roman" w:cs="Times New Roman"/>
          <w:b/>
          <w:sz w:val="24"/>
          <w:szCs w:val="24"/>
        </w:rPr>
      </w:pPr>
      <w:r w:rsidRPr="0015154B">
        <w:rPr>
          <w:rFonts w:ascii="Times New Roman" w:hAnsi="Times New Roman" w:cs="Times New Roman"/>
          <w:b/>
          <w:sz w:val="24"/>
          <w:szCs w:val="24"/>
        </w:rPr>
        <w:br w:type="page"/>
      </w:r>
    </w:p>
    <w:p w14:paraId="1D5BE82F" w14:textId="31371133" w:rsidR="00200837" w:rsidRPr="0015154B" w:rsidRDefault="00200837" w:rsidP="00EC7537">
      <w:pPr>
        <w:pStyle w:val="Heading1"/>
      </w:pPr>
      <w:bookmarkStart w:id="3" w:name="_Toc55316056"/>
      <w:r w:rsidRPr="0015154B">
        <w:lastRenderedPageBreak/>
        <w:t>Lietotie termini</w:t>
      </w:r>
      <w:bookmarkEnd w:id="3"/>
    </w:p>
    <w:p w14:paraId="69E72605" w14:textId="77777777" w:rsidR="00200837" w:rsidRPr="0015154B" w:rsidRDefault="00200837" w:rsidP="00200837">
      <w:pPr>
        <w:pStyle w:val="NormalWeb"/>
        <w:shd w:val="clear" w:color="auto" w:fill="FFFFFF"/>
        <w:spacing w:before="0" w:beforeAutospacing="0" w:after="0" w:afterAutospacing="0"/>
        <w:jc w:val="both"/>
        <w:rPr>
          <w:rFonts w:ascii="Times New Roman" w:eastAsia="Calibri" w:hAnsi="Times New Roman"/>
          <w:sz w:val="24"/>
          <w:szCs w:val="24"/>
          <w:lang w:eastAsia="en-US"/>
        </w:rPr>
      </w:pPr>
      <w:r w:rsidRPr="0015154B">
        <w:rPr>
          <w:rFonts w:ascii="Times New Roman" w:hAnsi="Times New Roman"/>
          <w:b/>
          <w:sz w:val="24"/>
          <w:szCs w:val="24"/>
        </w:rPr>
        <w:t xml:space="preserve">Bezdarbnieks - </w:t>
      </w:r>
      <w:r w:rsidRPr="0015154B">
        <w:rPr>
          <w:rFonts w:ascii="Times New Roman" w:eastAsia="Calibri" w:hAnsi="Times New Roman"/>
          <w:sz w:val="24"/>
          <w:szCs w:val="24"/>
          <w:lang w:eastAsia="en-US"/>
        </w:rPr>
        <w:t>visas tās personas, kuras vai nu ir, vai nav reģistrētas Nodarbinātības valsts aģentūrā un kuras atbilst visiem šiem nosacījumiem: 1) pārskata nedēļā nekur nestrādāja un nebija pagaidu prombūtnē no darba; 2) pēdējo 4 nedēļu laikā aktīvi meklēja darbu; 3) darba atrašanas gadījumā bija gatavas nekavējoties (tuvāko 2 nedēļu laikā) sākt strādāt. Šajā kategorijā ieskaita arī personas, kuras darbu jau ir atradušas un uzsāks to 3 mēnešu laikā. </w:t>
      </w:r>
    </w:p>
    <w:p w14:paraId="63AA6A93" w14:textId="77777777" w:rsidR="00200837" w:rsidRPr="0015154B" w:rsidRDefault="00200837" w:rsidP="00200837">
      <w:pPr>
        <w:pStyle w:val="NormalWeb"/>
        <w:shd w:val="clear" w:color="auto" w:fill="FFFFFF"/>
        <w:spacing w:before="0" w:beforeAutospacing="0" w:after="0" w:afterAutospacing="0"/>
        <w:jc w:val="both"/>
        <w:rPr>
          <w:rFonts w:ascii="Times New Roman" w:eastAsia="Calibri" w:hAnsi="Times New Roman"/>
          <w:sz w:val="24"/>
          <w:szCs w:val="24"/>
          <w:lang w:eastAsia="en-US"/>
        </w:rPr>
      </w:pPr>
    </w:p>
    <w:p w14:paraId="1BC784A9"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Bezdarba līmenis</w:t>
      </w:r>
      <w:r w:rsidRPr="0015154B">
        <w:rPr>
          <w:rFonts w:ascii="Times New Roman" w:hAnsi="Times New Roman" w:cs="Times New Roman"/>
          <w:sz w:val="24"/>
          <w:szCs w:val="24"/>
        </w:rPr>
        <w:t xml:space="preserve"> - bezdarbnieku īpatsvars atbilstošās vecuma grupas ekonomiski aktīvo iedzīvotāju kopskaitā, procentos.</w:t>
      </w:r>
    </w:p>
    <w:p w14:paraId="50391984" w14:textId="77777777" w:rsidR="00200837" w:rsidRPr="0015154B" w:rsidRDefault="00200837" w:rsidP="00200837">
      <w:pPr>
        <w:spacing w:after="0" w:line="240" w:lineRule="auto"/>
        <w:jc w:val="both"/>
        <w:rPr>
          <w:rFonts w:ascii="Times New Roman" w:hAnsi="Times New Roman" w:cs="Times New Roman"/>
          <w:sz w:val="24"/>
          <w:szCs w:val="24"/>
        </w:rPr>
      </w:pPr>
    </w:p>
    <w:p w14:paraId="3994B9CA"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Bezdarbnieku profilēšana</w:t>
      </w:r>
      <w:r w:rsidRPr="0015154B">
        <w:rPr>
          <w:rFonts w:ascii="Times New Roman" w:hAnsi="Times New Roman" w:cs="Times New Roman"/>
          <w:sz w:val="24"/>
          <w:szCs w:val="24"/>
        </w:rPr>
        <w:t xml:space="preserve"> – metode darbam ar klientiem, kura sniedz atbalstu klientam piemītošo vajadzību un ilgstoša bezdarba riska identificēšanai un iespējamos rīcības scenārijus šī riska novēršanai. Profilēšanas metode paredz klientu sadalīšanu noteiktās funkcionālās grupās, ar katrai grupai secīgu pakalpojumu klāstu un sadarbības noteikumiem. </w:t>
      </w:r>
    </w:p>
    <w:p w14:paraId="19A8563F" w14:textId="77777777" w:rsidR="00200837" w:rsidRPr="0015154B" w:rsidRDefault="00200837" w:rsidP="00200837">
      <w:pPr>
        <w:spacing w:after="0" w:line="240" w:lineRule="auto"/>
        <w:jc w:val="both"/>
        <w:rPr>
          <w:rFonts w:ascii="Times New Roman" w:hAnsi="Times New Roman" w:cs="Times New Roman"/>
          <w:b/>
          <w:bCs/>
          <w:color w:val="414142"/>
          <w:sz w:val="24"/>
          <w:szCs w:val="24"/>
          <w:shd w:val="clear" w:color="auto" w:fill="FFFFFF"/>
        </w:rPr>
      </w:pPr>
    </w:p>
    <w:p w14:paraId="6A017CE3"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bCs/>
          <w:color w:val="414142"/>
          <w:sz w:val="24"/>
          <w:szCs w:val="24"/>
          <w:shd w:val="clear" w:color="auto" w:fill="FFFFFF"/>
        </w:rPr>
        <w:t>Bez vecāku gādības palicis bērns</w:t>
      </w:r>
      <w:r w:rsidRPr="0015154B">
        <w:rPr>
          <w:rFonts w:ascii="Times New Roman" w:hAnsi="Times New Roman" w:cs="Times New Roman"/>
          <w:color w:val="414142"/>
          <w:sz w:val="24"/>
          <w:szCs w:val="24"/>
          <w:shd w:val="clear" w:color="auto" w:fill="FFFFFF"/>
        </w:rPr>
        <w:t> — bērns, kura vecāki nav zināmi, ir pazuduši vai ilgstošas slimības dēļ nespēj realizēt aizgādību vai kura vecākiem pārtrauktas vai atņemtas aizgādības tiesības.</w:t>
      </w:r>
    </w:p>
    <w:p w14:paraId="5620EDAD" w14:textId="77777777" w:rsidR="00200837" w:rsidRPr="0015154B" w:rsidRDefault="00200837" w:rsidP="00200837">
      <w:pPr>
        <w:spacing w:after="0" w:line="240" w:lineRule="auto"/>
        <w:jc w:val="both"/>
        <w:rPr>
          <w:rFonts w:ascii="Times New Roman" w:hAnsi="Times New Roman" w:cs="Times New Roman"/>
          <w:sz w:val="24"/>
          <w:szCs w:val="24"/>
        </w:rPr>
      </w:pPr>
    </w:p>
    <w:p w14:paraId="484ADE30"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Darbaspēka pieprasījums</w:t>
      </w:r>
      <w:r w:rsidRPr="0015154B">
        <w:rPr>
          <w:rFonts w:ascii="Times New Roman" w:hAnsi="Times New Roman" w:cs="Times New Roman"/>
          <w:sz w:val="24"/>
          <w:szCs w:val="24"/>
        </w:rPr>
        <w:t xml:space="preserve"> – tautsaimniecībā nepieciešamais strādājošo skaits, ko nosaka aizpildīto darba vietu un vakanto darba vietu kopskaits.</w:t>
      </w:r>
    </w:p>
    <w:p w14:paraId="7B3AB731" w14:textId="77777777" w:rsidR="00200837" w:rsidRPr="0015154B" w:rsidRDefault="00200837" w:rsidP="00200837">
      <w:pPr>
        <w:spacing w:after="0" w:line="240" w:lineRule="auto"/>
        <w:jc w:val="both"/>
        <w:rPr>
          <w:rFonts w:ascii="Times New Roman" w:hAnsi="Times New Roman" w:cs="Times New Roman"/>
          <w:sz w:val="24"/>
          <w:szCs w:val="24"/>
        </w:rPr>
      </w:pPr>
    </w:p>
    <w:p w14:paraId="1692D840"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Darbinieki, kas zaudējuši cerību atrast darbu</w:t>
      </w:r>
      <w:r w:rsidRPr="0015154B">
        <w:rPr>
          <w:rFonts w:ascii="Times New Roman" w:hAnsi="Times New Roman" w:cs="Times New Roman"/>
          <w:sz w:val="24"/>
          <w:szCs w:val="24"/>
        </w:rPr>
        <w:t xml:space="preserve"> - Darbaspēka apsekojuma dati ļauj apzināt tos ekonomiski neaktīvos iedzīvotājus darbspējīgā vecumā, kas (vairs) nemeklē darbu, jo uzskata, ka to neatradīs. Cilvēki, kuri ir snieguši šādu subjektīvu pašnovērtējumu, tiek saukti par darbiniekiem, kas zaudējuši cerības atrast darbu, un šādus cilvēkus bieži uzskata par slēptajiem bezdarbniekiem, jo viņi tiktu uzskaitīti kā bezdarbnieki, ja aktīvi meklētu darbu.</w:t>
      </w:r>
    </w:p>
    <w:p w14:paraId="1A7ED60F" w14:textId="77777777" w:rsidR="00200837" w:rsidRPr="0015154B" w:rsidRDefault="00200837" w:rsidP="00200837">
      <w:pPr>
        <w:spacing w:after="0" w:line="240" w:lineRule="auto"/>
        <w:jc w:val="both"/>
        <w:rPr>
          <w:rFonts w:ascii="Times New Roman" w:hAnsi="Times New Roman" w:cs="Times New Roman"/>
          <w:sz w:val="24"/>
          <w:szCs w:val="24"/>
        </w:rPr>
      </w:pPr>
    </w:p>
    <w:p w14:paraId="0EE6C9E1"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Džini koeficients</w:t>
      </w:r>
      <w:r w:rsidRPr="0015154B">
        <w:rPr>
          <w:rFonts w:ascii="Times New Roman" w:hAnsi="Times New Roman" w:cs="Times New Roman"/>
          <w:sz w:val="24"/>
          <w:szCs w:val="24"/>
        </w:rPr>
        <w:t xml:space="preserve"> - Raksturo ienākumu nevienlīdzību. Tas variē no 0 līdz 100. Džini koeficients ir 0, ja pastāv absolūta ienākumu vienlīdzība (t. i., visiem iedzīvotājiem ir vienādi ienākumi), bet, jo vairāk tas tuvojas 100, jo lielāka ir ienākumu nevienlīdzība.</w:t>
      </w:r>
    </w:p>
    <w:p w14:paraId="46DB7AB4" w14:textId="77777777" w:rsidR="00200837" w:rsidRPr="0015154B" w:rsidRDefault="00200837" w:rsidP="00200837">
      <w:pPr>
        <w:spacing w:after="0" w:line="240" w:lineRule="auto"/>
        <w:jc w:val="both"/>
        <w:rPr>
          <w:rFonts w:ascii="Times New Roman" w:hAnsi="Times New Roman" w:cs="Times New Roman"/>
          <w:sz w:val="24"/>
          <w:szCs w:val="24"/>
        </w:rPr>
      </w:pPr>
    </w:p>
    <w:p w14:paraId="6CFF2D8B" w14:textId="77777777" w:rsidR="00200837" w:rsidRPr="0015154B" w:rsidRDefault="00200837" w:rsidP="00200837">
      <w:pPr>
        <w:spacing w:after="0" w:line="240" w:lineRule="auto"/>
        <w:jc w:val="both"/>
        <w:rPr>
          <w:rFonts w:ascii="Times New Roman" w:eastAsia="Times New Roman" w:hAnsi="Times New Roman"/>
          <w:sz w:val="24"/>
          <w:szCs w:val="24"/>
          <w:lang w:eastAsia="lv-LV"/>
        </w:rPr>
      </w:pPr>
      <w:r w:rsidRPr="0015154B">
        <w:rPr>
          <w:rFonts w:ascii="Times New Roman" w:eastAsia="Times New Roman" w:hAnsi="Times New Roman" w:cs="Times New Roman"/>
          <w:b/>
          <w:sz w:val="24"/>
          <w:szCs w:val="24"/>
          <w:lang w:eastAsia="lv-LV"/>
        </w:rPr>
        <w:t>ESSPROS</w:t>
      </w:r>
      <w:r w:rsidRPr="0015154B">
        <w:rPr>
          <w:rFonts w:ascii="Times New Roman" w:eastAsia="Times New Roman" w:hAnsi="Times New Roman" w:cs="Times New Roman"/>
          <w:sz w:val="24"/>
          <w:szCs w:val="24"/>
          <w:lang w:eastAsia="lv-LV"/>
        </w:rPr>
        <w:t xml:space="preserve"> - Eiropas integrētā sociālās aizsardzības statistikas sistēma, kas apvieno</w:t>
      </w:r>
      <w:r w:rsidRPr="0015154B">
        <w:rPr>
          <w:rFonts w:ascii="Times New Roman" w:eastAsia="Times New Roman" w:hAnsi="Times New Roman"/>
          <w:sz w:val="24"/>
          <w:szCs w:val="24"/>
          <w:lang w:eastAsia="lv-LV"/>
        </w:rPr>
        <w:t xml:space="preserve"> statistiski salīdzināmu informāciju par sociālās aizsardzības organizāciju, tās pašreizējo stāvokli un attīstību dalībvalstīs. ESSPROS metodoloģijas mērķis ir apkopot starptautiski salīdzināmu informāciju par izdevumiem sociālai aizsardzībai, kas tiek novirzīti no valsts un pašvaldību budžetiem. Sociālie pabalsti tiek klasificēti atbilstoši funkcijai. Sociālo pabalstu funkcija attiecas uz primāro mērķi, kam sociālā aizsardzība tiek nodrošināta. Ir noteikti šādi primārie mērķi: Slimība / veselības aprūpe; Invaliditāte; Vecums; Apgādnieka zaudējums; Ģimenes / bērni; Bezdarbs; Mājoklis; Sociālā atstumtība.</w:t>
      </w:r>
    </w:p>
    <w:p w14:paraId="14832BC1" w14:textId="77777777" w:rsidR="00200837" w:rsidRPr="0015154B" w:rsidRDefault="00200837" w:rsidP="00200837">
      <w:pPr>
        <w:spacing w:after="0" w:line="240" w:lineRule="auto"/>
        <w:jc w:val="both"/>
        <w:rPr>
          <w:rFonts w:ascii="Times New Roman" w:hAnsi="Times New Roman" w:cs="Times New Roman"/>
          <w:b/>
          <w:sz w:val="24"/>
          <w:szCs w:val="24"/>
        </w:rPr>
      </w:pPr>
    </w:p>
    <w:p w14:paraId="07324124"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Ekonomiskās aktivitātes līmenis</w:t>
      </w:r>
      <w:r w:rsidRPr="0015154B">
        <w:rPr>
          <w:rFonts w:ascii="Times New Roman" w:hAnsi="Times New Roman" w:cs="Times New Roman"/>
          <w:sz w:val="24"/>
          <w:szCs w:val="24"/>
        </w:rPr>
        <w:t xml:space="preserve"> – ekonomiski aktīvo iedzīvotāju (nodarbināto iedzīvotāju un bezdarbnieku kopskaits) īpatsvars atbilstošās vecuma grupas iedzīvotāju kopskaitā, kas parāda sabiedrības gatavību nekavējoties iesaistīties tautsaimniecības attīstībā attiecīgajā laika periodā.</w:t>
      </w:r>
    </w:p>
    <w:p w14:paraId="2DF9B422" w14:textId="77777777" w:rsidR="00200837" w:rsidRPr="0015154B" w:rsidRDefault="00200837" w:rsidP="00200837">
      <w:pPr>
        <w:spacing w:after="0" w:line="240" w:lineRule="auto"/>
        <w:jc w:val="both"/>
        <w:rPr>
          <w:rFonts w:ascii="Times New Roman" w:hAnsi="Times New Roman" w:cs="Times New Roman"/>
          <w:sz w:val="24"/>
          <w:szCs w:val="24"/>
        </w:rPr>
      </w:pPr>
    </w:p>
    <w:p w14:paraId="5F803CB7"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Ekonomiski aktīvie iedzīvotāji</w:t>
      </w:r>
      <w:r w:rsidRPr="0015154B">
        <w:rPr>
          <w:rFonts w:ascii="Times New Roman" w:hAnsi="Times New Roman" w:cs="Times New Roman"/>
          <w:sz w:val="24"/>
          <w:szCs w:val="24"/>
        </w:rPr>
        <w:t xml:space="preserve"> – nodarbinātie un darba meklētāji, kuri aktīvi meklē darbu, tai skaitā gan reģistrētie, gan nereģistrētie bezdarbnieki NVA.</w:t>
      </w:r>
    </w:p>
    <w:p w14:paraId="55A61371" w14:textId="77777777" w:rsidR="00200837" w:rsidRPr="0015154B" w:rsidRDefault="00200837" w:rsidP="00200837">
      <w:pPr>
        <w:spacing w:after="0" w:line="240" w:lineRule="auto"/>
        <w:jc w:val="both"/>
        <w:rPr>
          <w:rFonts w:ascii="Times New Roman" w:hAnsi="Times New Roman" w:cs="Times New Roman"/>
          <w:sz w:val="24"/>
          <w:szCs w:val="24"/>
        </w:rPr>
      </w:pPr>
    </w:p>
    <w:p w14:paraId="5F44C385"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Ekonomiski neaktīvie iedzīvotāji</w:t>
      </w:r>
      <w:r w:rsidRPr="0015154B">
        <w:rPr>
          <w:rFonts w:ascii="Times New Roman" w:hAnsi="Times New Roman" w:cs="Times New Roman"/>
          <w:sz w:val="24"/>
          <w:szCs w:val="24"/>
        </w:rPr>
        <w:t xml:space="preserve"> – personas neatkarīgi no vecuma, ieskaitot personas, kas jaunākas par darbspējas vecumu, kuras nevar pieskaitīt ne pie nodarbinātajiem iedzīvotājiem, </w:t>
      </w:r>
      <w:r w:rsidRPr="0015154B">
        <w:rPr>
          <w:rFonts w:ascii="Times New Roman" w:hAnsi="Times New Roman" w:cs="Times New Roman"/>
          <w:sz w:val="24"/>
          <w:szCs w:val="24"/>
        </w:rPr>
        <w:lastRenderedPageBreak/>
        <w:t>ne arī pie darba meklētājiem (mājsaimnieces, nestrādājošas personas ar invaliditāti, izglītības iestāžu audzēkņi un studenti darbspējas vecumā, kas nestrādā un nemeklē darbu, nestrādājošie pensionāri, personas, kas zaudējušas cerības atrast darbu, personas, kas nevar strādāt ģimenes apstākļu dēļ u.c.).</w:t>
      </w:r>
    </w:p>
    <w:p w14:paraId="6C0DAD9D" w14:textId="77777777" w:rsidR="00200837" w:rsidRPr="0015154B" w:rsidRDefault="00200837" w:rsidP="00200837">
      <w:pPr>
        <w:spacing w:after="0" w:line="240" w:lineRule="auto"/>
        <w:jc w:val="both"/>
        <w:rPr>
          <w:rFonts w:ascii="Times New Roman" w:hAnsi="Times New Roman" w:cs="Times New Roman"/>
          <w:sz w:val="24"/>
          <w:szCs w:val="24"/>
        </w:rPr>
      </w:pPr>
    </w:p>
    <w:p w14:paraId="63CA5A3E"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Ekvivalento patērētāju skaits</w:t>
      </w:r>
      <w:r w:rsidRPr="0015154B">
        <w:rPr>
          <w:rFonts w:ascii="Times New Roman" w:hAnsi="Times New Roman" w:cs="Times New Roman"/>
          <w:sz w:val="24"/>
          <w:szCs w:val="24"/>
        </w:rPr>
        <w:t xml:space="preserve"> mājsaimniecībā tiek iegūts, izmantojot modificēto Eiropas sadarbības un attīstības organizācijas (OECD) skalu. Pirmajam pieaugušajam tiek pielīdzināts svars 1,0, katram nākamajam mājsaimniecības loceklim vecumā no 14 gadiem un vecākam – 0,5, bet katram bērnam, kas jaunāks par 14 gadiem, – 0,3. Summējot katram mājsaimniecības loceklim piešķirto svaru, iegūst ekvivalento patērētāju skaitu mājsaimniecībā.</w:t>
      </w:r>
    </w:p>
    <w:p w14:paraId="64F4E040" w14:textId="77777777" w:rsidR="00200837" w:rsidRPr="0015154B" w:rsidRDefault="00200837" w:rsidP="00200837">
      <w:pPr>
        <w:spacing w:after="0" w:line="240" w:lineRule="auto"/>
        <w:jc w:val="both"/>
        <w:rPr>
          <w:rFonts w:ascii="Times New Roman" w:hAnsi="Times New Roman" w:cs="Times New Roman"/>
          <w:sz w:val="24"/>
          <w:szCs w:val="24"/>
        </w:rPr>
      </w:pPr>
    </w:p>
    <w:p w14:paraId="214BEE63" w14:textId="689C53C7" w:rsidR="00200837" w:rsidRPr="000B7E85"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bCs/>
          <w:sz w:val="24"/>
          <w:szCs w:val="24"/>
        </w:rPr>
        <w:t>Funkcionēšanas ierobežojums</w:t>
      </w:r>
      <w:r w:rsidRPr="0015154B">
        <w:rPr>
          <w:rFonts w:ascii="Times New Roman" w:hAnsi="Times New Roman" w:cs="Times New Roman"/>
          <w:sz w:val="24"/>
          <w:szCs w:val="24"/>
        </w:rPr>
        <w:t xml:space="preserve"> - sli</w:t>
      </w:r>
      <w:r w:rsidRPr="0015154B">
        <w:rPr>
          <w:rFonts w:ascii="Times New Roman" w:hAnsi="Times New Roman" w:cs="Times New Roman"/>
          <w:sz w:val="24"/>
          <w:szCs w:val="24"/>
          <w:shd w:val="clear" w:color="auto" w:fill="FFFFFF"/>
        </w:rPr>
        <w:t>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 Funkci</w:t>
      </w:r>
      <w:r w:rsidR="00FC6754" w:rsidRPr="0015154B">
        <w:rPr>
          <w:rFonts w:ascii="Times New Roman" w:hAnsi="Times New Roman" w:cs="Times New Roman"/>
          <w:sz w:val="24"/>
          <w:szCs w:val="24"/>
          <w:shd w:val="clear" w:color="auto" w:fill="FFFFFF"/>
        </w:rPr>
        <w:t>o</w:t>
      </w:r>
      <w:r w:rsidRPr="0015154B">
        <w:rPr>
          <w:rFonts w:ascii="Times New Roman" w:hAnsi="Times New Roman" w:cs="Times New Roman"/>
          <w:sz w:val="24"/>
          <w:szCs w:val="24"/>
          <w:shd w:val="clear" w:color="auto" w:fill="FFFFFF"/>
        </w:rPr>
        <w:t xml:space="preserve">nēšanas ierobežojumus izraisa </w:t>
      </w:r>
      <w:r w:rsidRPr="0015154B">
        <w:rPr>
          <w:rFonts w:ascii="Times New Roman" w:hAnsi="Times New Roman" w:cs="Times New Roman"/>
          <w:sz w:val="24"/>
          <w:szCs w:val="24"/>
        </w:rPr>
        <w:t>orgānu un orgānu sistēmu līmenī esoši funkcionālie traucējumi – redzes, dzirdes, kustību, garīga rakstura un citi traucējumi.  Funkcionāli traucējumi var būt arī personām, kurām invaliditāte nav noteikta, tādēļ personas ar funkcionāliem traucējumiem aptver plašāku personu loku nekā personas ar invaliditāti, kas aptver tikai tās personas, kurām saskaņā ar normatīvajiem aktiem ir noteikta invaliditāte.</w:t>
      </w:r>
    </w:p>
    <w:p w14:paraId="5046EEB4" w14:textId="4C40616E" w:rsidR="00C64F75" w:rsidRPr="0015154B" w:rsidRDefault="00C64F75" w:rsidP="00200837">
      <w:pPr>
        <w:spacing w:after="0" w:line="240" w:lineRule="auto"/>
        <w:jc w:val="both"/>
        <w:rPr>
          <w:rFonts w:ascii="Times New Roman" w:hAnsi="Times New Roman" w:cs="Times New Roman"/>
          <w:sz w:val="24"/>
          <w:szCs w:val="24"/>
        </w:rPr>
      </w:pPr>
    </w:p>
    <w:p w14:paraId="5CE6A455" w14:textId="4295A28A" w:rsidR="00C64F75" w:rsidRPr="002F5278" w:rsidRDefault="00C64F75" w:rsidP="00200837">
      <w:pPr>
        <w:spacing w:after="0" w:line="240" w:lineRule="auto"/>
        <w:jc w:val="both"/>
        <w:rPr>
          <w:rFonts w:ascii="Times New Roman" w:hAnsi="Times New Roman" w:cs="Times New Roman"/>
          <w:sz w:val="24"/>
          <w:szCs w:val="24"/>
        </w:rPr>
      </w:pPr>
      <w:r w:rsidRPr="00FB1506">
        <w:rPr>
          <w:rFonts w:ascii="Times New Roman" w:hAnsi="Times New Roman" w:cs="Times New Roman"/>
          <w:b/>
          <w:sz w:val="24"/>
          <w:szCs w:val="24"/>
        </w:rPr>
        <w:t>GMI līmenis</w:t>
      </w:r>
      <w:r w:rsidRPr="007157D3">
        <w:rPr>
          <w:rFonts w:ascii="Times New Roman" w:hAnsi="Times New Roman" w:cs="Times New Roman"/>
          <w:sz w:val="24"/>
          <w:szCs w:val="24"/>
        </w:rPr>
        <w:t xml:space="preserve"> </w:t>
      </w:r>
      <w:r w:rsidR="004C0E98">
        <w:rPr>
          <w:rFonts w:ascii="Times New Roman" w:hAnsi="Times New Roman" w:cs="Times New Roman"/>
          <w:sz w:val="24"/>
          <w:szCs w:val="24"/>
        </w:rPr>
        <w:t>–</w:t>
      </w:r>
      <w:r w:rsidRPr="007157D3">
        <w:rPr>
          <w:rFonts w:ascii="Times New Roman" w:hAnsi="Times New Roman" w:cs="Times New Roman"/>
          <w:sz w:val="24"/>
          <w:szCs w:val="24"/>
        </w:rPr>
        <w:t xml:space="preserve"> </w:t>
      </w:r>
      <w:r w:rsidR="004C0E98">
        <w:rPr>
          <w:rFonts w:ascii="Times New Roman" w:hAnsi="Times New Roman" w:cs="Times New Roman"/>
          <w:sz w:val="24"/>
          <w:szCs w:val="24"/>
        </w:rPr>
        <w:t>Ministru kabineta noteikts garantētais minimāl</w:t>
      </w:r>
      <w:r w:rsidR="00DF7A40">
        <w:rPr>
          <w:rFonts w:ascii="Times New Roman" w:hAnsi="Times New Roman" w:cs="Times New Roman"/>
          <w:sz w:val="24"/>
          <w:szCs w:val="24"/>
        </w:rPr>
        <w:t>ā</w:t>
      </w:r>
      <w:r w:rsidR="004C0E98">
        <w:rPr>
          <w:rFonts w:ascii="Times New Roman" w:hAnsi="Times New Roman" w:cs="Times New Roman"/>
          <w:sz w:val="24"/>
          <w:szCs w:val="24"/>
        </w:rPr>
        <w:t xml:space="preserve"> ienākum</w:t>
      </w:r>
      <w:r w:rsidR="00DF7A40">
        <w:rPr>
          <w:rFonts w:ascii="Times New Roman" w:hAnsi="Times New Roman" w:cs="Times New Roman"/>
          <w:sz w:val="24"/>
          <w:szCs w:val="24"/>
        </w:rPr>
        <w:t>a</w:t>
      </w:r>
      <w:r w:rsidR="004C0E98">
        <w:rPr>
          <w:rFonts w:ascii="Times New Roman" w:hAnsi="Times New Roman" w:cs="Times New Roman"/>
          <w:sz w:val="24"/>
          <w:szCs w:val="24"/>
        </w:rPr>
        <w:t xml:space="preserve"> līmenis personai</w:t>
      </w:r>
      <w:r w:rsidR="00607933">
        <w:rPr>
          <w:rFonts w:ascii="Times New Roman" w:hAnsi="Times New Roman" w:cs="Times New Roman"/>
          <w:sz w:val="24"/>
          <w:szCs w:val="24"/>
        </w:rPr>
        <w:t>, kas līdz 2020</w:t>
      </w:r>
      <w:r w:rsidR="00453EBD">
        <w:rPr>
          <w:rFonts w:ascii="Times New Roman" w:hAnsi="Times New Roman" w:cs="Times New Roman"/>
          <w:sz w:val="24"/>
          <w:szCs w:val="24"/>
        </w:rPr>
        <w:t>.gadam tiek noteikts, pamatojoties uz Labklājības ministrijas un Latvijas Pašvaldību savienības ikgadējās sarunās kompromisa rezultātā panāktu vienošanos.</w:t>
      </w:r>
    </w:p>
    <w:p w14:paraId="79051E75" w14:textId="77777777" w:rsidR="00200837" w:rsidRPr="0025422D" w:rsidRDefault="00200837" w:rsidP="00200837">
      <w:pPr>
        <w:spacing w:after="0" w:line="240" w:lineRule="auto"/>
        <w:jc w:val="both"/>
        <w:rPr>
          <w:rFonts w:ascii="Times New Roman" w:hAnsi="Times New Roman" w:cs="Times New Roman"/>
          <w:b/>
          <w:sz w:val="24"/>
          <w:szCs w:val="24"/>
        </w:rPr>
      </w:pPr>
    </w:p>
    <w:p w14:paraId="546E6E2E" w14:textId="77777777" w:rsidR="00200837" w:rsidRPr="009703E6" w:rsidRDefault="00200837" w:rsidP="00200837">
      <w:pPr>
        <w:spacing w:after="0" w:line="240" w:lineRule="auto"/>
        <w:jc w:val="both"/>
        <w:rPr>
          <w:rFonts w:ascii="Times New Roman" w:hAnsi="Times New Roman" w:cs="Times New Roman"/>
          <w:sz w:val="24"/>
          <w:szCs w:val="24"/>
        </w:rPr>
      </w:pPr>
      <w:r w:rsidRPr="00A857F2">
        <w:rPr>
          <w:rFonts w:ascii="Times New Roman" w:hAnsi="Times New Roman" w:cs="Times New Roman"/>
          <w:b/>
          <w:sz w:val="24"/>
          <w:szCs w:val="24"/>
        </w:rPr>
        <w:t xml:space="preserve">GMI pabalsts -  </w:t>
      </w:r>
      <w:r w:rsidRPr="00A857F2">
        <w:rPr>
          <w:rFonts w:ascii="Times New Roman" w:hAnsi="Times New Roman" w:cs="Times New Roman"/>
          <w:sz w:val="24"/>
          <w:szCs w:val="24"/>
        </w:rPr>
        <w:t>naudas un mantiskais pabalsts vai naudas v</w:t>
      </w:r>
      <w:r w:rsidRPr="003B5C85">
        <w:rPr>
          <w:rFonts w:ascii="Times New Roman" w:hAnsi="Times New Roman" w:cs="Times New Roman"/>
          <w:sz w:val="24"/>
          <w:szCs w:val="24"/>
        </w:rPr>
        <w:t>ai mantiskais pabalsts, ko piešķir ģimenēm vai atsevišķi dzīvojošām personām, kuras objektīvu apstākļu dēļ negūst pietiekamus ienākumus un kuras atzītas par trūcīgām. Šis pabalsts nodrošina katram ģimenes loceklim garantēto minimālo ienākumu līmeni. Pabals</w:t>
      </w:r>
      <w:r w:rsidRPr="009703E6">
        <w:rPr>
          <w:rFonts w:ascii="Times New Roman" w:hAnsi="Times New Roman" w:cs="Times New Roman"/>
          <w:sz w:val="24"/>
          <w:szCs w:val="24"/>
        </w:rPr>
        <w:t>ta apmēru aprēķina kā starpību starp Ministru kabineta vai pašvaldības noteikto garantēto minimālo ienākumu līmeni katram ģimenes loceklim un trūcīgas ģimenes (personas) kopējiem ienākumiem.</w:t>
      </w:r>
    </w:p>
    <w:p w14:paraId="2B85C855" w14:textId="77777777" w:rsidR="00200837" w:rsidRPr="009703E6" w:rsidRDefault="00200837" w:rsidP="00200837">
      <w:pPr>
        <w:spacing w:after="0" w:line="240" w:lineRule="auto"/>
        <w:jc w:val="both"/>
        <w:rPr>
          <w:rFonts w:ascii="Times New Roman" w:hAnsi="Times New Roman" w:cs="Times New Roman"/>
          <w:b/>
          <w:sz w:val="24"/>
          <w:szCs w:val="24"/>
        </w:rPr>
      </w:pPr>
    </w:p>
    <w:p w14:paraId="466334C1"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Ilgstošie bezdarbnieki</w:t>
      </w:r>
      <w:r w:rsidRPr="0015154B">
        <w:rPr>
          <w:rFonts w:ascii="Times New Roman" w:hAnsi="Times New Roman" w:cs="Times New Roman"/>
          <w:sz w:val="24"/>
          <w:szCs w:val="24"/>
        </w:rPr>
        <w:t xml:space="preserve"> - Personas, kuras ir bez darba 12 mēnešus un ilgāk, aktīvi meklē darbu un tā atrašanas gadījumā ir gatavas sākt strādāt tuvāko 2 nedēļu laikā.</w:t>
      </w:r>
    </w:p>
    <w:p w14:paraId="66EB9BB7" w14:textId="77777777" w:rsidR="00200837" w:rsidRPr="0015154B" w:rsidRDefault="00200837" w:rsidP="00200837">
      <w:pPr>
        <w:spacing w:after="0" w:line="240" w:lineRule="auto"/>
        <w:jc w:val="both"/>
        <w:rPr>
          <w:rFonts w:ascii="Times New Roman" w:hAnsi="Times New Roman" w:cs="Times New Roman"/>
          <w:sz w:val="24"/>
          <w:szCs w:val="24"/>
        </w:rPr>
      </w:pPr>
    </w:p>
    <w:p w14:paraId="77C19FE2" w14:textId="77777777" w:rsidR="00200837" w:rsidRPr="0015154B" w:rsidRDefault="00200837" w:rsidP="00200837">
      <w:pPr>
        <w:pStyle w:val="NormalWeb"/>
        <w:spacing w:before="0" w:beforeAutospacing="0" w:after="0" w:afterAutospacing="0"/>
        <w:jc w:val="both"/>
        <w:rPr>
          <w:rFonts w:ascii="Times New Roman" w:hAnsi="Times New Roman"/>
          <w:sz w:val="24"/>
          <w:szCs w:val="24"/>
        </w:rPr>
      </w:pPr>
      <w:r w:rsidRPr="0015154B">
        <w:rPr>
          <w:rFonts w:ascii="Times New Roman" w:hAnsi="Times New Roman"/>
          <w:b/>
          <w:sz w:val="24"/>
          <w:szCs w:val="24"/>
        </w:rPr>
        <w:t>Invaliditāte</w:t>
      </w:r>
      <w:r w:rsidRPr="0015154B">
        <w:rPr>
          <w:rFonts w:ascii="Times New Roman" w:hAnsi="Times New Roman"/>
          <w:sz w:val="24"/>
          <w:szCs w:val="24"/>
        </w:rPr>
        <w:t xml:space="preserve"> - ilgstošs vai nepārejošs ļoti smagas, smagas vai mērenas pakāpes funkcionēšanas ierobežojums, kas ietekmē personas garīgās vai fiziskās spējas, darbspējas, pašaprūpi un iekļaušanos sabiedrībā.</w:t>
      </w:r>
    </w:p>
    <w:p w14:paraId="5A1F8A3A" w14:textId="77777777" w:rsidR="00200837" w:rsidRPr="0015154B" w:rsidRDefault="00200837" w:rsidP="00200837">
      <w:pPr>
        <w:pStyle w:val="NormalWeb"/>
        <w:spacing w:before="0" w:beforeAutospacing="0" w:after="0" w:afterAutospacing="0"/>
        <w:jc w:val="both"/>
        <w:rPr>
          <w:rFonts w:ascii="Times New Roman" w:hAnsi="Times New Roman"/>
          <w:b/>
          <w:sz w:val="24"/>
          <w:szCs w:val="24"/>
        </w:rPr>
      </w:pPr>
    </w:p>
    <w:p w14:paraId="0706A6EB" w14:textId="77777777" w:rsidR="00200837" w:rsidRPr="0015154B" w:rsidRDefault="00200837" w:rsidP="00200837">
      <w:pPr>
        <w:pStyle w:val="NormalWeb"/>
        <w:spacing w:before="0" w:beforeAutospacing="0" w:after="0" w:afterAutospacing="0"/>
        <w:jc w:val="both"/>
        <w:rPr>
          <w:rFonts w:ascii="Times New Roman" w:hAnsi="Times New Roman"/>
          <w:sz w:val="24"/>
          <w:szCs w:val="24"/>
        </w:rPr>
      </w:pPr>
      <w:r w:rsidRPr="0015154B">
        <w:rPr>
          <w:rFonts w:ascii="Times New Roman" w:hAnsi="Times New Roman"/>
          <w:b/>
          <w:sz w:val="24"/>
          <w:szCs w:val="24"/>
        </w:rPr>
        <w:t>Kvintiļu attiecības indekss (S80/S20)</w:t>
      </w:r>
      <w:r w:rsidRPr="0015154B">
        <w:rPr>
          <w:rFonts w:ascii="Times New Roman" w:hAnsi="Times New Roman"/>
          <w:sz w:val="24"/>
          <w:szCs w:val="24"/>
        </w:rPr>
        <w:t xml:space="preserve"> - Attiecība starp ekvivalento rīcībā esošo ienākumu summu, ko saņem 20 % valsts iedzīvotāju ar augstākajiem ekvivalentajiem rīcībā esošajiem ienākumiem (augstākā kvintile), pret ekvivalento rīcībā esošo ienākumu summu, ko saņem 20 % valsts iedzīvotāju ar zemākajiem ekvivalentajiem rīcībā esošajiem ienākumiem (zemākā kvintile).</w:t>
      </w:r>
    </w:p>
    <w:p w14:paraId="253E42AA" w14:textId="77777777" w:rsidR="00200837" w:rsidRPr="0015154B" w:rsidRDefault="00200837" w:rsidP="00200837">
      <w:pPr>
        <w:pStyle w:val="NormalWeb"/>
        <w:spacing w:before="0" w:beforeAutospacing="0" w:after="0" w:afterAutospacing="0"/>
        <w:jc w:val="both"/>
        <w:rPr>
          <w:rFonts w:ascii="Times New Roman" w:hAnsi="Times New Roman"/>
          <w:b/>
          <w:sz w:val="24"/>
          <w:szCs w:val="24"/>
        </w:rPr>
      </w:pPr>
    </w:p>
    <w:p w14:paraId="60903D8F" w14:textId="77777777" w:rsidR="00200837" w:rsidRPr="0015154B" w:rsidRDefault="00200837" w:rsidP="00200837">
      <w:pPr>
        <w:pStyle w:val="NormalWeb"/>
        <w:spacing w:before="0" w:beforeAutospacing="0" w:after="0" w:afterAutospacing="0"/>
        <w:jc w:val="both"/>
        <w:rPr>
          <w:rFonts w:ascii="Times New Roman" w:hAnsi="Times New Roman"/>
          <w:sz w:val="24"/>
          <w:szCs w:val="24"/>
        </w:rPr>
      </w:pPr>
      <w:r w:rsidRPr="0015154B">
        <w:rPr>
          <w:rFonts w:ascii="Times New Roman" w:hAnsi="Times New Roman"/>
          <w:b/>
          <w:sz w:val="24"/>
          <w:szCs w:val="24"/>
        </w:rPr>
        <w:t>Kvintiļu grupa</w:t>
      </w:r>
      <w:r w:rsidRPr="0015154B">
        <w:rPr>
          <w:rFonts w:ascii="Times New Roman" w:hAnsi="Times New Roman"/>
          <w:sz w:val="24"/>
          <w:szCs w:val="24"/>
        </w:rPr>
        <w:t xml:space="preserve"> - Viena piektā daļa (20%) no apsekoto mājsaimniecību skaita, kuras sagrupētas pieaugošā secībā pēc to rīcībā esošajiem ienākumiem uz vienu mājsaimniecības locekli. Pirmā kvintiļu grupa ietver mājsaimniecības ar zemākajiem ienākumiem, bet piektā kvintiļu grupa ietver mājsaimniecības ar augstākajiem ienākumiem.</w:t>
      </w:r>
    </w:p>
    <w:p w14:paraId="189693EF" w14:textId="77777777" w:rsidR="00200837" w:rsidRPr="0015154B" w:rsidRDefault="00200837" w:rsidP="00200837">
      <w:pPr>
        <w:spacing w:after="0" w:line="240" w:lineRule="auto"/>
        <w:jc w:val="both"/>
        <w:rPr>
          <w:rFonts w:ascii="Times New Roman" w:hAnsi="Times New Roman" w:cs="Times New Roman"/>
          <w:sz w:val="24"/>
          <w:szCs w:val="24"/>
        </w:rPr>
      </w:pPr>
    </w:p>
    <w:p w14:paraId="63B5EA66" w14:textId="77777777" w:rsidR="00200837" w:rsidRPr="0015154B" w:rsidRDefault="00200837" w:rsidP="00200837">
      <w:pPr>
        <w:spacing w:after="0" w:line="240" w:lineRule="auto"/>
        <w:jc w:val="both"/>
        <w:rPr>
          <w:rFonts w:ascii="Times New Roman" w:hAnsi="Times New Roman" w:cs="Times New Roman"/>
          <w:sz w:val="24"/>
          <w:szCs w:val="24"/>
          <w:shd w:val="clear" w:color="auto" w:fill="FFFFFF"/>
        </w:rPr>
      </w:pPr>
      <w:r w:rsidRPr="0015154B">
        <w:rPr>
          <w:rFonts w:ascii="Times New Roman" w:hAnsi="Times New Roman" w:cs="Times New Roman"/>
          <w:b/>
          <w:sz w:val="24"/>
          <w:szCs w:val="24"/>
          <w:shd w:val="clear" w:color="auto" w:fill="FFFFFF"/>
        </w:rPr>
        <w:t>Mājsaimniecības darba intensitāte</w:t>
      </w:r>
      <w:r w:rsidRPr="0015154B">
        <w:rPr>
          <w:rFonts w:ascii="Times New Roman" w:hAnsi="Times New Roman" w:cs="Times New Roman"/>
          <w:sz w:val="24"/>
          <w:szCs w:val="24"/>
          <w:shd w:val="clear" w:color="auto" w:fill="FFFFFF"/>
        </w:rPr>
        <w:t xml:space="preserve"> - Darba intensitāte (WI) ir darbspējas vecuma mājsaimniecības locekļu ienākumu pārskata periodā nostrādāto mēneša skaita attiecība pret </w:t>
      </w:r>
      <w:r w:rsidRPr="0015154B">
        <w:rPr>
          <w:rFonts w:ascii="Times New Roman" w:hAnsi="Times New Roman" w:cs="Times New Roman"/>
          <w:sz w:val="24"/>
          <w:szCs w:val="24"/>
          <w:shd w:val="clear" w:color="auto" w:fill="FFFFFF"/>
        </w:rPr>
        <w:lastRenderedPageBreak/>
        <w:t>kopējo mēnešu skaitu, ko mājsaimniecības locekļi teorētiski varēja nostrādāt. Personas tiek iedalītas piecās darba intensitātes kategorijās: no WI = 0 (nav nodarbināti); 0 &lt; WI &lt; 1; 0 &lt; WI &lt; 0,5 un 0,5 ≤ WI &lt; 1 līdz WI = 1 (pilna nodarbinātība). Tiek pieņemts, ka persona dzīvo mājsaimniecībā ar ļoti zemu darba intensitāti, ja WI ≤ 0,2.</w:t>
      </w:r>
    </w:p>
    <w:p w14:paraId="54EE3C32" w14:textId="77777777" w:rsidR="00200837" w:rsidRPr="0015154B" w:rsidRDefault="00200837" w:rsidP="00200837">
      <w:pPr>
        <w:spacing w:after="0" w:line="240" w:lineRule="auto"/>
        <w:jc w:val="both"/>
        <w:rPr>
          <w:rFonts w:ascii="Times New Roman" w:hAnsi="Times New Roman" w:cs="Times New Roman"/>
          <w:b/>
          <w:sz w:val="24"/>
          <w:szCs w:val="24"/>
        </w:rPr>
      </w:pPr>
    </w:p>
    <w:p w14:paraId="52882EA4"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Mediāna</w:t>
      </w:r>
      <w:r w:rsidRPr="0015154B">
        <w:rPr>
          <w:rFonts w:ascii="Times New Roman" w:hAnsi="Times New Roman" w:cs="Times New Roman"/>
          <w:sz w:val="24"/>
          <w:szCs w:val="24"/>
        </w:rPr>
        <w:t xml:space="preserve"> - statistiskais rādītājs, kas raksturo novērojumu, kas sagrupēti no zemākās vērtības līdz augstākajai, centra vērtību (sadalījuma viduspunktu).</w:t>
      </w:r>
    </w:p>
    <w:p w14:paraId="4D7239AC" w14:textId="77777777" w:rsidR="00200837" w:rsidRPr="0015154B" w:rsidRDefault="00200837" w:rsidP="00200837">
      <w:pPr>
        <w:spacing w:after="0" w:line="240" w:lineRule="auto"/>
        <w:jc w:val="both"/>
        <w:rPr>
          <w:rFonts w:ascii="Times New Roman" w:hAnsi="Times New Roman" w:cs="Times New Roman"/>
          <w:sz w:val="24"/>
          <w:szCs w:val="24"/>
        </w:rPr>
      </w:pPr>
    </w:p>
    <w:p w14:paraId="321B4B22" w14:textId="77777777" w:rsidR="00200837" w:rsidRPr="0015154B" w:rsidRDefault="00200837" w:rsidP="00200837">
      <w:pPr>
        <w:pStyle w:val="NormalWeb"/>
        <w:shd w:val="clear" w:color="auto" w:fill="FFFFFF"/>
        <w:spacing w:before="0" w:beforeAutospacing="0" w:after="0" w:afterAutospacing="0"/>
        <w:jc w:val="both"/>
        <w:rPr>
          <w:rFonts w:ascii="Times New Roman" w:hAnsi="Times New Roman"/>
          <w:sz w:val="24"/>
          <w:szCs w:val="24"/>
        </w:rPr>
      </w:pPr>
      <w:r w:rsidRPr="0015154B">
        <w:rPr>
          <w:rFonts w:ascii="Times New Roman" w:hAnsi="Times New Roman"/>
          <w:b/>
          <w:sz w:val="24"/>
          <w:szCs w:val="24"/>
        </w:rPr>
        <w:t xml:space="preserve">Minimālais ienākuma līmenis - </w:t>
      </w:r>
      <w:r w:rsidRPr="0015154B">
        <w:rPr>
          <w:rFonts w:ascii="Times New Roman" w:hAnsi="Times New Roman"/>
          <w:sz w:val="24"/>
          <w:szCs w:val="24"/>
        </w:rPr>
        <w:t>Minimālā ienākuma līmenis ir valsts noteiktais minimālo ienākumu apmērs indivīdam vai mājsaimniecībai. Minimālā ienākuma līmeni nosaka 40 % apmērā no mājsaimniecību rīcībā esošo ienākumu mediānas vienam ekvivalentajam patērētājam, piemērojot ekvivalences skalā pirmajai vai vienīgajai personai mājsaimniecībā vērtību "1" un pārējām personām – "0.7".</w:t>
      </w:r>
    </w:p>
    <w:p w14:paraId="5C1E3469" w14:textId="77777777" w:rsidR="00200837" w:rsidRPr="0015154B" w:rsidRDefault="00200837" w:rsidP="00200837">
      <w:pPr>
        <w:spacing w:after="0" w:line="240" w:lineRule="auto"/>
        <w:jc w:val="both"/>
        <w:rPr>
          <w:rFonts w:ascii="Times New Roman" w:hAnsi="Times New Roman" w:cs="Times New Roman"/>
          <w:b/>
          <w:sz w:val="24"/>
          <w:szCs w:val="24"/>
        </w:rPr>
      </w:pPr>
    </w:p>
    <w:p w14:paraId="0DCD90EA"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 xml:space="preserve">Nabadzības riska indekss - </w:t>
      </w:r>
      <w:r w:rsidRPr="0015154B">
        <w:rPr>
          <w:rFonts w:ascii="Times New Roman" w:hAnsi="Times New Roman" w:cs="Times New Roman"/>
          <w:sz w:val="24"/>
          <w:szCs w:val="24"/>
        </w:rPr>
        <w:t>iedzīvotāju procentuālais īpatsvars, kuru ekvivalentais rīcībā esošais ienākums ir mazāks par 60 % no nacionālā ekvivalentā rīcībā esošā ienākuma mediānas (t.i., zem nabadzības riska sliekšņa).</w:t>
      </w:r>
    </w:p>
    <w:p w14:paraId="223D22A6" w14:textId="77777777" w:rsidR="00200837" w:rsidRPr="0015154B" w:rsidRDefault="00200837" w:rsidP="00200837">
      <w:pPr>
        <w:spacing w:after="0" w:line="240" w:lineRule="auto"/>
        <w:jc w:val="both"/>
        <w:rPr>
          <w:rFonts w:ascii="Times New Roman" w:hAnsi="Times New Roman" w:cs="Times New Roman"/>
          <w:sz w:val="24"/>
          <w:szCs w:val="24"/>
        </w:rPr>
      </w:pPr>
    </w:p>
    <w:p w14:paraId="1E66F247"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Nabadzības riska slieksnis</w:t>
      </w:r>
      <w:r w:rsidRPr="0015154B">
        <w:rPr>
          <w:rFonts w:ascii="Times New Roman" w:hAnsi="Times New Roman" w:cs="Times New Roman"/>
          <w:sz w:val="24"/>
          <w:szCs w:val="24"/>
        </w:rPr>
        <w:t xml:space="preserve"> – 60 % no rīcībā esošo ienākumu mediānas pārrēķinātas uz ekvivalento patērētāju skaitu mājsaimniecībā.</w:t>
      </w:r>
    </w:p>
    <w:p w14:paraId="6E695B91" w14:textId="77777777" w:rsidR="00200837" w:rsidRPr="0015154B" w:rsidRDefault="00200837" w:rsidP="00200837">
      <w:pPr>
        <w:spacing w:after="0" w:line="240" w:lineRule="auto"/>
        <w:jc w:val="both"/>
        <w:rPr>
          <w:rFonts w:ascii="Times New Roman" w:hAnsi="Times New Roman" w:cs="Times New Roman"/>
          <w:sz w:val="24"/>
          <w:szCs w:val="24"/>
        </w:rPr>
      </w:pPr>
    </w:p>
    <w:p w14:paraId="5AEAB858" w14:textId="4C44543B" w:rsidR="00200837" w:rsidRPr="0015154B" w:rsidRDefault="00200837" w:rsidP="00200837">
      <w:pPr>
        <w:pStyle w:val="NormalWeb"/>
        <w:spacing w:before="0" w:beforeAutospacing="0" w:after="0" w:afterAutospacing="0"/>
        <w:jc w:val="both"/>
        <w:rPr>
          <w:rFonts w:ascii="Times New Roman" w:hAnsi="Times New Roman"/>
          <w:sz w:val="24"/>
          <w:szCs w:val="24"/>
        </w:rPr>
      </w:pPr>
      <w:r w:rsidRPr="0015154B">
        <w:rPr>
          <w:rFonts w:ascii="Times New Roman" w:hAnsi="Times New Roman"/>
          <w:b/>
          <w:sz w:val="24"/>
          <w:szCs w:val="24"/>
        </w:rPr>
        <w:t xml:space="preserve">Nabadzības vai sociālās atstumtības risks - </w:t>
      </w:r>
      <w:r w:rsidRPr="0015154B">
        <w:rPr>
          <w:rFonts w:ascii="Times New Roman" w:hAnsi="Times New Roman"/>
          <w:sz w:val="24"/>
          <w:szCs w:val="24"/>
        </w:rPr>
        <w:t>Personas, kuru ienākumi ir mazāki par nabadzības riska slieksni vai kuras ir dziļi materiāli nenodrošinātas, vai arī ir nodarbinātas darbā ar zemu intensitāti.</w:t>
      </w:r>
      <w:r w:rsidR="004A6572">
        <w:rPr>
          <w:rFonts w:ascii="Times New Roman" w:hAnsi="Times New Roman"/>
          <w:sz w:val="24"/>
          <w:szCs w:val="24"/>
        </w:rPr>
        <w:t xml:space="preserve"> </w:t>
      </w:r>
      <w:r w:rsidRPr="0015154B">
        <w:rPr>
          <w:rFonts w:ascii="Times New Roman" w:hAnsi="Times New Roman"/>
          <w:sz w:val="24"/>
          <w:szCs w:val="24"/>
        </w:rPr>
        <w:t>Tiek uzskatīts, ka persona ir pakļauta dziļai materiālajai nenodrošinātībai, ja tā nevar atļauties vismaz 4 no 9 minētajiem posteņiem: samaksāt īri un komunālo pakalpojumu rēķinus; uzturēt mājokli atbilstoši siltu; segt neparedzētus izdevumus; katru otro dienu baudīt maltīti no gaļas, zivīm vai līdzvērtīgu veģetāru maltīti; pavadīt brīvdienu nedēļu ārpus mājām; vieglo auto; veļas mazgājamo mašīnu; krāsu televizoru; telefonu.</w:t>
      </w:r>
    </w:p>
    <w:p w14:paraId="79AEECBE" w14:textId="77777777" w:rsidR="00200837" w:rsidRPr="0015154B" w:rsidRDefault="00200837" w:rsidP="00200837">
      <w:pPr>
        <w:spacing w:after="0" w:line="240" w:lineRule="auto"/>
        <w:jc w:val="both"/>
        <w:rPr>
          <w:rFonts w:ascii="Times New Roman" w:hAnsi="Times New Roman" w:cs="Times New Roman"/>
          <w:b/>
          <w:sz w:val="24"/>
          <w:szCs w:val="24"/>
        </w:rPr>
      </w:pPr>
    </w:p>
    <w:p w14:paraId="46BD40FD"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Nodarbinātības līmenis</w:t>
      </w:r>
      <w:r w:rsidRPr="0015154B">
        <w:rPr>
          <w:rFonts w:ascii="Times New Roman" w:hAnsi="Times New Roman" w:cs="Times New Roman"/>
          <w:sz w:val="24"/>
          <w:szCs w:val="24"/>
        </w:rPr>
        <w:t xml:space="preserve"> – nodarbināto iedzīvotāju īpatsvars atbilstošās vecuma grupas iedzīvotāju kopskaitā. Šis rādītājs parāda, kāda daļa no darbaspējas vecuma iedzīvotājiem patiešām ir reāli nodarbināti tautsaimniecībā attiecīgajā laika periodā. Rēķinot nodarbinātības līmeni, tiek iekļauti ne tikai darba ņēmēji, bet arī darba devēji un pašnodarbinātie. </w:t>
      </w:r>
    </w:p>
    <w:p w14:paraId="65730F70" w14:textId="77777777" w:rsidR="00200837" w:rsidRPr="0015154B" w:rsidRDefault="00200837" w:rsidP="00200837">
      <w:pPr>
        <w:spacing w:after="0" w:line="240" w:lineRule="auto"/>
        <w:jc w:val="both"/>
        <w:rPr>
          <w:rFonts w:ascii="Times New Roman" w:hAnsi="Times New Roman" w:cs="Times New Roman"/>
          <w:sz w:val="24"/>
          <w:szCs w:val="24"/>
        </w:rPr>
      </w:pPr>
    </w:p>
    <w:p w14:paraId="0A241A40"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Nodarbinātie iedzīvotāji</w:t>
      </w:r>
      <w:r w:rsidRPr="0015154B">
        <w:rPr>
          <w:rFonts w:ascii="Times New Roman" w:hAnsi="Times New Roman" w:cs="Times New Roman"/>
          <w:sz w:val="24"/>
          <w:szCs w:val="24"/>
        </w:rPr>
        <w:t xml:space="preserve"> – visas tās personas, kas pārskata nedēļā vismaz vienu stundu veic jebkādu darbu vai nu par samaksu naudā vai arī par atlīdzību precēs vai pakalpojumos, arī pašnodarbinātās personas, darba devēji un personas, kas strādā, lai iegūtu produkciju pašu patēriņam.</w:t>
      </w:r>
    </w:p>
    <w:p w14:paraId="260FC592" w14:textId="77777777" w:rsidR="00200837" w:rsidRPr="0015154B" w:rsidRDefault="00200837" w:rsidP="00200837">
      <w:pPr>
        <w:spacing w:after="0" w:line="240" w:lineRule="auto"/>
        <w:jc w:val="both"/>
        <w:rPr>
          <w:rFonts w:ascii="Times New Roman" w:hAnsi="Times New Roman" w:cs="Times New Roman"/>
          <w:sz w:val="24"/>
          <w:szCs w:val="24"/>
        </w:rPr>
      </w:pPr>
    </w:p>
    <w:p w14:paraId="461B2DFB"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Persona ar invaliditāti</w:t>
      </w:r>
      <w:r w:rsidRPr="0015154B">
        <w:rPr>
          <w:rFonts w:ascii="Times New Roman" w:hAnsi="Times New Roman" w:cs="Times New Roman"/>
          <w:sz w:val="24"/>
          <w:szCs w:val="24"/>
        </w:rPr>
        <w:t xml:space="preserve"> – persona, kurai saskaņā ar Latvijas normatīvajiem aktiem VDEĀVK noteicis invaliditāti.</w:t>
      </w:r>
    </w:p>
    <w:p w14:paraId="1BBFDC04" w14:textId="77777777" w:rsidR="00200837" w:rsidRPr="0015154B" w:rsidRDefault="00200837" w:rsidP="00200837">
      <w:pPr>
        <w:spacing w:after="0" w:line="240" w:lineRule="auto"/>
        <w:jc w:val="both"/>
        <w:rPr>
          <w:rFonts w:ascii="Times New Roman" w:hAnsi="Times New Roman" w:cs="Times New Roman"/>
          <w:b/>
          <w:sz w:val="24"/>
          <w:szCs w:val="24"/>
        </w:rPr>
      </w:pPr>
    </w:p>
    <w:p w14:paraId="2A683329"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Reģistrētā bezdarba līmenis</w:t>
      </w:r>
      <w:r w:rsidRPr="0015154B">
        <w:rPr>
          <w:rFonts w:ascii="Times New Roman" w:hAnsi="Times New Roman" w:cs="Times New Roman"/>
          <w:sz w:val="24"/>
          <w:szCs w:val="24"/>
        </w:rPr>
        <w:t xml:space="preserve"> – Nodarbinātības valsts aģentūrā reģistrēto bezdarbnieku (darbspējas vecumā) īpatsvars ekonomiski aktīvo iedzīvotāju darbspējas vecumā skaitā, procentos.</w:t>
      </w:r>
    </w:p>
    <w:p w14:paraId="7A7F7E16" w14:textId="77777777" w:rsidR="00200837" w:rsidRPr="0015154B" w:rsidRDefault="00200837" w:rsidP="00200837">
      <w:pPr>
        <w:spacing w:after="0" w:line="240" w:lineRule="auto"/>
        <w:jc w:val="both"/>
        <w:rPr>
          <w:rFonts w:ascii="Times New Roman" w:hAnsi="Times New Roman" w:cs="Times New Roman"/>
          <w:sz w:val="24"/>
          <w:szCs w:val="24"/>
        </w:rPr>
      </w:pPr>
    </w:p>
    <w:p w14:paraId="08151C2A"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Reģistrētie bezdarbnieki</w:t>
      </w:r>
      <w:r w:rsidRPr="0015154B">
        <w:rPr>
          <w:rFonts w:ascii="Times New Roman" w:hAnsi="Times New Roman" w:cs="Times New Roman"/>
          <w:sz w:val="24"/>
          <w:szCs w:val="24"/>
        </w:rPr>
        <w:t xml:space="preserve"> – personas, kuras saskaņā ar Bezdarbnieku un darba meklētāju atbalsta likumu ir reģistrējušās NVA kā bezdarbnieki un ir tiesīgas saņemt NVA pakalpojumus. </w:t>
      </w:r>
    </w:p>
    <w:p w14:paraId="2CE628A3" w14:textId="77777777" w:rsidR="00200837" w:rsidRPr="0015154B" w:rsidRDefault="00200837" w:rsidP="00200837">
      <w:pPr>
        <w:spacing w:after="0" w:line="240" w:lineRule="auto"/>
        <w:jc w:val="both"/>
        <w:rPr>
          <w:rFonts w:ascii="Times New Roman" w:hAnsi="Times New Roman" w:cs="Times New Roman"/>
          <w:sz w:val="24"/>
          <w:szCs w:val="24"/>
        </w:rPr>
      </w:pPr>
    </w:p>
    <w:p w14:paraId="14B1C398"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Reģistrētie darba meklētāji</w:t>
      </w:r>
      <w:r w:rsidRPr="0015154B">
        <w:rPr>
          <w:rFonts w:ascii="Times New Roman" w:hAnsi="Times New Roman" w:cs="Times New Roman"/>
          <w:sz w:val="24"/>
          <w:szCs w:val="24"/>
        </w:rPr>
        <w:t xml:space="preserve"> – personas, kuras saskaņā ar Bezdarbnieku un darba meklētāju atbalsta likumu ir reģistrējušās NVA kā darba meklētāji un ir tiesīgas saņemt NVA pakalpojumus (izņemot bezdarbnieka pabalstu un profesionālās izglītības piedāvājumu, bet </w:t>
      </w:r>
      <w:r w:rsidRPr="0015154B">
        <w:rPr>
          <w:rFonts w:ascii="Times New Roman" w:hAnsi="Times New Roman" w:cs="Times New Roman"/>
          <w:sz w:val="24"/>
          <w:szCs w:val="24"/>
        </w:rPr>
        <w:lastRenderedPageBreak/>
        <w:t>saņemt valsts pensiju, mācīties vidējās izglītības programmā klātienē, būt pilnā valsts apgādībā).</w:t>
      </w:r>
    </w:p>
    <w:p w14:paraId="02A9518C" w14:textId="77777777" w:rsidR="00200837" w:rsidRPr="0015154B" w:rsidRDefault="00200837" w:rsidP="00200837">
      <w:pPr>
        <w:shd w:val="clear" w:color="auto" w:fill="FFFFFF"/>
        <w:spacing w:after="0" w:line="240" w:lineRule="auto"/>
        <w:rPr>
          <w:rFonts w:ascii="Times New Roman" w:eastAsia="Times New Roman" w:hAnsi="Times New Roman" w:cs="Times New Roman"/>
          <w:sz w:val="24"/>
          <w:szCs w:val="24"/>
          <w:lang w:eastAsia="lv-LV"/>
        </w:rPr>
      </w:pPr>
    </w:p>
    <w:p w14:paraId="34AA2B98" w14:textId="77777777" w:rsidR="00200837" w:rsidRPr="0015154B" w:rsidRDefault="00200837" w:rsidP="00200837">
      <w:pPr>
        <w:shd w:val="clear" w:color="auto" w:fill="FFFFFF"/>
        <w:spacing w:after="0" w:line="240" w:lineRule="auto"/>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b/>
          <w:sz w:val="24"/>
          <w:szCs w:val="24"/>
          <w:lang w:eastAsia="lv-LV"/>
        </w:rPr>
        <w:t>Rīcībā esošie (neto) ienākumi</w:t>
      </w:r>
      <w:r w:rsidRPr="0015154B">
        <w:rPr>
          <w:rFonts w:ascii="Times New Roman" w:eastAsia="Times New Roman" w:hAnsi="Times New Roman" w:cs="Times New Roman"/>
          <w:sz w:val="24"/>
          <w:szCs w:val="24"/>
          <w:lang w:eastAsia="lv-LV"/>
        </w:rPr>
        <w:t xml:space="preserve"> - naudas ienākumi no algota darba; naudas izteiksmē pārrēķinātie darba ņēmēja natūrā gūtie ienākumi, izmantojot uzņēmuma vai dienesta auto privātām vajadzībām; ienākumi vai zaudējumi, kas gūti no pašnodarbinātības; saņemtās pensijas un pabalsti; regulāra naudas palīdzība no citām mājsaimniecībām; peļņa no noguldījumu procentiem, dividendēm, akcijām; ienākumi, ko saņēmuši bērni, jaunāki par 16 gadiem; ienākumi no īpašuma izīrēšanas; saņemtā summa VID ienākuma nodokļa pārmaksas dēļ (par saimnieciskās darbības veikšanu, attaisnotajiem izdevumiem – izglītību, ārstniecību u. tml.). No šīs kopējās ienākumu summas tiek atskaitīti nekustamā īpašuma nodokļu maksājumi; naudas summas, kas tikušas regulāri piešķirtas citām mājsaimniecībām; atmaksātā summa VID sakarā ar nenomaksāto vai nepilnīgi nomaksāto ienākuma nodokli.</w:t>
      </w:r>
    </w:p>
    <w:p w14:paraId="7F5747D9" w14:textId="77777777" w:rsidR="00200837" w:rsidRPr="0015154B" w:rsidRDefault="00200837" w:rsidP="00200837">
      <w:pPr>
        <w:spacing w:after="0" w:line="240" w:lineRule="auto"/>
        <w:jc w:val="both"/>
        <w:rPr>
          <w:rFonts w:ascii="Times New Roman" w:hAnsi="Times New Roman" w:cs="Times New Roman"/>
          <w:sz w:val="24"/>
          <w:szCs w:val="24"/>
        </w:rPr>
      </w:pPr>
    </w:p>
    <w:p w14:paraId="526C5AAC" w14:textId="77777777" w:rsidR="00200837" w:rsidRPr="0015154B" w:rsidRDefault="00200837" w:rsidP="00200837">
      <w:pPr>
        <w:spacing w:after="0" w:line="240" w:lineRule="auto"/>
        <w:jc w:val="both"/>
        <w:rPr>
          <w:rFonts w:ascii="Times New Roman" w:hAnsi="Times New Roman" w:cs="Times New Roman"/>
          <w:sz w:val="24"/>
          <w:szCs w:val="24"/>
          <w:shd w:val="clear" w:color="auto" w:fill="FFFFFF"/>
        </w:rPr>
      </w:pPr>
      <w:r w:rsidRPr="0015154B">
        <w:rPr>
          <w:rFonts w:ascii="Times New Roman" w:hAnsi="Times New Roman" w:cs="Times New Roman"/>
          <w:b/>
          <w:sz w:val="24"/>
          <w:szCs w:val="24"/>
        </w:rPr>
        <w:t>Sociālie transferti - v</w:t>
      </w:r>
      <w:r w:rsidRPr="0015154B">
        <w:rPr>
          <w:rFonts w:ascii="Times New Roman" w:hAnsi="Times New Roman" w:cs="Times New Roman"/>
          <w:sz w:val="24"/>
          <w:szCs w:val="24"/>
          <w:shd w:val="clear" w:color="auto" w:fill="FFFFFF"/>
        </w:rPr>
        <w:t>alsts, pašvaldības piešķirtās pensijas un pabalsti, izmaksātie uzturlīdzekļi bērniem, stipendijas, sociālās apdrošināšanas pabalsti un kompensācijas, tai skaitā arī citu valstu.</w:t>
      </w:r>
    </w:p>
    <w:p w14:paraId="21DF68A7" w14:textId="77777777" w:rsidR="00200837" w:rsidRPr="0015154B" w:rsidRDefault="00200837" w:rsidP="00200837">
      <w:pPr>
        <w:spacing w:after="0" w:line="240" w:lineRule="auto"/>
        <w:jc w:val="both"/>
        <w:rPr>
          <w:rFonts w:ascii="Times New Roman" w:hAnsi="Times New Roman" w:cs="Times New Roman"/>
          <w:b/>
          <w:sz w:val="24"/>
          <w:szCs w:val="24"/>
        </w:rPr>
      </w:pPr>
    </w:p>
    <w:p w14:paraId="12BEA54A" w14:textId="77777777" w:rsidR="00200837" w:rsidRPr="0015154B" w:rsidRDefault="00200837" w:rsidP="00200837">
      <w:pPr>
        <w:spacing w:after="0" w:line="240" w:lineRule="auto"/>
        <w:jc w:val="both"/>
        <w:rPr>
          <w:rFonts w:ascii="Times New Roman" w:hAnsi="Times New Roman" w:cs="Times New Roman"/>
          <w:sz w:val="24"/>
          <w:szCs w:val="24"/>
          <w:shd w:val="clear" w:color="auto" w:fill="FFFFFF"/>
        </w:rPr>
      </w:pPr>
      <w:r w:rsidRPr="0015154B">
        <w:rPr>
          <w:rFonts w:ascii="Times New Roman" w:hAnsi="Times New Roman" w:cs="Times New Roman"/>
          <w:b/>
          <w:sz w:val="24"/>
          <w:szCs w:val="24"/>
        </w:rPr>
        <w:t>Trūcīga persona/ ģimene</w:t>
      </w:r>
      <w:r w:rsidRPr="0015154B">
        <w:rPr>
          <w:rFonts w:ascii="Times New Roman" w:hAnsi="Times New Roman" w:cs="Times New Roman"/>
          <w:sz w:val="24"/>
          <w:szCs w:val="24"/>
        </w:rPr>
        <w:t xml:space="preserve"> </w:t>
      </w:r>
      <w:r w:rsidRPr="0015154B">
        <w:rPr>
          <w:rFonts w:ascii="Times New Roman" w:hAnsi="Times New Roman" w:cs="Times New Roman"/>
          <w:sz w:val="24"/>
          <w:szCs w:val="24"/>
          <w:shd w:val="clear" w:color="auto" w:fill="FFFFFF"/>
        </w:rPr>
        <w:t>- ģimene (persona) tiek atzīta par trūcīgu, ja tās vidējie ienākumi katram ģimenes loceklim mēnesī pēdējo triju mēnešu laikā nepārsniedz EUR 128,06. Trūcīgas ģimenes (personas) statusu nosaka uz laiku no trim līdz sešiem mēnešiem.</w:t>
      </w:r>
    </w:p>
    <w:p w14:paraId="36D7BA76" w14:textId="77777777" w:rsidR="00200837" w:rsidRPr="0015154B" w:rsidRDefault="00200837" w:rsidP="00200837">
      <w:pPr>
        <w:spacing w:after="0" w:line="240" w:lineRule="auto"/>
        <w:jc w:val="both"/>
        <w:rPr>
          <w:rFonts w:ascii="Times New Roman" w:hAnsi="Times New Roman" w:cs="Times New Roman"/>
          <w:sz w:val="24"/>
          <w:szCs w:val="24"/>
        </w:rPr>
      </w:pPr>
    </w:p>
    <w:p w14:paraId="0D190BA6" w14:textId="77777777" w:rsidR="00200837" w:rsidRPr="0015154B" w:rsidRDefault="00200837" w:rsidP="00200837">
      <w:pPr>
        <w:spacing w:after="0" w:line="240" w:lineRule="auto"/>
        <w:jc w:val="both"/>
        <w:rPr>
          <w:rFonts w:ascii="Times New Roman" w:hAnsi="Times New Roman" w:cs="Times New Roman"/>
          <w:sz w:val="24"/>
          <w:szCs w:val="24"/>
        </w:rPr>
      </w:pPr>
      <w:r w:rsidRPr="0015154B">
        <w:rPr>
          <w:rFonts w:ascii="Times New Roman" w:hAnsi="Times New Roman" w:cs="Times New Roman"/>
          <w:b/>
          <w:sz w:val="24"/>
          <w:szCs w:val="24"/>
        </w:rPr>
        <w:t>Maznodrošināta persona/ ģimene</w:t>
      </w:r>
      <w:r w:rsidRPr="0015154B">
        <w:rPr>
          <w:rFonts w:ascii="Times New Roman" w:hAnsi="Times New Roman" w:cs="Times New Roman"/>
          <w:sz w:val="24"/>
          <w:szCs w:val="24"/>
        </w:rPr>
        <w:t xml:space="preserve"> – </w:t>
      </w:r>
      <w:r w:rsidRPr="0015154B">
        <w:rPr>
          <w:rFonts w:ascii="Times New Roman" w:hAnsi="Times New Roman" w:cs="Times New Roman"/>
          <w:sz w:val="24"/>
          <w:szCs w:val="24"/>
          <w:shd w:val="clear" w:color="auto" w:fill="FFFFFF"/>
        </w:rPr>
        <w:t xml:space="preserve">par maznodrošinātu atzīstama persona, kuras ienākumi un materiālais stāvoklis nepārsniedz attiecīgās pašvaldības domes noteikto līmeni, kas savukārt nedrīkst būt zemāks par Ministru kabineta noteikto trūcīgas personas ienākumu un materiālā stāvokļa līmeni (EUR 128,06). </w:t>
      </w:r>
    </w:p>
    <w:p w14:paraId="14E09D6C" w14:textId="77777777" w:rsidR="00200837" w:rsidRPr="0015154B" w:rsidRDefault="00200837" w:rsidP="00200837">
      <w:pPr>
        <w:spacing w:after="0" w:line="240" w:lineRule="auto"/>
        <w:rPr>
          <w:rFonts w:ascii="Times New Roman" w:hAnsi="Times New Roman" w:cs="Times New Roman"/>
          <w:sz w:val="24"/>
          <w:szCs w:val="24"/>
          <w:highlight w:val="cyan"/>
        </w:rPr>
      </w:pPr>
    </w:p>
    <w:p w14:paraId="080401F8" w14:textId="77777777" w:rsidR="00200837" w:rsidRPr="0015154B" w:rsidRDefault="00200837" w:rsidP="00200837">
      <w:pPr>
        <w:rPr>
          <w:rFonts w:ascii="Times New Roman" w:hAnsi="Times New Roman" w:cs="Times New Roman"/>
          <w:sz w:val="24"/>
          <w:szCs w:val="24"/>
          <w:highlight w:val="cyan"/>
        </w:rPr>
      </w:pPr>
      <w:r w:rsidRPr="0015154B">
        <w:rPr>
          <w:rFonts w:ascii="Times New Roman" w:hAnsi="Times New Roman" w:cs="Times New Roman"/>
          <w:sz w:val="24"/>
          <w:szCs w:val="24"/>
          <w:highlight w:val="cyan"/>
        </w:rPr>
        <w:br w:type="page"/>
      </w:r>
    </w:p>
    <w:p w14:paraId="0FCEBCB5" w14:textId="6DEE2256" w:rsidR="0031085C" w:rsidRPr="0015154B" w:rsidRDefault="0031085C" w:rsidP="00EC7537">
      <w:pPr>
        <w:pStyle w:val="Heading1"/>
      </w:pPr>
      <w:bookmarkStart w:id="4" w:name="_Toc55316057"/>
      <w:r w:rsidRPr="0015154B">
        <w:lastRenderedPageBreak/>
        <w:t>Sociāli ekonomiskās situācijas raksturojums</w:t>
      </w:r>
      <w:bookmarkEnd w:id="4"/>
    </w:p>
    <w:p w14:paraId="30F21261" w14:textId="6E6E1595" w:rsidR="00200837" w:rsidRPr="0015154B" w:rsidRDefault="00200837" w:rsidP="00DA5144">
      <w:pPr>
        <w:pStyle w:val="Heading2"/>
      </w:pPr>
      <w:bookmarkStart w:id="5" w:name="_Toc55316058"/>
      <w:r w:rsidRPr="0015154B">
        <w:t>Demogrāfiskā situācija un prognozes</w:t>
      </w:r>
      <w:bookmarkEnd w:id="5"/>
    </w:p>
    <w:p w14:paraId="767B0B90" w14:textId="4F39C1AC" w:rsidR="001413AC" w:rsidRPr="007157D3" w:rsidRDefault="001413AC" w:rsidP="001413AC">
      <w:pPr>
        <w:autoSpaceDE w:val="0"/>
        <w:autoSpaceDN w:val="0"/>
        <w:adjustRightInd w:val="0"/>
        <w:spacing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Demogrāfisko situāciju Latvijā raksturo negatīvs iedzīvotāju dabiskais pieaugums, negatīvs migrācijas saldo un vidējā mūža ilguma palielināšanās, kas veicina sabiedrības novecošanos un demogrāfiskās slodzes palielināšanos. </w:t>
      </w:r>
      <w:r w:rsidRPr="0015154B">
        <w:rPr>
          <w:rFonts w:ascii="Times New Roman" w:hAnsi="Times New Roman" w:cs="Times New Roman"/>
          <w:bCs/>
          <w:sz w:val="24"/>
          <w:szCs w:val="24"/>
        </w:rPr>
        <w:t>2020.gada sākumā uz 1 000 darbspējīgo iedzīvotāju bija 380 pensijas vecuma iedzīvotāju</w:t>
      </w:r>
      <w:r w:rsidRPr="0015154B">
        <w:rPr>
          <w:rFonts w:ascii="Times New Roman" w:hAnsi="Times New Roman" w:cs="Times New Roman"/>
          <w:sz w:val="24"/>
          <w:szCs w:val="24"/>
        </w:rPr>
        <w:t xml:space="preserve"> un 263 nepilngadīgu iedzīvotāju (</w:t>
      </w:r>
      <w:r w:rsidRPr="0015154B">
        <w:rPr>
          <w:rFonts w:ascii="Times New Roman" w:hAnsi="Times New Roman" w:cs="Times New Roman"/>
          <w:sz w:val="24"/>
          <w:szCs w:val="24"/>
          <w:highlight w:val="yellow"/>
        </w:rPr>
        <w:t>skat. 1.attēlu</w:t>
      </w:r>
      <w:r w:rsidRPr="0015154B">
        <w:rPr>
          <w:rFonts w:ascii="Times New Roman" w:hAnsi="Times New Roman" w:cs="Times New Roman"/>
          <w:sz w:val="24"/>
          <w:szCs w:val="24"/>
        </w:rPr>
        <w:t>).</w:t>
      </w:r>
      <w:r w:rsidRPr="007157D3">
        <w:rPr>
          <w:rFonts w:ascii="Times New Roman" w:hAnsi="Times New Roman" w:cs="Times New Roman"/>
          <w:sz w:val="24"/>
          <w:szCs w:val="24"/>
        </w:rPr>
        <w:t xml:space="preserve"> </w:t>
      </w:r>
    </w:p>
    <w:p w14:paraId="5FBF280A" w14:textId="77777777" w:rsidR="001413AC" w:rsidRPr="002F5278" w:rsidRDefault="001413AC" w:rsidP="001413AC">
      <w:pPr>
        <w:autoSpaceDE w:val="0"/>
        <w:autoSpaceDN w:val="0"/>
        <w:adjustRightInd w:val="0"/>
        <w:spacing w:after="0" w:line="240" w:lineRule="auto"/>
        <w:jc w:val="both"/>
        <w:rPr>
          <w:rFonts w:ascii="Times New Roman" w:hAnsi="Times New Roman" w:cs="Times New Roman"/>
          <w:sz w:val="24"/>
          <w:szCs w:val="24"/>
        </w:rPr>
      </w:pPr>
    </w:p>
    <w:p w14:paraId="69779A08" w14:textId="5ECD0787" w:rsidR="001413AC" w:rsidRPr="007157D3" w:rsidRDefault="007D647E" w:rsidP="001413AC">
      <w:pPr>
        <w:autoSpaceDE w:val="0"/>
        <w:autoSpaceDN w:val="0"/>
        <w:adjustRightInd w:val="0"/>
        <w:spacing w:after="0" w:line="240" w:lineRule="auto"/>
        <w:jc w:val="both"/>
        <w:rPr>
          <w:rFonts w:ascii="Times New Roman" w:hAnsi="Times New Roman" w:cs="Times New Roman"/>
          <w:sz w:val="24"/>
          <w:szCs w:val="24"/>
        </w:rPr>
      </w:pPr>
      <w:r w:rsidRPr="00E07E75">
        <w:rPr>
          <w:rFonts w:ascii="Times New Roman" w:hAnsi="Times New Roman" w:cs="Times New Roman"/>
          <w:noProof/>
          <w:sz w:val="24"/>
          <w:szCs w:val="24"/>
        </w:rPr>
        <w:drawing>
          <wp:anchor distT="0" distB="0" distL="114300" distR="114300" simplePos="0" relativeHeight="251661312" behindDoc="1" locked="0" layoutInCell="1" allowOverlap="1" wp14:anchorId="4960F3A9" wp14:editId="79833022">
            <wp:simplePos x="0" y="0"/>
            <wp:positionH relativeFrom="margin">
              <wp:align>center</wp:align>
            </wp:positionH>
            <wp:positionV relativeFrom="paragraph">
              <wp:posOffset>188264</wp:posOffset>
            </wp:positionV>
            <wp:extent cx="3790950" cy="2533650"/>
            <wp:effectExtent l="0" t="0" r="0" b="0"/>
            <wp:wrapTopAndBottom/>
            <wp:docPr id="21" name="Chart 21">
              <a:extLst xmlns:a="http://schemas.openxmlformats.org/drawingml/2006/main">
                <a:ext uri="{FF2B5EF4-FFF2-40B4-BE49-F238E27FC236}">
                  <a16:creationId xmlns:a16="http://schemas.microsoft.com/office/drawing/2014/main" id="{647B992D-CF7E-44FE-A769-88E0F5C127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1413AC" w:rsidRPr="007157D3">
        <w:rPr>
          <w:rFonts w:ascii="Times New Roman" w:hAnsi="Times New Roman" w:cs="Times New Roman"/>
          <w:sz w:val="24"/>
          <w:szCs w:val="24"/>
        </w:rPr>
        <w:t>1.attēls</w:t>
      </w:r>
    </w:p>
    <w:p w14:paraId="726D25AF" w14:textId="297495ED" w:rsidR="00024D7D" w:rsidRPr="00024D7D" w:rsidRDefault="00024D7D" w:rsidP="00024D7D">
      <w:pPr>
        <w:autoSpaceDE w:val="0"/>
        <w:autoSpaceDN w:val="0"/>
        <w:adjustRightInd w:val="0"/>
        <w:spacing w:before="120" w:after="0" w:line="240" w:lineRule="auto"/>
        <w:jc w:val="both"/>
        <w:rPr>
          <w:rFonts w:ascii="Times New Roman" w:hAnsi="Times New Roman" w:cs="Times New Roman"/>
          <w:sz w:val="20"/>
          <w:szCs w:val="20"/>
        </w:rPr>
      </w:pPr>
      <w:bookmarkStart w:id="6" w:name="_Hlk50727091"/>
      <w:r w:rsidRPr="00024D7D">
        <w:rPr>
          <w:rFonts w:ascii="Times New Roman" w:hAnsi="Times New Roman"/>
          <w:sz w:val="20"/>
          <w:szCs w:val="20"/>
        </w:rPr>
        <w:t>Datu avots: CSP datu bāze, datu tabula [IRG020]</w:t>
      </w:r>
      <w:bookmarkEnd w:id="6"/>
      <w:r w:rsidRPr="00024D7D">
        <w:rPr>
          <w:rFonts w:ascii="Times New Roman" w:hAnsi="Times New Roman" w:cs="Times New Roman"/>
          <w:sz w:val="20"/>
          <w:szCs w:val="20"/>
        </w:rPr>
        <w:t xml:space="preserve"> </w:t>
      </w:r>
    </w:p>
    <w:p w14:paraId="2068F19D" w14:textId="77777777" w:rsidR="00024D7D" w:rsidRDefault="00024D7D" w:rsidP="0030363D">
      <w:pPr>
        <w:autoSpaceDE w:val="0"/>
        <w:autoSpaceDN w:val="0"/>
        <w:adjustRightInd w:val="0"/>
        <w:spacing w:before="120" w:after="0" w:line="240" w:lineRule="auto"/>
        <w:ind w:firstLine="709"/>
        <w:jc w:val="both"/>
        <w:rPr>
          <w:rFonts w:ascii="Times New Roman" w:hAnsi="Times New Roman" w:cs="Times New Roman"/>
          <w:sz w:val="24"/>
          <w:szCs w:val="24"/>
        </w:rPr>
      </w:pPr>
    </w:p>
    <w:p w14:paraId="2C5D1586" w14:textId="2CD5417D" w:rsidR="001413AC" w:rsidRPr="007157D3" w:rsidRDefault="001413AC" w:rsidP="0030363D">
      <w:pPr>
        <w:autoSpaceDE w:val="0"/>
        <w:autoSpaceDN w:val="0"/>
        <w:adjustRightInd w:val="0"/>
        <w:spacing w:before="120" w:after="0" w:line="240" w:lineRule="auto"/>
        <w:ind w:firstLine="709"/>
        <w:jc w:val="both"/>
        <w:rPr>
          <w:rFonts w:ascii="Times New Roman" w:hAnsi="Times New Roman" w:cs="Times New Roman"/>
          <w:sz w:val="24"/>
          <w:szCs w:val="24"/>
        </w:rPr>
      </w:pPr>
      <w:r w:rsidRPr="0025422D">
        <w:rPr>
          <w:rFonts w:ascii="Times New Roman" w:hAnsi="Times New Roman" w:cs="Times New Roman"/>
          <w:sz w:val="24"/>
          <w:szCs w:val="24"/>
        </w:rPr>
        <w:t>Kopš 1991.</w:t>
      </w:r>
      <w:r w:rsidR="009D230A" w:rsidRPr="00A857F2">
        <w:rPr>
          <w:rFonts w:ascii="Times New Roman" w:hAnsi="Times New Roman" w:cs="Times New Roman"/>
          <w:sz w:val="24"/>
          <w:szCs w:val="24"/>
        </w:rPr>
        <w:t> </w:t>
      </w:r>
      <w:r w:rsidRPr="00A857F2">
        <w:rPr>
          <w:rFonts w:ascii="Times New Roman" w:hAnsi="Times New Roman" w:cs="Times New Roman"/>
          <w:sz w:val="24"/>
          <w:szCs w:val="24"/>
        </w:rPr>
        <w:t xml:space="preserve">gada </w:t>
      </w:r>
      <w:r w:rsidRPr="003B5C85">
        <w:rPr>
          <w:rFonts w:ascii="Times New Roman" w:hAnsi="Times New Roman" w:cs="Times New Roman"/>
          <w:b/>
          <w:sz w:val="24"/>
          <w:szCs w:val="24"/>
        </w:rPr>
        <w:t>iedzīvotāju skaits</w:t>
      </w:r>
      <w:r w:rsidRPr="009703E6">
        <w:rPr>
          <w:rFonts w:ascii="Times New Roman" w:hAnsi="Times New Roman" w:cs="Times New Roman"/>
          <w:sz w:val="24"/>
          <w:szCs w:val="24"/>
        </w:rPr>
        <w:t xml:space="preserve"> Latvijā ir samazinājies par 760 tūkstošiem. Starp septiņām ES dalībvalstīm, kurās 2020.</w:t>
      </w:r>
      <w:r w:rsidR="0030363D" w:rsidRPr="0015154B">
        <w:rPr>
          <w:rFonts w:ascii="Times New Roman" w:hAnsi="Times New Roman" w:cs="Times New Roman"/>
          <w:sz w:val="24"/>
          <w:szCs w:val="24"/>
        </w:rPr>
        <w:t> </w:t>
      </w:r>
      <w:r w:rsidRPr="0015154B">
        <w:rPr>
          <w:rFonts w:ascii="Times New Roman" w:hAnsi="Times New Roman" w:cs="Times New Roman"/>
          <w:sz w:val="24"/>
          <w:szCs w:val="24"/>
        </w:rPr>
        <w:t>gada sākumā bija samazinājies iedzīvotāju skaits, vislielākais iedzīvotāju skaita samazinājums bija Latvijā (- 6,5 cilvēki uz 1 000 iedzīvotāju; ES 28:  +2,5, Igaunijā: +3,1, Lietuvā: 0</w:t>
      </w:r>
      <w:r w:rsidR="007E3194">
        <w:rPr>
          <w:rFonts w:ascii="Times New Roman" w:hAnsi="Times New Roman" w:cs="Times New Roman"/>
          <w:sz w:val="24"/>
          <w:szCs w:val="24"/>
        </w:rPr>
        <w:t>,</w:t>
      </w:r>
      <w:r w:rsidRPr="0015154B">
        <w:rPr>
          <w:rFonts w:ascii="Times New Roman" w:hAnsi="Times New Roman" w:cs="Times New Roman"/>
          <w:sz w:val="24"/>
          <w:szCs w:val="24"/>
        </w:rPr>
        <w:t>0)</w:t>
      </w:r>
      <w:r w:rsidR="007E3194">
        <w:rPr>
          <w:rFonts w:ascii="Times New Roman" w:hAnsi="Times New Roman" w:cs="Times New Roman"/>
          <w:sz w:val="24"/>
          <w:szCs w:val="24"/>
        </w:rPr>
        <w:t>.</w:t>
      </w:r>
      <w:r w:rsidRPr="0015154B">
        <w:rPr>
          <w:rFonts w:ascii="Times New Roman" w:hAnsi="Times New Roman" w:cs="Times New Roman"/>
          <w:sz w:val="24"/>
          <w:szCs w:val="24"/>
          <w:vertAlign w:val="superscript"/>
        </w:rPr>
        <w:t xml:space="preserve"> </w:t>
      </w:r>
      <w:r w:rsidRPr="007157D3">
        <w:rPr>
          <w:rFonts w:ascii="Times New Roman" w:hAnsi="Times New Roman" w:cs="Times New Roman"/>
          <w:sz w:val="24"/>
          <w:szCs w:val="24"/>
          <w:vertAlign w:val="superscript"/>
        </w:rPr>
        <w:footnoteReference w:id="1"/>
      </w:r>
    </w:p>
    <w:p w14:paraId="120A529A" w14:textId="3CB6679B" w:rsidR="001413AC" w:rsidRPr="007157D3" w:rsidRDefault="001413AC" w:rsidP="0030363D">
      <w:pPr>
        <w:autoSpaceDE w:val="0"/>
        <w:autoSpaceDN w:val="0"/>
        <w:adjustRightInd w:val="0"/>
        <w:spacing w:before="120" w:after="0" w:line="240" w:lineRule="auto"/>
        <w:ind w:firstLine="709"/>
        <w:jc w:val="both"/>
        <w:rPr>
          <w:rFonts w:ascii="Times New Roman" w:hAnsi="Times New Roman" w:cs="Times New Roman"/>
          <w:sz w:val="24"/>
          <w:szCs w:val="24"/>
        </w:rPr>
      </w:pPr>
      <w:r w:rsidRPr="002F5278">
        <w:rPr>
          <w:rFonts w:ascii="Times New Roman" w:hAnsi="Times New Roman" w:cs="Times New Roman"/>
          <w:sz w:val="24"/>
          <w:szCs w:val="24"/>
        </w:rPr>
        <w:t xml:space="preserve">Iedzīvotāju </w:t>
      </w:r>
      <w:r w:rsidRPr="0025422D">
        <w:rPr>
          <w:rFonts w:ascii="Times New Roman" w:hAnsi="Times New Roman" w:cs="Times New Roman"/>
          <w:b/>
          <w:sz w:val="24"/>
          <w:szCs w:val="24"/>
        </w:rPr>
        <w:t>dabiskais pieaugums</w:t>
      </w:r>
      <w:r w:rsidRPr="0025422D">
        <w:rPr>
          <w:rFonts w:ascii="Times New Roman" w:hAnsi="Times New Roman" w:cs="Times New Roman"/>
          <w:sz w:val="24"/>
          <w:szCs w:val="24"/>
        </w:rPr>
        <w:t xml:space="preserve"> ir negatīvs kopš 1991.</w:t>
      </w:r>
      <w:r w:rsidR="0030363D" w:rsidRPr="00A857F2">
        <w:rPr>
          <w:rFonts w:ascii="Times New Roman" w:hAnsi="Times New Roman" w:cs="Times New Roman"/>
          <w:sz w:val="24"/>
          <w:szCs w:val="24"/>
        </w:rPr>
        <w:t> </w:t>
      </w:r>
      <w:r w:rsidRPr="00A857F2">
        <w:rPr>
          <w:rFonts w:ascii="Times New Roman" w:hAnsi="Times New Roman" w:cs="Times New Roman"/>
          <w:sz w:val="24"/>
          <w:szCs w:val="24"/>
        </w:rPr>
        <w:t>gada un 2018.</w:t>
      </w:r>
      <w:r w:rsidR="0030363D" w:rsidRPr="003B5C85">
        <w:rPr>
          <w:rFonts w:ascii="Times New Roman" w:hAnsi="Times New Roman" w:cs="Times New Roman"/>
          <w:sz w:val="24"/>
          <w:szCs w:val="24"/>
        </w:rPr>
        <w:t> </w:t>
      </w:r>
      <w:r w:rsidRPr="009703E6">
        <w:rPr>
          <w:rFonts w:ascii="Times New Roman" w:hAnsi="Times New Roman" w:cs="Times New Roman"/>
          <w:sz w:val="24"/>
          <w:szCs w:val="24"/>
        </w:rPr>
        <w:t>gadā tas sasniedza augstāko rādītāju</w:t>
      </w:r>
      <w:r w:rsidR="00597B53" w:rsidRPr="009703E6">
        <w:rPr>
          <w:rFonts w:ascii="Times New Roman" w:hAnsi="Times New Roman" w:cs="Times New Roman"/>
          <w:sz w:val="24"/>
          <w:szCs w:val="24"/>
        </w:rPr>
        <w:t>,</w:t>
      </w:r>
      <w:r w:rsidRPr="0015154B">
        <w:rPr>
          <w:rFonts w:ascii="Times New Roman" w:hAnsi="Times New Roman" w:cs="Times New Roman"/>
          <w:sz w:val="24"/>
          <w:szCs w:val="24"/>
        </w:rPr>
        <w:t xml:space="preserve"> 2019.</w:t>
      </w:r>
      <w:r w:rsidR="009D230A" w:rsidRPr="0015154B">
        <w:rPr>
          <w:rFonts w:ascii="Times New Roman" w:hAnsi="Times New Roman" w:cs="Times New Roman"/>
          <w:sz w:val="24"/>
          <w:szCs w:val="24"/>
        </w:rPr>
        <w:t> </w:t>
      </w:r>
      <w:r w:rsidRPr="0015154B">
        <w:rPr>
          <w:rFonts w:ascii="Times New Roman" w:hAnsi="Times New Roman" w:cs="Times New Roman"/>
          <w:sz w:val="24"/>
          <w:szCs w:val="24"/>
        </w:rPr>
        <w:t xml:space="preserve">gadā </w:t>
      </w:r>
      <w:r w:rsidR="00597B53" w:rsidRPr="0015154B">
        <w:rPr>
          <w:rFonts w:ascii="Times New Roman" w:hAnsi="Times New Roman" w:cs="Times New Roman"/>
          <w:sz w:val="24"/>
          <w:szCs w:val="24"/>
        </w:rPr>
        <w:t>nedaudz mazinoties negatīvajām tendencēm</w:t>
      </w:r>
      <w:r w:rsidRPr="0015154B">
        <w:rPr>
          <w:rFonts w:ascii="Times New Roman" w:hAnsi="Times New Roman" w:cs="Times New Roman"/>
          <w:sz w:val="24"/>
          <w:szCs w:val="24"/>
        </w:rPr>
        <w:t xml:space="preserve">. </w:t>
      </w:r>
      <w:r w:rsidRPr="0015154B">
        <w:rPr>
          <w:rFonts w:ascii="Times New Roman" w:hAnsi="Times New Roman" w:cs="Times New Roman"/>
          <w:b/>
          <w:sz w:val="24"/>
          <w:szCs w:val="24"/>
        </w:rPr>
        <w:t>Migrācijas saldo</w:t>
      </w:r>
      <w:r w:rsidRPr="0015154B">
        <w:rPr>
          <w:rFonts w:ascii="Times New Roman" w:hAnsi="Times New Roman" w:cs="Times New Roman"/>
          <w:sz w:val="24"/>
          <w:szCs w:val="24"/>
        </w:rPr>
        <w:t xml:space="preserve"> ir negatīvs jau kopš 1989. gada, bet šim rādītājam ir vērojama stabila tendence samazināties </w:t>
      </w:r>
      <w:r w:rsidR="00597B53" w:rsidRPr="0015154B">
        <w:rPr>
          <w:rFonts w:ascii="Times New Roman" w:hAnsi="Times New Roman" w:cs="Times New Roman"/>
          <w:sz w:val="24"/>
          <w:szCs w:val="24"/>
        </w:rPr>
        <w:t>(</w:t>
      </w:r>
      <w:r w:rsidRPr="0015154B">
        <w:rPr>
          <w:rFonts w:ascii="Times New Roman" w:hAnsi="Times New Roman" w:cs="Times New Roman"/>
          <w:sz w:val="24"/>
          <w:szCs w:val="24"/>
          <w:highlight w:val="yellow"/>
        </w:rPr>
        <w:t>skat. 2.attēlu</w:t>
      </w:r>
      <w:r w:rsidRPr="0015154B">
        <w:rPr>
          <w:rFonts w:ascii="Times New Roman" w:hAnsi="Times New Roman" w:cs="Times New Roman"/>
          <w:sz w:val="24"/>
          <w:szCs w:val="24"/>
        </w:rPr>
        <w:t>).</w:t>
      </w:r>
      <w:r w:rsidRPr="007157D3">
        <w:rPr>
          <w:rFonts w:ascii="Times New Roman" w:hAnsi="Times New Roman" w:cs="Times New Roman"/>
          <w:sz w:val="24"/>
          <w:szCs w:val="24"/>
        </w:rPr>
        <w:t xml:space="preserve"> </w:t>
      </w:r>
    </w:p>
    <w:p w14:paraId="53B06F9A" w14:textId="38DA9092" w:rsidR="00E91408" w:rsidRDefault="00E91408">
      <w:pPr>
        <w:rPr>
          <w:rFonts w:ascii="Times New Roman" w:hAnsi="Times New Roman" w:cs="Times New Roman"/>
          <w:sz w:val="24"/>
          <w:szCs w:val="24"/>
        </w:rPr>
      </w:pPr>
      <w:r>
        <w:rPr>
          <w:rFonts w:ascii="Times New Roman" w:hAnsi="Times New Roman" w:cs="Times New Roman"/>
          <w:sz w:val="24"/>
          <w:szCs w:val="24"/>
        </w:rPr>
        <w:br w:type="page"/>
      </w:r>
    </w:p>
    <w:p w14:paraId="310FAAF9" w14:textId="3EFEE553" w:rsidR="001413AC" w:rsidRPr="0025422D" w:rsidRDefault="001413AC" w:rsidP="001413AC">
      <w:pPr>
        <w:autoSpaceDE w:val="0"/>
        <w:autoSpaceDN w:val="0"/>
        <w:adjustRightInd w:val="0"/>
        <w:spacing w:after="0" w:line="240" w:lineRule="auto"/>
        <w:jc w:val="both"/>
        <w:rPr>
          <w:rFonts w:ascii="Times New Roman" w:hAnsi="Times New Roman" w:cs="Times New Roman"/>
          <w:sz w:val="24"/>
          <w:szCs w:val="24"/>
        </w:rPr>
      </w:pPr>
      <w:r w:rsidRPr="0025422D">
        <w:rPr>
          <w:rFonts w:ascii="Times New Roman" w:hAnsi="Times New Roman" w:cs="Times New Roman"/>
          <w:sz w:val="24"/>
          <w:szCs w:val="24"/>
        </w:rPr>
        <w:lastRenderedPageBreak/>
        <w:t>2. attēls</w:t>
      </w:r>
    </w:p>
    <w:p w14:paraId="2CA57D73" w14:textId="09DC061D" w:rsidR="00597B53" w:rsidRPr="007157D3" w:rsidRDefault="001413AC" w:rsidP="009D230A">
      <w:pPr>
        <w:autoSpaceDE w:val="0"/>
        <w:autoSpaceDN w:val="0"/>
        <w:adjustRightInd w:val="0"/>
        <w:spacing w:after="0" w:line="240" w:lineRule="auto"/>
        <w:jc w:val="center"/>
        <w:rPr>
          <w:rFonts w:ascii="Times New Roman" w:hAnsi="Times New Roman" w:cs="Times New Roman"/>
          <w:sz w:val="24"/>
          <w:szCs w:val="24"/>
        </w:rPr>
      </w:pPr>
      <w:r w:rsidRPr="004A6572">
        <w:rPr>
          <w:rFonts w:ascii="Times New Roman" w:hAnsi="Times New Roman" w:cs="Times New Roman"/>
          <w:noProof/>
          <w:sz w:val="24"/>
          <w:szCs w:val="24"/>
        </w:rPr>
        <w:drawing>
          <wp:inline distT="0" distB="0" distL="0" distR="0" wp14:anchorId="21F0FEE8" wp14:editId="13A1AB90">
            <wp:extent cx="4124325" cy="2638425"/>
            <wp:effectExtent l="0" t="0" r="9525" b="9525"/>
            <wp:docPr id="23" name="Chart 23">
              <a:extLst xmlns:a="http://schemas.openxmlformats.org/drawingml/2006/main">
                <a:ext uri="{FF2B5EF4-FFF2-40B4-BE49-F238E27FC236}">
                  <a16:creationId xmlns:a16="http://schemas.microsoft.com/office/drawing/2014/main" id="{A3A6F451-62E6-4091-B1A8-FCDAD6ABC7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9658DF" w14:textId="44F774A2" w:rsidR="007E3194" w:rsidRPr="007E3194" w:rsidRDefault="007E3194" w:rsidP="007E3194">
      <w:pPr>
        <w:autoSpaceDE w:val="0"/>
        <w:autoSpaceDN w:val="0"/>
        <w:adjustRightInd w:val="0"/>
        <w:spacing w:after="0" w:line="240" w:lineRule="auto"/>
        <w:jc w:val="both"/>
        <w:rPr>
          <w:rFonts w:ascii="Times New Roman" w:hAnsi="Times New Roman" w:cs="Times New Roman"/>
          <w:sz w:val="20"/>
          <w:szCs w:val="20"/>
        </w:rPr>
      </w:pPr>
      <w:r w:rsidRPr="007E3194">
        <w:rPr>
          <w:rFonts w:ascii="Times New Roman" w:hAnsi="Times New Roman"/>
          <w:sz w:val="20"/>
          <w:szCs w:val="20"/>
        </w:rPr>
        <w:t>Datu avots: CSP datu bāze, datu tabula [ISG010]</w:t>
      </w:r>
    </w:p>
    <w:p w14:paraId="50077EC0" w14:textId="77777777" w:rsidR="007E3194" w:rsidRDefault="007E3194" w:rsidP="007E3194">
      <w:pPr>
        <w:autoSpaceDE w:val="0"/>
        <w:autoSpaceDN w:val="0"/>
        <w:adjustRightInd w:val="0"/>
        <w:spacing w:after="0" w:line="240" w:lineRule="auto"/>
        <w:ind w:firstLine="720"/>
        <w:jc w:val="both"/>
        <w:rPr>
          <w:rFonts w:ascii="Times New Roman" w:hAnsi="Times New Roman" w:cs="Times New Roman"/>
          <w:sz w:val="24"/>
          <w:szCs w:val="24"/>
        </w:rPr>
      </w:pPr>
    </w:p>
    <w:p w14:paraId="411EE1CE" w14:textId="645FB4DF" w:rsidR="001413AC" w:rsidRPr="007157D3" w:rsidRDefault="001413AC" w:rsidP="007E3194">
      <w:pPr>
        <w:autoSpaceDE w:val="0"/>
        <w:autoSpaceDN w:val="0"/>
        <w:adjustRightInd w:val="0"/>
        <w:spacing w:after="0" w:line="240" w:lineRule="auto"/>
        <w:ind w:firstLine="720"/>
        <w:jc w:val="both"/>
        <w:rPr>
          <w:rFonts w:ascii="Times New Roman" w:eastAsia="Times New Roman" w:hAnsi="Times New Roman" w:cs="Times New Roman"/>
          <w:sz w:val="24"/>
          <w:szCs w:val="24"/>
          <w:lang w:eastAsia="en-GB"/>
        </w:rPr>
      </w:pPr>
      <w:r w:rsidRPr="002F5278">
        <w:rPr>
          <w:rFonts w:ascii="Times New Roman" w:hAnsi="Times New Roman" w:cs="Times New Roman"/>
          <w:sz w:val="24"/>
          <w:szCs w:val="24"/>
        </w:rPr>
        <w:t xml:space="preserve">2020.gada sākumā pastāvīgo iedzīvotāju skaits Latvijā bija 1,90 milj., no tiem 54% bija </w:t>
      </w:r>
      <w:r w:rsidRPr="0025422D">
        <w:rPr>
          <w:rFonts w:ascii="Times New Roman" w:hAnsi="Times New Roman" w:cs="Times New Roman"/>
          <w:b/>
          <w:sz w:val="24"/>
          <w:szCs w:val="24"/>
        </w:rPr>
        <w:t>sieviete</w:t>
      </w:r>
      <w:r w:rsidRPr="00A857F2">
        <w:rPr>
          <w:rFonts w:ascii="Times New Roman" w:hAnsi="Times New Roman" w:cs="Times New Roman"/>
          <w:sz w:val="24"/>
          <w:szCs w:val="24"/>
        </w:rPr>
        <w:t xml:space="preserve">s un 46% </w:t>
      </w:r>
      <w:r w:rsidRPr="00A857F2">
        <w:rPr>
          <w:rFonts w:ascii="Times New Roman" w:hAnsi="Times New Roman" w:cs="Times New Roman"/>
          <w:b/>
          <w:sz w:val="24"/>
          <w:szCs w:val="24"/>
        </w:rPr>
        <w:t>vīrieši</w:t>
      </w:r>
      <w:r w:rsidRPr="003B5C85">
        <w:rPr>
          <w:rFonts w:ascii="Times New Roman" w:hAnsi="Times New Roman" w:cs="Times New Roman"/>
          <w:sz w:val="24"/>
          <w:szCs w:val="24"/>
        </w:rPr>
        <w:t xml:space="preserve">. </w:t>
      </w:r>
      <w:r w:rsidRPr="009703E6">
        <w:rPr>
          <w:rFonts w:ascii="Times New Roman" w:eastAsia="Times New Roman" w:hAnsi="Times New Roman" w:cs="Times New Roman"/>
          <w:sz w:val="24"/>
          <w:szCs w:val="24"/>
          <w:lang w:eastAsia="en-GB"/>
        </w:rPr>
        <w:t>Vecumā līdz 39 gadiem sieviešu nemainīgi ir mazāk nekā vīriešu (arī dzimušo skaitā meiteņu ir mazāk nekā zēnu), reproduktīvajā vecumā (15–49 gadi) sieviešu un vīriešu skaits ir līdzīgs, savukārt vecumā virs 65 gadiem sieviešu ir divas reizes vairāk (</w:t>
      </w:r>
      <w:r w:rsidRPr="0015154B">
        <w:rPr>
          <w:rFonts w:ascii="Times New Roman" w:eastAsia="Times New Roman" w:hAnsi="Times New Roman" w:cs="Times New Roman"/>
          <w:sz w:val="24"/>
          <w:szCs w:val="24"/>
          <w:highlight w:val="yellow"/>
          <w:lang w:eastAsia="en-GB"/>
        </w:rPr>
        <w:t>skat</w:t>
      </w:r>
      <w:r w:rsidR="00D671DD" w:rsidRPr="0015154B">
        <w:rPr>
          <w:rFonts w:ascii="Times New Roman" w:eastAsia="Times New Roman" w:hAnsi="Times New Roman" w:cs="Times New Roman"/>
          <w:sz w:val="24"/>
          <w:szCs w:val="24"/>
          <w:highlight w:val="yellow"/>
          <w:lang w:eastAsia="en-GB"/>
        </w:rPr>
        <w:t xml:space="preserve">. </w:t>
      </w:r>
      <w:r w:rsidRPr="0015154B">
        <w:rPr>
          <w:rFonts w:ascii="Times New Roman" w:eastAsia="Times New Roman" w:hAnsi="Times New Roman" w:cs="Times New Roman"/>
          <w:sz w:val="24"/>
          <w:szCs w:val="24"/>
          <w:highlight w:val="yellow"/>
          <w:lang w:eastAsia="en-GB"/>
        </w:rPr>
        <w:t>3.</w:t>
      </w:r>
      <w:r w:rsidRPr="0015154B">
        <w:rPr>
          <w:rFonts w:ascii="Times New Roman" w:hAnsi="Times New Roman" w:cs="Times New Roman"/>
          <w:sz w:val="24"/>
          <w:szCs w:val="24"/>
          <w:highlight w:val="yellow"/>
        </w:rPr>
        <w:t>attēlu</w:t>
      </w:r>
      <w:r w:rsidRPr="0015154B">
        <w:rPr>
          <w:rFonts w:ascii="Times New Roman" w:hAnsi="Times New Roman" w:cs="Times New Roman"/>
          <w:sz w:val="24"/>
          <w:szCs w:val="24"/>
        </w:rPr>
        <w:t>)</w:t>
      </w:r>
      <w:r w:rsidRPr="0015154B">
        <w:rPr>
          <w:rFonts w:ascii="Times New Roman" w:eastAsia="Times New Roman" w:hAnsi="Times New Roman" w:cs="Times New Roman"/>
          <w:sz w:val="24"/>
          <w:szCs w:val="24"/>
          <w:lang w:eastAsia="en-GB"/>
        </w:rPr>
        <w:t>.</w:t>
      </w:r>
    </w:p>
    <w:p w14:paraId="79AF28A9" w14:textId="77777777" w:rsidR="007D647E" w:rsidRPr="002F5278" w:rsidRDefault="007D647E" w:rsidP="00D671DD">
      <w:pPr>
        <w:autoSpaceDE w:val="0"/>
        <w:autoSpaceDN w:val="0"/>
        <w:adjustRightInd w:val="0"/>
        <w:spacing w:after="0" w:line="240" w:lineRule="auto"/>
        <w:ind w:firstLine="720"/>
        <w:jc w:val="both"/>
        <w:rPr>
          <w:rFonts w:ascii="Times New Roman" w:eastAsia="Times New Roman" w:hAnsi="Times New Roman" w:cs="Times New Roman"/>
          <w:sz w:val="24"/>
          <w:szCs w:val="24"/>
          <w:lang w:eastAsia="en-GB"/>
        </w:rPr>
      </w:pPr>
    </w:p>
    <w:p w14:paraId="02662129" w14:textId="6BB284A0" w:rsidR="007D647E" w:rsidRPr="007157D3" w:rsidRDefault="007D647E" w:rsidP="00E91408">
      <w:pPr>
        <w:autoSpaceDE w:val="0"/>
        <w:autoSpaceDN w:val="0"/>
        <w:adjustRightInd w:val="0"/>
        <w:spacing w:after="0" w:line="240" w:lineRule="auto"/>
        <w:jc w:val="both"/>
        <w:rPr>
          <w:rFonts w:ascii="Times New Roman" w:hAnsi="Times New Roman" w:cs="Times New Roman"/>
          <w:sz w:val="24"/>
          <w:szCs w:val="24"/>
        </w:rPr>
      </w:pPr>
      <w:r w:rsidRPr="0025422D">
        <w:rPr>
          <w:rFonts w:ascii="Times New Roman" w:eastAsia="Times New Roman" w:hAnsi="Times New Roman" w:cs="Times New Roman"/>
          <w:sz w:val="24"/>
          <w:szCs w:val="24"/>
          <w:lang w:eastAsia="en-GB"/>
        </w:rPr>
        <w:t>3. attēls</w:t>
      </w:r>
      <w:r w:rsidRPr="004A6572">
        <w:rPr>
          <w:rFonts w:ascii="Times New Roman" w:hAnsi="Times New Roman" w:cs="Times New Roman"/>
          <w:noProof/>
          <w:sz w:val="24"/>
          <w:szCs w:val="24"/>
        </w:rPr>
        <w:drawing>
          <wp:anchor distT="0" distB="0" distL="114300" distR="114300" simplePos="0" relativeHeight="251658240" behindDoc="1" locked="0" layoutInCell="1" allowOverlap="1" wp14:anchorId="20083104" wp14:editId="3C3F7E77">
            <wp:simplePos x="0" y="0"/>
            <wp:positionH relativeFrom="margin">
              <wp:posOffset>333375</wp:posOffset>
            </wp:positionH>
            <wp:positionV relativeFrom="paragraph">
              <wp:posOffset>248920</wp:posOffset>
            </wp:positionV>
            <wp:extent cx="5419725" cy="3553460"/>
            <wp:effectExtent l="0" t="0" r="0" b="8890"/>
            <wp:wrapTight wrapText="bothSides">
              <wp:wrapPolygon edited="0">
                <wp:start x="0" y="0"/>
                <wp:lineTo x="0" y="21538"/>
                <wp:lineTo x="21486" y="21538"/>
                <wp:lineTo x="21486" y="0"/>
                <wp:lineTo x="0" y="0"/>
              </wp:wrapPolygon>
            </wp:wrapTight>
            <wp:docPr id="25" name="Chart 25">
              <a:extLst xmlns:a="http://schemas.openxmlformats.org/drawingml/2006/main">
                <a:ext uri="{FF2B5EF4-FFF2-40B4-BE49-F238E27FC236}">
                  <a16:creationId xmlns:a16="http://schemas.microsoft.com/office/drawing/2014/main" id="{3BE34E62-5E0A-4AD0-8329-64AA8A83BF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7D0F0D03" w14:textId="201F1B1C" w:rsidR="007E3194" w:rsidRPr="007E3194" w:rsidRDefault="007E3194" w:rsidP="007E3194">
      <w:pPr>
        <w:autoSpaceDE w:val="0"/>
        <w:autoSpaceDN w:val="0"/>
        <w:adjustRightInd w:val="0"/>
        <w:spacing w:before="120" w:after="0" w:line="240" w:lineRule="auto"/>
        <w:jc w:val="both"/>
        <w:rPr>
          <w:rFonts w:ascii="Times New Roman" w:hAnsi="Times New Roman" w:cs="Times New Roman"/>
          <w:sz w:val="20"/>
          <w:szCs w:val="20"/>
        </w:rPr>
      </w:pPr>
      <w:r w:rsidRPr="007E3194">
        <w:rPr>
          <w:rFonts w:ascii="Times New Roman" w:hAnsi="Times New Roman"/>
          <w:sz w:val="20"/>
          <w:szCs w:val="20"/>
        </w:rPr>
        <w:t>Datu avots: CSP datu bāze, datu tabula [IRG030]</w:t>
      </w:r>
    </w:p>
    <w:p w14:paraId="45C247DA" w14:textId="5713A3AB" w:rsidR="001413AC" w:rsidRPr="007157D3" w:rsidRDefault="001413AC" w:rsidP="0030363D">
      <w:pPr>
        <w:autoSpaceDE w:val="0"/>
        <w:autoSpaceDN w:val="0"/>
        <w:adjustRightInd w:val="0"/>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sz w:val="24"/>
          <w:szCs w:val="24"/>
        </w:rPr>
        <w:t xml:space="preserve">Iedzīvotāju </w:t>
      </w:r>
      <w:r w:rsidRPr="0025422D">
        <w:rPr>
          <w:rFonts w:ascii="Times New Roman" w:hAnsi="Times New Roman" w:cs="Times New Roman"/>
          <w:b/>
          <w:sz w:val="24"/>
          <w:szCs w:val="24"/>
        </w:rPr>
        <w:t>vecuma grupā</w:t>
      </w:r>
      <w:r w:rsidRPr="0025422D">
        <w:rPr>
          <w:rFonts w:ascii="Times New Roman" w:hAnsi="Times New Roman" w:cs="Times New Roman"/>
          <w:sz w:val="24"/>
          <w:szCs w:val="24"/>
        </w:rPr>
        <w:t xml:space="preserve"> 0-17 gadi īpatsvars kopējā iedzīvotāju skaitā 2020.gada sāku</w:t>
      </w:r>
      <w:r w:rsidRPr="00A857F2">
        <w:rPr>
          <w:rFonts w:ascii="Times New Roman" w:hAnsi="Times New Roman" w:cs="Times New Roman"/>
          <w:sz w:val="24"/>
          <w:szCs w:val="24"/>
        </w:rPr>
        <w:t>mā bija 18,8%</w:t>
      </w:r>
      <w:r w:rsidR="00D671DD" w:rsidRPr="00A857F2">
        <w:rPr>
          <w:rFonts w:ascii="Times New Roman" w:hAnsi="Times New Roman" w:cs="Times New Roman"/>
          <w:sz w:val="24"/>
          <w:szCs w:val="24"/>
        </w:rPr>
        <w:t>.</w:t>
      </w:r>
      <w:r w:rsidRPr="003B5C85">
        <w:rPr>
          <w:rFonts w:ascii="Times New Roman" w:hAnsi="Times New Roman" w:cs="Times New Roman"/>
          <w:sz w:val="24"/>
          <w:szCs w:val="24"/>
        </w:rPr>
        <w:t xml:space="preserve"> </w:t>
      </w:r>
      <w:r w:rsidR="00D671DD" w:rsidRPr="009703E6">
        <w:rPr>
          <w:rFonts w:ascii="Times New Roman" w:hAnsi="Times New Roman" w:cs="Times New Roman"/>
          <w:sz w:val="24"/>
          <w:szCs w:val="24"/>
        </w:rPr>
        <w:t xml:space="preserve">Lai gan </w:t>
      </w:r>
      <w:r w:rsidRPr="009703E6">
        <w:rPr>
          <w:rFonts w:ascii="Times New Roman" w:hAnsi="Times New Roman" w:cs="Times New Roman"/>
          <w:sz w:val="24"/>
          <w:szCs w:val="24"/>
        </w:rPr>
        <w:t>pēdējos gados bērnu īp</w:t>
      </w:r>
      <w:r w:rsidR="006D6565" w:rsidRPr="0015154B">
        <w:rPr>
          <w:rFonts w:ascii="Times New Roman" w:hAnsi="Times New Roman" w:cs="Times New Roman"/>
          <w:sz w:val="24"/>
          <w:szCs w:val="24"/>
        </w:rPr>
        <w:t>a</w:t>
      </w:r>
      <w:r w:rsidRPr="0015154B">
        <w:rPr>
          <w:rFonts w:ascii="Times New Roman" w:hAnsi="Times New Roman" w:cs="Times New Roman"/>
          <w:sz w:val="24"/>
          <w:szCs w:val="24"/>
        </w:rPr>
        <w:t>tsvars pakāpeniski nedaudz pieaug, salīdzinājumā ar 1990</w:t>
      </w:r>
      <w:r w:rsidR="00D671DD" w:rsidRPr="0015154B">
        <w:rPr>
          <w:rFonts w:ascii="Times New Roman" w:hAnsi="Times New Roman" w:cs="Times New Roman"/>
          <w:sz w:val="24"/>
          <w:szCs w:val="24"/>
        </w:rPr>
        <w:t>.</w:t>
      </w:r>
      <w:r w:rsidRPr="0015154B">
        <w:rPr>
          <w:rFonts w:ascii="Times New Roman" w:hAnsi="Times New Roman" w:cs="Times New Roman"/>
          <w:sz w:val="24"/>
          <w:szCs w:val="24"/>
        </w:rPr>
        <w:t xml:space="preserve"> gadu tas ir samazinājies par 4,0 procentpunktiem. Savukārt iedzīvotāju vecuma grupā 18-64 gadi īpatsvars 2020.gada sākumā bija 60,6%, kas ir par 2,0 </w:t>
      </w:r>
      <w:r w:rsidRPr="0015154B">
        <w:rPr>
          <w:rFonts w:ascii="Times New Roman" w:hAnsi="Times New Roman" w:cs="Times New Roman"/>
          <w:sz w:val="24"/>
          <w:szCs w:val="24"/>
        </w:rPr>
        <w:lastRenderedPageBreak/>
        <w:t>procentpunktiem mazāk nekā 1990.gadā. Visbūtiskākās izmaiņas ir iedzīv</w:t>
      </w:r>
      <w:r w:rsidR="00D671DD" w:rsidRPr="0015154B">
        <w:rPr>
          <w:rFonts w:ascii="Times New Roman" w:hAnsi="Times New Roman" w:cs="Times New Roman"/>
          <w:sz w:val="24"/>
          <w:szCs w:val="24"/>
        </w:rPr>
        <w:t>o</w:t>
      </w:r>
      <w:r w:rsidRPr="0015154B">
        <w:rPr>
          <w:rFonts w:ascii="Times New Roman" w:hAnsi="Times New Roman" w:cs="Times New Roman"/>
          <w:sz w:val="24"/>
          <w:szCs w:val="24"/>
        </w:rPr>
        <w:t>tāju vecuma grupā virs 65 gadiem, jo šīs grupas iedzīvotāju īpatsvars pieaudzis par 8,7 procentpunktiem salīdzinājumā ar 1990.gadu (</w:t>
      </w:r>
      <w:r w:rsidRPr="0015154B">
        <w:rPr>
          <w:rFonts w:ascii="Times New Roman" w:hAnsi="Times New Roman" w:cs="Times New Roman"/>
          <w:sz w:val="24"/>
          <w:szCs w:val="24"/>
          <w:highlight w:val="yellow"/>
        </w:rPr>
        <w:t>skat. 4.attēlu</w:t>
      </w:r>
      <w:r w:rsidRPr="0015154B">
        <w:rPr>
          <w:rFonts w:ascii="Times New Roman" w:hAnsi="Times New Roman" w:cs="Times New Roman"/>
          <w:sz w:val="24"/>
          <w:szCs w:val="24"/>
        </w:rPr>
        <w:t xml:space="preserve">). </w:t>
      </w:r>
    </w:p>
    <w:p w14:paraId="494B5CB2" w14:textId="77777777" w:rsidR="001413AC" w:rsidRPr="002F5278" w:rsidRDefault="001413AC" w:rsidP="001413AC">
      <w:pPr>
        <w:autoSpaceDE w:val="0"/>
        <w:autoSpaceDN w:val="0"/>
        <w:adjustRightInd w:val="0"/>
        <w:spacing w:after="0" w:line="240" w:lineRule="auto"/>
        <w:jc w:val="both"/>
        <w:rPr>
          <w:rFonts w:ascii="Times New Roman" w:hAnsi="Times New Roman" w:cs="Times New Roman"/>
          <w:sz w:val="24"/>
          <w:szCs w:val="24"/>
        </w:rPr>
      </w:pPr>
    </w:p>
    <w:p w14:paraId="6B300515" w14:textId="34AFC837" w:rsidR="001413AC" w:rsidRPr="007157D3" w:rsidRDefault="001413AC" w:rsidP="001413AC">
      <w:pPr>
        <w:autoSpaceDE w:val="0"/>
        <w:autoSpaceDN w:val="0"/>
        <w:adjustRightInd w:val="0"/>
        <w:spacing w:after="0" w:line="240" w:lineRule="auto"/>
        <w:jc w:val="both"/>
        <w:rPr>
          <w:rFonts w:ascii="Times New Roman" w:hAnsi="Times New Roman" w:cs="Times New Roman"/>
          <w:sz w:val="24"/>
          <w:szCs w:val="24"/>
        </w:rPr>
      </w:pPr>
      <w:r w:rsidRPr="004A6572">
        <w:rPr>
          <w:rFonts w:ascii="Times New Roman" w:eastAsia="Calibri" w:hAnsi="Times New Roman" w:cs="Times New Roman"/>
          <w:noProof/>
          <w:sz w:val="24"/>
          <w:szCs w:val="24"/>
        </w:rPr>
        <w:drawing>
          <wp:anchor distT="0" distB="0" distL="114300" distR="114300" simplePos="0" relativeHeight="251660288" behindDoc="1" locked="0" layoutInCell="1" allowOverlap="1" wp14:anchorId="2A1F2EAD" wp14:editId="6AE37C2F">
            <wp:simplePos x="0" y="0"/>
            <wp:positionH relativeFrom="page">
              <wp:align>center</wp:align>
            </wp:positionH>
            <wp:positionV relativeFrom="paragraph">
              <wp:posOffset>216535</wp:posOffset>
            </wp:positionV>
            <wp:extent cx="6105525" cy="2171700"/>
            <wp:effectExtent l="0" t="0" r="0" b="0"/>
            <wp:wrapTight wrapText="bothSides">
              <wp:wrapPolygon edited="0">
                <wp:start x="0" y="0"/>
                <wp:lineTo x="0" y="21411"/>
                <wp:lineTo x="21499" y="21411"/>
                <wp:lineTo x="21499" y="0"/>
                <wp:lineTo x="0" y="0"/>
              </wp:wrapPolygon>
            </wp:wrapTight>
            <wp:docPr id="26" name="Chart 26">
              <a:extLst xmlns:a="http://schemas.openxmlformats.org/drawingml/2006/main">
                <a:ext uri="{FF2B5EF4-FFF2-40B4-BE49-F238E27FC236}">
                  <a16:creationId xmlns:a16="http://schemas.microsoft.com/office/drawing/2014/main" id="{68E572D0-024C-492D-8928-699C63711C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7157D3">
        <w:rPr>
          <w:rFonts w:ascii="Times New Roman" w:hAnsi="Times New Roman" w:cs="Times New Roman"/>
          <w:sz w:val="24"/>
          <w:szCs w:val="24"/>
        </w:rPr>
        <w:t>4.attēls</w:t>
      </w:r>
    </w:p>
    <w:p w14:paraId="2C3FF077" w14:textId="4EFFC91A" w:rsidR="001413AC" w:rsidRPr="007E3194" w:rsidRDefault="007E3194" w:rsidP="001413AC">
      <w:pPr>
        <w:autoSpaceDE w:val="0"/>
        <w:autoSpaceDN w:val="0"/>
        <w:adjustRightInd w:val="0"/>
        <w:spacing w:after="0" w:line="240" w:lineRule="auto"/>
        <w:jc w:val="both"/>
        <w:rPr>
          <w:rFonts w:ascii="Times New Roman" w:hAnsi="Times New Roman" w:cs="Times New Roman"/>
          <w:sz w:val="20"/>
          <w:szCs w:val="20"/>
        </w:rPr>
      </w:pPr>
      <w:r w:rsidRPr="007E3194">
        <w:rPr>
          <w:rFonts w:ascii="Times New Roman" w:hAnsi="Times New Roman"/>
          <w:sz w:val="20"/>
          <w:szCs w:val="20"/>
        </w:rPr>
        <w:t>Datu avots: CSP datu bāze, datu tabula [IRG030]</w:t>
      </w:r>
    </w:p>
    <w:p w14:paraId="11C0475E" w14:textId="77777777" w:rsidR="00AC7FB3" w:rsidRDefault="00AC7FB3" w:rsidP="0030363D">
      <w:pPr>
        <w:autoSpaceDE w:val="0"/>
        <w:autoSpaceDN w:val="0"/>
        <w:adjustRightInd w:val="0"/>
        <w:spacing w:before="120" w:after="0" w:line="240" w:lineRule="auto"/>
        <w:ind w:firstLine="720"/>
        <w:jc w:val="both"/>
        <w:rPr>
          <w:rFonts w:ascii="Times New Roman" w:hAnsi="Times New Roman" w:cs="Times New Roman"/>
          <w:sz w:val="24"/>
          <w:szCs w:val="24"/>
        </w:rPr>
      </w:pPr>
    </w:p>
    <w:p w14:paraId="2BF8C632" w14:textId="28A66011" w:rsidR="001413AC" w:rsidRPr="002F5278" w:rsidRDefault="001413AC" w:rsidP="0030363D">
      <w:pPr>
        <w:autoSpaceDE w:val="0"/>
        <w:autoSpaceDN w:val="0"/>
        <w:adjustRightInd w:val="0"/>
        <w:spacing w:before="120" w:after="0" w:line="240" w:lineRule="auto"/>
        <w:ind w:firstLine="720"/>
        <w:jc w:val="both"/>
        <w:rPr>
          <w:rFonts w:ascii="Times New Roman" w:hAnsi="Times New Roman" w:cs="Times New Roman"/>
          <w:sz w:val="24"/>
          <w:szCs w:val="24"/>
        </w:rPr>
      </w:pPr>
      <w:r w:rsidRPr="0025422D">
        <w:rPr>
          <w:rFonts w:ascii="Times New Roman" w:hAnsi="Times New Roman" w:cs="Times New Roman"/>
          <w:sz w:val="24"/>
          <w:szCs w:val="24"/>
        </w:rPr>
        <w:t>Dzimstības koeficients uz</w:t>
      </w:r>
      <w:r w:rsidRPr="00A857F2">
        <w:rPr>
          <w:rFonts w:ascii="Times New Roman" w:hAnsi="Times New Roman" w:cs="Times New Roman"/>
          <w:sz w:val="24"/>
          <w:szCs w:val="24"/>
        </w:rPr>
        <w:t xml:space="preserve"> 1 000 iedzīvotāju laika posmā kopš 1990.gada ir samazinājies no 14,2 līdz 10,0 2018.gadā.</w:t>
      </w:r>
      <w:r w:rsidRPr="007157D3">
        <w:rPr>
          <w:rFonts w:ascii="Times New Roman" w:hAnsi="Times New Roman" w:cs="Times New Roman"/>
          <w:sz w:val="24"/>
          <w:szCs w:val="24"/>
          <w:vertAlign w:val="superscript"/>
        </w:rPr>
        <w:footnoteReference w:id="2"/>
      </w:r>
      <w:r w:rsidRPr="007157D3">
        <w:rPr>
          <w:rFonts w:ascii="Times New Roman" w:hAnsi="Times New Roman" w:cs="Times New Roman"/>
          <w:sz w:val="24"/>
          <w:szCs w:val="24"/>
        </w:rPr>
        <w:t xml:space="preserve"> Vēlamā </w:t>
      </w:r>
      <w:r w:rsidRPr="002F5278">
        <w:rPr>
          <w:rFonts w:ascii="Times New Roman" w:hAnsi="Times New Roman" w:cs="Times New Roman"/>
          <w:b/>
          <w:sz w:val="24"/>
          <w:szCs w:val="24"/>
        </w:rPr>
        <w:t>summār</w:t>
      </w:r>
      <w:r w:rsidR="00350281" w:rsidRPr="0025422D">
        <w:rPr>
          <w:rFonts w:ascii="Times New Roman" w:hAnsi="Times New Roman" w:cs="Times New Roman"/>
          <w:b/>
          <w:sz w:val="24"/>
          <w:szCs w:val="24"/>
        </w:rPr>
        <w:t>ā</w:t>
      </w:r>
      <w:r w:rsidRPr="0025422D">
        <w:rPr>
          <w:rFonts w:ascii="Times New Roman" w:hAnsi="Times New Roman" w:cs="Times New Roman"/>
          <w:b/>
          <w:sz w:val="24"/>
          <w:szCs w:val="24"/>
        </w:rPr>
        <w:t xml:space="preserve"> dzimstības koeficienta</w:t>
      </w:r>
      <w:r w:rsidRPr="0025422D">
        <w:rPr>
          <w:rFonts w:ascii="Times New Roman" w:hAnsi="Times New Roman" w:cs="Times New Roman"/>
          <w:sz w:val="24"/>
          <w:szCs w:val="24"/>
        </w:rPr>
        <w:t xml:space="preserve"> vērtība, kas ir nepieciešama normālai paaudžu nomaiņai (2,1–2,2), kopš 1990.gada Latvijā nav sasniegta. Pēdējo reizi summārā d</w:t>
      </w:r>
      <w:r w:rsidRPr="00A857F2">
        <w:rPr>
          <w:rFonts w:ascii="Times New Roman" w:hAnsi="Times New Roman" w:cs="Times New Roman"/>
          <w:sz w:val="24"/>
          <w:szCs w:val="24"/>
        </w:rPr>
        <w:t>zimstības koeficienta vērtība 2,2 Latvijā bija 1986.–1987. gadā. Summārais dzimstības koeficients savu augstāko līmeni pēc ilgstoša samazinājuma kopš 1993.gada sasniedza tikai 2016.gadā (1,74), bet 2019.gadā tas bija samazinājies līdz 1,612.</w:t>
      </w:r>
      <w:r w:rsidRPr="007157D3">
        <w:rPr>
          <w:rFonts w:ascii="Times New Roman" w:hAnsi="Times New Roman" w:cs="Times New Roman"/>
          <w:sz w:val="24"/>
          <w:szCs w:val="24"/>
          <w:vertAlign w:val="superscript"/>
        </w:rPr>
        <w:footnoteReference w:id="3"/>
      </w:r>
      <w:r w:rsidRPr="007157D3">
        <w:rPr>
          <w:rFonts w:ascii="Times New Roman" w:hAnsi="Times New Roman" w:cs="Times New Roman"/>
          <w:sz w:val="24"/>
          <w:szCs w:val="24"/>
        </w:rPr>
        <w:t xml:space="preserve"> ES</w:t>
      </w:r>
      <w:r w:rsidR="00196D41" w:rsidRPr="002F5278">
        <w:rPr>
          <w:rFonts w:ascii="Times New Roman" w:hAnsi="Times New Roman" w:cs="Times New Roman"/>
          <w:sz w:val="24"/>
          <w:szCs w:val="24"/>
        </w:rPr>
        <w:t>28</w:t>
      </w:r>
      <w:r w:rsidRPr="0025422D">
        <w:rPr>
          <w:rFonts w:ascii="Times New Roman" w:hAnsi="Times New Roman" w:cs="Times New Roman"/>
          <w:sz w:val="24"/>
          <w:szCs w:val="24"/>
        </w:rPr>
        <w:t xml:space="preserve"> vidēji summārais dzimstības koeficients </w:t>
      </w:r>
      <w:r w:rsidR="005976A7" w:rsidRPr="0025422D">
        <w:rPr>
          <w:rFonts w:ascii="Times New Roman" w:hAnsi="Times New Roman" w:cs="Times New Roman"/>
          <w:sz w:val="24"/>
          <w:szCs w:val="24"/>
        </w:rPr>
        <w:t xml:space="preserve">2018.gadā </w:t>
      </w:r>
      <w:r w:rsidRPr="00A857F2">
        <w:rPr>
          <w:rFonts w:ascii="Times New Roman" w:hAnsi="Times New Roman" w:cs="Times New Roman"/>
          <w:sz w:val="24"/>
          <w:szCs w:val="24"/>
        </w:rPr>
        <w:t>svārstījās robežās no 1,</w:t>
      </w:r>
      <w:r w:rsidR="00196D41" w:rsidRPr="00A857F2">
        <w:rPr>
          <w:rFonts w:ascii="Times New Roman" w:hAnsi="Times New Roman" w:cs="Times New Roman"/>
          <w:sz w:val="24"/>
          <w:szCs w:val="24"/>
        </w:rPr>
        <w:t>23</w:t>
      </w:r>
      <w:r w:rsidRPr="003B5C85">
        <w:rPr>
          <w:rFonts w:ascii="Times New Roman" w:hAnsi="Times New Roman" w:cs="Times New Roman"/>
          <w:sz w:val="24"/>
          <w:szCs w:val="24"/>
        </w:rPr>
        <w:t xml:space="preserve"> līdz 1,</w:t>
      </w:r>
      <w:r w:rsidR="00196D41" w:rsidRPr="009703E6">
        <w:rPr>
          <w:rFonts w:ascii="Times New Roman" w:hAnsi="Times New Roman" w:cs="Times New Roman"/>
          <w:sz w:val="24"/>
          <w:szCs w:val="24"/>
        </w:rPr>
        <w:t>88</w:t>
      </w:r>
      <w:r w:rsidRPr="009703E6">
        <w:rPr>
          <w:rFonts w:ascii="Times New Roman" w:hAnsi="Times New Roman" w:cs="Times New Roman"/>
          <w:sz w:val="24"/>
          <w:szCs w:val="24"/>
        </w:rPr>
        <w:t>, bet vidējā vērtība - 1,5</w:t>
      </w:r>
      <w:r w:rsidR="00196D41" w:rsidRPr="0015154B">
        <w:rPr>
          <w:rFonts w:ascii="Times New Roman" w:hAnsi="Times New Roman" w:cs="Times New Roman"/>
          <w:sz w:val="24"/>
          <w:szCs w:val="24"/>
        </w:rPr>
        <w:t>6</w:t>
      </w:r>
      <w:r w:rsidRPr="007157D3">
        <w:rPr>
          <w:rFonts w:ascii="Times New Roman" w:hAnsi="Times New Roman" w:cs="Times New Roman"/>
          <w:sz w:val="24"/>
          <w:szCs w:val="24"/>
          <w:vertAlign w:val="superscript"/>
        </w:rPr>
        <w:footnoteReference w:id="4"/>
      </w:r>
      <w:r w:rsidR="00350281" w:rsidRPr="007157D3">
        <w:rPr>
          <w:rFonts w:ascii="Times New Roman" w:hAnsi="Times New Roman" w:cs="Times New Roman"/>
          <w:sz w:val="24"/>
          <w:szCs w:val="24"/>
        </w:rPr>
        <w:t>, liecinot, ka dzimstības samazinājums vērojams visā Eiropā.</w:t>
      </w:r>
    </w:p>
    <w:p w14:paraId="5E08A84E" w14:textId="428E4909" w:rsidR="001413AC" w:rsidRPr="0015154B" w:rsidRDefault="001413AC" w:rsidP="0030363D">
      <w:pPr>
        <w:autoSpaceDE w:val="0"/>
        <w:autoSpaceDN w:val="0"/>
        <w:adjustRightInd w:val="0"/>
        <w:spacing w:before="120" w:after="0" w:line="240" w:lineRule="auto"/>
        <w:ind w:firstLine="720"/>
        <w:jc w:val="both"/>
        <w:rPr>
          <w:rFonts w:ascii="Times New Roman" w:hAnsi="Times New Roman" w:cs="Times New Roman"/>
          <w:sz w:val="24"/>
          <w:szCs w:val="24"/>
        </w:rPr>
      </w:pPr>
      <w:r w:rsidRPr="0025422D">
        <w:rPr>
          <w:rFonts w:ascii="Times New Roman" w:hAnsi="Times New Roman" w:cs="Times New Roman"/>
          <w:sz w:val="24"/>
          <w:szCs w:val="24"/>
        </w:rPr>
        <w:t xml:space="preserve">Darbspējas vecuma iedzīvotāju skaita samazinājumu būtiski ietekmē </w:t>
      </w:r>
      <w:r w:rsidRPr="00A857F2">
        <w:rPr>
          <w:rFonts w:ascii="Times New Roman" w:hAnsi="Times New Roman" w:cs="Times New Roman"/>
          <w:b/>
          <w:sz w:val="24"/>
          <w:szCs w:val="24"/>
        </w:rPr>
        <w:t>migrācija</w:t>
      </w:r>
      <w:r w:rsidRPr="00A857F2">
        <w:rPr>
          <w:rFonts w:ascii="Times New Roman" w:hAnsi="Times New Roman" w:cs="Times New Roman"/>
          <w:sz w:val="24"/>
          <w:szCs w:val="24"/>
        </w:rPr>
        <w:t>. Būtisk</w:t>
      </w:r>
      <w:r w:rsidRPr="009703E6">
        <w:rPr>
          <w:rFonts w:ascii="Times New Roman" w:hAnsi="Times New Roman" w:cs="Times New Roman"/>
          <w:sz w:val="24"/>
          <w:szCs w:val="24"/>
        </w:rPr>
        <w:t>s darbspējas vecuma iedzīvotāju skaita samazinājums bija vērojams finanšu un ekonomiskās krīzes laikā (2008.–2010.gadā). 2018. gadā emigrēja gandrīz 1,5 reizes vairāk iedzīvotāju darbspējas vecumā (13,0 tūkst.) nekā imigrēja (9,0 tūkst).</w:t>
      </w:r>
      <w:r w:rsidR="00752BD4" w:rsidRPr="009703E6">
        <w:rPr>
          <w:rFonts w:ascii="Times New Roman" w:hAnsi="Times New Roman" w:cs="Times New Roman"/>
          <w:sz w:val="24"/>
          <w:szCs w:val="24"/>
        </w:rPr>
        <w:t xml:space="preserve"> </w:t>
      </w:r>
      <w:r w:rsidRPr="0015154B">
        <w:rPr>
          <w:rFonts w:ascii="Times New Roman" w:hAnsi="Times New Roman" w:cs="Times New Roman"/>
          <w:sz w:val="24"/>
          <w:szCs w:val="24"/>
        </w:rPr>
        <w:t>Tā kā jaundzimušo paaudzes (vienā gadā dzimušie) Otrā Pasaules kara beigās bija skaitliski mazas, un tos nomainīja 1950.-1960.gados dzimušo apjomīgās paaudzes, Latvijā iedzīvotāju novecošanās pastiprinājusies vēlāk nekā citās Eiropas valstīs. Situācijas izmaiņas esošajā periodā ietekmē mazskaitlīgo 1990-to gadu vidū un otrajā pusē dzimušo ienākšana darba tirgū un skaitliski lielāko 1950.-1960.gados dzimušo paaudžu pensionēšanās vecuma sasniegšana. Tas būtiski ietekmēs sociālās apdrošināšanas sistēmas noslodzi vidējā un ilgtermiņā</w:t>
      </w:r>
      <w:r w:rsidR="00350281" w:rsidRPr="0015154B">
        <w:rPr>
          <w:rFonts w:ascii="Times New Roman" w:hAnsi="Times New Roman" w:cs="Times New Roman"/>
          <w:sz w:val="24"/>
          <w:szCs w:val="24"/>
        </w:rPr>
        <w:t>, kā arī gaidāms, ka būtiski pieaugs pieprasījums pēc veselības aprūpes un ilgtermiņa aprūpes pakalpojumiem</w:t>
      </w:r>
      <w:r w:rsidRPr="0015154B">
        <w:rPr>
          <w:rFonts w:ascii="Times New Roman" w:hAnsi="Times New Roman" w:cs="Times New Roman"/>
          <w:sz w:val="24"/>
          <w:szCs w:val="24"/>
        </w:rPr>
        <w:t xml:space="preserve">. </w:t>
      </w:r>
    </w:p>
    <w:p w14:paraId="0D2DA3A4" w14:textId="4243FAB0" w:rsidR="001413AC" w:rsidRPr="007157D3" w:rsidRDefault="001413AC" w:rsidP="0030363D">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Saskaņā ar </w:t>
      </w:r>
      <w:r w:rsidRPr="0015154B">
        <w:rPr>
          <w:rFonts w:ascii="Times New Roman" w:hAnsi="Times New Roman" w:cs="Times New Roman"/>
          <w:b/>
          <w:sz w:val="24"/>
          <w:szCs w:val="24"/>
        </w:rPr>
        <w:t>E</w:t>
      </w:r>
      <w:r w:rsidR="00752BD4" w:rsidRPr="0015154B">
        <w:rPr>
          <w:rFonts w:ascii="Times New Roman" w:hAnsi="Times New Roman" w:cs="Times New Roman"/>
          <w:b/>
          <w:sz w:val="24"/>
          <w:szCs w:val="24"/>
        </w:rPr>
        <w:t>i</w:t>
      </w:r>
      <w:r w:rsidRPr="0015154B">
        <w:rPr>
          <w:rFonts w:ascii="Times New Roman" w:hAnsi="Times New Roman" w:cs="Times New Roman"/>
          <w:b/>
          <w:sz w:val="24"/>
          <w:szCs w:val="24"/>
        </w:rPr>
        <w:t>rostat demogrāfisko prognožu</w:t>
      </w:r>
      <w:r w:rsidRPr="0015154B">
        <w:rPr>
          <w:rFonts w:ascii="Times New Roman" w:hAnsi="Times New Roman" w:cs="Times New Roman"/>
          <w:sz w:val="24"/>
          <w:szCs w:val="24"/>
        </w:rPr>
        <w:t xml:space="preserve"> pieņēmumiem par dzimstības, mirstības un migrācijas rādītāju attīstības tendencēm, vīriešu paredzamais mūža ilgums palielināsies no 70,0 gadiem 2020.gadā līdz 80,6 gadiem 2060.gadā, bet sieviešu paredzamais mūža ilgums – no 80,3 gadiem līdz 87,1 gadam; savukārt summārais dzimstības koeficients palielināsies no 1,68 2020.gadā līdz 1,79 2060.gadā; neto migrācija prognozējami sasniegs faktiski 0 līmeni 2060.gadā. Saskaņa ar E</w:t>
      </w:r>
      <w:r w:rsidR="000122F0" w:rsidRPr="0015154B">
        <w:rPr>
          <w:rFonts w:ascii="Times New Roman" w:hAnsi="Times New Roman" w:cs="Times New Roman"/>
          <w:sz w:val="24"/>
          <w:szCs w:val="24"/>
        </w:rPr>
        <w:t>i</w:t>
      </w:r>
      <w:r w:rsidRPr="0015154B">
        <w:rPr>
          <w:rFonts w:ascii="Times New Roman" w:hAnsi="Times New Roman" w:cs="Times New Roman"/>
          <w:sz w:val="24"/>
          <w:szCs w:val="24"/>
        </w:rPr>
        <w:t>rostat prognozēm Latvija ilgtermiņā piedzīvos vienu no straujākajiem iedzīvotāju skaita samazinājumiem starp ES dalībvalstīm - 2060.gadā iedzīvotāju skaits Latvijā saruks līdz 1,4 milj.</w:t>
      </w:r>
      <w:r w:rsidR="00500C22" w:rsidRPr="0015154B">
        <w:rPr>
          <w:rFonts w:ascii="Times New Roman" w:hAnsi="Times New Roman" w:cs="Times New Roman"/>
          <w:sz w:val="24"/>
          <w:szCs w:val="24"/>
        </w:rPr>
        <w:t xml:space="preserve">. Visās </w:t>
      </w:r>
      <w:r w:rsidRPr="0015154B">
        <w:rPr>
          <w:rFonts w:ascii="Times New Roman" w:hAnsi="Times New Roman" w:cs="Times New Roman"/>
          <w:sz w:val="24"/>
          <w:szCs w:val="24"/>
        </w:rPr>
        <w:t xml:space="preserve">ES dalībvalstīs iedzīvotāju struktūrā sarūk darbspējas vecuma </w:t>
      </w:r>
      <w:r w:rsidRPr="0015154B">
        <w:rPr>
          <w:rFonts w:ascii="Times New Roman" w:hAnsi="Times New Roman" w:cs="Times New Roman"/>
          <w:sz w:val="24"/>
          <w:szCs w:val="24"/>
        </w:rPr>
        <w:lastRenderedPageBreak/>
        <w:t>iedzīvotāju īpatsvars. Atbilstoši prognozēm 2020.gadā šādu iedzīvotāju (15–64 gadi) īpatsvars Latvijā būs 62,8% (ES - 64%), bet 2060.gadā tikai 50,7% (ES – 56,1%). Savukārt pensijas vecuma (65+) iedzīvotāju īpatsvara pieaugums plānots līdz 33,1% 2060.gadā. Latvijā 2020.gadā demogrāfiskās slodzes koeficients (65+/15-64) būs 33,1, 2030.gadā – 43,5, bet 2060.gadā – jau 65,2.</w:t>
      </w:r>
      <w:r w:rsidRPr="007157D3">
        <w:rPr>
          <w:rFonts w:ascii="Times New Roman" w:hAnsi="Times New Roman" w:cs="Times New Roman"/>
          <w:sz w:val="24"/>
          <w:szCs w:val="24"/>
          <w:vertAlign w:val="superscript"/>
        </w:rPr>
        <w:footnoteReference w:id="5"/>
      </w:r>
      <w:r w:rsidRPr="007157D3">
        <w:rPr>
          <w:rFonts w:ascii="Times New Roman" w:hAnsi="Times New Roman" w:cs="Times New Roman"/>
          <w:sz w:val="24"/>
          <w:szCs w:val="24"/>
        </w:rPr>
        <w:t xml:space="preserve"> </w:t>
      </w:r>
    </w:p>
    <w:p w14:paraId="2AEB72E4" w14:textId="6794C79E" w:rsidR="001413AC" w:rsidRPr="007157D3" w:rsidRDefault="001413AC" w:rsidP="0030363D">
      <w:pPr>
        <w:autoSpaceDE w:val="0"/>
        <w:autoSpaceDN w:val="0"/>
        <w:adjustRightInd w:val="0"/>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sz w:val="24"/>
          <w:szCs w:val="24"/>
        </w:rPr>
        <w:t>Salīdzinot E</w:t>
      </w:r>
      <w:r w:rsidR="006D6565" w:rsidRPr="0025422D">
        <w:rPr>
          <w:rFonts w:ascii="Times New Roman" w:hAnsi="Times New Roman" w:cs="Times New Roman"/>
          <w:sz w:val="24"/>
          <w:szCs w:val="24"/>
        </w:rPr>
        <w:t>i</w:t>
      </w:r>
      <w:r w:rsidRPr="0025422D">
        <w:rPr>
          <w:rFonts w:ascii="Times New Roman" w:hAnsi="Times New Roman" w:cs="Times New Roman"/>
          <w:sz w:val="24"/>
          <w:szCs w:val="24"/>
        </w:rPr>
        <w:t>rostat prognozes attiecībā uz 2020.gadu ar CSP publicēto statistiku</w:t>
      </w:r>
      <w:r w:rsidR="00350281" w:rsidRPr="00A857F2">
        <w:rPr>
          <w:rFonts w:ascii="Times New Roman" w:hAnsi="Times New Roman" w:cs="Times New Roman"/>
          <w:sz w:val="24"/>
          <w:szCs w:val="24"/>
        </w:rPr>
        <w:t>,</w:t>
      </w:r>
      <w:r w:rsidRPr="00A857F2">
        <w:rPr>
          <w:rFonts w:ascii="Times New Roman" w:hAnsi="Times New Roman" w:cs="Times New Roman"/>
          <w:sz w:val="24"/>
          <w:szCs w:val="24"/>
        </w:rPr>
        <w:t xml:space="preserve"> secināms, ka situācija ir nedaudz labāka un 2020.gada sākumā iedzīvotāju vecuma grupas 15- 64 īpatsvars kopējā iedzīvotāju skaitā bija 63,5%, bet demogrāfiskās slodzes koeficients (65+ /15-64) – 32,3%</w:t>
      </w:r>
      <w:r w:rsidR="00500C22" w:rsidRPr="009703E6">
        <w:rPr>
          <w:rFonts w:ascii="Times New Roman" w:hAnsi="Times New Roman" w:cs="Times New Roman"/>
          <w:sz w:val="24"/>
          <w:szCs w:val="24"/>
        </w:rPr>
        <w:t>.</w:t>
      </w:r>
      <w:r w:rsidRPr="007157D3">
        <w:rPr>
          <w:rFonts w:ascii="Times New Roman" w:hAnsi="Times New Roman" w:cs="Times New Roman"/>
          <w:sz w:val="24"/>
          <w:szCs w:val="24"/>
          <w:vertAlign w:val="superscript"/>
        </w:rPr>
        <w:footnoteReference w:id="6"/>
      </w:r>
      <w:r w:rsidRPr="007157D3">
        <w:rPr>
          <w:rFonts w:ascii="Times New Roman" w:hAnsi="Times New Roman" w:cs="Times New Roman"/>
          <w:sz w:val="24"/>
          <w:szCs w:val="24"/>
        </w:rPr>
        <w:t xml:space="preserve">  </w:t>
      </w:r>
    </w:p>
    <w:p w14:paraId="25A36407" w14:textId="77777777" w:rsidR="001413AC" w:rsidRPr="00A857F2" w:rsidRDefault="001413AC" w:rsidP="0030363D">
      <w:pPr>
        <w:autoSpaceDE w:val="0"/>
        <w:autoSpaceDN w:val="0"/>
        <w:adjustRightInd w:val="0"/>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sz w:val="24"/>
          <w:szCs w:val="24"/>
        </w:rPr>
        <w:t>Sabiedrībai novecojot, nelielam nodarbi</w:t>
      </w:r>
      <w:r w:rsidRPr="0025422D">
        <w:rPr>
          <w:rFonts w:ascii="Times New Roman" w:hAnsi="Times New Roman" w:cs="Times New Roman"/>
          <w:sz w:val="24"/>
          <w:szCs w:val="24"/>
        </w:rPr>
        <w:t>nāto skaitam nāksies nodrošināt pensiju izmaksas lielam pensionāru skaitam. Tādēļ pēdējā laikā ES līmenī tiek uzsvērta nepieciešamība pēc iespējas pilnīgāk izmantot sava darbaspēka potenciālu, lai risinātu problēmas, kas saistītas ar iedzīvotāju novecošano</w:t>
      </w:r>
      <w:r w:rsidRPr="00A857F2">
        <w:rPr>
          <w:rFonts w:ascii="Times New Roman" w:hAnsi="Times New Roman" w:cs="Times New Roman"/>
          <w:sz w:val="24"/>
          <w:szCs w:val="24"/>
        </w:rPr>
        <w:t>s, un vairotu konkurenci pasaules mērogā.</w:t>
      </w:r>
    </w:p>
    <w:p w14:paraId="39F80E7A" w14:textId="7127367E" w:rsidR="00200837" w:rsidRPr="009703E6" w:rsidRDefault="00200837" w:rsidP="00200837">
      <w:pPr>
        <w:spacing w:after="0" w:line="240" w:lineRule="auto"/>
        <w:rPr>
          <w:rFonts w:ascii="Times New Roman" w:hAnsi="Times New Roman" w:cs="Times New Roman"/>
          <w:sz w:val="24"/>
          <w:szCs w:val="24"/>
        </w:rPr>
      </w:pPr>
    </w:p>
    <w:p w14:paraId="7C504006" w14:textId="34D32905" w:rsidR="00200837" w:rsidRPr="009703E6" w:rsidRDefault="00200837" w:rsidP="00DA5144">
      <w:pPr>
        <w:pStyle w:val="Heading2"/>
      </w:pPr>
      <w:bookmarkStart w:id="7" w:name="_Toc55316059"/>
      <w:r w:rsidRPr="009703E6">
        <w:t>Nabadzība un sociālā atstumtība</w:t>
      </w:r>
      <w:bookmarkEnd w:id="7"/>
      <w:r w:rsidRPr="009703E6">
        <w:t xml:space="preserve"> </w:t>
      </w:r>
    </w:p>
    <w:p w14:paraId="75D130E0" w14:textId="33448202" w:rsidR="007E3194" w:rsidRPr="00D33C2F" w:rsidRDefault="00D33C2F" w:rsidP="00D33C2F">
      <w:pPr>
        <w:autoSpaceDE w:val="0"/>
        <w:autoSpaceDN w:val="0"/>
        <w:adjustRightInd w:val="0"/>
        <w:spacing w:after="0" w:line="240" w:lineRule="auto"/>
        <w:ind w:firstLine="720"/>
        <w:jc w:val="both"/>
        <w:rPr>
          <w:rFonts w:ascii="Times New Roman" w:hAnsi="Times New Roman" w:cs="Times New Roman"/>
          <w:sz w:val="24"/>
          <w:szCs w:val="24"/>
        </w:rPr>
      </w:pPr>
      <w:r w:rsidRPr="00D33C2F">
        <w:rPr>
          <w:rFonts w:ascii="Times New Roman" w:hAnsi="Times New Roman" w:cs="Times New Roman"/>
          <w:sz w:val="24"/>
          <w:szCs w:val="24"/>
        </w:rPr>
        <w:t xml:space="preserve">Viens no </w:t>
      </w:r>
      <w:r w:rsidRPr="00D33C2F">
        <w:rPr>
          <w:rFonts w:ascii="Times New Roman" w:hAnsi="Times New Roman" w:cs="Times New Roman"/>
          <w:b/>
          <w:sz w:val="24"/>
          <w:szCs w:val="24"/>
        </w:rPr>
        <w:t>stratēģijas “Eiropa 2020”</w:t>
      </w:r>
      <w:r w:rsidRPr="00D33C2F">
        <w:rPr>
          <w:rFonts w:ascii="Times New Roman" w:hAnsi="Times New Roman" w:cs="Times New Roman"/>
          <w:sz w:val="24"/>
          <w:szCs w:val="24"/>
        </w:rPr>
        <w:t xml:space="preserve"> kopējiem ES mērķiem ir samazināt nabadzības vai sociālās atstumtības riskam pakļauto iedzīvotāju skaitu par vismaz 20 miljoniem (no 116,1 miljona 2008.gadā līdz 96,1 miljonam 2020.gadā). 2018.gadā nabadzības vai sociālās atstumtības riskam bija pakļauti 110,2 miljoni ES iedzīvotāju. </w:t>
      </w:r>
      <w:r w:rsidR="00673C38" w:rsidRPr="00D33C2F">
        <w:rPr>
          <w:rFonts w:ascii="Times New Roman" w:hAnsi="Times New Roman" w:cs="Times New Roman"/>
          <w:sz w:val="24"/>
          <w:szCs w:val="24"/>
        </w:rPr>
        <w:t xml:space="preserve">Latvijas </w:t>
      </w:r>
      <w:r w:rsidR="00673C38" w:rsidRPr="00D33C2F">
        <w:rPr>
          <w:rFonts w:ascii="Times New Roman" w:hAnsi="Times New Roman" w:cs="Times New Roman"/>
          <w:b/>
          <w:sz w:val="24"/>
          <w:szCs w:val="24"/>
        </w:rPr>
        <w:t>Nacionālās reformu programmas</w:t>
      </w:r>
      <w:r w:rsidR="00673C38" w:rsidRPr="00D33C2F">
        <w:rPr>
          <w:rFonts w:ascii="Times New Roman" w:hAnsi="Times New Roman" w:cs="Times New Roman"/>
          <w:sz w:val="24"/>
          <w:szCs w:val="24"/>
        </w:rPr>
        <w:t xml:space="preserve"> </w:t>
      </w:r>
      <w:r>
        <w:rPr>
          <w:rFonts w:ascii="Times New Roman" w:hAnsi="Times New Roman" w:cs="Times New Roman"/>
          <w:sz w:val="24"/>
          <w:szCs w:val="24"/>
        </w:rPr>
        <w:t xml:space="preserve"> </w:t>
      </w:r>
      <w:r w:rsidR="00673C38" w:rsidRPr="00D33C2F">
        <w:rPr>
          <w:rFonts w:ascii="Times New Roman" w:hAnsi="Times New Roman" w:cs="Times New Roman"/>
          <w:sz w:val="24"/>
          <w:szCs w:val="24"/>
        </w:rPr>
        <w:t>stratēģijas “Eiropa 2020” ieviešanai</w:t>
      </w:r>
      <w:r w:rsidR="0064202F">
        <w:rPr>
          <w:rFonts w:ascii="Times New Roman" w:hAnsi="Times New Roman" w:cs="Times New Roman"/>
          <w:sz w:val="24"/>
          <w:szCs w:val="24"/>
        </w:rPr>
        <w:t xml:space="preserve"> </w:t>
      </w:r>
      <w:r>
        <w:rPr>
          <w:rFonts w:ascii="Times New Roman" w:hAnsi="Times New Roman" w:cs="Times New Roman"/>
          <w:sz w:val="24"/>
          <w:szCs w:val="24"/>
        </w:rPr>
        <w:t>(turpmāk - NRP)</w:t>
      </w:r>
      <w:r w:rsidR="00673C38" w:rsidRPr="00D33C2F">
        <w:rPr>
          <w:rFonts w:ascii="Times New Roman" w:hAnsi="Times New Roman" w:cs="Times New Roman"/>
          <w:sz w:val="24"/>
          <w:szCs w:val="24"/>
        </w:rPr>
        <w:t xml:space="preserve"> </w:t>
      </w:r>
      <w:r w:rsidR="00673C38" w:rsidRPr="00D33C2F">
        <w:rPr>
          <w:rFonts w:ascii="Times New Roman" w:hAnsi="Times New Roman" w:cs="Times New Roman"/>
          <w:b/>
          <w:sz w:val="24"/>
          <w:szCs w:val="24"/>
        </w:rPr>
        <w:t>nabadzības mazināšanai noteiktais mērķis</w:t>
      </w:r>
      <w:r w:rsidR="00673C38" w:rsidRPr="00D33C2F">
        <w:rPr>
          <w:rFonts w:ascii="Times New Roman" w:hAnsi="Times New Roman" w:cs="Times New Roman"/>
          <w:sz w:val="24"/>
          <w:szCs w:val="24"/>
        </w:rPr>
        <w:t xml:space="preserve"> ir </w:t>
      </w:r>
      <w:r w:rsidR="00C93556" w:rsidRPr="00D33C2F">
        <w:rPr>
          <w:rFonts w:ascii="Times New Roman" w:hAnsi="Times New Roman" w:cs="Times New Roman"/>
          <w:sz w:val="24"/>
          <w:szCs w:val="24"/>
        </w:rPr>
        <w:t xml:space="preserve">līdz 2020. gadam samazināt nabadzības riskam pakļautos un/vai zemas darba intensitātes mājsaimniecībās dzīvojošo personu skaitu </w:t>
      </w:r>
      <w:r w:rsidR="00673C38" w:rsidRPr="00D33C2F">
        <w:rPr>
          <w:rFonts w:ascii="Times New Roman" w:hAnsi="Times New Roman" w:cs="Times New Roman"/>
          <w:sz w:val="24"/>
          <w:szCs w:val="24"/>
        </w:rPr>
        <w:t>par 121 tūkst. jeb līdz 21%.</w:t>
      </w:r>
      <w:r w:rsidR="00C93556">
        <w:rPr>
          <w:rStyle w:val="FootnoteReference"/>
          <w:rFonts w:ascii="Times New Roman" w:hAnsi="Times New Roman" w:cs="Times New Roman"/>
          <w:sz w:val="24"/>
          <w:szCs w:val="24"/>
        </w:rPr>
        <w:footnoteReference w:id="7"/>
      </w:r>
      <w:r w:rsidR="00673C38" w:rsidRPr="00D33C2F">
        <w:rPr>
          <w:rFonts w:ascii="Times New Roman" w:hAnsi="Times New Roman" w:cs="Times New Roman"/>
          <w:sz w:val="24"/>
          <w:szCs w:val="24"/>
        </w:rPr>
        <w:t xml:space="preserve"> </w:t>
      </w:r>
      <w:r w:rsidR="00B0720D" w:rsidRPr="00D33C2F">
        <w:rPr>
          <w:rFonts w:ascii="Times New Roman" w:hAnsi="Times New Roman" w:cs="Times New Roman"/>
          <w:sz w:val="24"/>
          <w:szCs w:val="24"/>
        </w:rPr>
        <w:t xml:space="preserve">Līdzīgi kā </w:t>
      </w:r>
      <w:r w:rsidRPr="00D33C2F">
        <w:rPr>
          <w:rFonts w:ascii="Times New Roman" w:hAnsi="Times New Roman" w:cs="Times New Roman"/>
          <w:sz w:val="24"/>
          <w:szCs w:val="24"/>
        </w:rPr>
        <w:t xml:space="preserve">Eiropas Savienībā, arī Latvijā netiek sasniegts </w:t>
      </w:r>
      <w:r w:rsidR="00C93556">
        <w:rPr>
          <w:rFonts w:ascii="Times New Roman" w:hAnsi="Times New Roman" w:cs="Times New Roman"/>
          <w:sz w:val="24"/>
          <w:szCs w:val="24"/>
        </w:rPr>
        <w:t>NRP</w:t>
      </w:r>
      <w:r w:rsidRPr="00D33C2F">
        <w:rPr>
          <w:rFonts w:ascii="Times New Roman" w:hAnsi="Times New Roman" w:cs="Times New Roman"/>
          <w:sz w:val="24"/>
          <w:szCs w:val="24"/>
        </w:rPr>
        <w:t xml:space="preserve"> noteiktais nabadzības mazināšanas mērķis. </w:t>
      </w:r>
      <w:r w:rsidR="00673C38" w:rsidRPr="00D33C2F">
        <w:rPr>
          <w:rFonts w:ascii="Times New Roman" w:hAnsi="Times New Roman" w:cs="Times New Roman"/>
          <w:sz w:val="24"/>
          <w:szCs w:val="24"/>
        </w:rPr>
        <w:t>Līdz 2013.gadam bija vērojama stabila virzība uz NRP noteikto nabadzības riskam pakļauto un/vai zemas darba intensitātes mājsaimniecībās dzīvojošo personu skaita samazināšanas mērķi</w:t>
      </w:r>
      <w:r>
        <w:rPr>
          <w:rFonts w:ascii="Times New Roman" w:hAnsi="Times New Roman" w:cs="Times New Roman"/>
          <w:sz w:val="24"/>
          <w:szCs w:val="24"/>
        </w:rPr>
        <w:t xml:space="preserve"> </w:t>
      </w:r>
      <w:r w:rsidRPr="00D33C2F">
        <w:rPr>
          <w:rFonts w:ascii="Times New Roman" w:hAnsi="Times New Roman" w:cs="Times New Roman"/>
          <w:sz w:val="24"/>
          <w:szCs w:val="24"/>
        </w:rPr>
        <w:t xml:space="preserve">un 2011. un 2012.gadā tas tika gandrīz sasniegts. Tomēr, palielinoties iedzīvotāju ienākumu nevienlīdzībai, no 2013.gada atkal sāka palielināties nabadzības riskam pakļauto iedzīvotāju īpatsvars. 2018.gadā nabadzības riskam pakļauto vai ļoti zemas darba intensitātes  </w:t>
      </w:r>
      <w:r>
        <w:rPr>
          <w:rFonts w:ascii="Times New Roman" w:hAnsi="Times New Roman" w:cs="Times New Roman"/>
          <w:sz w:val="24"/>
          <w:szCs w:val="24"/>
        </w:rPr>
        <w:t>m</w:t>
      </w:r>
      <w:r w:rsidRPr="00D33C2F">
        <w:rPr>
          <w:rFonts w:ascii="Times New Roman" w:hAnsi="Times New Roman" w:cs="Times New Roman"/>
          <w:sz w:val="24"/>
          <w:szCs w:val="24"/>
        </w:rPr>
        <w:t>ājsaimniecībā dzīvojošu personu īpatsvars sasniedza 459 tūkstošus jeb 24,2 % iedzīvotāju.</w:t>
      </w:r>
      <w:r>
        <w:rPr>
          <w:rFonts w:ascii="Times New Roman" w:hAnsi="Times New Roman" w:cs="Times New Roman"/>
          <w:sz w:val="24"/>
          <w:szCs w:val="24"/>
        </w:rPr>
        <w:t xml:space="preserve"> </w:t>
      </w:r>
    </w:p>
    <w:p w14:paraId="2DB520FD" w14:textId="2CE8B0BE" w:rsidR="00200837" w:rsidRPr="0015154B" w:rsidRDefault="00200837" w:rsidP="0030363D">
      <w:pPr>
        <w:widowControl w:val="0"/>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Pārskata periodā bija vērojama mājsaimniecību rīcībā esošo ienākumu palielināšanās – galvenokārt vidējās darba samaksas, minimālās darba algas un sociālo transfertu palielināšanās rezultātā. </w:t>
      </w:r>
      <w:r w:rsidRPr="0015154B">
        <w:rPr>
          <w:rFonts w:ascii="Times New Roman" w:hAnsi="Times New Roman" w:cs="Times New Roman"/>
          <w:b/>
          <w:sz w:val="24"/>
          <w:szCs w:val="24"/>
        </w:rPr>
        <w:t>Ienākumu pieaugums</w:t>
      </w:r>
      <w:r w:rsidRPr="0015154B">
        <w:rPr>
          <w:rFonts w:ascii="Times New Roman" w:hAnsi="Times New Roman" w:cs="Times New Roman"/>
          <w:sz w:val="24"/>
          <w:szCs w:val="24"/>
        </w:rPr>
        <w:t xml:space="preserve"> skāra mājsaimniecības visās kvintiļu grupās. Procentuāli lielākais pieaugums bija vērojams turīgākajās mājsaimniecībās – salīdzinot ar 2014.gadu, 2018.gadā 5.kvintilē ienākumi palielinājās par 43,2 %, 4.kvintilē – par 42,1 %, pārsniedzot vidējā pieauguma tempu valstī. Ienākumu pieaugums zemāko ienākumu kvintilēs bija samērā tuvs vidējā pieauguma tempam valstī, izņemot 2.kvintiles mājsaimniecībās, kurās</w:t>
      </w:r>
      <w:r w:rsidRPr="0015154B">
        <w:rPr>
          <w:rFonts w:ascii="Times New Roman" w:hAnsi="Times New Roman" w:cs="Times New Roman"/>
          <w:color w:val="000000"/>
          <w:sz w:val="24"/>
          <w:szCs w:val="24"/>
        </w:rPr>
        <w:t xml:space="preserve"> ienākumi auga vislēnāk (</w:t>
      </w:r>
      <w:r w:rsidRPr="0015154B">
        <w:rPr>
          <w:rFonts w:ascii="Times New Roman" w:hAnsi="Times New Roman" w:cs="Times New Roman"/>
          <w:color w:val="000000"/>
          <w:sz w:val="24"/>
          <w:szCs w:val="24"/>
          <w:highlight w:val="yellow"/>
        </w:rPr>
        <w:t xml:space="preserve">skat. </w:t>
      </w:r>
      <w:r w:rsidR="006D6565" w:rsidRPr="0015154B">
        <w:rPr>
          <w:rFonts w:ascii="Times New Roman" w:hAnsi="Times New Roman" w:cs="Times New Roman"/>
          <w:color w:val="000000"/>
          <w:sz w:val="24"/>
          <w:szCs w:val="24"/>
          <w:highlight w:val="yellow"/>
        </w:rPr>
        <w:t>1</w:t>
      </w:r>
      <w:r w:rsidRPr="0015154B">
        <w:rPr>
          <w:rFonts w:ascii="Times New Roman" w:hAnsi="Times New Roman" w:cs="Times New Roman"/>
          <w:color w:val="000000"/>
          <w:sz w:val="24"/>
          <w:szCs w:val="24"/>
          <w:highlight w:val="yellow"/>
        </w:rPr>
        <w:t>.tabulu</w:t>
      </w:r>
      <w:r w:rsidRPr="0015154B">
        <w:rPr>
          <w:rFonts w:ascii="Times New Roman" w:hAnsi="Times New Roman" w:cs="Times New Roman"/>
          <w:color w:val="000000"/>
          <w:sz w:val="24"/>
          <w:szCs w:val="24"/>
        </w:rPr>
        <w:t>).</w:t>
      </w:r>
    </w:p>
    <w:p w14:paraId="18BF58AA" w14:textId="77777777" w:rsidR="00200837" w:rsidRPr="0015154B" w:rsidRDefault="00200837" w:rsidP="00D30955">
      <w:pPr>
        <w:widowControl w:val="0"/>
        <w:autoSpaceDE w:val="0"/>
        <w:autoSpaceDN w:val="0"/>
        <w:adjustRightInd w:val="0"/>
        <w:spacing w:after="0" w:line="240" w:lineRule="auto"/>
        <w:jc w:val="both"/>
        <w:rPr>
          <w:rFonts w:ascii="Times New Roman" w:hAnsi="Times New Roman" w:cs="Times New Roman"/>
          <w:sz w:val="24"/>
          <w:szCs w:val="24"/>
        </w:rPr>
      </w:pPr>
    </w:p>
    <w:p w14:paraId="1F9D2FDA" w14:textId="77777777" w:rsidR="00E91408" w:rsidRDefault="00E91408">
      <w:pPr>
        <w:rPr>
          <w:rFonts w:ascii="Times New Roman" w:hAnsi="Times New Roman" w:cs="Times New Roman"/>
          <w:sz w:val="24"/>
          <w:szCs w:val="24"/>
        </w:rPr>
      </w:pPr>
      <w:r>
        <w:rPr>
          <w:rFonts w:ascii="Times New Roman" w:hAnsi="Times New Roman" w:cs="Times New Roman"/>
          <w:sz w:val="24"/>
          <w:szCs w:val="24"/>
        </w:rPr>
        <w:br w:type="page"/>
      </w:r>
    </w:p>
    <w:p w14:paraId="7FB9218F" w14:textId="0E884186" w:rsidR="00200837" w:rsidRPr="0015154B" w:rsidRDefault="006D6565" w:rsidP="00D30955">
      <w:pPr>
        <w:widowControl w:val="0"/>
        <w:autoSpaceDE w:val="0"/>
        <w:autoSpaceDN w:val="0"/>
        <w:adjustRightInd w:val="0"/>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lastRenderedPageBreak/>
        <w:t>1</w:t>
      </w:r>
      <w:r w:rsidR="00200837" w:rsidRPr="0015154B">
        <w:rPr>
          <w:rFonts w:ascii="Times New Roman" w:hAnsi="Times New Roman" w:cs="Times New Roman"/>
          <w:sz w:val="24"/>
          <w:szCs w:val="24"/>
        </w:rPr>
        <w:t>.tabula</w:t>
      </w:r>
    </w:p>
    <w:p w14:paraId="7C4966CD" w14:textId="77777777" w:rsidR="00200837" w:rsidRPr="0015154B" w:rsidRDefault="00200837" w:rsidP="00D30955">
      <w:pPr>
        <w:widowControl w:val="0"/>
        <w:autoSpaceDE w:val="0"/>
        <w:autoSpaceDN w:val="0"/>
        <w:adjustRightInd w:val="0"/>
        <w:spacing w:after="0" w:line="240" w:lineRule="auto"/>
        <w:ind w:firstLine="720"/>
        <w:jc w:val="center"/>
        <w:rPr>
          <w:rFonts w:ascii="Times New Roman" w:hAnsi="Times New Roman" w:cs="Times New Roman"/>
          <w:b/>
          <w:bCs/>
          <w:color w:val="002060"/>
          <w:sz w:val="24"/>
          <w:szCs w:val="24"/>
          <w:shd w:val="clear" w:color="auto" w:fill="FFFFFF"/>
        </w:rPr>
      </w:pPr>
      <w:r w:rsidRPr="0015154B">
        <w:rPr>
          <w:rFonts w:ascii="Times New Roman" w:hAnsi="Times New Roman" w:cs="Times New Roman"/>
          <w:b/>
          <w:bCs/>
          <w:color w:val="002060"/>
          <w:sz w:val="24"/>
          <w:szCs w:val="24"/>
          <w:shd w:val="clear" w:color="auto" w:fill="FFFFFF"/>
        </w:rPr>
        <w:t>Mājsaimniecību rīcībā esošie ienākumi kvintiļu grupās</w:t>
      </w:r>
    </w:p>
    <w:p w14:paraId="26F9D06B" w14:textId="5C4A6D43" w:rsidR="00200837" w:rsidRPr="0015154B" w:rsidRDefault="00200837" w:rsidP="00D30955">
      <w:pPr>
        <w:widowControl w:val="0"/>
        <w:autoSpaceDE w:val="0"/>
        <w:autoSpaceDN w:val="0"/>
        <w:adjustRightInd w:val="0"/>
        <w:spacing w:after="0" w:line="240" w:lineRule="auto"/>
        <w:ind w:firstLine="720"/>
        <w:jc w:val="center"/>
        <w:rPr>
          <w:rFonts w:ascii="Times New Roman" w:hAnsi="Times New Roman" w:cs="Times New Roman"/>
          <w:b/>
          <w:bCs/>
          <w:color w:val="002060"/>
          <w:sz w:val="24"/>
          <w:szCs w:val="24"/>
          <w:shd w:val="clear" w:color="auto" w:fill="FFFFFF"/>
        </w:rPr>
      </w:pPr>
      <w:r w:rsidRPr="0015154B">
        <w:rPr>
          <w:rFonts w:ascii="Times New Roman" w:hAnsi="Times New Roman" w:cs="Times New Roman"/>
          <w:b/>
          <w:bCs/>
          <w:color w:val="002060"/>
          <w:sz w:val="24"/>
          <w:szCs w:val="24"/>
          <w:shd w:val="clear" w:color="auto" w:fill="FFFFFF"/>
        </w:rPr>
        <w:t>(e</w:t>
      </w:r>
      <w:r w:rsidR="006D6565" w:rsidRPr="0015154B">
        <w:rPr>
          <w:rFonts w:ascii="Times New Roman" w:hAnsi="Times New Roman" w:cs="Times New Roman"/>
          <w:b/>
          <w:bCs/>
          <w:color w:val="002060"/>
          <w:sz w:val="24"/>
          <w:szCs w:val="24"/>
          <w:shd w:val="clear" w:color="auto" w:fill="FFFFFF"/>
        </w:rPr>
        <w:t>i</w:t>
      </w:r>
      <w:r w:rsidRPr="0015154B">
        <w:rPr>
          <w:rFonts w:ascii="Times New Roman" w:hAnsi="Times New Roman" w:cs="Times New Roman"/>
          <w:b/>
          <w:bCs/>
          <w:color w:val="002060"/>
          <w:sz w:val="24"/>
          <w:szCs w:val="24"/>
          <w:shd w:val="clear" w:color="auto" w:fill="FFFFFF"/>
        </w:rPr>
        <w:t>ro, mēnesī vidēji uz vienu mājsaimniecības locekli)</w:t>
      </w:r>
    </w:p>
    <w:p w14:paraId="58BD5BC8" w14:textId="77777777" w:rsidR="00200837" w:rsidRPr="0015154B" w:rsidRDefault="00200837" w:rsidP="00D30955">
      <w:pPr>
        <w:widowControl w:val="0"/>
        <w:autoSpaceDE w:val="0"/>
        <w:autoSpaceDN w:val="0"/>
        <w:adjustRightInd w:val="0"/>
        <w:spacing w:after="0" w:line="240" w:lineRule="auto"/>
        <w:ind w:firstLine="720"/>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13"/>
        <w:gridCol w:w="958"/>
        <w:gridCol w:w="1185"/>
        <w:gridCol w:w="1185"/>
        <w:gridCol w:w="1185"/>
        <w:gridCol w:w="1185"/>
        <w:gridCol w:w="1207"/>
      </w:tblGrid>
      <w:tr w:rsidR="00200837" w:rsidRPr="0015154B" w14:paraId="2A9B0DA8" w14:textId="77777777" w:rsidTr="00E91408">
        <w:tc>
          <w:tcPr>
            <w:tcW w:w="1413" w:type="dxa"/>
            <w:shd w:val="clear" w:color="auto" w:fill="E8F3D3" w:themeFill="accent2" w:themeFillTint="33"/>
          </w:tcPr>
          <w:p w14:paraId="7376E95C" w14:textId="77777777" w:rsidR="00200837" w:rsidRPr="0015154B" w:rsidRDefault="00200837" w:rsidP="00D30955">
            <w:pPr>
              <w:widowControl w:val="0"/>
              <w:autoSpaceDE w:val="0"/>
              <w:autoSpaceDN w:val="0"/>
              <w:adjustRightInd w:val="0"/>
              <w:jc w:val="both"/>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Kvintiļu grupa</w:t>
            </w:r>
          </w:p>
        </w:tc>
        <w:tc>
          <w:tcPr>
            <w:tcW w:w="958" w:type="dxa"/>
            <w:shd w:val="clear" w:color="auto" w:fill="E8F3D3" w:themeFill="accent2" w:themeFillTint="33"/>
          </w:tcPr>
          <w:p w14:paraId="33E3693B"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2014</w:t>
            </w:r>
          </w:p>
        </w:tc>
        <w:tc>
          <w:tcPr>
            <w:tcW w:w="1185" w:type="dxa"/>
            <w:shd w:val="clear" w:color="auto" w:fill="E8F3D3" w:themeFill="accent2" w:themeFillTint="33"/>
          </w:tcPr>
          <w:p w14:paraId="3648CB2F"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2015</w:t>
            </w:r>
          </w:p>
        </w:tc>
        <w:tc>
          <w:tcPr>
            <w:tcW w:w="1185" w:type="dxa"/>
            <w:shd w:val="clear" w:color="auto" w:fill="E8F3D3" w:themeFill="accent2" w:themeFillTint="33"/>
          </w:tcPr>
          <w:p w14:paraId="21A7A03E"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2016</w:t>
            </w:r>
          </w:p>
        </w:tc>
        <w:tc>
          <w:tcPr>
            <w:tcW w:w="1185" w:type="dxa"/>
            <w:shd w:val="clear" w:color="auto" w:fill="E8F3D3" w:themeFill="accent2" w:themeFillTint="33"/>
          </w:tcPr>
          <w:p w14:paraId="36BB4004"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2017</w:t>
            </w:r>
          </w:p>
        </w:tc>
        <w:tc>
          <w:tcPr>
            <w:tcW w:w="1185" w:type="dxa"/>
            <w:shd w:val="clear" w:color="auto" w:fill="E8F3D3" w:themeFill="accent2" w:themeFillTint="33"/>
          </w:tcPr>
          <w:p w14:paraId="4893BCF5"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2018</w:t>
            </w:r>
          </w:p>
        </w:tc>
        <w:tc>
          <w:tcPr>
            <w:tcW w:w="1207" w:type="dxa"/>
            <w:shd w:val="clear" w:color="auto" w:fill="E8F3D3" w:themeFill="accent2" w:themeFillTint="33"/>
          </w:tcPr>
          <w:p w14:paraId="66C4E53C"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b/>
                <w:i/>
                <w:color w:val="002060"/>
                <w:lang w:eastAsia="lv-LV"/>
              </w:rPr>
            </w:pPr>
            <w:r w:rsidRPr="0015154B">
              <w:rPr>
                <w:rFonts w:ascii="Times New Roman" w:eastAsiaTheme="minorEastAsia" w:hAnsi="Times New Roman" w:cs="Times New Roman"/>
                <w:b/>
                <w:i/>
                <w:color w:val="002060"/>
                <w:lang w:eastAsia="lv-LV"/>
              </w:rPr>
              <w:t>Ienākumu pieaugums 2018.g. pret 2014.g., %</w:t>
            </w:r>
          </w:p>
        </w:tc>
      </w:tr>
      <w:tr w:rsidR="00200837" w:rsidRPr="0015154B" w14:paraId="26CFDF64" w14:textId="77777777" w:rsidTr="00E91408">
        <w:tc>
          <w:tcPr>
            <w:tcW w:w="1413" w:type="dxa"/>
            <w:shd w:val="clear" w:color="auto" w:fill="E8F3D3" w:themeFill="accent2" w:themeFillTint="33"/>
          </w:tcPr>
          <w:p w14:paraId="1967BE39" w14:textId="77777777" w:rsidR="00200837" w:rsidRPr="0015154B" w:rsidRDefault="00200837" w:rsidP="00D30955">
            <w:pPr>
              <w:widowControl w:val="0"/>
              <w:autoSpaceDE w:val="0"/>
              <w:autoSpaceDN w:val="0"/>
              <w:adjustRightInd w:val="0"/>
              <w:jc w:val="both"/>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1.kvintile</w:t>
            </w:r>
          </w:p>
        </w:tc>
        <w:tc>
          <w:tcPr>
            <w:tcW w:w="958" w:type="dxa"/>
          </w:tcPr>
          <w:p w14:paraId="3BF96288"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135,15</w:t>
            </w:r>
          </w:p>
        </w:tc>
        <w:tc>
          <w:tcPr>
            <w:tcW w:w="1185" w:type="dxa"/>
          </w:tcPr>
          <w:p w14:paraId="6945BC5E"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149,51</w:t>
            </w:r>
          </w:p>
        </w:tc>
        <w:tc>
          <w:tcPr>
            <w:tcW w:w="1185" w:type="dxa"/>
          </w:tcPr>
          <w:p w14:paraId="33584E7F"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153,71</w:t>
            </w:r>
          </w:p>
        </w:tc>
        <w:tc>
          <w:tcPr>
            <w:tcW w:w="1185" w:type="dxa"/>
          </w:tcPr>
          <w:p w14:paraId="5DC82AA3"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162,36</w:t>
            </w:r>
          </w:p>
        </w:tc>
        <w:tc>
          <w:tcPr>
            <w:tcW w:w="1185" w:type="dxa"/>
          </w:tcPr>
          <w:p w14:paraId="63189A83"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185,50</w:t>
            </w:r>
          </w:p>
        </w:tc>
        <w:tc>
          <w:tcPr>
            <w:tcW w:w="1207" w:type="dxa"/>
          </w:tcPr>
          <w:p w14:paraId="41EC71A0"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i/>
                <w:lang w:eastAsia="lv-LV"/>
              </w:rPr>
            </w:pPr>
            <w:r w:rsidRPr="0015154B">
              <w:rPr>
                <w:rFonts w:ascii="Times New Roman" w:eastAsiaTheme="minorEastAsia" w:hAnsi="Times New Roman" w:cs="Times New Roman"/>
                <w:i/>
                <w:lang w:eastAsia="lv-LV"/>
              </w:rPr>
              <w:t>37,3</w:t>
            </w:r>
          </w:p>
        </w:tc>
      </w:tr>
      <w:tr w:rsidR="00200837" w:rsidRPr="0015154B" w14:paraId="5BD7CE15" w14:textId="77777777" w:rsidTr="00E91408">
        <w:tc>
          <w:tcPr>
            <w:tcW w:w="1413" w:type="dxa"/>
            <w:shd w:val="clear" w:color="auto" w:fill="E8F3D3" w:themeFill="accent2" w:themeFillTint="33"/>
          </w:tcPr>
          <w:p w14:paraId="0FB9D81F" w14:textId="77777777" w:rsidR="00200837" w:rsidRPr="0015154B" w:rsidRDefault="00200837" w:rsidP="00D30955">
            <w:pPr>
              <w:widowControl w:val="0"/>
              <w:autoSpaceDE w:val="0"/>
              <w:autoSpaceDN w:val="0"/>
              <w:adjustRightInd w:val="0"/>
              <w:jc w:val="both"/>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2.kvintile</w:t>
            </w:r>
          </w:p>
        </w:tc>
        <w:tc>
          <w:tcPr>
            <w:tcW w:w="958" w:type="dxa"/>
          </w:tcPr>
          <w:p w14:paraId="67A4DA1A"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245,13</w:t>
            </w:r>
          </w:p>
        </w:tc>
        <w:tc>
          <w:tcPr>
            <w:tcW w:w="1185" w:type="dxa"/>
          </w:tcPr>
          <w:p w14:paraId="3A50042B"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256,89</w:t>
            </w:r>
          </w:p>
        </w:tc>
        <w:tc>
          <w:tcPr>
            <w:tcW w:w="1185" w:type="dxa"/>
          </w:tcPr>
          <w:p w14:paraId="2ABCAE9A"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266,14</w:t>
            </w:r>
          </w:p>
        </w:tc>
        <w:tc>
          <w:tcPr>
            <w:tcW w:w="1185" w:type="dxa"/>
          </w:tcPr>
          <w:p w14:paraId="238320A4"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285,17</w:t>
            </w:r>
          </w:p>
        </w:tc>
        <w:tc>
          <w:tcPr>
            <w:tcW w:w="1185" w:type="dxa"/>
          </w:tcPr>
          <w:p w14:paraId="7887ED1F"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320,20</w:t>
            </w:r>
          </w:p>
        </w:tc>
        <w:tc>
          <w:tcPr>
            <w:tcW w:w="1207" w:type="dxa"/>
          </w:tcPr>
          <w:p w14:paraId="11A0AB49"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i/>
                <w:lang w:eastAsia="lv-LV"/>
              </w:rPr>
            </w:pPr>
            <w:r w:rsidRPr="0015154B">
              <w:rPr>
                <w:rFonts w:ascii="Times New Roman" w:eastAsiaTheme="minorEastAsia" w:hAnsi="Times New Roman" w:cs="Times New Roman"/>
                <w:i/>
                <w:lang w:eastAsia="lv-LV"/>
              </w:rPr>
              <w:t>30,6</w:t>
            </w:r>
          </w:p>
        </w:tc>
      </w:tr>
      <w:tr w:rsidR="00200837" w:rsidRPr="0015154B" w14:paraId="7B63D7A4" w14:textId="77777777" w:rsidTr="00E91408">
        <w:tc>
          <w:tcPr>
            <w:tcW w:w="1413" w:type="dxa"/>
            <w:shd w:val="clear" w:color="auto" w:fill="E8F3D3" w:themeFill="accent2" w:themeFillTint="33"/>
          </w:tcPr>
          <w:p w14:paraId="0109EF2C" w14:textId="77777777" w:rsidR="00200837" w:rsidRPr="0015154B" w:rsidRDefault="00200837" w:rsidP="00D30955">
            <w:pPr>
              <w:widowControl w:val="0"/>
              <w:autoSpaceDE w:val="0"/>
              <w:autoSpaceDN w:val="0"/>
              <w:adjustRightInd w:val="0"/>
              <w:jc w:val="both"/>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3.kvintile</w:t>
            </w:r>
          </w:p>
        </w:tc>
        <w:tc>
          <w:tcPr>
            <w:tcW w:w="958" w:type="dxa"/>
          </w:tcPr>
          <w:p w14:paraId="752921E7"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317,36</w:t>
            </w:r>
          </w:p>
        </w:tc>
        <w:tc>
          <w:tcPr>
            <w:tcW w:w="1185" w:type="dxa"/>
          </w:tcPr>
          <w:p w14:paraId="4606A097"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340,16</w:t>
            </w:r>
          </w:p>
        </w:tc>
        <w:tc>
          <w:tcPr>
            <w:tcW w:w="1185" w:type="dxa"/>
          </w:tcPr>
          <w:p w14:paraId="074BA809"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359,50</w:t>
            </w:r>
          </w:p>
        </w:tc>
        <w:tc>
          <w:tcPr>
            <w:tcW w:w="1185" w:type="dxa"/>
          </w:tcPr>
          <w:p w14:paraId="7C7A1950"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401,18</w:t>
            </w:r>
          </w:p>
        </w:tc>
        <w:tc>
          <w:tcPr>
            <w:tcW w:w="1185" w:type="dxa"/>
          </w:tcPr>
          <w:p w14:paraId="732A0D2B"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444,12</w:t>
            </w:r>
          </w:p>
        </w:tc>
        <w:tc>
          <w:tcPr>
            <w:tcW w:w="1207" w:type="dxa"/>
          </w:tcPr>
          <w:p w14:paraId="2F48153F"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i/>
                <w:lang w:eastAsia="lv-LV"/>
              </w:rPr>
            </w:pPr>
            <w:r w:rsidRPr="0015154B">
              <w:rPr>
                <w:rFonts w:ascii="Times New Roman" w:eastAsiaTheme="minorEastAsia" w:hAnsi="Times New Roman" w:cs="Times New Roman"/>
                <w:i/>
                <w:lang w:eastAsia="lv-LV"/>
              </w:rPr>
              <w:t>39,9</w:t>
            </w:r>
          </w:p>
        </w:tc>
      </w:tr>
      <w:tr w:rsidR="00200837" w:rsidRPr="0015154B" w14:paraId="4559E2E4" w14:textId="77777777" w:rsidTr="00E91408">
        <w:tc>
          <w:tcPr>
            <w:tcW w:w="1413" w:type="dxa"/>
            <w:shd w:val="clear" w:color="auto" w:fill="E8F3D3" w:themeFill="accent2" w:themeFillTint="33"/>
          </w:tcPr>
          <w:p w14:paraId="4054B2E7" w14:textId="77777777" w:rsidR="00200837" w:rsidRPr="0015154B" w:rsidRDefault="00200837" w:rsidP="00D30955">
            <w:pPr>
              <w:widowControl w:val="0"/>
              <w:autoSpaceDE w:val="0"/>
              <w:autoSpaceDN w:val="0"/>
              <w:adjustRightInd w:val="0"/>
              <w:jc w:val="both"/>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4.kvintile</w:t>
            </w:r>
          </w:p>
        </w:tc>
        <w:tc>
          <w:tcPr>
            <w:tcW w:w="958" w:type="dxa"/>
          </w:tcPr>
          <w:p w14:paraId="0C60195E"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449,16</w:t>
            </w:r>
          </w:p>
        </w:tc>
        <w:tc>
          <w:tcPr>
            <w:tcW w:w="1185" w:type="dxa"/>
          </w:tcPr>
          <w:p w14:paraId="5DB9EFA2"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483,31</w:t>
            </w:r>
          </w:p>
        </w:tc>
        <w:tc>
          <w:tcPr>
            <w:tcW w:w="1185" w:type="dxa"/>
          </w:tcPr>
          <w:p w14:paraId="412AF471"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514,33</w:t>
            </w:r>
          </w:p>
        </w:tc>
        <w:tc>
          <w:tcPr>
            <w:tcW w:w="1185" w:type="dxa"/>
          </w:tcPr>
          <w:p w14:paraId="27F05DAE"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572,41</w:t>
            </w:r>
          </w:p>
        </w:tc>
        <w:tc>
          <w:tcPr>
            <w:tcW w:w="1185" w:type="dxa"/>
          </w:tcPr>
          <w:p w14:paraId="4B46B2C1"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638,42</w:t>
            </w:r>
          </w:p>
        </w:tc>
        <w:tc>
          <w:tcPr>
            <w:tcW w:w="1207" w:type="dxa"/>
          </w:tcPr>
          <w:p w14:paraId="72446815"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i/>
                <w:lang w:eastAsia="lv-LV"/>
              </w:rPr>
            </w:pPr>
            <w:r w:rsidRPr="0015154B">
              <w:rPr>
                <w:rFonts w:ascii="Times New Roman" w:eastAsiaTheme="minorEastAsia" w:hAnsi="Times New Roman" w:cs="Times New Roman"/>
                <w:i/>
                <w:lang w:eastAsia="lv-LV"/>
              </w:rPr>
              <w:t>42,1</w:t>
            </w:r>
          </w:p>
        </w:tc>
      </w:tr>
      <w:tr w:rsidR="00200837" w:rsidRPr="0015154B" w14:paraId="0AD7AA42" w14:textId="77777777" w:rsidTr="00E91408">
        <w:tc>
          <w:tcPr>
            <w:tcW w:w="1413" w:type="dxa"/>
            <w:shd w:val="clear" w:color="auto" w:fill="E8F3D3" w:themeFill="accent2" w:themeFillTint="33"/>
          </w:tcPr>
          <w:p w14:paraId="24622902" w14:textId="77777777" w:rsidR="00200837" w:rsidRPr="0015154B" w:rsidRDefault="00200837" w:rsidP="00D30955">
            <w:pPr>
              <w:widowControl w:val="0"/>
              <w:autoSpaceDE w:val="0"/>
              <w:autoSpaceDN w:val="0"/>
              <w:adjustRightInd w:val="0"/>
              <w:jc w:val="both"/>
              <w:rPr>
                <w:rFonts w:ascii="Times New Roman" w:eastAsiaTheme="minorEastAsia" w:hAnsi="Times New Roman" w:cs="Times New Roman"/>
                <w:b/>
                <w:color w:val="002060"/>
                <w:lang w:eastAsia="lv-LV"/>
              </w:rPr>
            </w:pPr>
            <w:r w:rsidRPr="0015154B">
              <w:rPr>
                <w:rFonts w:ascii="Times New Roman" w:eastAsiaTheme="minorEastAsia" w:hAnsi="Times New Roman" w:cs="Times New Roman"/>
                <w:b/>
                <w:color w:val="002060"/>
                <w:lang w:eastAsia="lv-LV"/>
              </w:rPr>
              <w:t>5.kvintile</w:t>
            </w:r>
          </w:p>
        </w:tc>
        <w:tc>
          <w:tcPr>
            <w:tcW w:w="958" w:type="dxa"/>
          </w:tcPr>
          <w:p w14:paraId="64CC05F2"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847,02</w:t>
            </w:r>
          </w:p>
        </w:tc>
        <w:tc>
          <w:tcPr>
            <w:tcW w:w="1185" w:type="dxa"/>
          </w:tcPr>
          <w:p w14:paraId="020CF50D"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895,60</w:t>
            </w:r>
          </w:p>
        </w:tc>
        <w:tc>
          <w:tcPr>
            <w:tcW w:w="1185" w:type="dxa"/>
          </w:tcPr>
          <w:p w14:paraId="4621A8EC"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941,57</w:t>
            </w:r>
          </w:p>
        </w:tc>
        <w:tc>
          <w:tcPr>
            <w:tcW w:w="1185" w:type="dxa"/>
          </w:tcPr>
          <w:p w14:paraId="145A3E3B"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1076,25</w:t>
            </w:r>
          </w:p>
        </w:tc>
        <w:tc>
          <w:tcPr>
            <w:tcW w:w="1185" w:type="dxa"/>
          </w:tcPr>
          <w:p w14:paraId="65121567"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lang w:eastAsia="lv-LV"/>
              </w:rPr>
            </w:pPr>
            <w:r w:rsidRPr="0015154B">
              <w:rPr>
                <w:rFonts w:ascii="Times New Roman" w:eastAsiaTheme="minorEastAsia" w:hAnsi="Times New Roman" w:cs="Times New Roman"/>
                <w:lang w:eastAsia="lv-LV"/>
              </w:rPr>
              <w:t>1212,73</w:t>
            </w:r>
          </w:p>
        </w:tc>
        <w:tc>
          <w:tcPr>
            <w:tcW w:w="1207" w:type="dxa"/>
          </w:tcPr>
          <w:p w14:paraId="01CC0490" w14:textId="77777777" w:rsidR="00200837" w:rsidRPr="0015154B" w:rsidRDefault="00200837" w:rsidP="00D30955">
            <w:pPr>
              <w:widowControl w:val="0"/>
              <w:autoSpaceDE w:val="0"/>
              <w:autoSpaceDN w:val="0"/>
              <w:adjustRightInd w:val="0"/>
              <w:jc w:val="center"/>
              <w:rPr>
                <w:rFonts w:ascii="Times New Roman" w:eastAsiaTheme="minorEastAsia" w:hAnsi="Times New Roman" w:cs="Times New Roman"/>
                <w:i/>
                <w:lang w:eastAsia="lv-LV"/>
              </w:rPr>
            </w:pPr>
            <w:r w:rsidRPr="0015154B">
              <w:rPr>
                <w:rFonts w:ascii="Times New Roman" w:eastAsiaTheme="minorEastAsia" w:hAnsi="Times New Roman" w:cs="Times New Roman"/>
                <w:i/>
                <w:lang w:eastAsia="lv-LV"/>
              </w:rPr>
              <w:t>43,2</w:t>
            </w:r>
          </w:p>
        </w:tc>
      </w:tr>
      <w:tr w:rsidR="00200837" w:rsidRPr="0015154B" w14:paraId="30B675DA" w14:textId="77777777" w:rsidTr="00E91408">
        <w:tc>
          <w:tcPr>
            <w:tcW w:w="1413" w:type="dxa"/>
            <w:shd w:val="clear" w:color="auto" w:fill="E8F3D3" w:themeFill="accent2" w:themeFillTint="33"/>
          </w:tcPr>
          <w:p w14:paraId="0EAB6453" w14:textId="77777777" w:rsidR="00200837" w:rsidRPr="0015154B" w:rsidRDefault="00200837" w:rsidP="00D30955">
            <w:pPr>
              <w:widowControl w:val="0"/>
              <w:autoSpaceDE w:val="0"/>
              <w:autoSpaceDN w:val="0"/>
              <w:adjustRightInd w:val="0"/>
              <w:jc w:val="both"/>
              <w:rPr>
                <w:rFonts w:ascii="Times New Roman" w:eastAsiaTheme="minorEastAsia" w:hAnsi="Times New Roman" w:cs="Times New Roman"/>
                <w:b/>
                <w:i/>
                <w:color w:val="002060"/>
                <w:lang w:eastAsia="lv-LV"/>
              </w:rPr>
            </w:pPr>
            <w:r w:rsidRPr="0015154B">
              <w:rPr>
                <w:rFonts w:ascii="Times New Roman" w:eastAsiaTheme="minorEastAsia" w:hAnsi="Times New Roman" w:cs="Times New Roman"/>
                <w:b/>
                <w:i/>
                <w:color w:val="002060"/>
                <w:lang w:eastAsia="lv-LV"/>
              </w:rPr>
              <w:t>Vidēji valstī</w:t>
            </w:r>
          </w:p>
        </w:tc>
        <w:tc>
          <w:tcPr>
            <w:tcW w:w="958" w:type="dxa"/>
          </w:tcPr>
          <w:p w14:paraId="60346D0D" w14:textId="77777777" w:rsidR="00200837" w:rsidRPr="0015154B" w:rsidRDefault="00200837" w:rsidP="00D30955">
            <w:pPr>
              <w:widowControl w:val="0"/>
              <w:autoSpaceDE w:val="0"/>
              <w:autoSpaceDN w:val="0"/>
              <w:adjustRightInd w:val="0"/>
              <w:jc w:val="center"/>
              <w:rPr>
                <w:rFonts w:ascii="Times New Roman" w:eastAsia="Times New Roman" w:hAnsi="Times New Roman" w:cs="Times New Roman"/>
                <w:b/>
                <w:color w:val="000000"/>
                <w:lang w:eastAsia="lv-LV"/>
              </w:rPr>
            </w:pPr>
            <w:r w:rsidRPr="0015154B">
              <w:rPr>
                <w:rFonts w:ascii="Times New Roman" w:eastAsia="Times New Roman" w:hAnsi="Times New Roman" w:cs="Times New Roman"/>
                <w:b/>
                <w:color w:val="000000"/>
                <w:lang w:eastAsia="lv-LV"/>
              </w:rPr>
              <w:t>386,91</w:t>
            </w:r>
          </w:p>
        </w:tc>
        <w:tc>
          <w:tcPr>
            <w:tcW w:w="1185" w:type="dxa"/>
          </w:tcPr>
          <w:p w14:paraId="5648836B" w14:textId="77777777" w:rsidR="00200837" w:rsidRPr="0015154B" w:rsidRDefault="00200837" w:rsidP="00D30955">
            <w:pPr>
              <w:widowControl w:val="0"/>
              <w:autoSpaceDE w:val="0"/>
              <w:autoSpaceDN w:val="0"/>
              <w:adjustRightInd w:val="0"/>
              <w:jc w:val="center"/>
              <w:rPr>
                <w:rFonts w:ascii="Times New Roman" w:eastAsia="Times New Roman" w:hAnsi="Times New Roman" w:cs="Times New Roman"/>
                <w:b/>
                <w:color w:val="000000"/>
                <w:lang w:eastAsia="lv-LV"/>
              </w:rPr>
            </w:pPr>
            <w:r w:rsidRPr="0015154B">
              <w:rPr>
                <w:rFonts w:ascii="Times New Roman" w:eastAsia="Times New Roman" w:hAnsi="Times New Roman" w:cs="Times New Roman"/>
                <w:b/>
                <w:color w:val="000000"/>
                <w:lang w:eastAsia="lv-LV"/>
              </w:rPr>
              <w:t>416,50</w:t>
            </w:r>
          </w:p>
        </w:tc>
        <w:tc>
          <w:tcPr>
            <w:tcW w:w="1185" w:type="dxa"/>
          </w:tcPr>
          <w:p w14:paraId="36E69369" w14:textId="77777777" w:rsidR="00200837" w:rsidRPr="0015154B" w:rsidRDefault="00200837" w:rsidP="00D30955">
            <w:pPr>
              <w:widowControl w:val="0"/>
              <w:autoSpaceDE w:val="0"/>
              <w:autoSpaceDN w:val="0"/>
              <w:adjustRightInd w:val="0"/>
              <w:jc w:val="center"/>
              <w:rPr>
                <w:rFonts w:ascii="Times New Roman" w:eastAsia="Times New Roman" w:hAnsi="Times New Roman" w:cs="Times New Roman"/>
                <w:b/>
                <w:color w:val="000000"/>
                <w:lang w:eastAsia="lv-LV"/>
              </w:rPr>
            </w:pPr>
            <w:r w:rsidRPr="0015154B">
              <w:rPr>
                <w:rFonts w:ascii="Times New Roman" w:eastAsia="Times New Roman" w:hAnsi="Times New Roman" w:cs="Times New Roman"/>
                <w:b/>
                <w:color w:val="000000"/>
                <w:lang w:eastAsia="lv-LV"/>
              </w:rPr>
              <w:t>437,11</w:t>
            </w:r>
          </w:p>
        </w:tc>
        <w:tc>
          <w:tcPr>
            <w:tcW w:w="1185" w:type="dxa"/>
          </w:tcPr>
          <w:p w14:paraId="46B2006E" w14:textId="77777777" w:rsidR="00200837" w:rsidRPr="0015154B" w:rsidRDefault="00200837" w:rsidP="00D30955">
            <w:pPr>
              <w:widowControl w:val="0"/>
              <w:autoSpaceDE w:val="0"/>
              <w:autoSpaceDN w:val="0"/>
              <w:adjustRightInd w:val="0"/>
              <w:jc w:val="center"/>
              <w:rPr>
                <w:rFonts w:ascii="Times New Roman" w:eastAsia="Times New Roman" w:hAnsi="Times New Roman" w:cs="Times New Roman"/>
                <w:b/>
                <w:color w:val="000000"/>
                <w:lang w:eastAsia="lv-LV"/>
              </w:rPr>
            </w:pPr>
            <w:r w:rsidRPr="0015154B">
              <w:rPr>
                <w:rFonts w:ascii="Times New Roman" w:eastAsia="Times New Roman" w:hAnsi="Times New Roman" w:cs="Times New Roman"/>
                <w:b/>
                <w:color w:val="000000"/>
                <w:lang w:eastAsia="lv-LV"/>
              </w:rPr>
              <w:t>488,84</w:t>
            </w:r>
          </w:p>
        </w:tc>
        <w:tc>
          <w:tcPr>
            <w:tcW w:w="1185" w:type="dxa"/>
          </w:tcPr>
          <w:p w14:paraId="35C75B45" w14:textId="77777777" w:rsidR="00200837" w:rsidRPr="0015154B" w:rsidRDefault="00200837" w:rsidP="00D30955">
            <w:pPr>
              <w:widowControl w:val="0"/>
              <w:autoSpaceDE w:val="0"/>
              <w:autoSpaceDN w:val="0"/>
              <w:adjustRightInd w:val="0"/>
              <w:jc w:val="center"/>
              <w:rPr>
                <w:rFonts w:ascii="Times New Roman" w:eastAsia="Times New Roman" w:hAnsi="Times New Roman" w:cs="Times New Roman"/>
                <w:b/>
                <w:color w:val="000000"/>
                <w:lang w:eastAsia="lv-LV"/>
              </w:rPr>
            </w:pPr>
            <w:r w:rsidRPr="0015154B">
              <w:rPr>
                <w:rFonts w:ascii="Times New Roman" w:eastAsia="Times New Roman" w:hAnsi="Times New Roman" w:cs="Times New Roman"/>
                <w:b/>
                <w:color w:val="000000"/>
                <w:lang w:eastAsia="lv-LV"/>
              </w:rPr>
              <w:t>545,87</w:t>
            </w:r>
          </w:p>
        </w:tc>
        <w:tc>
          <w:tcPr>
            <w:tcW w:w="1207" w:type="dxa"/>
          </w:tcPr>
          <w:p w14:paraId="3C0541B4" w14:textId="77777777" w:rsidR="00200837" w:rsidRPr="0015154B" w:rsidRDefault="00200837" w:rsidP="00D30955">
            <w:pPr>
              <w:widowControl w:val="0"/>
              <w:autoSpaceDE w:val="0"/>
              <w:autoSpaceDN w:val="0"/>
              <w:adjustRightInd w:val="0"/>
              <w:jc w:val="center"/>
              <w:rPr>
                <w:rFonts w:ascii="Times New Roman" w:eastAsia="Times New Roman" w:hAnsi="Times New Roman" w:cs="Times New Roman"/>
                <w:b/>
                <w:i/>
                <w:color w:val="000000"/>
                <w:lang w:eastAsia="lv-LV"/>
              </w:rPr>
            </w:pPr>
            <w:r w:rsidRPr="0015154B">
              <w:rPr>
                <w:rFonts w:ascii="Times New Roman" w:eastAsia="Times New Roman" w:hAnsi="Times New Roman" w:cs="Times New Roman"/>
                <w:b/>
                <w:i/>
                <w:color w:val="000000"/>
                <w:lang w:eastAsia="lv-LV"/>
              </w:rPr>
              <w:t>41,1</w:t>
            </w:r>
          </w:p>
        </w:tc>
      </w:tr>
    </w:tbl>
    <w:p w14:paraId="62D3EF67" w14:textId="1DFE3EF3" w:rsidR="00200837" w:rsidRPr="0015154B" w:rsidRDefault="00200837" w:rsidP="00D30955">
      <w:pPr>
        <w:widowControl w:val="0"/>
        <w:autoSpaceDE w:val="0"/>
        <w:autoSpaceDN w:val="0"/>
        <w:adjustRightInd w:val="0"/>
        <w:spacing w:after="0" w:line="240" w:lineRule="auto"/>
        <w:ind w:firstLine="720"/>
        <w:jc w:val="both"/>
        <w:rPr>
          <w:rFonts w:ascii="Times New Roman" w:eastAsiaTheme="minorEastAsia" w:hAnsi="Times New Roman" w:cs="Times New Roman"/>
          <w:sz w:val="20"/>
          <w:szCs w:val="20"/>
          <w:lang w:eastAsia="lv-LV"/>
        </w:rPr>
      </w:pPr>
      <w:r w:rsidRPr="0015154B">
        <w:rPr>
          <w:rFonts w:ascii="Times New Roman" w:eastAsiaTheme="minorEastAsia" w:hAnsi="Times New Roman" w:cs="Times New Roman"/>
          <w:sz w:val="20"/>
          <w:szCs w:val="20"/>
          <w:lang w:eastAsia="lv-LV"/>
        </w:rPr>
        <w:t xml:space="preserve">Datu avots: CSP </w:t>
      </w:r>
      <w:r w:rsidR="006D6565" w:rsidRPr="0015154B">
        <w:rPr>
          <w:rFonts w:ascii="Times New Roman" w:eastAsiaTheme="minorEastAsia" w:hAnsi="Times New Roman" w:cs="Times New Roman"/>
          <w:sz w:val="20"/>
          <w:szCs w:val="20"/>
          <w:lang w:eastAsia="lv-LV"/>
        </w:rPr>
        <w:t xml:space="preserve">datu bāze, </w:t>
      </w:r>
      <w:r w:rsidRPr="0015154B">
        <w:rPr>
          <w:rFonts w:ascii="Times New Roman" w:eastAsiaTheme="minorEastAsia" w:hAnsi="Times New Roman" w:cs="Times New Roman"/>
          <w:sz w:val="20"/>
          <w:szCs w:val="20"/>
          <w:lang w:eastAsia="lv-LV"/>
        </w:rPr>
        <w:t>datu tabula IIG090, IIG040</w:t>
      </w:r>
    </w:p>
    <w:p w14:paraId="0D6803F7" w14:textId="77777777" w:rsidR="00200837" w:rsidRPr="007157D3" w:rsidRDefault="00200837" w:rsidP="0030363D">
      <w:pPr>
        <w:widowControl w:val="0"/>
        <w:autoSpaceDE w:val="0"/>
        <w:autoSpaceDN w:val="0"/>
        <w:adjustRightInd w:val="0"/>
        <w:spacing w:before="120" w:after="0" w:line="240" w:lineRule="auto"/>
        <w:ind w:firstLine="720"/>
        <w:jc w:val="both"/>
        <w:rPr>
          <w:rFonts w:ascii="Times New Roman" w:eastAsiaTheme="minorEastAsia" w:hAnsi="Times New Roman" w:cs="Times New Roman"/>
          <w:sz w:val="24"/>
          <w:szCs w:val="24"/>
          <w:lang w:eastAsia="lv-LV"/>
        </w:rPr>
      </w:pPr>
      <w:r w:rsidRPr="0015154B">
        <w:rPr>
          <w:rFonts w:ascii="Times New Roman" w:eastAsiaTheme="minorEastAsia" w:hAnsi="Times New Roman" w:cs="Times New Roman"/>
          <w:sz w:val="24"/>
          <w:szCs w:val="24"/>
          <w:lang w:eastAsia="lv-LV"/>
        </w:rPr>
        <w:t xml:space="preserve">Saskaņā ar CSP provizoriskā novērtējuma datiem gandrīz trešdaļai (29,3 %) Latvijas mājsaimniecību 2020.gada sākumā nebija </w:t>
      </w:r>
      <w:r w:rsidRPr="0015154B">
        <w:rPr>
          <w:rFonts w:ascii="Times New Roman" w:eastAsiaTheme="minorEastAsia" w:hAnsi="Times New Roman" w:cs="Times New Roman"/>
          <w:b/>
          <w:sz w:val="24"/>
          <w:szCs w:val="24"/>
          <w:lang w:eastAsia="lv-LV"/>
        </w:rPr>
        <w:t>uzkrājumu</w:t>
      </w:r>
      <w:r w:rsidRPr="0015154B">
        <w:rPr>
          <w:rFonts w:ascii="Times New Roman" w:eastAsiaTheme="minorEastAsia" w:hAnsi="Times New Roman" w:cs="Times New Roman"/>
          <w:sz w:val="24"/>
          <w:szCs w:val="24"/>
          <w:lang w:eastAsia="lv-LV"/>
        </w:rPr>
        <w:t>. Lielākajai daļai (40,9 %) mājsaimniecību uzkrājumi ļautu saglabāt esošo dzīves līmeni ne vairāk kā 3 mēnešus, 17 % mājsaimniecību uzkrājumi ļautu saglabāt esošo dzīves līmeni 3 līdz 6 mēnešus, 8,4% mājsaimniecību to varētu nodrošināt 6 līdz 12 mēnešus, savukārt tikai 4,4% mājsaimniecību saglabātu esošo dzīves līmeni ilgāk par gadu.</w:t>
      </w:r>
      <w:r w:rsidRPr="007157D3">
        <w:rPr>
          <w:rStyle w:val="FootnoteReference"/>
          <w:rFonts w:ascii="Times New Roman" w:eastAsiaTheme="minorEastAsia" w:hAnsi="Times New Roman" w:cs="Times New Roman"/>
          <w:sz w:val="24"/>
          <w:szCs w:val="24"/>
          <w:lang w:eastAsia="lv-LV"/>
        </w:rPr>
        <w:footnoteReference w:id="8"/>
      </w:r>
    </w:p>
    <w:p w14:paraId="71CAF620" w14:textId="55FE16FD" w:rsidR="006D6565" w:rsidRPr="007157D3" w:rsidRDefault="00200837" w:rsidP="0030363D">
      <w:pPr>
        <w:widowControl w:val="0"/>
        <w:autoSpaceDE w:val="0"/>
        <w:autoSpaceDN w:val="0"/>
        <w:adjustRightInd w:val="0"/>
        <w:spacing w:before="120" w:after="0" w:line="240" w:lineRule="auto"/>
        <w:ind w:firstLine="720"/>
        <w:jc w:val="both"/>
        <w:rPr>
          <w:rFonts w:ascii="Times New Roman" w:eastAsia="Times New Roman" w:hAnsi="Times New Roman" w:cs="Times New Roman"/>
          <w:sz w:val="24"/>
          <w:szCs w:val="24"/>
          <w:lang w:eastAsia="lv-LV"/>
        </w:rPr>
      </w:pPr>
      <w:r w:rsidRPr="002F5278">
        <w:rPr>
          <w:rFonts w:ascii="Times New Roman" w:eastAsiaTheme="minorEastAsia" w:hAnsi="Times New Roman" w:cs="Times New Roman"/>
          <w:sz w:val="24"/>
          <w:szCs w:val="24"/>
          <w:lang w:eastAsia="lv-LV"/>
        </w:rPr>
        <w:t xml:space="preserve">Mājsaimniecību </w:t>
      </w:r>
      <w:r w:rsidRPr="0025422D">
        <w:rPr>
          <w:rFonts w:ascii="Times New Roman" w:eastAsiaTheme="minorEastAsia" w:hAnsi="Times New Roman" w:cs="Times New Roman"/>
          <w:sz w:val="24"/>
          <w:szCs w:val="24"/>
          <w:lang w:eastAsia="lv-LV"/>
        </w:rPr>
        <w:t>rīcībā esošo ienākumu palielināšanās ir ietekmējusi gan nabadzības riska sliekšņa palielināšanos, gan monetārās nabadzības rādītājus.</w:t>
      </w:r>
      <w:r w:rsidR="00E87868" w:rsidRPr="007157D3">
        <w:rPr>
          <w:rStyle w:val="FootnoteReference"/>
          <w:rFonts w:ascii="Times New Roman" w:eastAsiaTheme="minorEastAsia" w:hAnsi="Times New Roman" w:cs="Times New Roman"/>
          <w:sz w:val="24"/>
          <w:szCs w:val="24"/>
          <w:lang w:eastAsia="lv-LV"/>
        </w:rPr>
        <w:footnoteReference w:id="9"/>
      </w:r>
      <w:r w:rsidRPr="007157D3">
        <w:rPr>
          <w:rFonts w:ascii="Times New Roman" w:eastAsiaTheme="minorEastAsia" w:hAnsi="Times New Roman" w:cs="Times New Roman"/>
          <w:sz w:val="24"/>
          <w:szCs w:val="24"/>
          <w:lang w:eastAsia="lv-LV"/>
        </w:rPr>
        <w:t xml:space="preserve"> Kopš 2014.gada </w:t>
      </w:r>
      <w:r w:rsidRPr="002F5278">
        <w:rPr>
          <w:rFonts w:ascii="Times New Roman" w:eastAsiaTheme="minorEastAsia" w:hAnsi="Times New Roman" w:cs="Times New Roman"/>
          <w:b/>
          <w:sz w:val="24"/>
          <w:szCs w:val="24"/>
          <w:lang w:eastAsia="lv-LV"/>
        </w:rPr>
        <w:t>nabadzības vai sociālās atstumtības riskam</w:t>
      </w:r>
      <w:r w:rsidRPr="0025422D">
        <w:rPr>
          <w:rFonts w:ascii="Times New Roman" w:eastAsiaTheme="minorEastAsia" w:hAnsi="Times New Roman" w:cs="Times New Roman"/>
          <w:sz w:val="24"/>
          <w:szCs w:val="24"/>
          <w:lang w:eastAsia="lv-LV"/>
        </w:rPr>
        <w:t xml:space="preserve"> pakļauto iedzīvotāju īpatsvars ir samazinājies par </w:t>
      </w:r>
      <w:r w:rsidR="006D6565" w:rsidRPr="00A857F2">
        <w:rPr>
          <w:rFonts w:ascii="Times New Roman" w:eastAsiaTheme="minorEastAsia" w:hAnsi="Times New Roman" w:cs="Times New Roman"/>
          <w:sz w:val="24"/>
          <w:szCs w:val="24"/>
          <w:lang w:eastAsia="lv-LV"/>
        </w:rPr>
        <w:t>5</w:t>
      </w:r>
      <w:r w:rsidR="006D6565" w:rsidRPr="00A857F2">
        <w:rPr>
          <w:rFonts w:ascii="Times New Roman" w:eastAsia="Times New Roman" w:hAnsi="Times New Roman" w:cs="Times New Roman"/>
          <w:sz w:val="24"/>
          <w:szCs w:val="24"/>
          <w:lang w:eastAsia="lv-LV"/>
        </w:rPr>
        <w:t>,4 pr</w:t>
      </w:r>
      <w:r w:rsidR="006D6565" w:rsidRPr="003B5C85">
        <w:rPr>
          <w:rFonts w:ascii="Times New Roman" w:eastAsia="Times New Roman" w:hAnsi="Times New Roman" w:cs="Times New Roman"/>
          <w:sz w:val="24"/>
          <w:szCs w:val="24"/>
          <w:lang w:eastAsia="lv-LV"/>
        </w:rPr>
        <w:t xml:space="preserve">ocentpunktiem, 2019. gadā sasniedzot 27,3% (vīriešiem - 25,2%, sievietēm -31,1%). Īpaši augsts nabadzības un sociālās atstumtības rādītājs Latvijā ir iedzīvotājiem vecuma grupā 65+ </w:t>
      </w:r>
      <w:r w:rsidR="006D6565" w:rsidRPr="00425C73">
        <w:rPr>
          <w:rFonts w:ascii="Times New Roman" w:eastAsia="Times New Roman" w:hAnsi="Times New Roman" w:cs="Times New Roman"/>
          <w:sz w:val="24"/>
          <w:szCs w:val="24"/>
          <w:highlight w:val="yellow"/>
          <w:lang w:eastAsia="lv-LV"/>
        </w:rPr>
        <w:t>(skat. 5. attēlu</w:t>
      </w:r>
      <w:r w:rsidR="006D6565" w:rsidRPr="002F5278">
        <w:rPr>
          <w:rFonts w:ascii="Times New Roman" w:eastAsia="Times New Roman" w:hAnsi="Times New Roman" w:cs="Times New Roman"/>
          <w:sz w:val="24"/>
          <w:szCs w:val="24"/>
          <w:lang w:eastAsia="lv-LV"/>
        </w:rPr>
        <w:t>).</w:t>
      </w:r>
      <w:r w:rsidR="00C93556">
        <w:rPr>
          <w:rFonts w:ascii="Times New Roman" w:eastAsia="Times New Roman" w:hAnsi="Times New Roman" w:cs="Times New Roman"/>
          <w:sz w:val="24"/>
          <w:szCs w:val="24"/>
          <w:lang w:eastAsia="lv-LV"/>
        </w:rPr>
        <w:t xml:space="preserve"> Š</w:t>
      </w:r>
      <w:r w:rsidR="00C93556" w:rsidRPr="007157D3">
        <w:rPr>
          <w:rFonts w:ascii="Times New Roman" w:eastAsia="Times New Roman" w:hAnsi="Times New Roman" w:cs="Times New Roman"/>
          <w:sz w:val="24"/>
          <w:szCs w:val="24"/>
          <w:lang w:eastAsia="lv-LV"/>
        </w:rPr>
        <w:t>ajā vecuma grupā</w:t>
      </w:r>
      <w:r w:rsidR="00C93556" w:rsidRPr="003B5C85">
        <w:rPr>
          <w:rFonts w:ascii="Times New Roman" w:eastAsia="Times New Roman" w:hAnsi="Times New Roman" w:cs="Times New Roman"/>
          <w:sz w:val="24"/>
          <w:szCs w:val="24"/>
          <w:lang w:eastAsia="lv-LV"/>
        </w:rPr>
        <w:t xml:space="preserve"> </w:t>
      </w:r>
      <w:r w:rsidR="00C93556">
        <w:rPr>
          <w:rFonts w:ascii="Times New Roman" w:eastAsia="Times New Roman" w:hAnsi="Times New Roman" w:cs="Times New Roman"/>
          <w:sz w:val="24"/>
          <w:szCs w:val="24"/>
          <w:lang w:eastAsia="lv-LV"/>
        </w:rPr>
        <w:t>v</w:t>
      </w:r>
      <w:r w:rsidR="00C93556" w:rsidRPr="003B5C85">
        <w:rPr>
          <w:rFonts w:ascii="Times New Roman" w:eastAsia="Times New Roman" w:hAnsi="Times New Roman" w:cs="Times New Roman"/>
          <w:sz w:val="24"/>
          <w:szCs w:val="24"/>
          <w:lang w:eastAsia="lv-LV"/>
        </w:rPr>
        <w:t>isaugstākais tas ir sievietēm</w:t>
      </w:r>
      <w:r w:rsidR="00C93556">
        <w:rPr>
          <w:rFonts w:ascii="Times New Roman" w:eastAsia="Times New Roman" w:hAnsi="Times New Roman" w:cs="Times New Roman"/>
          <w:sz w:val="24"/>
          <w:szCs w:val="24"/>
          <w:lang w:eastAsia="lv-LV"/>
        </w:rPr>
        <w:t>.</w:t>
      </w:r>
      <w:r w:rsidR="00C93556" w:rsidRPr="003B5C85">
        <w:rPr>
          <w:rFonts w:ascii="Times New Roman" w:eastAsia="Times New Roman" w:hAnsi="Times New Roman" w:cs="Times New Roman"/>
          <w:sz w:val="24"/>
          <w:szCs w:val="24"/>
          <w:lang w:eastAsia="lv-LV"/>
        </w:rPr>
        <w:t xml:space="preserve"> </w:t>
      </w:r>
    </w:p>
    <w:p w14:paraId="33F8D159" w14:textId="77777777" w:rsidR="00E91408" w:rsidRDefault="00E91408" w:rsidP="00E91408">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4A6572">
        <w:rPr>
          <w:rFonts w:ascii="Times New Roman" w:eastAsiaTheme="minorEastAsia" w:hAnsi="Times New Roman" w:cs="Times New Roman"/>
          <w:noProof/>
          <w:sz w:val="24"/>
          <w:szCs w:val="24"/>
          <w:lang w:eastAsia="lv-LV"/>
        </w:rPr>
        <w:drawing>
          <wp:anchor distT="0" distB="0" distL="114300" distR="114300" simplePos="0" relativeHeight="251663360" behindDoc="1" locked="0" layoutInCell="1" allowOverlap="1" wp14:anchorId="67EDEE1D" wp14:editId="3D56A481">
            <wp:simplePos x="0" y="0"/>
            <wp:positionH relativeFrom="margin">
              <wp:posOffset>350520</wp:posOffset>
            </wp:positionH>
            <wp:positionV relativeFrom="paragraph">
              <wp:posOffset>400685</wp:posOffset>
            </wp:positionV>
            <wp:extent cx="5078730" cy="2583815"/>
            <wp:effectExtent l="0" t="0" r="7620" b="6985"/>
            <wp:wrapTopAndBottom/>
            <wp:docPr id="27" name="Chart 27">
              <a:extLst xmlns:a="http://schemas.openxmlformats.org/drawingml/2006/main">
                <a:ext uri="{FF2B5EF4-FFF2-40B4-BE49-F238E27FC236}">
                  <a16:creationId xmlns:a16="http://schemas.microsoft.com/office/drawing/2014/main" id="{7B55C960-0EFC-483F-BCB4-C9F3C5D6FC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6D6565" w:rsidRPr="007157D3">
        <w:rPr>
          <w:rFonts w:ascii="Times New Roman" w:eastAsia="Times New Roman" w:hAnsi="Times New Roman" w:cs="Times New Roman"/>
          <w:sz w:val="24"/>
          <w:szCs w:val="24"/>
          <w:lang w:eastAsia="lv-LV"/>
        </w:rPr>
        <w:t>5.attēl</w:t>
      </w:r>
      <w:r w:rsidR="006D6565" w:rsidRPr="00425C73">
        <w:rPr>
          <w:rFonts w:ascii="Times New Roman" w:eastAsia="Times New Roman" w:hAnsi="Times New Roman" w:cs="Times New Roman"/>
          <w:sz w:val="24"/>
          <w:szCs w:val="24"/>
          <w:lang w:eastAsia="lv-LV"/>
        </w:rPr>
        <w:t>s</w:t>
      </w:r>
    </w:p>
    <w:p w14:paraId="0E66F8BA" w14:textId="39B01A96" w:rsidR="00E91408" w:rsidRDefault="00E91408" w:rsidP="00E91408">
      <w:pPr>
        <w:widowControl w:val="0"/>
        <w:autoSpaceDE w:val="0"/>
        <w:autoSpaceDN w:val="0"/>
        <w:adjustRightInd w:val="0"/>
        <w:spacing w:before="120" w:after="0" w:line="240" w:lineRule="auto"/>
        <w:jc w:val="both"/>
        <w:rPr>
          <w:rFonts w:ascii="Times New Roman" w:eastAsiaTheme="minorEastAsia" w:hAnsi="Times New Roman" w:cs="Times New Roman"/>
          <w:sz w:val="24"/>
          <w:szCs w:val="24"/>
          <w:lang w:eastAsia="lv-LV"/>
        </w:rPr>
      </w:pPr>
      <w:r w:rsidRPr="00C93556">
        <w:rPr>
          <w:rFonts w:ascii="Times New Roman" w:hAnsi="Times New Roman"/>
          <w:sz w:val="20"/>
          <w:szCs w:val="20"/>
        </w:rPr>
        <w:t>Datu avots: Eirostat datu bāze, datu tabula [ilc_peps01]</w:t>
      </w:r>
    </w:p>
    <w:p w14:paraId="5C26EAAA" w14:textId="77777777" w:rsidR="00E91408" w:rsidRDefault="00E91408" w:rsidP="0030363D">
      <w:pPr>
        <w:widowControl w:val="0"/>
        <w:autoSpaceDE w:val="0"/>
        <w:autoSpaceDN w:val="0"/>
        <w:adjustRightInd w:val="0"/>
        <w:spacing w:line="240" w:lineRule="auto"/>
        <w:ind w:firstLine="720"/>
        <w:jc w:val="both"/>
        <w:rPr>
          <w:rFonts w:ascii="Times New Roman" w:eastAsiaTheme="minorEastAsia" w:hAnsi="Times New Roman" w:cs="Times New Roman"/>
          <w:sz w:val="24"/>
          <w:szCs w:val="24"/>
          <w:lang w:eastAsia="lv-LV"/>
        </w:rPr>
      </w:pPr>
    </w:p>
    <w:p w14:paraId="6A6CC49D" w14:textId="1F60B5B0" w:rsidR="00200837" w:rsidRPr="0015154B" w:rsidRDefault="00D30955" w:rsidP="0030363D">
      <w:pPr>
        <w:widowControl w:val="0"/>
        <w:autoSpaceDE w:val="0"/>
        <w:autoSpaceDN w:val="0"/>
        <w:adjustRightInd w:val="0"/>
        <w:spacing w:line="240" w:lineRule="auto"/>
        <w:ind w:firstLine="720"/>
        <w:jc w:val="both"/>
        <w:rPr>
          <w:rFonts w:ascii="Times New Roman" w:eastAsiaTheme="minorEastAsia" w:hAnsi="Times New Roman" w:cs="Times New Roman"/>
          <w:sz w:val="24"/>
          <w:szCs w:val="24"/>
          <w:lang w:eastAsia="lv-LV"/>
        </w:rPr>
      </w:pPr>
      <w:r w:rsidRPr="0025422D">
        <w:rPr>
          <w:rFonts w:ascii="Times New Roman" w:eastAsiaTheme="minorEastAsia" w:hAnsi="Times New Roman" w:cs="Times New Roman"/>
          <w:sz w:val="24"/>
          <w:szCs w:val="24"/>
          <w:lang w:eastAsia="lv-LV"/>
        </w:rPr>
        <w:t>N</w:t>
      </w:r>
      <w:r w:rsidR="006D6565" w:rsidRPr="00A857F2">
        <w:rPr>
          <w:rFonts w:ascii="Times New Roman" w:eastAsiaTheme="minorEastAsia" w:hAnsi="Times New Roman" w:cs="Times New Roman"/>
          <w:sz w:val="24"/>
          <w:szCs w:val="24"/>
          <w:lang w:eastAsia="lv-LV"/>
        </w:rPr>
        <w:t>abadzības vai sociālās atstumtības riskam pakļauto iedzīvotāju īpatsvar</w:t>
      </w:r>
      <w:r w:rsidRPr="00A857F2">
        <w:rPr>
          <w:rFonts w:ascii="Times New Roman" w:eastAsiaTheme="minorEastAsia" w:hAnsi="Times New Roman" w:cs="Times New Roman"/>
          <w:sz w:val="24"/>
          <w:szCs w:val="24"/>
          <w:lang w:eastAsia="lv-LV"/>
        </w:rPr>
        <w:t>s</w:t>
      </w:r>
      <w:r w:rsidR="006D6565" w:rsidRPr="003B5C85">
        <w:rPr>
          <w:rFonts w:ascii="Times New Roman" w:eastAsiaTheme="minorEastAsia" w:hAnsi="Times New Roman" w:cs="Times New Roman"/>
          <w:sz w:val="24"/>
          <w:szCs w:val="24"/>
          <w:lang w:eastAsia="lv-LV"/>
        </w:rPr>
        <w:t xml:space="preserve"> Latvijā </w:t>
      </w:r>
      <w:r w:rsidRPr="003B5C85">
        <w:rPr>
          <w:rFonts w:ascii="Times New Roman" w:eastAsiaTheme="minorEastAsia" w:hAnsi="Times New Roman" w:cs="Times New Roman"/>
          <w:sz w:val="24"/>
          <w:szCs w:val="24"/>
          <w:lang w:eastAsia="lv-LV"/>
        </w:rPr>
        <w:t>visā pārskata periodā pārsniedza</w:t>
      </w:r>
      <w:r w:rsidR="006D6565" w:rsidRPr="009703E6">
        <w:rPr>
          <w:rFonts w:ascii="Times New Roman" w:eastAsiaTheme="minorEastAsia" w:hAnsi="Times New Roman" w:cs="Times New Roman"/>
          <w:sz w:val="24"/>
          <w:szCs w:val="24"/>
          <w:lang w:eastAsia="lv-LV"/>
        </w:rPr>
        <w:t xml:space="preserve"> ES28</w:t>
      </w:r>
      <w:r w:rsidRPr="009703E6">
        <w:rPr>
          <w:rFonts w:ascii="Times New Roman" w:eastAsiaTheme="minorEastAsia" w:hAnsi="Times New Roman" w:cs="Times New Roman"/>
          <w:sz w:val="24"/>
          <w:szCs w:val="24"/>
          <w:lang w:eastAsia="lv-LV"/>
        </w:rPr>
        <w:t xml:space="preserve"> vidējo rādītāju</w:t>
      </w:r>
      <w:r w:rsidR="006D6565" w:rsidRPr="0015154B">
        <w:rPr>
          <w:rFonts w:ascii="Times New Roman" w:eastAsiaTheme="minorEastAsia" w:hAnsi="Times New Roman" w:cs="Times New Roman"/>
          <w:sz w:val="24"/>
          <w:szCs w:val="24"/>
          <w:lang w:eastAsia="lv-LV"/>
        </w:rPr>
        <w:t xml:space="preserve">, </w:t>
      </w:r>
      <w:r w:rsidRPr="0015154B">
        <w:rPr>
          <w:rFonts w:ascii="Times New Roman" w:eastAsiaTheme="minorEastAsia" w:hAnsi="Times New Roman" w:cs="Times New Roman"/>
          <w:sz w:val="24"/>
          <w:szCs w:val="24"/>
          <w:lang w:eastAsia="lv-LV"/>
        </w:rPr>
        <w:t>kā arī pārējo Baltijas valstu rādītāju</w:t>
      </w:r>
      <w:r w:rsidR="006D6565" w:rsidRPr="0015154B">
        <w:rPr>
          <w:rFonts w:ascii="Times New Roman" w:eastAsiaTheme="minorEastAsia" w:hAnsi="Times New Roman" w:cs="Times New Roman"/>
          <w:sz w:val="24"/>
          <w:szCs w:val="24"/>
          <w:lang w:eastAsia="lv-LV"/>
        </w:rPr>
        <w:t>.</w:t>
      </w:r>
      <w:r w:rsidR="00C93556">
        <w:rPr>
          <w:rFonts w:ascii="Times New Roman" w:eastAsiaTheme="minorEastAsia" w:hAnsi="Times New Roman" w:cs="Times New Roman"/>
          <w:sz w:val="24"/>
          <w:szCs w:val="24"/>
          <w:lang w:eastAsia="lv-LV"/>
        </w:rPr>
        <w:t xml:space="preserve"> </w:t>
      </w:r>
      <w:r w:rsidR="00522390" w:rsidRPr="0015154B">
        <w:rPr>
          <w:rFonts w:ascii="Times New Roman" w:eastAsiaTheme="minorEastAsia" w:hAnsi="Times New Roman" w:cs="Times New Roman"/>
          <w:sz w:val="24"/>
          <w:szCs w:val="24"/>
          <w:lang w:eastAsia="lv-LV"/>
        </w:rPr>
        <w:t xml:space="preserve">Pretstatā ES vidējā nabadzības vai sociālās atstumtības riska </w:t>
      </w:r>
      <w:r w:rsidR="000132BB" w:rsidRPr="0015154B">
        <w:rPr>
          <w:rFonts w:ascii="Times New Roman" w:eastAsiaTheme="minorEastAsia" w:hAnsi="Times New Roman" w:cs="Times New Roman"/>
          <w:sz w:val="24"/>
          <w:szCs w:val="24"/>
          <w:lang w:eastAsia="lv-LV"/>
        </w:rPr>
        <w:t xml:space="preserve">samazināšanās tendencei </w:t>
      </w:r>
      <w:r w:rsidR="00522390" w:rsidRPr="0015154B">
        <w:rPr>
          <w:rFonts w:ascii="Times New Roman" w:eastAsiaTheme="minorEastAsia" w:hAnsi="Times New Roman" w:cs="Times New Roman"/>
          <w:sz w:val="24"/>
          <w:szCs w:val="24"/>
          <w:lang w:eastAsia="lv-LV"/>
        </w:rPr>
        <w:t>pensijas vecuma iedzīvotāj</w:t>
      </w:r>
      <w:r w:rsidR="000132BB" w:rsidRPr="0015154B">
        <w:rPr>
          <w:rFonts w:ascii="Times New Roman" w:eastAsiaTheme="minorEastAsia" w:hAnsi="Times New Roman" w:cs="Times New Roman"/>
          <w:sz w:val="24"/>
          <w:szCs w:val="24"/>
          <w:lang w:eastAsia="lv-LV"/>
        </w:rPr>
        <w:t>u vidū</w:t>
      </w:r>
      <w:r w:rsidR="00522390" w:rsidRPr="0015154B">
        <w:rPr>
          <w:rFonts w:ascii="Times New Roman" w:eastAsiaTheme="minorEastAsia" w:hAnsi="Times New Roman" w:cs="Times New Roman"/>
          <w:sz w:val="24"/>
          <w:szCs w:val="24"/>
          <w:lang w:eastAsia="lv-LV"/>
        </w:rPr>
        <w:t xml:space="preserve">, visās Baltijas valstīs vērojams būtisks </w:t>
      </w:r>
      <w:r w:rsidR="003C54B6" w:rsidRPr="0015154B">
        <w:rPr>
          <w:rFonts w:ascii="Times New Roman" w:eastAsiaTheme="minorEastAsia" w:hAnsi="Times New Roman" w:cs="Times New Roman"/>
          <w:sz w:val="24"/>
          <w:szCs w:val="24"/>
          <w:lang w:eastAsia="lv-LV"/>
        </w:rPr>
        <w:t>pieaugums.</w:t>
      </w:r>
      <w:r w:rsidR="006D6565" w:rsidRPr="0015154B">
        <w:rPr>
          <w:rFonts w:ascii="Times New Roman" w:eastAsiaTheme="minorEastAsia" w:hAnsi="Times New Roman" w:cs="Times New Roman"/>
          <w:sz w:val="24"/>
          <w:szCs w:val="24"/>
          <w:lang w:eastAsia="lv-LV"/>
        </w:rPr>
        <w:t xml:space="preserve"> </w:t>
      </w:r>
    </w:p>
    <w:p w14:paraId="69BFA97A" w14:textId="12F7EAFA" w:rsidR="00200837" w:rsidRPr="0015154B" w:rsidRDefault="00200837" w:rsidP="0030363D">
      <w:pPr>
        <w:widowControl w:val="0"/>
        <w:autoSpaceDE w:val="0"/>
        <w:autoSpaceDN w:val="0"/>
        <w:adjustRightInd w:val="0"/>
        <w:spacing w:line="240" w:lineRule="auto"/>
        <w:ind w:firstLine="720"/>
        <w:jc w:val="both"/>
        <w:rPr>
          <w:rFonts w:ascii="Times New Roman" w:eastAsiaTheme="minorEastAsia" w:hAnsi="Times New Roman" w:cs="Times New Roman"/>
          <w:sz w:val="24"/>
          <w:szCs w:val="24"/>
          <w:lang w:eastAsia="lv-LV"/>
        </w:rPr>
      </w:pPr>
      <w:r w:rsidRPr="0015154B">
        <w:rPr>
          <w:rFonts w:ascii="Times New Roman" w:eastAsiaTheme="minorEastAsia" w:hAnsi="Times New Roman" w:cs="Times New Roman"/>
          <w:sz w:val="24"/>
          <w:szCs w:val="24"/>
          <w:lang w:eastAsia="lv-LV"/>
        </w:rPr>
        <w:t xml:space="preserve">Būtisks samazinājums bija vērojams vienai no nabadzības vai sociālās atstumtības riska komponentēm - </w:t>
      </w:r>
      <w:r w:rsidRPr="0015154B">
        <w:rPr>
          <w:rFonts w:ascii="Times New Roman" w:eastAsiaTheme="minorEastAsia" w:hAnsi="Times New Roman" w:cs="Times New Roman"/>
          <w:b/>
          <w:sz w:val="24"/>
          <w:szCs w:val="24"/>
          <w:lang w:eastAsia="lv-LV"/>
        </w:rPr>
        <w:t>dziļai materiālai nenodrošinātībai</w:t>
      </w:r>
      <w:r w:rsidRPr="0015154B">
        <w:rPr>
          <w:rFonts w:ascii="Times New Roman" w:eastAsiaTheme="minorEastAsia" w:hAnsi="Times New Roman" w:cs="Times New Roman"/>
          <w:sz w:val="24"/>
          <w:szCs w:val="24"/>
          <w:lang w:eastAsia="lv-LV"/>
        </w:rPr>
        <w:t xml:space="preserve"> pakļauto iedzīvotāju īpatsvars samazinājās no 19,2% 2014.gadā lī</w:t>
      </w:r>
      <w:r w:rsidR="004A6572">
        <w:rPr>
          <w:rFonts w:ascii="Times New Roman" w:eastAsiaTheme="minorEastAsia" w:hAnsi="Times New Roman" w:cs="Times New Roman"/>
          <w:sz w:val="24"/>
          <w:szCs w:val="24"/>
          <w:lang w:eastAsia="lv-LV"/>
        </w:rPr>
        <w:t>d</w:t>
      </w:r>
      <w:r w:rsidRPr="0015154B">
        <w:rPr>
          <w:rFonts w:ascii="Times New Roman" w:eastAsiaTheme="minorEastAsia" w:hAnsi="Times New Roman" w:cs="Times New Roman"/>
          <w:sz w:val="24"/>
          <w:szCs w:val="24"/>
          <w:lang w:eastAsia="lv-LV"/>
        </w:rPr>
        <w:t xml:space="preserve">z 7,8% 2019.gadā, turklāt dziļas materiālās nenodrošinātības risks samazinājās vismaz uz pusi visās iedzīvotāju vecuma grupās. Savukārt pārējās divas nabadzības vai sociālās atstumtības riska komponentes – nabadzības risks un ļoti zemas darba intensitātes mājsaimniecībās dzīvojošo personu īpatsvars – saglabā stabilas attīstības tendences. </w:t>
      </w:r>
    </w:p>
    <w:p w14:paraId="044875C1" w14:textId="33CA7330" w:rsidR="002200B5" w:rsidRPr="0015154B" w:rsidRDefault="00200837" w:rsidP="0030363D">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201</w:t>
      </w:r>
      <w:r w:rsidR="000132BB" w:rsidRPr="0015154B">
        <w:rPr>
          <w:rFonts w:ascii="Times New Roman" w:hAnsi="Times New Roman" w:cs="Times New Roman"/>
          <w:sz w:val="24"/>
          <w:szCs w:val="24"/>
        </w:rPr>
        <w:t>9</w:t>
      </w:r>
      <w:r w:rsidRPr="0015154B">
        <w:rPr>
          <w:rFonts w:ascii="Times New Roman" w:hAnsi="Times New Roman" w:cs="Times New Roman"/>
          <w:sz w:val="24"/>
          <w:szCs w:val="24"/>
        </w:rPr>
        <w:t xml:space="preserve">.gadā Latvijā </w:t>
      </w:r>
      <w:r w:rsidRPr="0015154B">
        <w:rPr>
          <w:rFonts w:ascii="Times New Roman" w:hAnsi="Times New Roman" w:cs="Times New Roman"/>
          <w:b/>
          <w:sz w:val="24"/>
          <w:szCs w:val="24"/>
        </w:rPr>
        <w:t>nabadzības riskam</w:t>
      </w:r>
      <w:r w:rsidRPr="0015154B">
        <w:rPr>
          <w:rFonts w:ascii="Times New Roman" w:hAnsi="Times New Roman" w:cs="Times New Roman"/>
          <w:sz w:val="24"/>
          <w:szCs w:val="24"/>
        </w:rPr>
        <w:t xml:space="preserve"> bija pakļauti 434 tūkstoši jeb 22,9 % iedzīvotāju. Salīdzinot ar 2014.gadu, 201</w:t>
      </w:r>
      <w:r w:rsidR="002200B5" w:rsidRPr="0015154B">
        <w:rPr>
          <w:rFonts w:ascii="Times New Roman" w:hAnsi="Times New Roman" w:cs="Times New Roman"/>
          <w:sz w:val="24"/>
          <w:szCs w:val="24"/>
        </w:rPr>
        <w:t>9</w:t>
      </w:r>
      <w:r w:rsidRPr="0015154B">
        <w:rPr>
          <w:rFonts w:ascii="Times New Roman" w:hAnsi="Times New Roman" w:cs="Times New Roman"/>
          <w:sz w:val="24"/>
          <w:szCs w:val="24"/>
        </w:rPr>
        <w:t xml:space="preserve">.gadā ir ievērojami samazinājies nabadzības risks bērniem vecumā līdz 17 gadiem no </w:t>
      </w:r>
      <w:r w:rsidR="002200B5" w:rsidRPr="0015154B">
        <w:rPr>
          <w:rFonts w:ascii="Times New Roman" w:hAnsi="Times New Roman" w:cs="Times New Roman"/>
          <w:sz w:val="24"/>
          <w:szCs w:val="24"/>
        </w:rPr>
        <w:t>24,3</w:t>
      </w:r>
      <w:r w:rsidRPr="0015154B">
        <w:rPr>
          <w:rFonts w:ascii="Times New Roman" w:hAnsi="Times New Roman" w:cs="Times New Roman"/>
          <w:sz w:val="24"/>
          <w:szCs w:val="24"/>
        </w:rPr>
        <w:t>% līdz 14,5%. Arī darbspējīgo iedzīvotāju pakļautība nabadzības riskam šajā periodā ir samazinājusies no 18,</w:t>
      </w:r>
      <w:r w:rsidR="002200B5" w:rsidRPr="0015154B">
        <w:rPr>
          <w:rFonts w:ascii="Times New Roman" w:hAnsi="Times New Roman" w:cs="Times New Roman"/>
          <w:sz w:val="24"/>
          <w:szCs w:val="24"/>
        </w:rPr>
        <w:t>4</w:t>
      </w:r>
      <w:r w:rsidRPr="0015154B">
        <w:rPr>
          <w:rFonts w:ascii="Times New Roman" w:hAnsi="Times New Roman" w:cs="Times New Roman"/>
          <w:sz w:val="24"/>
          <w:szCs w:val="24"/>
        </w:rPr>
        <w:t>% līdz 17,</w:t>
      </w:r>
      <w:r w:rsidR="002200B5" w:rsidRPr="0015154B">
        <w:rPr>
          <w:rFonts w:ascii="Times New Roman" w:hAnsi="Times New Roman" w:cs="Times New Roman"/>
          <w:sz w:val="24"/>
          <w:szCs w:val="24"/>
        </w:rPr>
        <w:t>8</w:t>
      </w:r>
      <w:r w:rsidRPr="0015154B">
        <w:rPr>
          <w:rFonts w:ascii="Times New Roman" w:hAnsi="Times New Roman" w:cs="Times New Roman"/>
          <w:sz w:val="24"/>
          <w:szCs w:val="24"/>
        </w:rPr>
        <w:t xml:space="preserve">%. Iedzīvotāji vecumā virs 65 gadiem ir lielākā nabadzības riskam pakļautā grupa, turklāt to īpatsvars nepārtraukti palielinās – no </w:t>
      </w:r>
      <w:r w:rsidR="002200B5" w:rsidRPr="0015154B">
        <w:rPr>
          <w:rFonts w:ascii="Times New Roman" w:hAnsi="Times New Roman" w:cs="Times New Roman"/>
          <w:sz w:val="24"/>
          <w:szCs w:val="24"/>
        </w:rPr>
        <w:t>27</w:t>
      </w:r>
      <w:r w:rsidRPr="0015154B">
        <w:rPr>
          <w:rFonts w:ascii="Times New Roman" w:hAnsi="Times New Roman" w:cs="Times New Roman"/>
          <w:sz w:val="24"/>
          <w:szCs w:val="24"/>
        </w:rPr>
        <w:t>,6% 2014.gadā līdz 47,9% 201</w:t>
      </w:r>
      <w:r w:rsidR="000132BB" w:rsidRPr="0015154B">
        <w:rPr>
          <w:rFonts w:ascii="Times New Roman" w:hAnsi="Times New Roman" w:cs="Times New Roman"/>
          <w:sz w:val="24"/>
          <w:szCs w:val="24"/>
        </w:rPr>
        <w:t>9</w:t>
      </w:r>
      <w:r w:rsidRPr="0015154B">
        <w:rPr>
          <w:rFonts w:ascii="Times New Roman" w:hAnsi="Times New Roman" w:cs="Times New Roman"/>
          <w:sz w:val="24"/>
          <w:szCs w:val="24"/>
        </w:rPr>
        <w:t>.gadā. Palielin</w:t>
      </w:r>
      <w:r w:rsidR="002200B5" w:rsidRPr="0015154B">
        <w:rPr>
          <w:rFonts w:ascii="Times New Roman" w:hAnsi="Times New Roman" w:cs="Times New Roman"/>
          <w:sz w:val="24"/>
          <w:szCs w:val="24"/>
        </w:rPr>
        <w:t>o</w:t>
      </w:r>
      <w:r w:rsidRPr="0015154B">
        <w:rPr>
          <w:rFonts w:ascii="Times New Roman" w:hAnsi="Times New Roman" w:cs="Times New Roman"/>
          <w:sz w:val="24"/>
          <w:szCs w:val="24"/>
        </w:rPr>
        <w:t xml:space="preserve">ties ienākumiem tieši turīgākajām mājsaimniecībām un mājsaimniecībās, kuru galvenais ienākumu avots ir algota darba samaksa, kurās pensijas vecuma cilvēki neveido lielu proporcionālo īpatsvaru, un saglabājoties relatīvi zemiem un nemainīgiem ienākumiem iedzīvotājiem virs 65 gadiem, arī turpmāk nabadzīgāko iedzīvotāju vidū šī vecuma grupa veidos proporcionāli lielāko daļu. Bērnu un jauniešu nabadzības risks lielā mērā ir atkarīgs no vecāku ienākumiem. Vidējās darba samaksas pieaugums, strādājošo nabadzības riska samazināšanās, valsts atbalsta palielināšana ģimenēm ar bērniem ietekmēja bērnu un jauniešu nabadzības riska samazināšanos. </w:t>
      </w:r>
    </w:p>
    <w:p w14:paraId="18F0C48F" w14:textId="73D3EF5C" w:rsidR="001C64ED" w:rsidRPr="0015154B" w:rsidRDefault="000132BB" w:rsidP="0030363D">
      <w:pPr>
        <w:spacing w:before="120" w:after="0" w:line="240" w:lineRule="auto"/>
        <w:ind w:firstLine="720"/>
        <w:jc w:val="both"/>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Līdzīg</w:t>
      </w:r>
      <w:r w:rsidR="001C64ED" w:rsidRPr="0015154B">
        <w:rPr>
          <w:rFonts w:ascii="Times New Roman" w:eastAsia="Times New Roman" w:hAnsi="Times New Roman" w:cs="Times New Roman"/>
          <w:iCs/>
          <w:sz w:val="24"/>
          <w:szCs w:val="24"/>
          <w:lang w:eastAsia="lv-LV"/>
        </w:rPr>
        <w:t>as nabadzības riska samazināšanās tendences bērniem un darbspējas vecuma iedzīvotājiem un pieauguma tendence pensijas vecuma iedzīvotājiem ir vērojamas arī citās Baltijas valstīs un ES28 vidēji (</w:t>
      </w:r>
      <w:r w:rsidR="001C64ED" w:rsidRPr="0015154B">
        <w:rPr>
          <w:rFonts w:ascii="Times New Roman" w:eastAsia="Times New Roman" w:hAnsi="Times New Roman" w:cs="Times New Roman"/>
          <w:iCs/>
          <w:sz w:val="24"/>
          <w:szCs w:val="24"/>
          <w:highlight w:val="yellow"/>
          <w:lang w:eastAsia="lv-LV"/>
        </w:rPr>
        <w:t>skat. 6.attēlu</w:t>
      </w:r>
      <w:r w:rsidR="001C64ED" w:rsidRPr="0015154B">
        <w:rPr>
          <w:rFonts w:ascii="Times New Roman" w:eastAsia="Times New Roman" w:hAnsi="Times New Roman" w:cs="Times New Roman"/>
          <w:iCs/>
          <w:sz w:val="24"/>
          <w:szCs w:val="24"/>
          <w:lang w:eastAsia="lv-LV"/>
        </w:rPr>
        <w:t>)</w:t>
      </w:r>
      <w:r w:rsidR="00501C7A">
        <w:rPr>
          <w:rFonts w:ascii="Times New Roman" w:eastAsia="Times New Roman" w:hAnsi="Times New Roman" w:cs="Times New Roman"/>
          <w:iCs/>
          <w:sz w:val="24"/>
          <w:szCs w:val="24"/>
          <w:lang w:eastAsia="lv-LV"/>
        </w:rPr>
        <w:t>.</w:t>
      </w:r>
    </w:p>
    <w:p w14:paraId="075434CE" w14:textId="77777777" w:rsidR="002200B5" w:rsidRPr="0025422D" w:rsidRDefault="002200B5" w:rsidP="00C62E4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lv-LV"/>
        </w:rPr>
      </w:pPr>
    </w:p>
    <w:p w14:paraId="3892FF2B" w14:textId="6B84098A" w:rsidR="002200B5" w:rsidRPr="00A857F2" w:rsidRDefault="002200B5" w:rsidP="002200B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lv-LV"/>
        </w:rPr>
      </w:pPr>
      <w:r w:rsidRPr="00A857F2">
        <w:rPr>
          <w:rFonts w:ascii="Times New Roman" w:eastAsiaTheme="minorEastAsia" w:hAnsi="Times New Roman" w:cs="Times New Roman"/>
          <w:sz w:val="24"/>
          <w:szCs w:val="24"/>
          <w:lang w:eastAsia="lv-LV"/>
        </w:rPr>
        <w:t>6.attēls</w:t>
      </w:r>
    </w:p>
    <w:p w14:paraId="28FCEE08" w14:textId="77777777" w:rsidR="002200B5" w:rsidRPr="007157D3" w:rsidRDefault="002200B5" w:rsidP="00C62E4E">
      <w:pPr>
        <w:spacing w:after="0" w:line="240" w:lineRule="auto"/>
        <w:jc w:val="center"/>
        <w:rPr>
          <w:rFonts w:ascii="Times New Roman" w:eastAsia="Times New Roman" w:hAnsi="Times New Roman" w:cs="Times New Roman"/>
          <w:b/>
          <w:iCs/>
          <w:sz w:val="24"/>
          <w:szCs w:val="24"/>
          <w:highlight w:val="yellow"/>
          <w:lang w:eastAsia="lv-LV"/>
        </w:rPr>
      </w:pPr>
      <w:r w:rsidRPr="004A6572">
        <w:rPr>
          <w:noProof/>
        </w:rPr>
        <w:drawing>
          <wp:inline distT="0" distB="0" distL="0" distR="0" wp14:anchorId="28B69F9A" wp14:editId="4E690DB2">
            <wp:extent cx="4600575" cy="3152775"/>
            <wp:effectExtent l="0" t="0" r="0" b="0"/>
            <wp:docPr id="28" name="Chart 28">
              <a:extLst xmlns:a="http://schemas.openxmlformats.org/drawingml/2006/main">
                <a:ext uri="{FF2B5EF4-FFF2-40B4-BE49-F238E27FC236}">
                  <a16:creationId xmlns:a16="http://schemas.microsoft.com/office/drawing/2014/main" id="{AF5E5CDB-9488-487C-B9AD-9C5452C397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F4E922" w14:textId="1A8ED026" w:rsidR="002200B5" w:rsidRPr="00F434D9" w:rsidRDefault="004C1289" w:rsidP="002200B5">
      <w:pPr>
        <w:spacing w:after="0" w:line="240" w:lineRule="auto"/>
        <w:jc w:val="both"/>
        <w:rPr>
          <w:rFonts w:ascii="Times New Roman" w:eastAsia="Times New Roman" w:hAnsi="Times New Roman" w:cs="Times New Roman"/>
          <w:iCs/>
          <w:sz w:val="20"/>
          <w:szCs w:val="20"/>
          <w:lang w:eastAsia="lv-LV"/>
        </w:rPr>
      </w:pPr>
      <w:r w:rsidRPr="00F434D9">
        <w:rPr>
          <w:rFonts w:ascii="Times New Roman" w:eastAsia="Times New Roman" w:hAnsi="Times New Roman" w:cs="Times New Roman"/>
          <w:iCs/>
          <w:sz w:val="20"/>
          <w:szCs w:val="20"/>
          <w:lang w:eastAsia="lv-LV"/>
        </w:rPr>
        <w:t xml:space="preserve">Datu avots: </w:t>
      </w:r>
      <w:r w:rsidR="00F434D9">
        <w:rPr>
          <w:rFonts w:ascii="Times New Roman" w:eastAsia="Times New Roman" w:hAnsi="Times New Roman" w:cs="Times New Roman"/>
          <w:iCs/>
          <w:sz w:val="20"/>
          <w:szCs w:val="20"/>
          <w:lang w:eastAsia="lv-LV"/>
        </w:rPr>
        <w:t xml:space="preserve">Eirostat datu bāze, datu kods </w:t>
      </w:r>
      <w:r w:rsidR="00F434D9" w:rsidRPr="00F434D9">
        <w:rPr>
          <w:rFonts w:ascii="Times New Roman" w:eastAsia="Times New Roman" w:hAnsi="Times New Roman" w:cs="Times New Roman"/>
          <w:iCs/>
          <w:sz w:val="20"/>
          <w:szCs w:val="20"/>
          <w:lang w:eastAsia="lv-LV"/>
        </w:rPr>
        <w:t>TESSI120</w:t>
      </w:r>
      <w:r w:rsidR="00F434D9">
        <w:rPr>
          <w:rFonts w:ascii="Times New Roman" w:eastAsia="Times New Roman" w:hAnsi="Times New Roman" w:cs="Times New Roman"/>
          <w:iCs/>
          <w:sz w:val="20"/>
          <w:szCs w:val="20"/>
          <w:lang w:eastAsia="lv-LV"/>
        </w:rPr>
        <w:t xml:space="preserve"> </w:t>
      </w:r>
    </w:p>
    <w:p w14:paraId="345EEDDD" w14:textId="77777777" w:rsidR="00E91408" w:rsidRDefault="00E91408" w:rsidP="0030363D">
      <w:pPr>
        <w:widowControl w:val="0"/>
        <w:autoSpaceDE w:val="0"/>
        <w:autoSpaceDN w:val="0"/>
        <w:adjustRightInd w:val="0"/>
        <w:spacing w:before="120" w:after="0" w:line="240" w:lineRule="auto"/>
        <w:ind w:firstLine="720"/>
        <w:jc w:val="both"/>
        <w:rPr>
          <w:rFonts w:ascii="Times New Roman" w:eastAsiaTheme="minorEastAsia" w:hAnsi="Times New Roman" w:cs="Times New Roman"/>
          <w:sz w:val="24"/>
          <w:szCs w:val="24"/>
          <w:lang w:eastAsia="lv-LV"/>
        </w:rPr>
      </w:pPr>
      <w:r w:rsidRPr="0015154B">
        <w:rPr>
          <w:rFonts w:ascii="Times New Roman" w:eastAsiaTheme="minorEastAsia" w:hAnsi="Times New Roman" w:cs="Times New Roman"/>
          <w:sz w:val="24"/>
          <w:szCs w:val="24"/>
          <w:lang w:eastAsia="lv-LV"/>
        </w:rPr>
        <w:t xml:space="preserve">Pārskata periodā, analizējot nabadzības risku personām darbspējas vecumā (18-64) </w:t>
      </w:r>
      <w:r w:rsidRPr="0015154B">
        <w:rPr>
          <w:rFonts w:ascii="Times New Roman" w:eastAsiaTheme="minorEastAsia" w:hAnsi="Times New Roman" w:cs="Times New Roman"/>
          <w:b/>
          <w:sz w:val="24"/>
          <w:szCs w:val="24"/>
          <w:lang w:eastAsia="lv-LV"/>
        </w:rPr>
        <w:t>dzimumu sadalījumā,</w:t>
      </w:r>
      <w:r w:rsidRPr="0015154B">
        <w:rPr>
          <w:rFonts w:ascii="Times New Roman" w:eastAsiaTheme="minorEastAsia" w:hAnsi="Times New Roman" w:cs="Times New Roman"/>
          <w:sz w:val="24"/>
          <w:szCs w:val="24"/>
          <w:lang w:eastAsia="lv-LV"/>
        </w:rPr>
        <w:t xml:space="preserve"> atšķirības starp sieviešu un vīriešu nabadzības riska līmeni ir praktiski </w:t>
      </w:r>
      <w:r w:rsidRPr="0015154B">
        <w:rPr>
          <w:rFonts w:ascii="Times New Roman" w:eastAsiaTheme="minorEastAsia" w:hAnsi="Times New Roman" w:cs="Times New Roman"/>
          <w:sz w:val="24"/>
          <w:szCs w:val="24"/>
          <w:lang w:eastAsia="lv-LV"/>
        </w:rPr>
        <w:lastRenderedPageBreak/>
        <w:t>izlīdzinājušās. Neskatoties uz tendenci starpībai pakāpeniski samazināties, pensijas vecuma personu (65+) vidū nabadzības risks sievietēm vienmēr ir bijis augstāks nekā vīriešiem: šajā vecuma grupā nabadzības riska indekss sievietēm 2019.gadā sasniedza 51,0%, bet vīriešiem – 41,8%.</w:t>
      </w:r>
      <w:r w:rsidRPr="007157D3">
        <w:rPr>
          <w:rStyle w:val="FootnoteReference"/>
          <w:rFonts w:ascii="Times New Roman" w:eastAsiaTheme="minorEastAsia" w:hAnsi="Times New Roman" w:cs="Times New Roman"/>
          <w:sz w:val="24"/>
          <w:szCs w:val="24"/>
          <w:lang w:eastAsia="lv-LV"/>
        </w:rPr>
        <w:footnoteReference w:id="10"/>
      </w:r>
      <w:r w:rsidRPr="007157D3">
        <w:rPr>
          <w:rFonts w:ascii="Times New Roman" w:eastAsiaTheme="minorEastAsia" w:hAnsi="Times New Roman" w:cs="Times New Roman"/>
          <w:sz w:val="24"/>
          <w:szCs w:val="24"/>
          <w:lang w:eastAsia="lv-LV"/>
        </w:rPr>
        <w:t xml:space="preserve"> </w:t>
      </w:r>
    </w:p>
    <w:p w14:paraId="36ED90AF" w14:textId="4C820DF9" w:rsidR="00200837" w:rsidRPr="002F5278" w:rsidRDefault="00200837" w:rsidP="0030363D">
      <w:pPr>
        <w:widowControl w:val="0"/>
        <w:autoSpaceDE w:val="0"/>
        <w:autoSpaceDN w:val="0"/>
        <w:adjustRightInd w:val="0"/>
        <w:spacing w:before="120" w:after="0" w:line="240" w:lineRule="auto"/>
        <w:ind w:firstLine="720"/>
        <w:jc w:val="both"/>
        <w:rPr>
          <w:rFonts w:ascii="Times New Roman" w:eastAsia="Times New Roman" w:hAnsi="Times New Roman" w:cs="Times New Roman"/>
          <w:iCs/>
          <w:sz w:val="24"/>
          <w:szCs w:val="24"/>
          <w:lang w:eastAsia="lv-LV"/>
        </w:rPr>
      </w:pPr>
      <w:r w:rsidRPr="0025422D">
        <w:rPr>
          <w:rFonts w:ascii="Times New Roman" w:eastAsia="Times New Roman" w:hAnsi="Times New Roman" w:cs="Times New Roman"/>
          <w:iCs/>
          <w:sz w:val="24"/>
          <w:szCs w:val="24"/>
          <w:lang w:eastAsia="lv-LV"/>
        </w:rPr>
        <w:t xml:space="preserve">Pēc </w:t>
      </w:r>
      <w:r w:rsidRPr="00A857F2">
        <w:rPr>
          <w:rFonts w:ascii="Times New Roman" w:eastAsia="Times New Roman" w:hAnsi="Times New Roman" w:cs="Times New Roman"/>
          <w:b/>
          <w:iCs/>
          <w:sz w:val="24"/>
          <w:szCs w:val="24"/>
          <w:lang w:eastAsia="lv-LV"/>
        </w:rPr>
        <w:t>mājsaimniecības tipa</w:t>
      </w:r>
      <w:r w:rsidRPr="00A857F2">
        <w:rPr>
          <w:rFonts w:ascii="Times New Roman" w:eastAsia="Times New Roman" w:hAnsi="Times New Roman" w:cs="Times New Roman"/>
          <w:iCs/>
          <w:sz w:val="24"/>
          <w:szCs w:val="24"/>
          <w:lang w:eastAsia="lv-LV"/>
        </w:rPr>
        <w:t xml:space="preserve"> visaugstākais nabadzības risks ir vienas personas mā</w:t>
      </w:r>
      <w:r w:rsidRPr="009703E6">
        <w:rPr>
          <w:rFonts w:ascii="Times New Roman" w:eastAsia="Times New Roman" w:hAnsi="Times New Roman" w:cs="Times New Roman"/>
          <w:iCs/>
          <w:sz w:val="24"/>
          <w:szCs w:val="24"/>
          <w:lang w:eastAsia="lv-LV"/>
        </w:rPr>
        <w:t>jsaimniecībām vecumā virs 65 gadiem (201</w:t>
      </w:r>
      <w:r w:rsidR="001C64ED" w:rsidRPr="009703E6">
        <w:rPr>
          <w:rFonts w:ascii="Times New Roman" w:eastAsia="Times New Roman" w:hAnsi="Times New Roman" w:cs="Times New Roman"/>
          <w:iCs/>
          <w:sz w:val="24"/>
          <w:szCs w:val="24"/>
          <w:lang w:eastAsia="lv-LV"/>
        </w:rPr>
        <w:t>9</w:t>
      </w:r>
      <w:r w:rsidRPr="0015154B">
        <w:rPr>
          <w:rFonts w:ascii="Times New Roman" w:eastAsia="Times New Roman" w:hAnsi="Times New Roman" w:cs="Times New Roman"/>
          <w:iCs/>
          <w:sz w:val="24"/>
          <w:szCs w:val="24"/>
          <w:lang w:eastAsia="lv-LV"/>
        </w:rPr>
        <w:t>.gadā – 74,</w:t>
      </w:r>
      <w:r w:rsidR="001C64ED" w:rsidRPr="0015154B">
        <w:rPr>
          <w:rFonts w:ascii="Times New Roman" w:eastAsia="Times New Roman" w:hAnsi="Times New Roman" w:cs="Times New Roman"/>
          <w:iCs/>
          <w:sz w:val="24"/>
          <w:szCs w:val="24"/>
          <w:lang w:eastAsia="lv-LV"/>
        </w:rPr>
        <w:t>9</w:t>
      </w:r>
      <w:r w:rsidRPr="0015154B">
        <w:rPr>
          <w:rFonts w:ascii="Times New Roman" w:eastAsia="Times New Roman" w:hAnsi="Times New Roman" w:cs="Times New Roman"/>
          <w:iCs/>
          <w:sz w:val="24"/>
          <w:szCs w:val="24"/>
          <w:lang w:eastAsia="lv-LV"/>
        </w:rPr>
        <w:t>%) un sievietēm, kuras dzīvo vienas (201</w:t>
      </w:r>
      <w:r w:rsidR="001C64ED" w:rsidRPr="0015154B">
        <w:rPr>
          <w:rFonts w:ascii="Times New Roman" w:eastAsia="Times New Roman" w:hAnsi="Times New Roman" w:cs="Times New Roman"/>
          <w:iCs/>
          <w:sz w:val="24"/>
          <w:szCs w:val="24"/>
          <w:lang w:eastAsia="lv-LV"/>
        </w:rPr>
        <w:t>9</w:t>
      </w:r>
      <w:r w:rsidRPr="0015154B">
        <w:rPr>
          <w:rFonts w:ascii="Times New Roman" w:eastAsia="Times New Roman" w:hAnsi="Times New Roman" w:cs="Times New Roman"/>
          <w:iCs/>
          <w:sz w:val="24"/>
          <w:szCs w:val="24"/>
          <w:lang w:eastAsia="lv-LV"/>
        </w:rPr>
        <w:t xml:space="preserve">.gadā – 56,5%). </w:t>
      </w:r>
      <w:r w:rsidR="001C64ED" w:rsidRPr="0015154B">
        <w:rPr>
          <w:rFonts w:ascii="Times New Roman" w:eastAsia="Times New Roman" w:hAnsi="Times New Roman" w:cs="Times New Roman"/>
          <w:iCs/>
          <w:sz w:val="24"/>
          <w:szCs w:val="24"/>
          <w:lang w:eastAsia="lv-LV"/>
        </w:rPr>
        <w:t xml:space="preserve">Analoga tendence ir vērojama arī pārējās Baltijas valstīs. </w:t>
      </w:r>
      <w:r w:rsidRPr="0015154B">
        <w:rPr>
          <w:rFonts w:ascii="Times New Roman" w:eastAsia="Times New Roman" w:hAnsi="Times New Roman" w:cs="Times New Roman"/>
          <w:iCs/>
          <w:sz w:val="24"/>
          <w:szCs w:val="24"/>
          <w:lang w:eastAsia="lv-LV"/>
        </w:rPr>
        <w:t>Mājsaimniecībās ar apgādībā esošiem bērniem salīdzinājumā ar mājsaimniecībām bez apgādībā esošiem bērniem nabadzības risks ir zemāks (attiecīgi 14,3% un 31,3% 201</w:t>
      </w:r>
      <w:r w:rsidR="001C64ED" w:rsidRPr="0015154B">
        <w:rPr>
          <w:rFonts w:ascii="Times New Roman" w:eastAsia="Times New Roman" w:hAnsi="Times New Roman" w:cs="Times New Roman"/>
          <w:iCs/>
          <w:sz w:val="24"/>
          <w:szCs w:val="24"/>
          <w:lang w:eastAsia="lv-LV"/>
        </w:rPr>
        <w:t>9</w:t>
      </w:r>
      <w:r w:rsidRPr="0015154B">
        <w:rPr>
          <w:rFonts w:ascii="Times New Roman" w:eastAsia="Times New Roman" w:hAnsi="Times New Roman" w:cs="Times New Roman"/>
          <w:iCs/>
          <w:sz w:val="24"/>
          <w:szCs w:val="24"/>
          <w:lang w:eastAsia="lv-LV"/>
        </w:rPr>
        <w:t>.gadā), turklāt atšķirība turpina palielināties. Pārskata periodā nabadzības risks ir samazinājies gandrīz visās mājsaimniecībās ar apgādībā esošiem bērniem, izņemot ģimenēs ar diviem pieaugušajiem un vienu apgādībā esošu bērnu. Pozitīvi vērtējams, ka nabadzības risks daudzbērnu ģimenēs un nepilnajās ģimenēs pārskata periodā ir samazinājies būtiski.</w:t>
      </w:r>
      <w:r w:rsidRPr="007157D3">
        <w:rPr>
          <w:rStyle w:val="FootnoteReference"/>
          <w:rFonts w:ascii="Times New Roman" w:eastAsia="Times New Roman" w:hAnsi="Times New Roman" w:cs="Times New Roman"/>
          <w:iCs/>
          <w:sz w:val="24"/>
          <w:szCs w:val="24"/>
          <w:lang w:eastAsia="lv-LV"/>
        </w:rPr>
        <w:footnoteReference w:id="11"/>
      </w:r>
      <w:r w:rsidRPr="007157D3">
        <w:rPr>
          <w:rFonts w:ascii="Times New Roman" w:eastAsia="Times New Roman" w:hAnsi="Times New Roman" w:cs="Times New Roman"/>
          <w:iCs/>
          <w:sz w:val="24"/>
          <w:szCs w:val="24"/>
          <w:lang w:eastAsia="lv-LV"/>
        </w:rPr>
        <w:t xml:space="preserve"> </w:t>
      </w:r>
    </w:p>
    <w:p w14:paraId="52D44BBC" w14:textId="2323D4FE" w:rsidR="00200837" w:rsidRPr="0015154B" w:rsidRDefault="00200837" w:rsidP="0030363D">
      <w:pPr>
        <w:spacing w:before="120" w:after="0" w:line="240" w:lineRule="auto"/>
        <w:ind w:firstLine="720"/>
        <w:jc w:val="both"/>
        <w:textAlignment w:val="baseline"/>
        <w:rPr>
          <w:rFonts w:ascii="Times New Roman" w:hAnsi="Times New Roman"/>
          <w:sz w:val="24"/>
          <w:szCs w:val="24"/>
        </w:rPr>
      </w:pPr>
      <w:r w:rsidRPr="002F5278">
        <w:rPr>
          <w:rFonts w:ascii="Times New Roman" w:eastAsia="Times New Roman" w:hAnsi="Times New Roman" w:cs="Times New Roman"/>
          <w:b/>
          <w:iCs/>
          <w:sz w:val="24"/>
          <w:szCs w:val="24"/>
          <w:lang w:eastAsia="lv-LV"/>
        </w:rPr>
        <w:t>Ekonomiskā aktivitāte</w:t>
      </w:r>
      <w:r w:rsidRPr="0025422D">
        <w:rPr>
          <w:rFonts w:ascii="Times New Roman" w:eastAsia="Times New Roman" w:hAnsi="Times New Roman" w:cs="Times New Roman"/>
          <w:iCs/>
          <w:sz w:val="24"/>
          <w:szCs w:val="24"/>
          <w:lang w:eastAsia="lv-LV"/>
        </w:rPr>
        <w:t xml:space="preserve"> pozitīvi ietekmē nabadzības riska samazināšanos. Vismazāk nabadzīb</w:t>
      </w:r>
      <w:r w:rsidRPr="00A857F2">
        <w:rPr>
          <w:rFonts w:ascii="Times New Roman" w:eastAsia="Times New Roman" w:hAnsi="Times New Roman" w:cs="Times New Roman"/>
          <w:iCs/>
          <w:sz w:val="24"/>
          <w:szCs w:val="24"/>
          <w:lang w:eastAsia="lv-LV"/>
        </w:rPr>
        <w:t>as riskam pakļauto bija strādājošo iedzīvotāju vidū. Savukārt ievērojami vairāk nabadzības riskam bija pakļauti bezdarbnieki. Nodarbināto sieviešu nabadzības risks pēdējos gados pārsniedz nodarbināto vīriešu nabadzības risku, savukārt bezdarbnieku un</w:t>
      </w:r>
      <w:r w:rsidRPr="009703E6">
        <w:rPr>
          <w:rFonts w:ascii="Times New Roman" w:eastAsia="Times New Roman" w:hAnsi="Times New Roman" w:cs="Times New Roman"/>
          <w:iCs/>
          <w:sz w:val="24"/>
          <w:szCs w:val="24"/>
          <w:lang w:eastAsia="lv-LV"/>
        </w:rPr>
        <w:t xml:space="preserve"> citu neaktīvo vidū nabadzības risks vīriešiem nemainīgi ir augstāks nekā sievietēm (</w:t>
      </w:r>
      <w:r w:rsidRPr="009703E6">
        <w:rPr>
          <w:rFonts w:ascii="Times New Roman" w:eastAsia="Times New Roman" w:hAnsi="Times New Roman" w:cs="Times New Roman"/>
          <w:iCs/>
          <w:sz w:val="24"/>
          <w:szCs w:val="24"/>
          <w:highlight w:val="yellow"/>
          <w:lang w:eastAsia="lv-LV"/>
        </w:rPr>
        <w:t>skat</w:t>
      </w:r>
      <w:r w:rsidR="008F021B" w:rsidRPr="0015154B">
        <w:rPr>
          <w:rFonts w:ascii="Times New Roman" w:eastAsia="Times New Roman" w:hAnsi="Times New Roman" w:cs="Times New Roman"/>
          <w:iCs/>
          <w:sz w:val="24"/>
          <w:szCs w:val="24"/>
          <w:highlight w:val="yellow"/>
          <w:lang w:eastAsia="lv-LV"/>
        </w:rPr>
        <w:t>. 2.</w:t>
      </w:r>
      <w:r w:rsidRPr="0015154B">
        <w:rPr>
          <w:rFonts w:ascii="Times New Roman" w:eastAsia="Times New Roman" w:hAnsi="Times New Roman" w:cs="Times New Roman"/>
          <w:iCs/>
          <w:sz w:val="24"/>
          <w:szCs w:val="24"/>
          <w:highlight w:val="yellow"/>
          <w:lang w:eastAsia="lv-LV"/>
        </w:rPr>
        <w:t>tabulu</w:t>
      </w:r>
      <w:r w:rsidRPr="0015154B">
        <w:rPr>
          <w:rFonts w:ascii="Times New Roman" w:eastAsia="Times New Roman" w:hAnsi="Times New Roman" w:cs="Times New Roman"/>
          <w:iCs/>
          <w:sz w:val="24"/>
          <w:szCs w:val="24"/>
          <w:lang w:eastAsia="lv-LV"/>
        </w:rPr>
        <w:t xml:space="preserve">). </w:t>
      </w:r>
    </w:p>
    <w:p w14:paraId="356A540C" w14:textId="77777777" w:rsidR="00200837" w:rsidRPr="0015154B" w:rsidRDefault="00200837" w:rsidP="00200837">
      <w:pPr>
        <w:widowControl w:val="0"/>
        <w:autoSpaceDE w:val="0"/>
        <w:autoSpaceDN w:val="0"/>
        <w:adjustRightInd w:val="0"/>
        <w:spacing w:after="0" w:line="240" w:lineRule="auto"/>
        <w:ind w:firstLine="720"/>
        <w:jc w:val="both"/>
        <w:rPr>
          <w:rFonts w:ascii="Times New Roman" w:eastAsia="Times New Roman" w:hAnsi="Times New Roman" w:cs="Times New Roman"/>
          <w:iCs/>
          <w:sz w:val="24"/>
          <w:szCs w:val="24"/>
          <w:highlight w:val="yellow"/>
          <w:lang w:eastAsia="lv-LV"/>
        </w:rPr>
      </w:pPr>
    </w:p>
    <w:p w14:paraId="4B2727A7" w14:textId="1DCAE9CF" w:rsidR="00200837" w:rsidRPr="0015154B" w:rsidRDefault="008F021B" w:rsidP="008F021B">
      <w:pPr>
        <w:widowControl w:val="0"/>
        <w:autoSpaceDE w:val="0"/>
        <w:autoSpaceDN w:val="0"/>
        <w:adjustRightInd w:val="0"/>
        <w:spacing w:after="0" w:line="240" w:lineRule="auto"/>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w:t>
      </w:r>
      <w:r w:rsidR="00200837" w:rsidRPr="0015154B">
        <w:rPr>
          <w:rFonts w:ascii="Times New Roman" w:eastAsia="Times New Roman" w:hAnsi="Times New Roman" w:cs="Times New Roman"/>
          <w:iCs/>
          <w:sz w:val="24"/>
          <w:szCs w:val="24"/>
          <w:lang w:eastAsia="lv-LV"/>
        </w:rPr>
        <w:t>.tabula</w:t>
      </w:r>
    </w:p>
    <w:p w14:paraId="3828FC99" w14:textId="77777777" w:rsidR="00200837" w:rsidRPr="0015154B" w:rsidRDefault="00200837" w:rsidP="00200837">
      <w:pPr>
        <w:widowControl w:val="0"/>
        <w:autoSpaceDE w:val="0"/>
        <w:autoSpaceDN w:val="0"/>
        <w:adjustRightInd w:val="0"/>
        <w:spacing w:after="0" w:line="240" w:lineRule="auto"/>
        <w:jc w:val="center"/>
        <w:rPr>
          <w:rFonts w:ascii="Times New Roman" w:eastAsia="Times New Roman" w:hAnsi="Times New Roman" w:cs="Times New Roman"/>
          <w:b/>
          <w:iCs/>
          <w:color w:val="002060"/>
          <w:sz w:val="24"/>
          <w:szCs w:val="24"/>
          <w:lang w:eastAsia="lv-LV"/>
        </w:rPr>
      </w:pPr>
      <w:r w:rsidRPr="0015154B">
        <w:rPr>
          <w:rFonts w:ascii="Times New Roman" w:eastAsia="Times New Roman" w:hAnsi="Times New Roman" w:cs="Times New Roman"/>
          <w:b/>
          <w:iCs/>
          <w:color w:val="002060"/>
          <w:sz w:val="24"/>
          <w:szCs w:val="24"/>
          <w:lang w:eastAsia="lv-LV"/>
        </w:rPr>
        <w:t>Nabadzības riska indekss pēc pamatnodarbošanās statusa (%)</w:t>
      </w:r>
    </w:p>
    <w:p w14:paraId="176F45A3" w14:textId="77777777" w:rsidR="00200837" w:rsidRPr="0015154B" w:rsidRDefault="00200837" w:rsidP="00200837">
      <w:pPr>
        <w:widowControl w:val="0"/>
        <w:autoSpaceDE w:val="0"/>
        <w:autoSpaceDN w:val="0"/>
        <w:adjustRightInd w:val="0"/>
        <w:spacing w:after="0" w:line="240" w:lineRule="auto"/>
        <w:jc w:val="center"/>
        <w:rPr>
          <w:rFonts w:ascii="Times New Roman" w:eastAsia="Times New Roman" w:hAnsi="Times New Roman" w:cs="Times New Roman"/>
          <w:b/>
          <w:i/>
          <w:iCs/>
          <w:sz w:val="24"/>
          <w:szCs w:val="24"/>
          <w:lang w:eastAsia="lv-LV"/>
        </w:rPr>
      </w:pPr>
    </w:p>
    <w:tbl>
      <w:tblPr>
        <w:tblStyle w:val="GridTable3-Accent2"/>
        <w:tblW w:w="0" w:type="auto"/>
        <w:tblLook w:val="04A0" w:firstRow="1" w:lastRow="0" w:firstColumn="1" w:lastColumn="0" w:noHBand="0" w:noVBand="1"/>
      </w:tblPr>
      <w:tblGrid>
        <w:gridCol w:w="2310"/>
        <w:gridCol w:w="1449"/>
        <w:gridCol w:w="1563"/>
        <w:gridCol w:w="1499"/>
        <w:gridCol w:w="1568"/>
      </w:tblGrid>
      <w:tr w:rsidR="00C62E4E" w:rsidRPr="0015154B" w14:paraId="59ABD15F" w14:textId="77777777" w:rsidTr="0058534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10" w:type="dxa"/>
          </w:tcPr>
          <w:p w14:paraId="22CF3FB4" w14:textId="77777777" w:rsidR="00200837" w:rsidRPr="0015154B" w:rsidRDefault="00200837" w:rsidP="0026365F">
            <w:pPr>
              <w:widowControl w:val="0"/>
              <w:autoSpaceDE w:val="0"/>
              <w:autoSpaceDN w:val="0"/>
              <w:adjustRightInd w:val="0"/>
              <w:jc w:val="center"/>
              <w:rPr>
                <w:rFonts w:ascii="Times New Roman" w:eastAsia="Times New Roman" w:hAnsi="Times New Roman" w:cs="Times New Roman"/>
                <w:b w:val="0"/>
                <w:iCs w:val="0"/>
                <w:color w:val="002060"/>
                <w:sz w:val="24"/>
                <w:szCs w:val="24"/>
                <w:lang w:eastAsia="lv-LV"/>
              </w:rPr>
            </w:pPr>
            <w:r w:rsidRPr="0015154B">
              <w:rPr>
                <w:rFonts w:ascii="Times New Roman" w:eastAsia="Times New Roman" w:hAnsi="Times New Roman" w:cs="Times New Roman"/>
                <w:b w:val="0"/>
                <w:iCs w:val="0"/>
                <w:color w:val="002060"/>
                <w:sz w:val="24"/>
                <w:szCs w:val="24"/>
                <w:lang w:eastAsia="lv-LV"/>
              </w:rPr>
              <w:t>Pamatnodarbošanās statuss</w:t>
            </w:r>
          </w:p>
        </w:tc>
        <w:tc>
          <w:tcPr>
            <w:tcW w:w="1449" w:type="dxa"/>
          </w:tcPr>
          <w:p w14:paraId="03CBACCB" w14:textId="77777777" w:rsidR="00200837" w:rsidRPr="0015154B" w:rsidRDefault="00200837" w:rsidP="0026365F">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color w:val="002060"/>
                <w:sz w:val="24"/>
                <w:szCs w:val="24"/>
                <w:lang w:eastAsia="lv-LV"/>
              </w:rPr>
            </w:pPr>
            <w:r w:rsidRPr="0015154B">
              <w:rPr>
                <w:rFonts w:ascii="Times New Roman" w:eastAsia="Times New Roman" w:hAnsi="Times New Roman" w:cs="Times New Roman"/>
                <w:b w:val="0"/>
                <w:iCs/>
                <w:color w:val="002060"/>
                <w:sz w:val="24"/>
                <w:szCs w:val="24"/>
                <w:lang w:eastAsia="lv-LV"/>
              </w:rPr>
              <w:t>Gads</w:t>
            </w:r>
          </w:p>
        </w:tc>
        <w:tc>
          <w:tcPr>
            <w:tcW w:w="1563" w:type="dxa"/>
          </w:tcPr>
          <w:p w14:paraId="37B09767" w14:textId="77777777" w:rsidR="00200837" w:rsidRPr="0015154B" w:rsidRDefault="00200837" w:rsidP="0026365F">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color w:val="002060"/>
                <w:sz w:val="24"/>
                <w:szCs w:val="24"/>
                <w:lang w:eastAsia="lv-LV"/>
              </w:rPr>
            </w:pPr>
            <w:r w:rsidRPr="0015154B">
              <w:rPr>
                <w:rFonts w:ascii="Times New Roman" w:eastAsia="Times New Roman" w:hAnsi="Times New Roman" w:cs="Times New Roman"/>
                <w:b w:val="0"/>
                <w:iCs/>
                <w:color w:val="002060"/>
                <w:sz w:val="24"/>
                <w:szCs w:val="24"/>
                <w:lang w:eastAsia="lv-LV"/>
              </w:rPr>
              <w:t>Pavisam</w:t>
            </w:r>
          </w:p>
        </w:tc>
        <w:tc>
          <w:tcPr>
            <w:tcW w:w="1499" w:type="dxa"/>
          </w:tcPr>
          <w:p w14:paraId="0CAD11FA" w14:textId="77777777" w:rsidR="00200837" w:rsidRPr="0015154B" w:rsidRDefault="00200837" w:rsidP="0026365F">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color w:val="002060"/>
                <w:sz w:val="24"/>
                <w:szCs w:val="24"/>
                <w:lang w:eastAsia="lv-LV"/>
              </w:rPr>
            </w:pPr>
            <w:r w:rsidRPr="0015154B">
              <w:rPr>
                <w:rFonts w:ascii="Times New Roman" w:eastAsia="Times New Roman" w:hAnsi="Times New Roman" w:cs="Times New Roman"/>
                <w:b w:val="0"/>
                <w:iCs/>
                <w:color w:val="002060"/>
                <w:sz w:val="24"/>
                <w:szCs w:val="24"/>
                <w:lang w:eastAsia="lv-LV"/>
              </w:rPr>
              <w:t>Vīrieši</w:t>
            </w:r>
          </w:p>
        </w:tc>
        <w:tc>
          <w:tcPr>
            <w:tcW w:w="1568" w:type="dxa"/>
          </w:tcPr>
          <w:p w14:paraId="66976934" w14:textId="77777777" w:rsidR="00200837" w:rsidRPr="0015154B" w:rsidRDefault="00200837" w:rsidP="0026365F">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Cs/>
                <w:color w:val="002060"/>
                <w:sz w:val="24"/>
                <w:szCs w:val="24"/>
                <w:lang w:eastAsia="lv-LV"/>
              </w:rPr>
            </w:pPr>
            <w:r w:rsidRPr="0015154B">
              <w:rPr>
                <w:rFonts w:ascii="Times New Roman" w:eastAsia="Times New Roman" w:hAnsi="Times New Roman" w:cs="Times New Roman"/>
                <w:b w:val="0"/>
                <w:iCs/>
                <w:color w:val="002060"/>
                <w:sz w:val="24"/>
                <w:szCs w:val="24"/>
                <w:lang w:eastAsia="lv-LV"/>
              </w:rPr>
              <w:t>Sievietes</w:t>
            </w:r>
          </w:p>
        </w:tc>
      </w:tr>
      <w:tr w:rsidR="00C62E4E" w:rsidRPr="0015154B" w14:paraId="5DED3B43" w14:textId="77777777" w:rsidTr="0058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Merge w:val="restart"/>
          </w:tcPr>
          <w:p w14:paraId="2F8C0F6A"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b/>
                <w:i w:val="0"/>
                <w:iCs w:val="0"/>
                <w:color w:val="002060"/>
                <w:sz w:val="24"/>
                <w:szCs w:val="24"/>
                <w:lang w:eastAsia="lv-LV"/>
              </w:rPr>
            </w:pPr>
            <w:r w:rsidRPr="0015154B">
              <w:rPr>
                <w:rFonts w:ascii="Times New Roman" w:eastAsia="Times New Roman" w:hAnsi="Times New Roman" w:cs="Times New Roman"/>
                <w:b/>
                <w:i w:val="0"/>
                <w:iCs w:val="0"/>
                <w:color w:val="002060"/>
                <w:sz w:val="24"/>
                <w:szCs w:val="24"/>
                <w:lang w:eastAsia="lv-LV"/>
              </w:rPr>
              <w:t>Nodarbinātie</w:t>
            </w:r>
          </w:p>
        </w:tc>
        <w:tc>
          <w:tcPr>
            <w:tcW w:w="1449" w:type="dxa"/>
          </w:tcPr>
          <w:p w14:paraId="2B38308C"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2014</w:t>
            </w:r>
          </w:p>
        </w:tc>
        <w:tc>
          <w:tcPr>
            <w:tcW w:w="1563" w:type="dxa"/>
          </w:tcPr>
          <w:p w14:paraId="25AB38F0"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9,2</w:t>
            </w:r>
          </w:p>
        </w:tc>
        <w:tc>
          <w:tcPr>
            <w:tcW w:w="1499" w:type="dxa"/>
          </w:tcPr>
          <w:p w14:paraId="34B40D01"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9,0</w:t>
            </w:r>
          </w:p>
        </w:tc>
        <w:tc>
          <w:tcPr>
            <w:tcW w:w="1568" w:type="dxa"/>
          </w:tcPr>
          <w:p w14:paraId="7A63B394"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9,5</w:t>
            </w:r>
          </w:p>
        </w:tc>
      </w:tr>
      <w:tr w:rsidR="00C62E4E" w:rsidRPr="0015154B" w14:paraId="69ACA4C0" w14:textId="77777777" w:rsidTr="00585345">
        <w:tc>
          <w:tcPr>
            <w:cnfStyle w:val="001000000000" w:firstRow="0" w:lastRow="0" w:firstColumn="1" w:lastColumn="0" w:oddVBand="0" w:evenVBand="0" w:oddHBand="0" w:evenHBand="0" w:firstRowFirstColumn="0" w:firstRowLastColumn="0" w:lastRowFirstColumn="0" w:lastRowLastColumn="0"/>
            <w:tcW w:w="2310" w:type="dxa"/>
            <w:vMerge/>
          </w:tcPr>
          <w:p w14:paraId="710754F9"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color w:val="002060"/>
                <w:sz w:val="24"/>
                <w:szCs w:val="24"/>
                <w:lang w:eastAsia="lv-LV"/>
              </w:rPr>
            </w:pPr>
          </w:p>
        </w:tc>
        <w:tc>
          <w:tcPr>
            <w:tcW w:w="1449" w:type="dxa"/>
          </w:tcPr>
          <w:p w14:paraId="4153DA47"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2015</w:t>
            </w:r>
          </w:p>
        </w:tc>
        <w:tc>
          <w:tcPr>
            <w:tcW w:w="1563" w:type="dxa"/>
          </w:tcPr>
          <w:p w14:paraId="48E9BF84"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8,3</w:t>
            </w:r>
          </w:p>
        </w:tc>
        <w:tc>
          <w:tcPr>
            <w:tcW w:w="1499" w:type="dxa"/>
          </w:tcPr>
          <w:p w14:paraId="4A65101B"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8,4</w:t>
            </w:r>
          </w:p>
        </w:tc>
        <w:tc>
          <w:tcPr>
            <w:tcW w:w="1568" w:type="dxa"/>
          </w:tcPr>
          <w:p w14:paraId="2227BDE4"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8,2</w:t>
            </w:r>
          </w:p>
        </w:tc>
      </w:tr>
      <w:tr w:rsidR="00C62E4E" w:rsidRPr="0015154B" w14:paraId="0045E554" w14:textId="77777777" w:rsidTr="0058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Merge/>
          </w:tcPr>
          <w:p w14:paraId="1F393A2F"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color w:val="002060"/>
                <w:sz w:val="24"/>
                <w:szCs w:val="24"/>
                <w:lang w:eastAsia="lv-LV"/>
              </w:rPr>
            </w:pPr>
          </w:p>
        </w:tc>
        <w:tc>
          <w:tcPr>
            <w:tcW w:w="1449" w:type="dxa"/>
          </w:tcPr>
          <w:p w14:paraId="7179EE25"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2016</w:t>
            </w:r>
          </w:p>
        </w:tc>
        <w:tc>
          <w:tcPr>
            <w:tcW w:w="1563" w:type="dxa"/>
          </w:tcPr>
          <w:p w14:paraId="6DB1EFCF"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8,8</w:t>
            </w:r>
          </w:p>
        </w:tc>
        <w:tc>
          <w:tcPr>
            <w:tcW w:w="1499" w:type="dxa"/>
          </w:tcPr>
          <w:p w14:paraId="5E49C777"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8,2</w:t>
            </w:r>
          </w:p>
        </w:tc>
        <w:tc>
          <w:tcPr>
            <w:tcW w:w="1568" w:type="dxa"/>
          </w:tcPr>
          <w:p w14:paraId="4F761664"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9,4</w:t>
            </w:r>
          </w:p>
        </w:tc>
      </w:tr>
      <w:tr w:rsidR="00C62E4E" w:rsidRPr="0015154B" w14:paraId="7AE9412A" w14:textId="77777777" w:rsidTr="00585345">
        <w:tc>
          <w:tcPr>
            <w:cnfStyle w:val="001000000000" w:firstRow="0" w:lastRow="0" w:firstColumn="1" w:lastColumn="0" w:oddVBand="0" w:evenVBand="0" w:oddHBand="0" w:evenHBand="0" w:firstRowFirstColumn="0" w:firstRowLastColumn="0" w:lastRowFirstColumn="0" w:lastRowLastColumn="0"/>
            <w:tcW w:w="2310" w:type="dxa"/>
            <w:vMerge/>
          </w:tcPr>
          <w:p w14:paraId="147B89AE"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color w:val="002060"/>
                <w:sz w:val="24"/>
                <w:szCs w:val="24"/>
                <w:lang w:eastAsia="lv-LV"/>
              </w:rPr>
            </w:pPr>
          </w:p>
        </w:tc>
        <w:tc>
          <w:tcPr>
            <w:tcW w:w="1449" w:type="dxa"/>
            <w:tcBorders>
              <w:bottom w:val="single" w:sz="4" w:space="0" w:color="BADB7D" w:themeColor="accent2" w:themeTint="99"/>
            </w:tcBorders>
          </w:tcPr>
          <w:p w14:paraId="625D9A99"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2017</w:t>
            </w:r>
          </w:p>
        </w:tc>
        <w:tc>
          <w:tcPr>
            <w:tcW w:w="1563" w:type="dxa"/>
            <w:tcBorders>
              <w:bottom w:val="single" w:sz="4" w:space="0" w:color="BADB7D" w:themeColor="accent2" w:themeTint="99"/>
            </w:tcBorders>
          </w:tcPr>
          <w:p w14:paraId="3C00C53E"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8,1</w:t>
            </w:r>
          </w:p>
        </w:tc>
        <w:tc>
          <w:tcPr>
            <w:tcW w:w="1499" w:type="dxa"/>
            <w:tcBorders>
              <w:bottom w:val="single" w:sz="4" w:space="0" w:color="BADB7D" w:themeColor="accent2" w:themeTint="99"/>
            </w:tcBorders>
          </w:tcPr>
          <w:p w14:paraId="049BA987"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7,6</w:t>
            </w:r>
          </w:p>
        </w:tc>
        <w:tc>
          <w:tcPr>
            <w:tcW w:w="1568" w:type="dxa"/>
            <w:tcBorders>
              <w:bottom w:val="single" w:sz="4" w:space="0" w:color="BADB7D" w:themeColor="accent2" w:themeTint="99"/>
            </w:tcBorders>
          </w:tcPr>
          <w:p w14:paraId="62C356E4"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8,5</w:t>
            </w:r>
          </w:p>
        </w:tc>
      </w:tr>
      <w:tr w:rsidR="00C62E4E" w:rsidRPr="0015154B" w14:paraId="093F2699" w14:textId="77777777" w:rsidTr="0058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Merge/>
          </w:tcPr>
          <w:p w14:paraId="6175EE61"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color w:val="002060"/>
                <w:sz w:val="24"/>
                <w:szCs w:val="24"/>
                <w:lang w:eastAsia="lv-LV"/>
              </w:rPr>
            </w:pPr>
          </w:p>
        </w:tc>
        <w:tc>
          <w:tcPr>
            <w:tcW w:w="1449" w:type="dxa"/>
            <w:tcBorders>
              <w:bottom w:val="single" w:sz="4" w:space="0" w:color="auto"/>
            </w:tcBorders>
          </w:tcPr>
          <w:p w14:paraId="0446DE7A"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2018</w:t>
            </w:r>
          </w:p>
        </w:tc>
        <w:tc>
          <w:tcPr>
            <w:tcW w:w="1563" w:type="dxa"/>
            <w:tcBorders>
              <w:bottom w:val="single" w:sz="4" w:space="0" w:color="auto"/>
            </w:tcBorders>
          </w:tcPr>
          <w:p w14:paraId="2DD19CA1"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8,5</w:t>
            </w:r>
          </w:p>
        </w:tc>
        <w:tc>
          <w:tcPr>
            <w:tcW w:w="1499" w:type="dxa"/>
            <w:tcBorders>
              <w:bottom w:val="single" w:sz="4" w:space="0" w:color="auto"/>
            </w:tcBorders>
          </w:tcPr>
          <w:p w14:paraId="5D7289B4"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8,1</w:t>
            </w:r>
          </w:p>
        </w:tc>
        <w:tc>
          <w:tcPr>
            <w:tcW w:w="1568" w:type="dxa"/>
            <w:tcBorders>
              <w:bottom w:val="single" w:sz="4" w:space="0" w:color="auto"/>
            </w:tcBorders>
          </w:tcPr>
          <w:p w14:paraId="0E19A798"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8,8</w:t>
            </w:r>
          </w:p>
        </w:tc>
      </w:tr>
      <w:tr w:rsidR="00C62E4E" w:rsidRPr="0015154B" w14:paraId="1414385B" w14:textId="77777777" w:rsidTr="00585345">
        <w:tc>
          <w:tcPr>
            <w:cnfStyle w:val="001000000000" w:firstRow="0" w:lastRow="0" w:firstColumn="1" w:lastColumn="0" w:oddVBand="0" w:evenVBand="0" w:oddHBand="0" w:evenHBand="0" w:firstRowFirstColumn="0" w:firstRowLastColumn="0" w:lastRowFirstColumn="0" w:lastRowLastColumn="0"/>
            <w:tcW w:w="2310" w:type="dxa"/>
            <w:vMerge w:val="restart"/>
          </w:tcPr>
          <w:p w14:paraId="56B86DC8"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b/>
                <w:i w:val="0"/>
                <w:iCs w:val="0"/>
                <w:color w:val="002060"/>
                <w:sz w:val="24"/>
                <w:szCs w:val="24"/>
                <w:lang w:eastAsia="lv-LV"/>
              </w:rPr>
            </w:pPr>
            <w:r w:rsidRPr="0015154B">
              <w:rPr>
                <w:rFonts w:ascii="Times New Roman" w:eastAsia="Times New Roman" w:hAnsi="Times New Roman" w:cs="Times New Roman"/>
                <w:b/>
                <w:i w:val="0"/>
                <w:iCs w:val="0"/>
                <w:color w:val="002060"/>
                <w:sz w:val="24"/>
                <w:szCs w:val="24"/>
                <w:lang w:eastAsia="lv-LV"/>
              </w:rPr>
              <w:t>Bezdarbnieki</w:t>
            </w:r>
          </w:p>
        </w:tc>
        <w:tc>
          <w:tcPr>
            <w:tcW w:w="1449" w:type="dxa"/>
            <w:tcBorders>
              <w:top w:val="single" w:sz="4" w:space="0" w:color="auto"/>
            </w:tcBorders>
          </w:tcPr>
          <w:p w14:paraId="7C588651"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2014</w:t>
            </w:r>
          </w:p>
        </w:tc>
        <w:tc>
          <w:tcPr>
            <w:tcW w:w="1563" w:type="dxa"/>
            <w:tcBorders>
              <w:top w:val="single" w:sz="4" w:space="0" w:color="auto"/>
            </w:tcBorders>
          </w:tcPr>
          <w:p w14:paraId="6B25CA82"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55,0</w:t>
            </w:r>
          </w:p>
        </w:tc>
        <w:tc>
          <w:tcPr>
            <w:tcW w:w="1499" w:type="dxa"/>
            <w:tcBorders>
              <w:top w:val="single" w:sz="4" w:space="0" w:color="auto"/>
            </w:tcBorders>
          </w:tcPr>
          <w:p w14:paraId="23D6CB73"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52,9</w:t>
            </w:r>
          </w:p>
        </w:tc>
        <w:tc>
          <w:tcPr>
            <w:tcW w:w="1568" w:type="dxa"/>
            <w:tcBorders>
              <w:top w:val="single" w:sz="4" w:space="0" w:color="auto"/>
            </w:tcBorders>
          </w:tcPr>
          <w:p w14:paraId="0247B5C0"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57,9</w:t>
            </w:r>
          </w:p>
        </w:tc>
      </w:tr>
      <w:tr w:rsidR="00C62E4E" w:rsidRPr="0015154B" w14:paraId="771C3A33" w14:textId="77777777" w:rsidTr="0058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Merge/>
          </w:tcPr>
          <w:p w14:paraId="66C2B7FA"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color w:val="002060"/>
                <w:sz w:val="24"/>
                <w:szCs w:val="24"/>
                <w:lang w:eastAsia="lv-LV"/>
              </w:rPr>
            </w:pPr>
          </w:p>
        </w:tc>
        <w:tc>
          <w:tcPr>
            <w:tcW w:w="1449" w:type="dxa"/>
          </w:tcPr>
          <w:p w14:paraId="5718D626"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2015</w:t>
            </w:r>
          </w:p>
        </w:tc>
        <w:tc>
          <w:tcPr>
            <w:tcW w:w="1563" w:type="dxa"/>
          </w:tcPr>
          <w:p w14:paraId="6EDC51F5"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55,7</w:t>
            </w:r>
          </w:p>
        </w:tc>
        <w:tc>
          <w:tcPr>
            <w:tcW w:w="1499" w:type="dxa"/>
          </w:tcPr>
          <w:p w14:paraId="15412243"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56,3</w:t>
            </w:r>
          </w:p>
        </w:tc>
        <w:tc>
          <w:tcPr>
            <w:tcW w:w="1568" w:type="dxa"/>
          </w:tcPr>
          <w:p w14:paraId="7ECC1A5C"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55,0</w:t>
            </w:r>
          </w:p>
        </w:tc>
      </w:tr>
      <w:tr w:rsidR="00C62E4E" w:rsidRPr="0015154B" w14:paraId="1C3D6F4F" w14:textId="77777777" w:rsidTr="00585345">
        <w:tc>
          <w:tcPr>
            <w:cnfStyle w:val="001000000000" w:firstRow="0" w:lastRow="0" w:firstColumn="1" w:lastColumn="0" w:oddVBand="0" w:evenVBand="0" w:oddHBand="0" w:evenHBand="0" w:firstRowFirstColumn="0" w:firstRowLastColumn="0" w:lastRowFirstColumn="0" w:lastRowLastColumn="0"/>
            <w:tcW w:w="2310" w:type="dxa"/>
            <w:vMerge/>
          </w:tcPr>
          <w:p w14:paraId="10F19D42"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color w:val="002060"/>
                <w:sz w:val="24"/>
                <w:szCs w:val="24"/>
                <w:lang w:eastAsia="lv-LV"/>
              </w:rPr>
            </w:pPr>
          </w:p>
        </w:tc>
        <w:tc>
          <w:tcPr>
            <w:tcW w:w="1449" w:type="dxa"/>
          </w:tcPr>
          <w:p w14:paraId="202AA1A7"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2016</w:t>
            </w:r>
          </w:p>
        </w:tc>
        <w:tc>
          <w:tcPr>
            <w:tcW w:w="1563" w:type="dxa"/>
          </w:tcPr>
          <w:p w14:paraId="1E8851BF"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56,5</w:t>
            </w:r>
          </w:p>
        </w:tc>
        <w:tc>
          <w:tcPr>
            <w:tcW w:w="1499" w:type="dxa"/>
          </w:tcPr>
          <w:p w14:paraId="6EB4CA33"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65,6</w:t>
            </w:r>
          </w:p>
        </w:tc>
        <w:tc>
          <w:tcPr>
            <w:tcW w:w="1568" w:type="dxa"/>
          </w:tcPr>
          <w:p w14:paraId="28BE011D"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48,5</w:t>
            </w:r>
          </w:p>
        </w:tc>
      </w:tr>
      <w:tr w:rsidR="00C62E4E" w:rsidRPr="0015154B" w14:paraId="1A15809C" w14:textId="77777777" w:rsidTr="0058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Merge/>
          </w:tcPr>
          <w:p w14:paraId="7BE3DEE5"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color w:val="002060"/>
                <w:sz w:val="24"/>
                <w:szCs w:val="24"/>
                <w:lang w:eastAsia="lv-LV"/>
              </w:rPr>
            </w:pPr>
          </w:p>
        </w:tc>
        <w:tc>
          <w:tcPr>
            <w:tcW w:w="1449" w:type="dxa"/>
            <w:tcBorders>
              <w:bottom w:val="single" w:sz="4" w:space="0" w:color="BADB7D" w:themeColor="accent2" w:themeTint="99"/>
            </w:tcBorders>
          </w:tcPr>
          <w:p w14:paraId="6FEAF60B"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2017</w:t>
            </w:r>
          </w:p>
        </w:tc>
        <w:tc>
          <w:tcPr>
            <w:tcW w:w="1563" w:type="dxa"/>
            <w:tcBorders>
              <w:bottom w:val="single" w:sz="4" w:space="0" w:color="BADB7D" w:themeColor="accent2" w:themeTint="99"/>
            </w:tcBorders>
          </w:tcPr>
          <w:p w14:paraId="23EDF1C5"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59,5</w:t>
            </w:r>
          </w:p>
        </w:tc>
        <w:tc>
          <w:tcPr>
            <w:tcW w:w="1499" w:type="dxa"/>
            <w:tcBorders>
              <w:bottom w:val="single" w:sz="4" w:space="0" w:color="BADB7D" w:themeColor="accent2" w:themeTint="99"/>
            </w:tcBorders>
          </w:tcPr>
          <w:p w14:paraId="7A60CA16"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60,4</w:t>
            </w:r>
          </w:p>
        </w:tc>
        <w:tc>
          <w:tcPr>
            <w:tcW w:w="1568" w:type="dxa"/>
            <w:tcBorders>
              <w:bottom w:val="single" w:sz="4" w:space="0" w:color="BADB7D" w:themeColor="accent2" w:themeTint="99"/>
            </w:tcBorders>
          </w:tcPr>
          <w:p w14:paraId="6E359EAF"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58,4</w:t>
            </w:r>
          </w:p>
        </w:tc>
      </w:tr>
      <w:tr w:rsidR="00C62E4E" w:rsidRPr="0015154B" w14:paraId="26D25555" w14:textId="77777777" w:rsidTr="00585345">
        <w:tc>
          <w:tcPr>
            <w:cnfStyle w:val="001000000000" w:firstRow="0" w:lastRow="0" w:firstColumn="1" w:lastColumn="0" w:oddVBand="0" w:evenVBand="0" w:oddHBand="0" w:evenHBand="0" w:firstRowFirstColumn="0" w:firstRowLastColumn="0" w:lastRowFirstColumn="0" w:lastRowLastColumn="0"/>
            <w:tcW w:w="2310" w:type="dxa"/>
            <w:vMerge/>
          </w:tcPr>
          <w:p w14:paraId="45F39CD7"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color w:val="002060"/>
                <w:sz w:val="24"/>
                <w:szCs w:val="24"/>
                <w:lang w:eastAsia="lv-LV"/>
              </w:rPr>
            </w:pPr>
          </w:p>
        </w:tc>
        <w:tc>
          <w:tcPr>
            <w:tcW w:w="1449" w:type="dxa"/>
            <w:tcBorders>
              <w:bottom w:val="single" w:sz="4" w:space="0" w:color="auto"/>
            </w:tcBorders>
          </w:tcPr>
          <w:p w14:paraId="2DD4B87A"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2018</w:t>
            </w:r>
          </w:p>
        </w:tc>
        <w:tc>
          <w:tcPr>
            <w:tcW w:w="1563" w:type="dxa"/>
            <w:tcBorders>
              <w:bottom w:val="single" w:sz="4" w:space="0" w:color="auto"/>
            </w:tcBorders>
          </w:tcPr>
          <w:p w14:paraId="54B5E807"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57,7</w:t>
            </w:r>
          </w:p>
        </w:tc>
        <w:tc>
          <w:tcPr>
            <w:tcW w:w="1499" w:type="dxa"/>
            <w:tcBorders>
              <w:bottom w:val="single" w:sz="4" w:space="0" w:color="auto"/>
            </w:tcBorders>
          </w:tcPr>
          <w:p w14:paraId="619327DD"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62,4</w:t>
            </w:r>
          </w:p>
        </w:tc>
        <w:tc>
          <w:tcPr>
            <w:tcW w:w="1568" w:type="dxa"/>
            <w:tcBorders>
              <w:bottom w:val="single" w:sz="4" w:space="0" w:color="auto"/>
            </w:tcBorders>
          </w:tcPr>
          <w:p w14:paraId="656D2286"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53,0</w:t>
            </w:r>
          </w:p>
        </w:tc>
      </w:tr>
      <w:tr w:rsidR="00C62E4E" w:rsidRPr="0015154B" w14:paraId="1F83F18A" w14:textId="77777777" w:rsidTr="0058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Merge w:val="restart"/>
          </w:tcPr>
          <w:p w14:paraId="6E2071DF"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b/>
                <w:i w:val="0"/>
                <w:iCs w:val="0"/>
                <w:color w:val="002060"/>
                <w:sz w:val="24"/>
                <w:szCs w:val="24"/>
                <w:lang w:eastAsia="lv-LV"/>
              </w:rPr>
            </w:pPr>
            <w:r w:rsidRPr="0015154B">
              <w:rPr>
                <w:rFonts w:ascii="Times New Roman" w:eastAsia="Times New Roman" w:hAnsi="Times New Roman" w:cs="Times New Roman"/>
                <w:b/>
                <w:i w:val="0"/>
                <w:iCs w:val="0"/>
                <w:color w:val="002060"/>
                <w:sz w:val="24"/>
                <w:szCs w:val="24"/>
                <w:lang w:eastAsia="lv-LV"/>
              </w:rPr>
              <w:t>Citi neaktīvie</w:t>
            </w:r>
          </w:p>
        </w:tc>
        <w:tc>
          <w:tcPr>
            <w:tcW w:w="1449" w:type="dxa"/>
            <w:tcBorders>
              <w:top w:val="single" w:sz="4" w:space="0" w:color="auto"/>
            </w:tcBorders>
          </w:tcPr>
          <w:p w14:paraId="6DBD699A"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2014</w:t>
            </w:r>
          </w:p>
        </w:tc>
        <w:tc>
          <w:tcPr>
            <w:tcW w:w="1563" w:type="dxa"/>
            <w:tcBorders>
              <w:top w:val="single" w:sz="4" w:space="0" w:color="auto"/>
            </w:tcBorders>
          </w:tcPr>
          <w:p w14:paraId="168920E0"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31,9</w:t>
            </w:r>
          </w:p>
        </w:tc>
        <w:tc>
          <w:tcPr>
            <w:tcW w:w="1499" w:type="dxa"/>
            <w:tcBorders>
              <w:top w:val="single" w:sz="4" w:space="0" w:color="auto"/>
            </w:tcBorders>
          </w:tcPr>
          <w:p w14:paraId="25BEE274"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32,8</w:t>
            </w:r>
          </w:p>
        </w:tc>
        <w:tc>
          <w:tcPr>
            <w:tcW w:w="1568" w:type="dxa"/>
            <w:tcBorders>
              <w:top w:val="single" w:sz="4" w:space="0" w:color="auto"/>
            </w:tcBorders>
          </w:tcPr>
          <w:p w14:paraId="27025502"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31,4</w:t>
            </w:r>
          </w:p>
        </w:tc>
      </w:tr>
      <w:tr w:rsidR="00C62E4E" w:rsidRPr="0015154B" w14:paraId="265DE7FF" w14:textId="77777777" w:rsidTr="00585345">
        <w:tc>
          <w:tcPr>
            <w:cnfStyle w:val="001000000000" w:firstRow="0" w:lastRow="0" w:firstColumn="1" w:lastColumn="0" w:oddVBand="0" w:evenVBand="0" w:oddHBand="0" w:evenHBand="0" w:firstRowFirstColumn="0" w:firstRowLastColumn="0" w:lastRowFirstColumn="0" w:lastRowLastColumn="0"/>
            <w:tcW w:w="2310" w:type="dxa"/>
            <w:vMerge/>
          </w:tcPr>
          <w:p w14:paraId="23D5FD5F"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sz w:val="24"/>
                <w:szCs w:val="24"/>
                <w:lang w:eastAsia="lv-LV"/>
              </w:rPr>
            </w:pPr>
          </w:p>
        </w:tc>
        <w:tc>
          <w:tcPr>
            <w:tcW w:w="1449" w:type="dxa"/>
          </w:tcPr>
          <w:p w14:paraId="6365EEDD"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2015</w:t>
            </w:r>
          </w:p>
        </w:tc>
        <w:tc>
          <w:tcPr>
            <w:tcW w:w="1563" w:type="dxa"/>
          </w:tcPr>
          <w:p w14:paraId="58898DD1"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29,8</w:t>
            </w:r>
          </w:p>
        </w:tc>
        <w:tc>
          <w:tcPr>
            <w:tcW w:w="1499" w:type="dxa"/>
          </w:tcPr>
          <w:p w14:paraId="30127C98"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32,8</w:t>
            </w:r>
          </w:p>
        </w:tc>
        <w:tc>
          <w:tcPr>
            <w:tcW w:w="1568" w:type="dxa"/>
          </w:tcPr>
          <w:p w14:paraId="50429BC0"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28,2</w:t>
            </w:r>
          </w:p>
        </w:tc>
      </w:tr>
      <w:tr w:rsidR="00C62E4E" w:rsidRPr="0015154B" w14:paraId="3977479A" w14:textId="77777777" w:rsidTr="0058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Merge/>
          </w:tcPr>
          <w:p w14:paraId="7B99F3E8"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sz w:val="24"/>
                <w:szCs w:val="24"/>
                <w:lang w:eastAsia="lv-LV"/>
              </w:rPr>
            </w:pPr>
          </w:p>
        </w:tc>
        <w:tc>
          <w:tcPr>
            <w:tcW w:w="1449" w:type="dxa"/>
          </w:tcPr>
          <w:p w14:paraId="5C2EF60D"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2016</w:t>
            </w:r>
          </w:p>
        </w:tc>
        <w:tc>
          <w:tcPr>
            <w:tcW w:w="1563" w:type="dxa"/>
          </w:tcPr>
          <w:p w14:paraId="10A24AC9"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30,7</w:t>
            </w:r>
          </w:p>
        </w:tc>
        <w:tc>
          <w:tcPr>
            <w:tcW w:w="1499" w:type="dxa"/>
          </w:tcPr>
          <w:p w14:paraId="3D1BB060"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33,5</w:t>
            </w:r>
          </w:p>
        </w:tc>
        <w:tc>
          <w:tcPr>
            <w:tcW w:w="1568" w:type="dxa"/>
          </w:tcPr>
          <w:p w14:paraId="6A4A24EB"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29,1</w:t>
            </w:r>
          </w:p>
        </w:tc>
      </w:tr>
      <w:tr w:rsidR="00C62E4E" w:rsidRPr="0015154B" w14:paraId="103A7B4F" w14:textId="77777777" w:rsidTr="00585345">
        <w:tc>
          <w:tcPr>
            <w:cnfStyle w:val="001000000000" w:firstRow="0" w:lastRow="0" w:firstColumn="1" w:lastColumn="0" w:oddVBand="0" w:evenVBand="0" w:oddHBand="0" w:evenHBand="0" w:firstRowFirstColumn="0" w:firstRowLastColumn="0" w:lastRowFirstColumn="0" w:lastRowLastColumn="0"/>
            <w:tcW w:w="2310" w:type="dxa"/>
            <w:vMerge/>
          </w:tcPr>
          <w:p w14:paraId="3002BEEE"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sz w:val="24"/>
                <w:szCs w:val="24"/>
                <w:lang w:eastAsia="lv-LV"/>
              </w:rPr>
            </w:pPr>
          </w:p>
        </w:tc>
        <w:tc>
          <w:tcPr>
            <w:tcW w:w="1449" w:type="dxa"/>
          </w:tcPr>
          <w:p w14:paraId="74637E15"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2017</w:t>
            </w:r>
          </w:p>
        </w:tc>
        <w:tc>
          <w:tcPr>
            <w:tcW w:w="1563" w:type="dxa"/>
          </w:tcPr>
          <w:p w14:paraId="27E8F2BA"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38,3</w:t>
            </w:r>
          </w:p>
        </w:tc>
        <w:tc>
          <w:tcPr>
            <w:tcW w:w="1499" w:type="dxa"/>
          </w:tcPr>
          <w:p w14:paraId="2EB4903B"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45,3</w:t>
            </w:r>
          </w:p>
        </w:tc>
        <w:tc>
          <w:tcPr>
            <w:tcW w:w="1568" w:type="dxa"/>
          </w:tcPr>
          <w:p w14:paraId="600DE5EC" w14:textId="77777777" w:rsidR="00C62E4E" w:rsidRPr="0015154B" w:rsidRDefault="00C62E4E" w:rsidP="0026365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34,0</w:t>
            </w:r>
          </w:p>
        </w:tc>
      </w:tr>
      <w:tr w:rsidR="00C62E4E" w:rsidRPr="0015154B" w14:paraId="61215537" w14:textId="77777777" w:rsidTr="005853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vMerge/>
          </w:tcPr>
          <w:p w14:paraId="2E9940BE" w14:textId="77777777" w:rsidR="00C62E4E" w:rsidRPr="0015154B" w:rsidRDefault="00C62E4E" w:rsidP="0026365F">
            <w:pPr>
              <w:widowControl w:val="0"/>
              <w:autoSpaceDE w:val="0"/>
              <w:autoSpaceDN w:val="0"/>
              <w:adjustRightInd w:val="0"/>
              <w:jc w:val="both"/>
              <w:rPr>
                <w:rFonts w:ascii="Times New Roman" w:eastAsia="Times New Roman" w:hAnsi="Times New Roman" w:cs="Times New Roman"/>
                <w:iCs w:val="0"/>
                <w:sz w:val="24"/>
                <w:szCs w:val="24"/>
                <w:lang w:eastAsia="lv-LV"/>
              </w:rPr>
            </w:pPr>
          </w:p>
        </w:tc>
        <w:tc>
          <w:tcPr>
            <w:tcW w:w="1449" w:type="dxa"/>
          </w:tcPr>
          <w:p w14:paraId="485597F5"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2018</w:t>
            </w:r>
          </w:p>
        </w:tc>
        <w:tc>
          <w:tcPr>
            <w:tcW w:w="1563" w:type="dxa"/>
          </w:tcPr>
          <w:p w14:paraId="16B3712A"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33,1</w:t>
            </w:r>
          </w:p>
        </w:tc>
        <w:tc>
          <w:tcPr>
            <w:tcW w:w="1499" w:type="dxa"/>
          </w:tcPr>
          <w:p w14:paraId="7D0925F4"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39,9</w:t>
            </w:r>
          </w:p>
        </w:tc>
        <w:tc>
          <w:tcPr>
            <w:tcW w:w="1568" w:type="dxa"/>
          </w:tcPr>
          <w:p w14:paraId="63020FB4" w14:textId="77777777" w:rsidR="00C62E4E" w:rsidRPr="0015154B" w:rsidRDefault="00C62E4E" w:rsidP="0026365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28,8</w:t>
            </w:r>
          </w:p>
        </w:tc>
      </w:tr>
    </w:tbl>
    <w:p w14:paraId="56CEFD3D" w14:textId="26587630" w:rsidR="00200837" w:rsidRPr="0015154B" w:rsidRDefault="00200837" w:rsidP="00200837">
      <w:pPr>
        <w:widowControl w:val="0"/>
        <w:autoSpaceDE w:val="0"/>
        <w:autoSpaceDN w:val="0"/>
        <w:adjustRightInd w:val="0"/>
        <w:spacing w:after="0" w:line="240" w:lineRule="auto"/>
        <w:jc w:val="both"/>
        <w:rPr>
          <w:rFonts w:ascii="Times New Roman" w:eastAsia="Times New Roman" w:hAnsi="Times New Roman" w:cs="Times New Roman"/>
          <w:iCs/>
          <w:sz w:val="20"/>
          <w:szCs w:val="20"/>
          <w:lang w:eastAsia="lv-LV"/>
        </w:rPr>
      </w:pPr>
      <w:r w:rsidRPr="0015154B">
        <w:rPr>
          <w:rFonts w:ascii="Times New Roman" w:eastAsia="Times New Roman" w:hAnsi="Times New Roman" w:cs="Times New Roman"/>
          <w:iCs/>
          <w:sz w:val="20"/>
          <w:szCs w:val="20"/>
          <w:lang w:eastAsia="lv-LV"/>
        </w:rPr>
        <w:t xml:space="preserve">Datu avots: CSP </w:t>
      </w:r>
      <w:r w:rsidR="008F021B" w:rsidRPr="0015154B">
        <w:rPr>
          <w:rFonts w:ascii="Times New Roman" w:eastAsia="Times New Roman" w:hAnsi="Times New Roman" w:cs="Times New Roman"/>
          <w:iCs/>
          <w:sz w:val="20"/>
          <w:szCs w:val="20"/>
          <w:lang w:eastAsia="lv-LV"/>
        </w:rPr>
        <w:t xml:space="preserve">datu bāze, </w:t>
      </w:r>
      <w:r w:rsidRPr="0015154B">
        <w:rPr>
          <w:rFonts w:ascii="Times New Roman" w:eastAsia="Times New Roman" w:hAnsi="Times New Roman" w:cs="Times New Roman"/>
          <w:iCs/>
          <w:sz w:val="20"/>
          <w:szCs w:val="20"/>
          <w:lang w:eastAsia="lv-LV"/>
        </w:rPr>
        <w:t>datu tabula NIG040</w:t>
      </w:r>
    </w:p>
    <w:p w14:paraId="5DD5FA54" w14:textId="77777777" w:rsidR="00200837" w:rsidRPr="0015154B" w:rsidRDefault="00200837" w:rsidP="00200837">
      <w:pPr>
        <w:widowControl w:val="0"/>
        <w:autoSpaceDE w:val="0"/>
        <w:autoSpaceDN w:val="0"/>
        <w:adjustRightInd w:val="0"/>
        <w:spacing w:after="0" w:line="240" w:lineRule="auto"/>
        <w:ind w:firstLine="720"/>
        <w:jc w:val="both"/>
        <w:rPr>
          <w:rFonts w:ascii="Times New Roman" w:eastAsia="Times New Roman" w:hAnsi="Times New Roman" w:cs="Times New Roman"/>
          <w:iCs/>
          <w:sz w:val="24"/>
          <w:szCs w:val="24"/>
          <w:highlight w:val="yellow"/>
          <w:lang w:eastAsia="lv-LV"/>
        </w:rPr>
      </w:pPr>
    </w:p>
    <w:p w14:paraId="74F15B4E" w14:textId="3A5DC6DA" w:rsidR="00200837" w:rsidRPr="002F5278" w:rsidRDefault="00200837" w:rsidP="0030363D">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Strādājošo nabadzības risks Latvijā visā pārskata periodā bijis zemāks par ES vidējo rādītāju, kā arī zemākais starp Baltijas valstīm.</w:t>
      </w:r>
      <w:r w:rsidRPr="007157D3">
        <w:rPr>
          <w:rStyle w:val="FootnoteReference"/>
          <w:rFonts w:ascii="Times New Roman" w:hAnsi="Times New Roman" w:cs="Times New Roman"/>
          <w:sz w:val="24"/>
          <w:szCs w:val="24"/>
        </w:rPr>
        <w:footnoteReference w:id="12"/>
      </w:r>
      <w:r w:rsidRPr="007157D3">
        <w:rPr>
          <w:rFonts w:ascii="Times New Roman" w:hAnsi="Times New Roman" w:cs="Times New Roman"/>
          <w:sz w:val="24"/>
          <w:szCs w:val="24"/>
        </w:rPr>
        <w:t xml:space="preserve"> </w:t>
      </w:r>
      <w:r w:rsidRPr="002F5278">
        <w:rPr>
          <w:rFonts w:ascii="Times New Roman" w:hAnsi="Times New Roman" w:cs="Times New Roman"/>
          <w:sz w:val="24"/>
          <w:szCs w:val="24"/>
        </w:rPr>
        <w:t>Kopš 20</w:t>
      </w:r>
      <w:r w:rsidRPr="0025422D">
        <w:rPr>
          <w:rFonts w:ascii="Times New Roman" w:hAnsi="Times New Roman" w:cs="Times New Roman"/>
          <w:sz w:val="24"/>
          <w:szCs w:val="24"/>
        </w:rPr>
        <w:t>14.gada Latvijā ir samazinājies darbspējīga vecuma personu skaits, kam noteikta atbilstība trūcīgas personas statusam (no 46,3</w:t>
      </w:r>
      <w:r w:rsidR="00350281" w:rsidRPr="00A857F2">
        <w:rPr>
          <w:rFonts w:ascii="Times New Roman" w:hAnsi="Times New Roman" w:cs="Times New Roman"/>
          <w:sz w:val="24"/>
          <w:szCs w:val="24"/>
        </w:rPr>
        <w:t> </w:t>
      </w:r>
      <w:r w:rsidRPr="00A857F2">
        <w:rPr>
          <w:rFonts w:ascii="Times New Roman" w:hAnsi="Times New Roman" w:cs="Times New Roman"/>
          <w:sz w:val="24"/>
          <w:szCs w:val="24"/>
        </w:rPr>
        <w:t xml:space="preserve">tūkst. personām 2014.gadā līdz </w:t>
      </w:r>
      <w:r w:rsidR="0061394B" w:rsidRPr="003B5C85">
        <w:rPr>
          <w:rFonts w:ascii="Times New Roman" w:hAnsi="Times New Roman" w:cs="Times New Roman"/>
          <w:sz w:val="24"/>
          <w:szCs w:val="24"/>
        </w:rPr>
        <w:t>14,4</w:t>
      </w:r>
      <w:r w:rsidRPr="003B5C85">
        <w:rPr>
          <w:rFonts w:ascii="Times New Roman" w:hAnsi="Times New Roman" w:cs="Times New Roman"/>
          <w:sz w:val="24"/>
          <w:szCs w:val="24"/>
        </w:rPr>
        <w:t xml:space="preserve"> tūkst. personām 201</w:t>
      </w:r>
      <w:r w:rsidR="0061394B" w:rsidRPr="009703E6">
        <w:rPr>
          <w:rFonts w:ascii="Times New Roman" w:hAnsi="Times New Roman" w:cs="Times New Roman"/>
          <w:sz w:val="24"/>
          <w:szCs w:val="24"/>
        </w:rPr>
        <w:t>9</w:t>
      </w:r>
      <w:r w:rsidRPr="009703E6">
        <w:rPr>
          <w:rFonts w:ascii="Times New Roman" w:hAnsi="Times New Roman" w:cs="Times New Roman"/>
          <w:sz w:val="24"/>
          <w:szCs w:val="24"/>
        </w:rPr>
        <w:t xml:space="preserve">.gadā), tāpat šajā periodā samazinājies darbspējīgā vecuma personu </w:t>
      </w:r>
      <w:r w:rsidRPr="0015154B">
        <w:rPr>
          <w:rFonts w:ascii="Times New Roman" w:hAnsi="Times New Roman" w:cs="Times New Roman"/>
          <w:sz w:val="24"/>
          <w:szCs w:val="24"/>
        </w:rPr>
        <w:t xml:space="preserve">īpatsvars starp trūcīgajiem (no 44,3 % 2014.gadā līdz – </w:t>
      </w:r>
      <w:r w:rsidR="0061394B" w:rsidRPr="0015154B">
        <w:rPr>
          <w:rFonts w:ascii="Times New Roman" w:hAnsi="Times New Roman" w:cs="Times New Roman"/>
          <w:sz w:val="24"/>
          <w:szCs w:val="24"/>
        </w:rPr>
        <w:t>34,9</w:t>
      </w:r>
      <w:r w:rsidRPr="0015154B">
        <w:rPr>
          <w:rFonts w:ascii="Times New Roman" w:hAnsi="Times New Roman" w:cs="Times New Roman"/>
          <w:sz w:val="24"/>
          <w:szCs w:val="24"/>
        </w:rPr>
        <w:t xml:space="preserve"> % 201</w:t>
      </w:r>
      <w:r w:rsidR="0061394B" w:rsidRPr="0015154B">
        <w:rPr>
          <w:rFonts w:ascii="Times New Roman" w:hAnsi="Times New Roman" w:cs="Times New Roman"/>
          <w:sz w:val="24"/>
          <w:szCs w:val="24"/>
        </w:rPr>
        <w:t>9</w:t>
      </w:r>
      <w:r w:rsidRPr="0015154B">
        <w:rPr>
          <w:rFonts w:ascii="Times New Roman" w:hAnsi="Times New Roman" w:cs="Times New Roman"/>
          <w:sz w:val="24"/>
          <w:szCs w:val="24"/>
        </w:rPr>
        <w:t xml:space="preserve">.gadā), kā arī strādājošo darbspējīga vecuma personu īpatsvars – no 13,6% līdz </w:t>
      </w:r>
      <w:r w:rsidR="0061394B" w:rsidRPr="0015154B">
        <w:rPr>
          <w:rFonts w:ascii="Times New Roman" w:hAnsi="Times New Roman" w:cs="Times New Roman"/>
          <w:sz w:val="24"/>
          <w:szCs w:val="24"/>
        </w:rPr>
        <w:lastRenderedPageBreak/>
        <w:t>8</w:t>
      </w:r>
      <w:r w:rsidRPr="0015154B">
        <w:rPr>
          <w:rFonts w:ascii="Times New Roman" w:hAnsi="Times New Roman" w:cs="Times New Roman"/>
          <w:sz w:val="24"/>
          <w:szCs w:val="24"/>
        </w:rPr>
        <w:t>,1%.</w:t>
      </w:r>
      <w:r w:rsidRPr="007157D3">
        <w:rPr>
          <w:rStyle w:val="FootnoteReference"/>
          <w:rFonts w:ascii="Times New Roman" w:hAnsi="Times New Roman" w:cs="Times New Roman"/>
          <w:sz w:val="24"/>
          <w:szCs w:val="24"/>
        </w:rPr>
        <w:footnoteReference w:id="13"/>
      </w:r>
      <w:r w:rsidRPr="007157D3">
        <w:rPr>
          <w:rFonts w:ascii="Times New Roman" w:hAnsi="Times New Roman" w:cs="Times New Roman"/>
          <w:sz w:val="24"/>
          <w:szCs w:val="24"/>
        </w:rPr>
        <w:t xml:space="preserve"> </w:t>
      </w:r>
      <w:r w:rsidRPr="002F5278">
        <w:rPr>
          <w:rFonts w:ascii="Times New Roman" w:hAnsi="Times New Roman" w:cs="Times New Roman"/>
          <w:sz w:val="24"/>
          <w:szCs w:val="24"/>
        </w:rPr>
        <w:t>Savukārt nabadzības risks mājsaimniecībās ar zemu darba intensitāti ES vidēji ir uz pusi zemāks nekā Latvijā.</w:t>
      </w:r>
      <w:r w:rsidRPr="007157D3">
        <w:rPr>
          <w:rStyle w:val="FootnoteReference"/>
          <w:rFonts w:ascii="Times New Roman" w:hAnsi="Times New Roman" w:cs="Times New Roman"/>
          <w:sz w:val="24"/>
          <w:szCs w:val="24"/>
        </w:rPr>
        <w:footnoteReference w:id="14"/>
      </w:r>
      <w:r w:rsidRPr="007157D3">
        <w:rPr>
          <w:rFonts w:ascii="Times New Roman" w:hAnsi="Times New Roman" w:cs="Times New Roman"/>
          <w:sz w:val="24"/>
          <w:szCs w:val="24"/>
        </w:rPr>
        <w:t xml:space="preserve"> Gandrīz divas trešdaļas no nabadzīgajiem iedzīvotājiem veido cilvēki, kas dzīvo mājsaimniecībā ar zemu darba intensitāti. </w:t>
      </w:r>
      <w:r w:rsidRPr="002F5278">
        <w:rPr>
          <w:rFonts w:ascii="Times New Roman" w:hAnsi="Times New Roman" w:cs="Times New Roman"/>
          <w:sz w:val="24"/>
          <w:szCs w:val="24"/>
        </w:rPr>
        <w:t>Saskaņā ar CSP apkopotajiem datiem, 2018.gadā 7,6% iedzīvotāju dzīvoja ļoti zemu darba intensitāti strādājošās mājsaimniecībās un ko</w:t>
      </w:r>
      <w:r w:rsidRPr="0025422D">
        <w:rPr>
          <w:rFonts w:ascii="Times New Roman" w:hAnsi="Times New Roman" w:cs="Times New Roman"/>
          <w:sz w:val="24"/>
          <w:szCs w:val="24"/>
        </w:rPr>
        <w:t>pš 2014.gada šis rādītājs saglabājās stabils. 2018.gadā tikai 5,9% bērnu (līdz 17 gadu vecumam) dzīvoja mājsaimniecībās ar ļoti zemu darba intensitāti, bet vislielākais šajās mājsaimniecībās dzīvojošo īpatsvars bija starp pirmspensijas (55–59 gadi) iedzīvo</w:t>
      </w:r>
      <w:r w:rsidRPr="00A857F2">
        <w:rPr>
          <w:rFonts w:ascii="Times New Roman" w:hAnsi="Times New Roman" w:cs="Times New Roman"/>
          <w:sz w:val="24"/>
          <w:szCs w:val="24"/>
        </w:rPr>
        <w:t>tājiem (16,1 %).</w:t>
      </w:r>
      <w:r w:rsidRPr="007157D3">
        <w:rPr>
          <w:rStyle w:val="FootnoteReference"/>
          <w:rFonts w:ascii="Times New Roman" w:hAnsi="Times New Roman" w:cs="Times New Roman"/>
          <w:sz w:val="24"/>
          <w:szCs w:val="24"/>
        </w:rPr>
        <w:footnoteReference w:id="15"/>
      </w:r>
      <w:r w:rsidR="00FD0ECA" w:rsidRPr="007157D3">
        <w:rPr>
          <w:rFonts w:ascii="Times New Roman" w:hAnsi="Times New Roman" w:cs="Times New Roman"/>
          <w:sz w:val="24"/>
          <w:szCs w:val="24"/>
        </w:rPr>
        <w:t xml:space="preserve"> </w:t>
      </w:r>
    </w:p>
    <w:p w14:paraId="6A48A3AA" w14:textId="1BB55C8D" w:rsidR="00200837" w:rsidRPr="002F5278" w:rsidRDefault="00200837" w:rsidP="0030363D">
      <w:pPr>
        <w:spacing w:before="120" w:after="0" w:line="240" w:lineRule="auto"/>
        <w:ind w:firstLine="720"/>
        <w:jc w:val="both"/>
        <w:rPr>
          <w:rFonts w:ascii="Times New Roman" w:eastAsia="Times New Roman" w:hAnsi="Times New Roman" w:cs="Times New Roman"/>
          <w:bCs/>
          <w:sz w:val="24"/>
          <w:szCs w:val="24"/>
          <w:lang w:eastAsia="lv-LV"/>
        </w:rPr>
      </w:pPr>
      <w:r w:rsidRPr="0025422D">
        <w:rPr>
          <w:rFonts w:ascii="Times New Roman" w:eastAsia="Times New Roman" w:hAnsi="Times New Roman" w:cs="Times New Roman"/>
          <w:b/>
          <w:bCs/>
          <w:sz w:val="24"/>
          <w:szCs w:val="24"/>
          <w:lang w:eastAsia="lv-LV"/>
        </w:rPr>
        <w:t>Izglītības</w:t>
      </w:r>
      <w:r w:rsidRPr="00A857F2">
        <w:rPr>
          <w:rFonts w:ascii="Times New Roman" w:eastAsia="Times New Roman" w:hAnsi="Times New Roman" w:cs="Times New Roman"/>
          <w:bCs/>
          <w:sz w:val="24"/>
          <w:szCs w:val="24"/>
          <w:lang w:eastAsia="lv-LV"/>
        </w:rPr>
        <w:t xml:space="preserve"> nozīme turpmākajā dzīvē ir svarīgs priekšnosacījums arī indivīda labklājībai. Jo augstāks ir izglītības līmenis, jo zemāks ir risks nonākt zem nabadzības riska sliekšņa. </w:t>
      </w:r>
      <w:r w:rsidR="00D127B6" w:rsidRPr="009703E6">
        <w:rPr>
          <w:rFonts w:ascii="Times New Roman" w:hAnsi="Times New Roman" w:cs="Times New Roman"/>
          <w:sz w:val="24"/>
          <w:szCs w:val="24"/>
        </w:rPr>
        <w:t>Līdzīga situācija vērojama arī Lietuvā, Igaunijā un ES28 vidēji, kur lielu daļu nabadzības riskam pakļauto iedzīvotāju ir ar zemu, vai ļoti zemu izglītību. 2019.gadā Latvijā nabadzības riskam bija pakļauti 18,5% iedzīvotāju ar sākumskolas un pamatizglītību, Lietuvā – 16%, Igaunijā – 19,7%, ES28 – 19,3%</w:t>
      </w:r>
      <w:r w:rsidR="0076183B" w:rsidRPr="0015154B">
        <w:rPr>
          <w:rFonts w:ascii="Times New Roman" w:hAnsi="Times New Roman" w:cs="Times New Roman"/>
          <w:sz w:val="24"/>
          <w:szCs w:val="24"/>
        </w:rPr>
        <w:t>.</w:t>
      </w:r>
      <w:r w:rsidR="00D127B6" w:rsidRPr="007157D3">
        <w:rPr>
          <w:rStyle w:val="FootnoteReference"/>
          <w:rFonts w:ascii="Times New Roman" w:hAnsi="Times New Roman" w:cs="Times New Roman"/>
          <w:sz w:val="24"/>
          <w:szCs w:val="24"/>
        </w:rPr>
        <w:footnoteReference w:id="16"/>
      </w:r>
      <w:r w:rsidR="00D127B6" w:rsidRPr="007157D3">
        <w:rPr>
          <w:rFonts w:ascii="Times New Roman" w:hAnsi="Times New Roman" w:cs="Times New Roman"/>
          <w:sz w:val="24"/>
          <w:szCs w:val="24"/>
        </w:rPr>
        <w:t xml:space="preserve"> </w:t>
      </w:r>
      <w:r w:rsidR="00D127B6" w:rsidRPr="002F5278">
        <w:rPr>
          <w:rFonts w:ascii="Times New Roman" w:hAnsi="Times New Roman" w:cs="Times New Roman"/>
          <w:sz w:val="24"/>
          <w:szCs w:val="24"/>
        </w:rPr>
        <w:t>Ar vid</w:t>
      </w:r>
      <w:r w:rsidR="00D127B6" w:rsidRPr="0025422D">
        <w:rPr>
          <w:rFonts w:ascii="Times New Roman" w:hAnsi="Times New Roman" w:cs="Times New Roman"/>
          <w:sz w:val="24"/>
          <w:szCs w:val="24"/>
        </w:rPr>
        <w:t>ējo izglītību Latvijā nabadzības riskam bija pakļauti 10,5% iedzīvotāju, Lietuvā - 10,4%, Igaunijā - 12,4%, ES28 – 9,4%</w:t>
      </w:r>
      <w:r w:rsidR="0076183B" w:rsidRPr="00A857F2">
        <w:rPr>
          <w:rFonts w:ascii="Times New Roman" w:hAnsi="Times New Roman" w:cs="Times New Roman"/>
          <w:sz w:val="24"/>
          <w:szCs w:val="24"/>
        </w:rPr>
        <w:t>.</w:t>
      </w:r>
      <w:r w:rsidR="00D127B6" w:rsidRPr="007157D3">
        <w:rPr>
          <w:rStyle w:val="FootnoteReference"/>
          <w:rFonts w:ascii="Times New Roman" w:hAnsi="Times New Roman" w:cs="Times New Roman"/>
          <w:sz w:val="24"/>
          <w:szCs w:val="24"/>
        </w:rPr>
        <w:footnoteReference w:id="17"/>
      </w:r>
      <w:r w:rsidR="00D127B6" w:rsidRPr="007157D3">
        <w:rPr>
          <w:rFonts w:ascii="Times New Roman" w:hAnsi="Times New Roman" w:cs="Times New Roman"/>
          <w:sz w:val="24"/>
          <w:szCs w:val="24"/>
        </w:rPr>
        <w:t xml:space="preserve"> Vismazākais īpatsvars ir personām ar augstāko izglītību un 2019. gadā Latvijā tie bija 2,5%, Lietuvā 3,7%, Igaunijā 3,9% iedzīvotāju, </w:t>
      </w:r>
      <w:r w:rsidR="00D127B6" w:rsidRPr="002F5278">
        <w:rPr>
          <w:rFonts w:ascii="Times New Roman" w:hAnsi="Times New Roman" w:cs="Times New Roman"/>
          <w:sz w:val="24"/>
          <w:szCs w:val="24"/>
        </w:rPr>
        <w:t>bet ES28- 4,8%</w:t>
      </w:r>
      <w:r w:rsidR="0076183B" w:rsidRPr="0025422D">
        <w:rPr>
          <w:rFonts w:ascii="Times New Roman" w:hAnsi="Times New Roman" w:cs="Times New Roman"/>
          <w:sz w:val="24"/>
          <w:szCs w:val="24"/>
        </w:rPr>
        <w:t>.</w:t>
      </w:r>
      <w:r w:rsidR="00D127B6" w:rsidRPr="007157D3">
        <w:rPr>
          <w:rStyle w:val="FootnoteReference"/>
          <w:rFonts w:ascii="Times New Roman" w:hAnsi="Times New Roman" w:cs="Times New Roman"/>
          <w:sz w:val="24"/>
          <w:szCs w:val="24"/>
        </w:rPr>
        <w:footnoteReference w:id="18"/>
      </w:r>
      <w:r w:rsidR="00D127B6" w:rsidRPr="007157D3">
        <w:rPr>
          <w:rFonts w:ascii="Times New Roman" w:hAnsi="Times New Roman" w:cs="Times New Roman"/>
          <w:sz w:val="24"/>
          <w:szCs w:val="24"/>
        </w:rPr>
        <w:t xml:space="preserve"> </w:t>
      </w:r>
      <w:r w:rsidRPr="002F5278">
        <w:rPr>
          <w:rFonts w:ascii="Times New Roman" w:eastAsia="Times New Roman" w:hAnsi="Times New Roman" w:cs="Times New Roman"/>
          <w:bCs/>
          <w:sz w:val="24"/>
          <w:szCs w:val="24"/>
          <w:lang w:eastAsia="lv-LV"/>
        </w:rPr>
        <w:t>Vienlaikus dati rāda, ka, neskatoties uz augstākiem izglītības līmeņa rādītājiem sieviešu vidū, tās kopumā ir vairāk pakļautas nabadzības riskam nekā vīrieši</w:t>
      </w:r>
    </w:p>
    <w:p w14:paraId="1175FBD5" w14:textId="4FB99432" w:rsidR="005C4C85" w:rsidRPr="007157D3" w:rsidRDefault="00200837" w:rsidP="0030363D">
      <w:pPr>
        <w:spacing w:before="120" w:after="0" w:line="240" w:lineRule="auto"/>
        <w:ind w:firstLine="720"/>
        <w:jc w:val="both"/>
        <w:rPr>
          <w:rFonts w:ascii="Times New Roman" w:hAnsi="Times New Roman" w:cs="Times New Roman"/>
          <w:sz w:val="24"/>
          <w:szCs w:val="24"/>
        </w:rPr>
      </w:pPr>
      <w:r w:rsidRPr="0025422D">
        <w:rPr>
          <w:rFonts w:ascii="Times New Roman" w:hAnsi="Times New Roman" w:cs="Times New Roman"/>
          <w:sz w:val="24"/>
          <w:szCs w:val="24"/>
        </w:rPr>
        <w:t>Personas veselības stāvoklis un darbspēju zaudējums ietekmē viņu pakļautību nabad</w:t>
      </w:r>
      <w:r w:rsidRPr="00A857F2">
        <w:rPr>
          <w:rFonts w:ascii="Times New Roman" w:hAnsi="Times New Roman" w:cs="Times New Roman"/>
          <w:sz w:val="24"/>
          <w:szCs w:val="24"/>
        </w:rPr>
        <w:t>zības riskam. Lai gan nav pieejami reprezentatīvi un ticami dati par nabadzības risku personām ar invaliditāti</w:t>
      </w:r>
      <w:r w:rsidRPr="007157D3">
        <w:rPr>
          <w:rStyle w:val="FootnoteReference"/>
          <w:rFonts w:ascii="Times New Roman" w:hAnsi="Times New Roman" w:cs="Times New Roman"/>
          <w:sz w:val="24"/>
          <w:szCs w:val="24"/>
        </w:rPr>
        <w:footnoteReference w:id="19"/>
      </w:r>
      <w:r w:rsidRPr="007157D3">
        <w:rPr>
          <w:rFonts w:ascii="Times New Roman" w:hAnsi="Times New Roman" w:cs="Times New Roman"/>
          <w:sz w:val="24"/>
          <w:szCs w:val="24"/>
        </w:rPr>
        <w:t>,</w:t>
      </w:r>
      <w:r w:rsidRPr="002F5278">
        <w:rPr>
          <w:rFonts w:ascii="Times New Roman" w:hAnsi="Times New Roman" w:cs="Times New Roman"/>
          <w:sz w:val="24"/>
          <w:szCs w:val="24"/>
        </w:rPr>
        <w:t xml:space="preserve"> var pieņemt, ka </w:t>
      </w:r>
      <w:r w:rsidRPr="0025422D">
        <w:rPr>
          <w:rFonts w:ascii="Times New Roman" w:hAnsi="Times New Roman" w:cs="Times New Roman"/>
          <w:b/>
          <w:sz w:val="24"/>
          <w:szCs w:val="24"/>
        </w:rPr>
        <w:t>ierobežotas darbspējas</w:t>
      </w:r>
      <w:r w:rsidRPr="0025422D">
        <w:rPr>
          <w:rFonts w:ascii="Times New Roman" w:hAnsi="Times New Roman" w:cs="Times New Roman"/>
          <w:sz w:val="24"/>
          <w:szCs w:val="24"/>
        </w:rPr>
        <w:t xml:space="preserve"> vai pilnīgs to zudums var būt </w:t>
      </w:r>
      <w:r w:rsidR="007F7152" w:rsidRPr="00A857F2">
        <w:rPr>
          <w:rFonts w:ascii="Times New Roman" w:hAnsi="Times New Roman" w:cs="Times New Roman"/>
          <w:sz w:val="24"/>
          <w:szCs w:val="24"/>
        </w:rPr>
        <w:t xml:space="preserve">par iemeslu </w:t>
      </w:r>
      <w:r w:rsidRPr="00A857F2">
        <w:rPr>
          <w:rFonts w:ascii="Times New Roman" w:hAnsi="Times New Roman" w:cs="Times New Roman"/>
          <w:sz w:val="24"/>
          <w:szCs w:val="24"/>
        </w:rPr>
        <w:t>bezdarba</w:t>
      </w:r>
      <w:r w:rsidR="00D36870" w:rsidRPr="003B5C85">
        <w:rPr>
          <w:rFonts w:ascii="Times New Roman" w:hAnsi="Times New Roman" w:cs="Times New Roman"/>
          <w:sz w:val="24"/>
          <w:szCs w:val="24"/>
        </w:rPr>
        <w:t>m</w:t>
      </w:r>
      <w:r w:rsidRPr="003B5C85">
        <w:rPr>
          <w:rFonts w:ascii="Times New Roman" w:hAnsi="Times New Roman" w:cs="Times New Roman"/>
          <w:sz w:val="24"/>
          <w:szCs w:val="24"/>
        </w:rPr>
        <w:t xml:space="preserve"> vai zemākas darba intensitātes nodarbinātība</w:t>
      </w:r>
      <w:r w:rsidR="00D36870" w:rsidRPr="009703E6">
        <w:rPr>
          <w:rFonts w:ascii="Times New Roman" w:hAnsi="Times New Roman" w:cs="Times New Roman"/>
          <w:sz w:val="24"/>
          <w:szCs w:val="24"/>
        </w:rPr>
        <w:t>i</w:t>
      </w:r>
      <w:r w:rsidRPr="009703E6">
        <w:rPr>
          <w:rFonts w:ascii="Times New Roman" w:hAnsi="Times New Roman" w:cs="Times New Roman"/>
          <w:sz w:val="24"/>
          <w:szCs w:val="24"/>
        </w:rPr>
        <w:t>.</w:t>
      </w:r>
      <w:r w:rsidRPr="0015154B">
        <w:rPr>
          <w:rFonts w:ascii="Times New Roman" w:hAnsi="Times New Roman" w:cs="Times New Roman"/>
          <w:sz w:val="24"/>
          <w:szCs w:val="24"/>
        </w:rPr>
        <w:t xml:space="preserve"> Tādēļ cilvēkam </w:t>
      </w:r>
      <w:r w:rsidR="00D36870" w:rsidRPr="0015154B">
        <w:rPr>
          <w:rFonts w:ascii="Times New Roman" w:hAnsi="Times New Roman" w:cs="Times New Roman"/>
          <w:sz w:val="24"/>
          <w:szCs w:val="24"/>
        </w:rPr>
        <w:t>ar inval</w:t>
      </w:r>
      <w:r w:rsidR="00FF39A9" w:rsidRPr="0015154B">
        <w:rPr>
          <w:rFonts w:ascii="Times New Roman" w:hAnsi="Times New Roman" w:cs="Times New Roman"/>
          <w:sz w:val="24"/>
          <w:szCs w:val="24"/>
        </w:rPr>
        <w:t>i</w:t>
      </w:r>
      <w:r w:rsidR="00D36870" w:rsidRPr="0015154B">
        <w:rPr>
          <w:rFonts w:ascii="Times New Roman" w:hAnsi="Times New Roman" w:cs="Times New Roman"/>
          <w:sz w:val="24"/>
          <w:szCs w:val="24"/>
        </w:rPr>
        <w:t xml:space="preserve">ditāti </w:t>
      </w:r>
      <w:r w:rsidRPr="0015154B">
        <w:rPr>
          <w:rFonts w:ascii="Times New Roman" w:hAnsi="Times New Roman" w:cs="Times New Roman"/>
          <w:sz w:val="24"/>
          <w:szCs w:val="24"/>
        </w:rPr>
        <w:t xml:space="preserve">ir ierobežotas iespējas gūt pietiekamus ienākumus </w:t>
      </w:r>
      <w:r w:rsidR="00FD0ECA" w:rsidRPr="0015154B">
        <w:rPr>
          <w:rFonts w:ascii="Times New Roman" w:hAnsi="Times New Roman" w:cs="Times New Roman"/>
          <w:sz w:val="24"/>
          <w:szCs w:val="24"/>
        </w:rPr>
        <w:t xml:space="preserve">no algota darba </w:t>
      </w:r>
      <w:r w:rsidRPr="0015154B">
        <w:rPr>
          <w:rFonts w:ascii="Times New Roman" w:hAnsi="Times New Roman" w:cs="Times New Roman"/>
          <w:sz w:val="24"/>
          <w:szCs w:val="24"/>
        </w:rPr>
        <w:t>un lielāka iespējamība tikt pakļautam nabadzības riskam</w:t>
      </w:r>
      <w:r w:rsidR="00123959" w:rsidRPr="0015154B">
        <w:rPr>
          <w:rFonts w:ascii="Times New Roman" w:hAnsi="Times New Roman" w:cs="Times New Roman"/>
          <w:sz w:val="24"/>
          <w:szCs w:val="24"/>
        </w:rPr>
        <w:t xml:space="preserve"> (</w:t>
      </w:r>
      <w:r w:rsidR="00123959" w:rsidRPr="0015154B">
        <w:rPr>
          <w:rFonts w:ascii="Times New Roman" w:hAnsi="Times New Roman" w:cs="Times New Roman"/>
          <w:sz w:val="24"/>
          <w:szCs w:val="24"/>
          <w:highlight w:val="yellow"/>
        </w:rPr>
        <w:t>skat. 7.attēlu</w:t>
      </w:r>
      <w:r w:rsidR="00123959" w:rsidRPr="0015154B">
        <w:rPr>
          <w:rFonts w:ascii="Times New Roman" w:hAnsi="Times New Roman" w:cs="Times New Roman"/>
          <w:sz w:val="24"/>
          <w:szCs w:val="24"/>
        </w:rPr>
        <w:t>)</w:t>
      </w:r>
      <w:r w:rsidRPr="0015154B">
        <w:rPr>
          <w:rFonts w:ascii="Times New Roman" w:hAnsi="Times New Roman" w:cs="Times New Roman"/>
          <w:sz w:val="24"/>
          <w:szCs w:val="24"/>
        </w:rPr>
        <w:t>.</w:t>
      </w:r>
      <w:r w:rsidR="005C4C85" w:rsidRPr="0015154B">
        <w:rPr>
          <w:rFonts w:ascii="Times New Roman" w:hAnsi="Times New Roman" w:cs="Times New Roman"/>
          <w:sz w:val="24"/>
          <w:szCs w:val="24"/>
        </w:rPr>
        <w:t xml:space="preserve"> Analizējot personu ar invaliditāti nodarbinātības rādītājus, var pieņemt, ka personu ar invaliditāti ienākumus lielākoties veido invaliditātes pensija vai valsts sociālā nodrošinājuma pabalsts  invaliditātes gadījumā, kā arī specifiskie ar invaliditāti saistītie valsts un pašvaldību pabalsti. Tas rada augstāku nabadzības un sociālās atstumtības risku šajā mērķa grupā. Atbilstoši </w:t>
      </w:r>
      <w:r w:rsidR="00FF39A9" w:rsidRPr="0015154B">
        <w:rPr>
          <w:rFonts w:ascii="Times New Roman" w:hAnsi="Times New Roman" w:cs="Times New Roman"/>
          <w:sz w:val="24"/>
          <w:szCs w:val="24"/>
        </w:rPr>
        <w:t>EU-SILC datiem</w:t>
      </w:r>
      <w:r w:rsidR="005C4C85" w:rsidRPr="0015154B">
        <w:rPr>
          <w:rFonts w:ascii="Times New Roman" w:hAnsi="Times New Roman" w:cs="Times New Roman"/>
          <w:sz w:val="24"/>
          <w:szCs w:val="24"/>
        </w:rPr>
        <w:t xml:space="preserve"> nabadzības riska slieksnis Latvijā 2017.gadā bija 367 </w:t>
      </w:r>
      <w:r w:rsidR="00C1460D" w:rsidRPr="0015154B">
        <w:rPr>
          <w:rFonts w:ascii="Times New Roman" w:hAnsi="Times New Roman" w:cs="Times New Roman"/>
          <w:sz w:val="24"/>
          <w:szCs w:val="24"/>
        </w:rPr>
        <w:t>eiro</w:t>
      </w:r>
      <w:r w:rsidR="005C4C85" w:rsidRPr="0015154B">
        <w:rPr>
          <w:rFonts w:ascii="Times New Roman" w:hAnsi="Times New Roman" w:cs="Times New Roman"/>
          <w:sz w:val="24"/>
          <w:szCs w:val="24"/>
        </w:rPr>
        <w:t xml:space="preserve"> mēnesī un 2018.gadā  409 </w:t>
      </w:r>
      <w:r w:rsidR="00C1460D" w:rsidRPr="0015154B">
        <w:rPr>
          <w:rFonts w:ascii="Times New Roman" w:hAnsi="Times New Roman" w:cs="Times New Roman"/>
          <w:iCs/>
          <w:sz w:val="24"/>
          <w:szCs w:val="24"/>
        </w:rPr>
        <w:t>eiro</w:t>
      </w:r>
      <w:r w:rsidR="005C4C85" w:rsidRPr="0015154B">
        <w:rPr>
          <w:rFonts w:ascii="Times New Roman" w:hAnsi="Times New Roman" w:cs="Times New Roman"/>
          <w:sz w:val="24"/>
          <w:szCs w:val="24"/>
        </w:rPr>
        <w:t xml:space="preserve"> mēnesī</w:t>
      </w:r>
      <w:r w:rsidR="0076183B" w:rsidRPr="0015154B">
        <w:rPr>
          <w:rFonts w:ascii="Times New Roman" w:hAnsi="Times New Roman" w:cs="Times New Roman"/>
          <w:sz w:val="24"/>
          <w:szCs w:val="24"/>
        </w:rPr>
        <w:t>.</w:t>
      </w:r>
      <w:r w:rsidR="005C4C85" w:rsidRPr="007157D3">
        <w:rPr>
          <w:rStyle w:val="FootnoteReference"/>
          <w:rFonts w:ascii="Times New Roman" w:hAnsi="Times New Roman" w:cs="Times New Roman"/>
          <w:sz w:val="24"/>
          <w:szCs w:val="24"/>
        </w:rPr>
        <w:footnoteReference w:id="20"/>
      </w:r>
      <w:r w:rsidR="005C4C85" w:rsidRPr="007157D3">
        <w:rPr>
          <w:rFonts w:ascii="Times New Roman" w:hAnsi="Times New Roman" w:cs="Times New Roman"/>
          <w:sz w:val="24"/>
          <w:szCs w:val="24"/>
        </w:rPr>
        <w:t xml:space="preserve">  </w:t>
      </w:r>
      <w:r w:rsidR="005C4C85" w:rsidRPr="002F5278">
        <w:rPr>
          <w:rFonts w:ascii="Times New Roman" w:eastAsia="Calibri" w:hAnsi="Times New Roman" w:cs="Times New Roman"/>
          <w:sz w:val="24"/>
          <w:szCs w:val="24"/>
        </w:rPr>
        <w:t xml:space="preserve">Vērtējot visus personu ar invaliditāti ienākumus, nabadzības riskam 2017.gadā vidēji bija pakļautas 62,8% </w:t>
      </w:r>
      <w:r w:rsidR="005C4C85" w:rsidRPr="0025422D">
        <w:rPr>
          <w:rFonts w:ascii="Times New Roman" w:eastAsia="Calibri" w:hAnsi="Times New Roman" w:cs="Times New Roman"/>
          <w:sz w:val="24"/>
          <w:szCs w:val="24"/>
        </w:rPr>
        <w:t xml:space="preserve">personas ar invaliditāti </w:t>
      </w:r>
      <w:r w:rsidR="005C4C85" w:rsidRPr="00A857F2">
        <w:rPr>
          <w:rFonts w:ascii="Times New Roman" w:hAnsi="Times New Roman" w:cs="Times New Roman"/>
          <w:sz w:val="24"/>
          <w:szCs w:val="24"/>
        </w:rPr>
        <w:t>(t.i., par 17,6 procentpunktiem mazāk nekā ienākumu no sociālajiem transfertiem gadījumā)</w:t>
      </w:r>
      <w:r w:rsidR="005C4C85" w:rsidRPr="009703E6">
        <w:rPr>
          <w:rFonts w:ascii="Times New Roman" w:eastAsia="Calibri" w:hAnsi="Times New Roman" w:cs="Times New Roman"/>
          <w:sz w:val="24"/>
          <w:szCs w:val="24"/>
        </w:rPr>
        <w:t>, turklāt visaugstākais nabadzības riska ir tieši personām ar II invaliditātes grupu (73,4%) un III invaliditātes grupu ( 56,4%)</w:t>
      </w:r>
      <w:r w:rsidR="0076183B" w:rsidRPr="009703E6">
        <w:rPr>
          <w:rFonts w:ascii="Times New Roman" w:eastAsia="Calibri" w:hAnsi="Times New Roman" w:cs="Times New Roman"/>
          <w:sz w:val="24"/>
          <w:szCs w:val="24"/>
        </w:rPr>
        <w:t>.</w:t>
      </w:r>
      <w:r w:rsidR="005C4C85" w:rsidRPr="007157D3">
        <w:rPr>
          <w:rFonts w:ascii="Times New Roman" w:eastAsia="Calibri" w:hAnsi="Times New Roman" w:cs="Times New Roman"/>
          <w:sz w:val="24"/>
          <w:szCs w:val="24"/>
          <w:vertAlign w:val="superscript"/>
        </w:rPr>
        <w:footnoteReference w:id="21"/>
      </w:r>
    </w:p>
    <w:p w14:paraId="04A9C448" w14:textId="0A6D6994" w:rsidR="00F02C45" w:rsidRDefault="00F02C45">
      <w:pPr>
        <w:rPr>
          <w:highlight w:val="yellow"/>
        </w:rPr>
      </w:pPr>
      <w:r>
        <w:rPr>
          <w:highlight w:val="yellow"/>
        </w:rPr>
        <w:br w:type="page"/>
      </w:r>
    </w:p>
    <w:p w14:paraId="764AE00F" w14:textId="0B62D42B" w:rsidR="005C4C85" w:rsidRPr="00A857F2" w:rsidRDefault="009513D1" w:rsidP="008F021B">
      <w:pPr>
        <w:spacing w:after="0" w:line="240" w:lineRule="auto"/>
        <w:rPr>
          <w:rFonts w:ascii="Times New Roman" w:hAnsi="Times New Roman" w:cs="Times New Roman"/>
          <w:sz w:val="24"/>
          <w:szCs w:val="24"/>
        </w:rPr>
      </w:pPr>
      <w:r w:rsidRPr="0025422D">
        <w:rPr>
          <w:rFonts w:ascii="Times New Roman" w:hAnsi="Times New Roman" w:cs="Times New Roman"/>
          <w:sz w:val="24"/>
          <w:szCs w:val="24"/>
        </w:rPr>
        <w:lastRenderedPageBreak/>
        <w:t>7</w:t>
      </w:r>
      <w:r w:rsidR="005C4C85" w:rsidRPr="00A857F2">
        <w:rPr>
          <w:rFonts w:ascii="Times New Roman" w:hAnsi="Times New Roman" w:cs="Times New Roman"/>
          <w:sz w:val="24"/>
          <w:szCs w:val="24"/>
        </w:rPr>
        <w:t xml:space="preserve">.attēls </w:t>
      </w:r>
    </w:p>
    <w:p w14:paraId="31829CCE" w14:textId="77777777" w:rsidR="005C4C85" w:rsidRPr="009703E6" w:rsidRDefault="005C4C85" w:rsidP="008F021B">
      <w:pPr>
        <w:spacing w:after="0" w:line="240" w:lineRule="auto"/>
        <w:jc w:val="center"/>
        <w:rPr>
          <w:rFonts w:ascii="Times New Roman" w:hAnsi="Times New Roman" w:cs="Times New Roman"/>
          <w:b/>
          <w:color w:val="002060"/>
          <w:sz w:val="24"/>
          <w:szCs w:val="24"/>
        </w:rPr>
      </w:pPr>
      <w:r w:rsidRPr="009703E6">
        <w:rPr>
          <w:rFonts w:ascii="Times New Roman" w:hAnsi="Times New Roman" w:cs="Times New Roman"/>
          <w:b/>
          <w:color w:val="002060"/>
          <w:sz w:val="24"/>
          <w:szCs w:val="24"/>
        </w:rPr>
        <w:t>Personu ar invaliditāti īpatsvars, kuru kopējie ienākumi nepārsniedz nabadzības riska slieksni 2015. – 2017. gadā (%)</w:t>
      </w:r>
    </w:p>
    <w:p w14:paraId="7AC66053" w14:textId="77777777" w:rsidR="005C4C85" w:rsidRPr="007157D3" w:rsidRDefault="005C4C85" w:rsidP="008F021B">
      <w:pPr>
        <w:spacing w:after="0" w:line="240" w:lineRule="auto"/>
        <w:rPr>
          <w:sz w:val="20"/>
          <w:szCs w:val="20"/>
        </w:rPr>
      </w:pPr>
      <w:r w:rsidRPr="004A6572">
        <w:rPr>
          <w:noProof/>
          <w:lang w:eastAsia="lv-LV"/>
        </w:rPr>
        <w:drawing>
          <wp:inline distT="0" distB="0" distL="0" distR="0" wp14:anchorId="360C540C" wp14:editId="2F3F3816">
            <wp:extent cx="5274310" cy="171704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1717040"/>
                    </a:xfrm>
                    <a:prstGeom prst="rect">
                      <a:avLst/>
                    </a:prstGeom>
                    <a:noFill/>
                    <a:ln>
                      <a:noFill/>
                    </a:ln>
                  </pic:spPr>
                </pic:pic>
              </a:graphicData>
            </a:graphic>
          </wp:inline>
        </w:drawing>
      </w:r>
    </w:p>
    <w:p w14:paraId="276A5A06" w14:textId="3CFB822C" w:rsidR="005C4C85" w:rsidRPr="0025422D" w:rsidRDefault="008F021B" w:rsidP="008F021B">
      <w:pPr>
        <w:spacing w:after="0" w:line="240" w:lineRule="auto"/>
        <w:rPr>
          <w:rFonts w:ascii="Times New Roman" w:hAnsi="Times New Roman" w:cs="Times New Roman"/>
          <w:sz w:val="20"/>
          <w:szCs w:val="20"/>
        </w:rPr>
      </w:pPr>
      <w:r w:rsidRPr="002F5278">
        <w:rPr>
          <w:rFonts w:ascii="Times New Roman" w:hAnsi="Times New Roman" w:cs="Times New Roman"/>
          <w:sz w:val="20"/>
          <w:szCs w:val="20"/>
        </w:rPr>
        <w:t>Datu a</w:t>
      </w:r>
      <w:r w:rsidR="005C4C85" w:rsidRPr="0025422D">
        <w:rPr>
          <w:rFonts w:ascii="Times New Roman" w:hAnsi="Times New Roman" w:cs="Times New Roman"/>
          <w:sz w:val="20"/>
          <w:szCs w:val="20"/>
        </w:rPr>
        <w:t>vots: Nodibinājuma “Baltic Institute of Social Sciences” aprēķini, izmantojot V</w:t>
      </w:r>
      <w:r w:rsidR="00335298">
        <w:rPr>
          <w:rFonts w:ascii="Times New Roman" w:hAnsi="Times New Roman" w:cs="Times New Roman"/>
          <w:sz w:val="20"/>
          <w:szCs w:val="20"/>
        </w:rPr>
        <w:t>alsts sociālās apdrošināšanas aģentūras</w:t>
      </w:r>
      <w:r w:rsidR="005C4C85" w:rsidRPr="0025422D">
        <w:rPr>
          <w:rFonts w:ascii="Times New Roman" w:hAnsi="Times New Roman" w:cs="Times New Roman"/>
          <w:sz w:val="20"/>
          <w:szCs w:val="20"/>
        </w:rPr>
        <w:t xml:space="preserve"> sagatavotos administratīvos mikrodatus</w:t>
      </w:r>
    </w:p>
    <w:p w14:paraId="7FBB92FC" w14:textId="54FD38B9" w:rsidR="00200837" w:rsidRPr="0025422D" w:rsidRDefault="00200837" w:rsidP="008F021B">
      <w:pPr>
        <w:spacing w:after="0" w:line="240" w:lineRule="auto"/>
        <w:ind w:firstLine="720"/>
        <w:jc w:val="both"/>
        <w:rPr>
          <w:rFonts w:ascii="Times New Roman" w:eastAsia="Times New Roman" w:hAnsi="Times New Roman" w:cs="Times New Roman"/>
          <w:iCs/>
          <w:sz w:val="24"/>
          <w:szCs w:val="24"/>
          <w:lang w:eastAsia="lv-LV"/>
        </w:rPr>
      </w:pPr>
    </w:p>
    <w:p w14:paraId="54ED1050" w14:textId="3C65E0A9" w:rsidR="00200837" w:rsidRPr="009703E6" w:rsidRDefault="00200837" w:rsidP="0030363D">
      <w:pPr>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b/>
          <w:sz w:val="24"/>
          <w:szCs w:val="24"/>
        </w:rPr>
        <w:t>Ienākumu nevienlīdzību</w:t>
      </w:r>
      <w:r w:rsidRPr="0025422D">
        <w:rPr>
          <w:rFonts w:ascii="Times New Roman" w:hAnsi="Times New Roman" w:cs="Times New Roman"/>
          <w:sz w:val="24"/>
          <w:szCs w:val="24"/>
        </w:rPr>
        <w:t xml:space="preserve"> raksturojošie rādītāji Latvijā ir starp augstākajiem ES dalībvalstīm – 5.kvintiles ienākumi ir vidēji 6,5 reizes lielāki n</w:t>
      </w:r>
      <w:r w:rsidRPr="00A857F2">
        <w:rPr>
          <w:rFonts w:ascii="Times New Roman" w:hAnsi="Times New Roman" w:cs="Times New Roman"/>
          <w:sz w:val="24"/>
          <w:szCs w:val="24"/>
        </w:rPr>
        <w:t>ekā 1.kvintilei (</w:t>
      </w:r>
      <w:r w:rsidRPr="00A857F2">
        <w:rPr>
          <w:rFonts w:ascii="Times New Roman" w:hAnsi="Times New Roman" w:cs="Times New Roman"/>
          <w:sz w:val="24"/>
          <w:szCs w:val="24"/>
          <w:highlight w:val="yellow"/>
        </w:rPr>
        <w:t xml:space="preserve">skat. </w:t>
      </w:r>
      <w:r w:rsidR="008F021B" w:rsidRPr="003B5C85">
        <w:rPr>
          <w:rFonts w:ascii="Times New Roman" w:hAnsi="Times New Roman" w:cs="Times New Roman"/>
          <w:sz w:val="24"/>
          <w:szCs w:val="24"/>
          <w:highlight w:val="yellow"/>
        </w:rPr>
        <w:t>3</w:t>
      </w:r>
      <w:r w:rsidRPr="003B5C85">
        <w:rPr>
          <w:rFonts w:ascii="Times New Roman" w:hAnsi="Times New Roman" w:cs="Times New Roman"/>
          <w:sz w:val="24"/>
          <w:szCs w:val="24"/>
          <w:highlight w:val="yellow"/>
        </w:rPr>
        <w:t>.tabulu</w:t>
      </w:r>
      <w:r w:rsidRPr="009703E6">
        <w:rPr>
          <w:rFonts w:ascii="Times New Roman" w:hAnsi="Times New Roman" w:cs="Times New Roman"/>
          <w:sz w:val="24"/>
          <w:szCs w:val="24"/>
        </w:rPr>
        <w:t xml:space="preserve">), kamēr ES vidēji šis rādītājs ir 5 reizes. Ienākumu nevienlīdzība ir viens no galvenajiem augstā nabadzības riska cēloņiem valstī, kas jau daudzus gadus ir nemainīgi pastāvoša problēma nevienlīdzīgas ienākumu pārdales un zemas sociālo transfertu ietekmes rezultātā. Tāpat jāņem vērā, ka Latvijā iedzīvotāju ienākumi ir ļoti kompakti, tāpēc nelielas izmaiņas vienas kvintiļu grupas ienākumos var relatīvi pasliktināt otras kvintiļu grupas situāciju. </w:t>
      </w:r>
    </w:p>
    <w:p w14:paraId="2597A87A" w14:textId="1D771EB4" w:rsidR="00200837" w:rsidRPr="0015154B" w:rsidRDefault="00200837" w:rsidP="00200837">
      <w:pPr>
        <w:spacing w:after="0" w:line="240" w:lineRule="auto"/>
        <w:ind w:firstLine="720"/>
        <w:jc w:val="both"/>
        <w:rPr>
          <w:rFonts w:ascii="Times New Roman" w:hAnsi="Times New Roman" w:cs="Times New Roman"/>
          <w:sz w:val="24"/>
          <w:szCs w:val="24"/>
        </w:rPr>
      </w:pPr>
    </w:p>
    <w:p w14:paraId="46271AE0" w14:textId="2AA7C4EB" w:rsidR="00200837" w:rsidRPr="0015154B" w:rsidRDefault="008F021B" w:rsidP="008F021B">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3.</w:t>
      </w:r>
      <w:r w:rsidR="00200837" w:rsidRPr="0015154B">
        <w:rPr>
          <w:rFonts w:ascii="Times New Roman" w:hAnsi="Times New Roman" w:cs="Times New Roman"/>
          <w:sz w:val="24"/>
          <w:szCs w:val="24"/>
        </w:rPr>
        <w:t>tabula</w:t>
      </w:r>
    </w:p>
    <w:p w14:paraId="653ED2F2" w14:textId="77777777" w:rsidR="00200837" w:rsidRPr="0015154B" w:rsidRDefault="00200837" w:rsidP="00200837">
      <w:pPr>
        <w:spacing w:after="0" w:line="240" w:lineRule="auto"/>
        <w:ind w:firstLine="720"/>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Ienākumu nevienlīdzību raksturojoši rādītāji</w:t>
      </w:r>
    </w:p>
    <w:p w14:paraId="362F8A5F" w14:textId="77777777" w:rsidR="00200837" w:rsidRPr="0015154B" w:rsidRDefault="00200837" w:rsidP="00200837">
      <w:pPr>
        <w:spacing w:after="0" w:line="240" w:lineRule="auto"/>
        <w:ind w:firstLine="720"/>
        <w:jc w:val="both"/>
        <w:rPr>
          <w:rFonts w:ascii="Times New Roman" w:hAnsi="Times New Roman" w:cs="Times New Roman"/>
          <w:sz w:val="24"/>
          <w:szCs w:val="24"/>
        </w:rPr>
      </w:pPr>
    </w:p>
    <w:tbl>
      <w:tblPr>
        <w:tblStyle w:val="VKTabula"/>
        <w:tblW w:w="0" w:type="auto"/>
        <w:tblLook w:val="04A0" w:firstRow="1" w:lastRow="0" w:firstColumn="1" w:lastColumn="0" w:noHBand="0" w:noVBand="1"/>
      </w:tblPr>
      <w:tblGrid>
        <w:gridCol w:w="1382"/>
        <w:gridCol w:w="1382"/>
        <w:gridCol w:w="1383"/>
        <w:gridCol w:w="1383"/>
        <w:gridCol w:w="1383"/>
        <w:gridCol w:w="1383"/>
      </w:tblGrid>
      <w:tr w:rsidR="00585345" w:rsidRPr="0015154B" w14:paraId="1AE8BB9B" w14:textId="77777777" w:rsidTr="00585345">
        <w:trPr>
          <w:cnfStyle w:val="100000000000" w:firstRow="1" w:lastRow="0" w:firstColumn="0" w:lastColumn="0" w:oddVBand="0" w:evenVBand="0" w:oddHBand="0" w:evenHBand="0" w:firstRowFirstColumn="0" w:firstRowLastColumn="0" w:lastRowFirstColumn="0" w:lastRowLastColumn="0"/>
        </w:trPr>
        <w:tc>
          <w:tcPr>
            <w:tcW w:w="1382" w:type="dxa"/>
          </w:tcPr>
          <w:p w14:paraId="58DC2D09" w14:textId="77777777" w:rsidR="00200837" w:rsidRPr="0015154B" w:rsidRDefault="00200837" w:rsidP="0026365F">
            <w:pPr>
              <w:jc w:val="both"/>
              <w:rPr>
                <w:color w:val="002060"/>
                <w:sz w:val="24"/>
                <w:szCs w:val="24"/>
              </w:rPr>
            </w:pPr>
          </w:p>
        </w:tc>
        <w:tc>
          <w:tcPr>
            <w:tcW w:w="1382" w:type="dxa"/>
          </w:tcPr>
          <w:p w14:paraId="11B899E6" w14:textId="77777777" w:rsidR="00200837" w:rsidRPr="0015154B" w:rsidRDefault="00200837" w:rsidP="0026365F">
            <w:pPr>
              <w:jc w:val="center"/>
              <w:rPr>
                <w:color w:val="002060"/>
                <w:sz w:val="24"/>
                <w:szCs w:val="24"/>
              </w:rPr>
            </w:pPr>
            <w:r w:rsidRPr="0015154B">
              <w:rPr>
                <w:color w:val="002060"/>
                <w:sz w:val="24"/>
                <w:szCs w:val="24"/>
              </w:rPr>
              <w:t>2014</w:t>
            </w:r>
          </w:p>
        </w:tc>
        <w:tc>
          <w:tcPr>
            <w:tcW w:w="1383" w:type="dxa"/>
          </w:tcPr>
          <w:p w14:paraId="71F4C80C" w14:textId="77777777" w:rsidR="00200837" w:rsidRPr="0015154B" w:rsidRDefault="00200837" w:rsidP="0026365F">
            <w:pPr>
              <w:jc w:val="center"/>
              <w:rPr>
                <w:color w:val="002060"/>
                <w:sz w:val="24"/>
                <w:szCs w:val="24"/>
              </w:rPr>
            </w:pPr>
            <w:r w:rsidRPr="0015154B">
              <w:rPr>
                <w:color w:val="002060"/>
                <w:sz w:val="24"/>
                <w:szCs w:val="24"/>
              </w:rPr>
              <w:t>2015</w:t>
            </w:r>
          </w:p>
        </w:tc>
        <w:tc>
          <w:tcPr>
            <w:tcW w:w="1383" w:type="dxa"/>
          </w:tcPr>
          <w:p w14:paraId="56AB56BD" w14:textId="77777777" w:rsidR="00200837" w:rsidRPr="0015154B" w:rsidRDefault="00200837" w:rsidP="0026365F">
            <w:pPr>
              <w:jc w:val="center"/>
              <w:rPr>
                <w:color w:val="002060"/>
                <w:sz w:val="24"/>
                <w:szCs w:val="24"/>
              </w:rPr>
            </w:pPr>
            <w:r w:rsidRPr="0015154B">
              <w:rPr>
                <w:color w:val="002060"/>
                <w:sz w:val="24"/>
                <w:szCs w:val="24"/>
              </w:rPr>
              <w:t>2016</w:t>
            </w:r>
          </w:p>
        </w:tc>
        <w:tc>
          <w:tcPr>
            <w:tcW w:w="1383" w:type="dxa"/>
          </w:tcPr>
          <w:p w14:paraId="062B7D89" w14:textId="77777777" w:rsidR="00200837" w:rsidRPr="0015154B" w:rsidRDefault="00200837" w:rsidP="0026365F">
            <w:pPr>
              <w:jc w:val="center"/>
              <w:rPr>
                <w:color w:val="002060"/>
                <w:sz w:val="24"/>
                <w:szCs w:val="24"/>
              </w:rPr>
            </w:pPr>
            <w:r w:rsidRPr="0015154B">
              <w:rPr>
                <w:color w:val="002060"/>
                <w:sz w:val="24"/>
                <w:szCs w:val="24"/>
              </w:rPr>
              <w:t>2017</w:t>
            </w:r>
          </w:p>
        </w:tc>
        <w:tc>
          <w:tcPr>
            <w:tcW w:w="1383" w:type="dxa"/>
          </w:tcPr>
          <w:p w14:paraId="4D7BA153" w14:textId="77777777" w:rsidR="00200837" w:rsidRPr="0015154B" w:rsidRDefault="00200837" w:rsidP="0026365F">
            <w:pPr>
              <w:jc w:val="center"/>
              <w:rPr>
                <w:color w:val="002060"/>
                <w:sz w:val="24"/>
                <w:szCs w:val="24"/>
              </w:rPr>
            </w:pPr>
            <w:r w:rsidRPr="0015154B">
              <w:rPr>
                <w:color w:val="002060"/>
                <w:sz w:val="24"/>
                <w:szCs w:val="24"/>
              </w:rPr>
              <w:t>2018</w:t>
            </w:r>
          </w:p>
        </w:tc>
      </w:tr>
      <w:tr w:rsidR="00200837" w:rsidRPr="0015154B" w14:paraId="06C5ED2C" w14:textId="77777777" w:rsidTr="00585345">
        <w:trPr>
          <w:cnfStyle w:val="000000100000" w:firstRow="0" w:lastRow="0" w:firstColumn="0" w:lastColumn="0" w:oddVBand="0" w:evenVBand="0" w:oddHBand="1" w:evenHBand="0" w:firstRowFirstColumn="0" w:firstRowLastColumn="0" w:lastRowFirstColumn="0" w:lastRowLastColumn="0"/>
        </w:trPr>
        <w:tc>
          <w:tcPr>
            <w:tcW w:w="1382" w:type="dxa"/>
          </w:tcPr>
          <w:p w14:paraId="6D71E39A" w14:textId="77777777" w:rsidR="00200837" w:rsidRPr="0015154B" w:rsidRDefault="00200837" w:rsidP="0026365F">
            <w:pPr>
              <w:jc w:val="both"/>
              <w:rPr>
                <w:sz w:val="24"/>
                <w:szCs w:val="24"/>
              </w:rPr>
            </w:pPr>
            <w:r w:rsidRPr="0015154B">
              <w:rPr>
                <w:sz w:val="24"/>
                <w:szCs w:val="24"/>
              </w:rPr>
              <w:t>S80/S20</w:t>
            </w:r>
          </w:p>
        </w:tc>
        <w:tc>
          <w:tcPr>
            <w:tcW w:w="1382" w:type="dxa"/>
          </w:tcPr>
          <w:p w14:paraId="453570EC" w14:textId="77777777" w:rsidR="00200837" w:rsidRPr="0015154B" w:rsidRDefault="00200837" w:rsidP="0026365F">
            <w:pPr>
              <w:jc w:val="center"/>
              <w:rPr>
                <w:sz w:val="24"/>
                <w:szCs w:val="24"/>
              </w:rPr>
            </w:pPr>
            <w:r w:rsidRPr="0015154B">
              <w:rPr>
                <w:sz w:val="24"/>
                <w:szCs w:val="24"/>
              </w:rPr>
              <w:t>6,5</w:t>
            </w:r>
          </w:p>
        </w:tc>
        <w:tc>
          <w:tcPr>
            <w:tcW w:w="1383" w:type="dxa"/>
          </w:tcPr>
          <w:p w14:paraId="2E39EFD1" w14:textId="77777777" w:rsidR="00200837" w:rsidRPr="0015154B" w:rsidRDefault="00200837" w:rsidP="0026365F">
            <w:pPr>
              <w:jc w:val="center"/>
              <w:rPr>
                <w:sz w:val="24"/>
                <w:szCs w:val="24"/>
              </w:rPr>
            </w:pPr>
            <w:r w:rsidRPr="0015154B">
              <w:rPr>
                <w:sz w:val="24"/>
                <w:szCs w:val="24"/>
              </w:rPr>
              <w:t>6,2</w:t>
            </w:r>
          </w:p>
        </w:tc>
        <w:tc>
          <w:tcPr>
            <w:tcW w:w="1383" w:type="dxa"/>
          </w:tcPr>
          <w:p w14:paraId="7FB1F5D8" w14:textId="77777777" w:rsidR="00200837" w:rsidRPr="0015154B" w:rsidRDefault="00200837" w:rsidP="0026365F">
            <w:pPr>
              <w:jc w:val="center"/>
              <w:rPr>
                <w:sz w:val="24"/>
                <w:szCs w:val="24"/>
              </w:rPr>
            </w:pPr>
            <w:r w:rsidRPr="0015154B">
              <w:rPr>
                <w:sz w:val="24"/>
                <w:szCs w:val="24"/>
              </w:rPr>
              <w:t>6,3</w:t>
            </w:r>
          </w:p>
        </w:tc>
        <w:tc>
          <w:tcPr>
            <w:tcW w:w="1383" w:type="dxa"/>
          </w:tcPr>
          <w:p w14:paraId="69316643" w14:textId="77777777" w:rsidR="00200837" w:rsidRPr="0015154B" w:rsidRDefault="00200837" w:rsidP="0026365F">
            <w:pPr>
              <w:jc w:val="center"/>
              <w:rPr>
                <w:sz w:val="24"/>
                <w:szCs w:val="24"/>
              </w:rPr>
            </w:pPr>
            <w:r w:rsidRPr="0015154B">
              <w:rPr>
                <w:sz w:val="24"/>
                <w:szCs w:val="24"/>
              </w:rPr>
              <w:t>6,8</w:t>
            </w:r>
          </w:p>
        </w:tc>
        <w:tc>
          <w:tcPr>
            <w:tcW w:w="1383" w:type="dxa"/>
          </w:tcPr>
          <w:p w14:paraId="272D0FDA" w14:textId="77777777" w:rsidR="00200837" w:rsidRPr="0015154B" w:rsidRDefault="00200837" w:rsidP="0026365F">
            <w:pPr>
              <w:jc w:val="center"/>
              <w:rPr>
                <w:sz w:val="24"/>
                <w:szCs w:val="24"/>
              </w:rPr>
            </w:pPr>
            <w:r w:rsidRPr="0015154B">
              <w:rPr>
                <w:sz w:val="24"/>
                <w:szCs w:val="24"/>
              </w:rPr>
              <w:t>6,5</w:t>
            </w:r>
          </w:p>
        </w:tc>
      </w:tr>
      <w:tr w:rsidR="00200837" w:rsidRPr="0015154B" w14:paraId="715A3B2A" w14:textId="77777777" w:rsidTr="00585345">
        <w:trPr>
          <w:cnfStyle w:val="000000010000" w:firstRow="0" w:lastRow="0" w:firstColumn="0" w:lastColumn="0" w:oddVBand="0" w:evenVBand="0" w:oddHBand="0" w:evenHBand="1" w:firstRowFirstColumn="0" w:firstRowLastColumn="0" w:lastRowFirstColumn="0" w:lastRowLastColumn="0"/>
        </w:trPr>
        <w:tc>
          <w:tcPr>
            <w:tcW w:w="1382" w:type="dxa"/>
          </w:tcPr>
          <w:p w14:paraId="722875B1" w14:textId="77777777" w:rsidR="00200837" w:rsidRPr="0015154B" w:rsidRDefault="00200837" w:rsidP="0026365F">
            <w:pPr>
              <w:jc w:val="both"/>
              <w:rPr>
                <w:sz w:val="24"/>
                <w:szCs w:val="24"/>
              </w:rPr>
            </w:pPr>
            <w:r w:rsidRPr="0015154B">
              <w:rPr>
                <w:sz w:val="24"/>
                <w:szCs w:val="24"/>
              </w:rPr>
              <w:t>Džini koeficients</w:t>
            </w:r>
          </w:p>
        </w:tc>
        <w:tc>
          <w:tcPr>
            <w:tcW w:w="1382" w:type="dxa"/>
          </w:tcPr>
          <w:p w14:paraId="1537F6CC" w14:textId="77777777" w:rsidR="00200837" w:rsidRPr="0015154B" w:rsidRDefault="00200837" w:rsidP="0026365F">
            <w:pPr>
              <w:jc w:val="center"/>
              <w:rPr>
                <w:sz w:val="24"/>
                <w:szCs w:val="24"/>
              </w:rPr>
            </w:pPr>
            <w:r w:rsidRPr="0015154B">
              <w:rPr>
                <w:sz w:val="24"/>
                <w:szCs w:val="24"/>
              </w:rPr>
              <w:t>35,4</w:t>
            </w:r>
          </w:p>
        </w:tc>
        <w:tc>
          <w:tcPr>
            <w:tcW w:w="1383" w:type="dxa"/>
          </w:tcPr>
          <w:p w14:paraId="1F03AE61" w14:textId="77777777" w:rsidR="00200837" w:rsidRPr="0015154B" w:rsidRDefault="00200837" w:rsidP="0026365F">
            <w:pPr>
              <w:jc w:val="center"/>
              <w:rPr>
                <w:sz w:val="24"/>
                <w:szCs w:val="24"/>
              </w:rPr>
            </w:pPr>
            <w:r w:rsidRPr="0015154B">
              <w:rPr>
                <w:sz w:val="24"/>
                <w:szCs w:val="24"/>
              </w:rPr>
              <w:t>34,5</w:t>
            </w:r>
          </w:p>
        </w:tc>
        <w:tc>
          <w:tcPr>
            <w:tcW w:w="1383" w:type="dxa"/>
          </w:tcPr>
          <w:p w14:paraId="6B45708A" w14:textId="77777777" w:rsidR="00200837" w:rsidRPr="0015154B" w:rsidRDefault="00200837" w:rsidP="0026365F">
            <w:pPr>
              <w:jc w:val="center"/>
              <w:rPr>
                <w:sz w:val="24"/>
                <w:szCs w:val="24"/>
              </w:rPr>
            </w:pPr>
            <w:r w:rsidRPr="0015154B">
              <w:rPr>
                <w:sz w:val="24"/>
                <w:szCs w:val="24"/>
              </w:rPr>
              <w:t>34,5</w:t>
            </w:r>
          </w:p>
        </w:tc>
        <w:tc>
          <w:tcPr>
            <w:tcW w:w="1383" w:type="dxa"/>
          </w:tcPr>
          <w:p w14:paraId="61FB4BE7" w14:textId="77777777" w:rsidR="00200837" w:rsidRPr="0015154B" w:rsidRDefault="00200837" w:rsidP="0026365F">
            <w:pPr>
              <w:jc w:val="center"/>
              <w:rPr>
                <w:sz w:val="24"/>
                <w:szCs w:val="24"/>
              </w:rPr>
            </w:pPr>
            <w:r w:rsidRPr="0015154B">
              <w:rPr>
                <w:sz w:val="24"/>
                <w:szCs w:val="24"/>
              </w:rPr>
              <w:t>35,6</w:t>
            </w:r>
          </w:p>
        </w:tc>
        <w:tc>
          <w:tcPr>
            <w:tcW w:w="1383" w:type="dxa"/>
          </w:tcPr>
          <w:p w14:paraId="009BBACF" w14:textId="77777777" w:rsidR="00200837" w:rsidRPr="0015154B" w:rsidRDefault="00200837" w:rsidP="0026365F">
            <w:pPr>
              <w:jc w:val="center"/>
              <w:rPr>
                <w:sz w:val="24"/>
                <w:szCs w:val="24"/>
              </w:rPr>
            </w:pPr>
            <w:r w:rsidRPr="0015154B">
              <w:rPr>
                <w:sz w:val="24"/>
                <w:szCs w:val="24"/>
              </w:rPr>
              <w:t>35,2</w:t>
            </w:r>
          </w:p>
        </w:tc>
      </w:tr>
    </w:tbl>
    <w:p w14:paraId="2D9C9B4B" w14:textId="4EAAF541" w:rsidR="00200837" w:rsidRPr="0015154B" w:rsidRDefault="00200837" w:rsidP="00DB10CB">
      <w:pPr>
        <w:spacing w:after="0" w:line="240" w:lineRule="auto"/>
        <w:jc w:val="both"/>
        <w:rPr>
          <w:rFonts w:ascii="Times New Roman" w:hAnsi="Times New Roman" w:cs="Times New Roman"/>
          <w:sz w:val="20"/>
          <w:szCs w:val="20"/>
        </w:rPr>
      </w:pPr>
      <w:r w:rsidRPr="0015154B">
        <w:rPr>
          <w:rFonts w:ascii="Times New Roman" w:hAnsi="Times New Roman" w:cs="Times New Roman"/>
          <w:sz w:val="20"/>
          <w:szCs w:val="20"/>
        </w:rPr>
        <w:t xml:space="preserve">Datu avots: CSP </w:t>
      </w:r>
      <w:r w:rsidR="008F021B" w:rsidRPr="0015154B">
        <w:rPr>
          <w:rFonts w:ascii="Times New Roman" w:hAnsi="Times New Roman" w:cs="Times New Roman"/>
          <w:sz w:val="20"/>
          <w:szCs w:val="20"/>
        </w:rPr>
        <w:t xml:space="preserve">datu bāze, </w:t>
      </w:r>
      <w:r w:rsidRPr="0015154B">
        <w:rPr>
          <w:rFonts w:ascii="Times New Roman" w:hAnsi="Times New Roman" w:cs="Times New Roman"/>
          <w:sz w:val="20"/>
          <w:szCs w:val="20"/>
        </w:rPr>
        <w:t>datu tabula NIG110, NIG120</w:t>
      </w:r>
    </w:p>
    <w:p w14:paraId="6BFE53F3" w14:textId="77777777" w:rsidR="00200837" w:rsidRPr="0015154B" w:rsidRDefault="00200837" w:rsidP="00200837">
      <w:pPr>
        <w:spacing w:after="0" w:line="240" w:lineRule="auto"/>
        <w:ind w:firstLine="720"/>
        <w:jc w:val="both"/>
        <w:rPr>
          <w:rFonts w:ascii="Times New Roman" w:hAnsi="Times New Roman" w:cs="Times New Roman"/>
          <w:sz w:val="24"/>
          <w:szCs w:val="24"/>
        </w:rPr>
      </w:pPr>
    </w:p>
    <w:p w14:paraId="40718F9B" w14:textId="77777777" w:rsidR="00E50C29" w:rsidRPr="002F5278" w:rsidRDefault="00200837" w:rsidP="0030363D">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Lai gan pakāpeniski samazinās mājsaimniecību īpatsvars, kurām ir ļoti apgrūtinoši segt </w:t>
      </w:r>
      <w:r w:rsidRPr="0015154B">
        <w:rPr>
          <w:rFonts w:ascii="Times New Roman" w:hAnsi="Times New Roman" w:cs="Times New Roman"/>
          <w:b/>
          <w:sz w:val="24"/>
          <w:szCs w:val="24"/>
        </w:rPr>
        <w:t>ar mājokļa uzturēšanu saistītos izdevumus</w:t>
      </w:r>
      <w:r w:rsidRPr="0015154B">
        <w:rPr>
          <w:rFonts w:ascii="Times New Roman" w:hAnsi="Times New Roman" w:cs="Times New Roman"/>
          <w:sz w:val="24"/>
          <w:szCs w:val="24"/>
        </w:rPr>
        <w:t>, tādu mājsaimniecību īpatsvars 2019.gadā joprojām ir augsts - piektā daļa no visām mājsaimniecībām. Tikai nepilnai trešdaļai mājsaimniecību mājokļa iz</w:t>
      </w:r>
      <w:r w:rsidR="009625EE" w:rsidRPr="0015154B">
        <w:rPr>
          <w:rFonts w:ascii="Times New Roman" w:hAnsi="Times New Roman" w:cs="Times New Roman"/>
          <w:sz w:val="24"/>
          <w:szCs w:val="24"/>
        </w:rPr>
        <w:t>d</w:t>
      </w:r>
      <w:r w:rsidRPr="0015154B">
        <w:rPr>
          <w:rFonts w:ascii="Times New Roman" w:hAnsi="Times New Roman" w:cs="Times New Roman"/>
          <w:sz w:val="24"/>
          <w:szCs w:val="24"/>
        </w:rPr>
        <w:t>evumu segšana nebija apgrūtinoša. Ar vislielākajām grūtībām segt ar mājokļa uzturēšanu saistītus izdevumus saskaras viena pensionāra mājsaimniecības (39,5%) un nepilnas ģ</w:t>
      </w:r>
      <w:r w:rsidR="009625EE" w:rsidRPr="0015154B">
        <w:rPr>
          <w:rFonts w:ascii="Times New Roman" w:hAnsi="Times New Roman" w:cs="Times New Roman"/>
          <w:sz w:val="24"/>
          <w:szCs w:val="24"/>
        </w:rPr>
        <w:t>i</w:t>
      </w:r>
      <w:r w:rsidRPr="0015154B">
        <w:rPr>
          <w:rFonts w:ascii="Times New Roman" w:hAnsi="Times New Roman" w:cs="Times New Roman"/>
          <w:sz w:val="24"/>
          <w:szCs w:val="24"/>
        </w:rPr>
        <w:t>menes ar bērniem (33,0%)</w:t>
      </w:r>
      <w:r w:rsidRPr="007157D3">
        <w:rPr>
          <w:rStyle w:val="FootnoteReference"/>
          <w:rFonts w:ascii="Times New Roman" w:hAnsi="Times New Roman" w:cs="Times New Roman"/>
          <w:sz w:val="24"/>
          <w:szCs w:val="24"/>
        </w:rPr>
        <w:footnoteReference w:id="22"/>
      </w:r>
      <w:r w:rsidRPr="007157D3">
        <w:rPr>
          <w:rFonts w:ascii="Times New Roman" w:hAnsi="Times New Roman" w:cs="Times New Roman"/>
          <w:sz w:val="24"/>
          <w:szCs w:val="24"/>
        </w:rPr>
        <w:t>, kā arī trūcīgākās mājsaimniecības. 2018.gadā gandrīz ceturtā daļa (24,3%) trūcīgāko mājsaimniecību (1.kvint</w:t>
      </w:r>
      <w:r w:rsidRPr="002F5278">
        <w:rPr>
          <w:rFonts w:ascii="Times New Roman" w:hAnsi="Times New Roman" w:cs="Times New Roman"/>
          <w:sz w:val="24"/>
          <w:szCs w:val="24"/>
        </w:rPr>
        <w:t xml:space="preserve">iļu grupa) un gandrīz piektā daļa mājsaimniecību zem nabadzības riska sliekšņa (18,1%) naudas trūkuma dēļ nevarēja segt komunālo pakalpojumu rēķinus, īri vai atmaksāt kredītu. Naudas trūkums liedza 17,5% </w:t>
      </w:r>
      <w:r w:rsidRPr="002F5278">
        <w:rPr>
          <w:rFonts w:ascii="Times New Roman" w:hAnsi="Times New Roman" w:cs="Times New Roman"/>
          <w:sz w:val="24"/>
          <w:szCs w:val="24"/>
        </w:rPr>
        <w:lastRenderedPageBreak/>
        <w:t>trūcīgāko mājsaimniecību un 18,4% mājsaimniecību zem</w:t>
      </w:r>
      <w:r w:rsidRPr="0025422D">
        <w:rPr>
          <w:rFonts w:ascii="Times New Roman" w:hAnsi="Times New Roman" w:cs="Times New Roman"/>
          <w:sz w:val="24"/>
          <w:szCs w:val="24"/>
        </w:rPr>
        <w:t xml:space="preserve"> nabadzības riska sliekšņa</w:t>
      </w:r>
      <w:r w:rsidRPr="00A857F2">
        <w:t xml:space="preserve"> </w:t>
      </w:r>
      <w:r w:rsidRPr="00A857F2">
        <w:rPr>
          <w:rFonts w:ascii="Times New Roman" w:hAnsi="Times New Roman" w:cs="Times New Roman"/>
          <w:sz w:val="24"/>
          <w:szCs w:val="24"/>
        </w:rPr>
        <w:t xml:space="preserve"> uzturēt mājokli siltu.</w:t>
      </w:r>
      <w:r w:rsidRPr="007157D3">
        <w:rPr>
          <w:rStyle w:val="FootnoteReference"/>
          <w:rFonts w:ascii="Times New Roman" w:hAnsi="Times New Roman" w:cs="Times New Roman"/>
          <w:sz w:val="24"/>
          <w:szCs w:val="24"/>
        </w:rPr>
        <w:footnoteReference w:id="23"/>
      </w:r>
      <w:r w:rsidRPr="007157D3">
        <w:rPr>
          <w:rFonts w:ascii="Times New Roman" w:hAnsi="Times New Roman" w:cs="Times New Roman"/>
          <w:sz w:val="24"/>
          <w:szCs w:val="24"/>
        </w:rPr>
        <w:t xml:space="preserve"> </w:t>
      </w:r>
    </w:p>
    <w:p w14:paraId="16E78AF7" w14:textId="31509B60" w:rsidR="00200837" w:rsidRPr="0015154B" w:rsidRDefault="00200837" w:rsidP="0030363D">
      <w:pPr>
        <w:spacing w:before="120" w:after="0" w:line="240" w:lineRule="auto"/>
        <w:ind w:firstLine="720"/>
        <w:jc w:val="both"/>
        <w:rPr>
          <w:rFonts w:ascii="Times New Roman" w:hAnsi="Times New Roman" w:cs="Times New Roman"/>
          <w:sz w:val="24"/>
          <w:szCs w:val="24"/>
        </w:rPr>
      </w:pPr>
      <w:r w:rsidRPr="0025422D">
        <w:rPr>
          <w:rFonts w:ascii="Times New Roman" w:hAnsi="Times New Roman" w:cs="Times New Roman"/>
          <w:sz w:val="24"/>
          <w:szCs w:val="24"/>
        </w:rPr>
        <w:t>Dati par pašvaldību sniegto sociālo palīdzību arī atspoguļo trūcīgo mājsaimniecību grūtības segt mājokļa izdevumus. Dzīvokļa pabalstiem izlietoto līdzekļu īpatsvars no visiem sociālajai palīdzībai izliet</w:t>
      </w:r>
      <w:r w:rsidRPr="00A857F2">
        <w:rPr>
          <w:rFonts w:ascii="Times New Roman" w:hAnsi="Times New Roman" w:cs="Times New Roman"/>
          <w:sz w:val="24"/>
          <w:szCs w:val="24"/>
        </w:rPr>
        <w:t>otajiem līdzekļiem 2014. – 201</w:t>
      </w:r>
      <w:r w:rsidR="008F021B" w:rsidRPr="00A857F2">
        <w:rPr>
          <w:rFonts w:ascii="Times New Roman" w:hAnsi="Times New Roman" w:cs="Times New Roman"/>
          <w:sz w:val="24"/>
          <w:szCs w:val="24"/>
        </w:rPr>
        <w:t>9</w:t>
      </w:r>
      <w:r w:rsidRPr="003B5C85">
        <w:rPr>
          <w:rFonts w:ascii="Times New Roman" w:hAnsi="Times New Roman" w:cs="Times New Roman"/>
          <w:sz w:val="24"/>
          <w:szCs w:val="24"/>
        </w:rPr>
        <w:t>.gad</w:t>
      </w:r>
      <w:r w:rsidR="00E50C29" w:rsidRPr="003B5C85">
        <w:rPr>
          <w:rFonts w:ascii="Times New Roman" w:hAnsi="Times New Roman" w:cs="Times New Roman"/>
          <w:sz w:val="24"/>
          <w:szCs w:val="24"/>
        </w:rPr>
        <w:t>ā</w:t>
      </w:r>
      <w:r w:rsidRPr="009703E6">
        <w:rPr>
          <w:rFonts w:ascii="Times New Roman" w:hAnsi="Times New Roman" w:cs="Times New Roman"/>
          <w:sz w:val="24"/>
          <w:szCs w:val="24"/>
        </w:rPr>
        <w:t xml:space="preserve"> svārstījās no 45-5</w:t>
      </w:r>
      <w:r w:rsidR="008F021B" w:rsidRPr="009703E6">
        <w:rPr>
          <w:rFonts w:ascii="Times New Roman" w:hAnsi="Times New Roman" w:cs="Times New Roman"/>
          <w:sz w:val="24"/>
          <w:szCs w:val="24"/>
        </w:rPr>
        <w:t>9</w:t>
      </w:r>
      <w:r w:rsidRPr="0015154B">
        <w:rPr>
          <w:rFonts w:ascii="Times New Roman" w:hAnsi="Times New Roman" w:cs="Times New Roman"/>
          <w:sz w:val="24"/>
          <w:szCs w:val="24"/>
        </w:rPr>
        <w:t xml:space="preserve">%, bet dzīvokļa pabalstu saņēmušo personu īpatsvars </w:t>
      </w:r>
      <w:r w:rsidR="00E50C29" w:rsidRPr="0015154B">
        <w:rPr>
          <w:rFonts w:ascii="Times New Roman" w:hAnsi="Times New Roman" w:cs="Times New Roman"/>
          <w:sz w:val="24"/>
          <w:szCs w:val="24"/>
        </w:rPr>
        <w:t>š</w:t>
      </w:r>
      <w:r w:rsidRPr="0015154B">
        <w:rPr>
          <w:rFonts w:ascii="Times New Roman" w:hAnsi="Times New Roman" w:cs="Times New Roman"/>
          <w:sz w:val="24"/>
          <w:szCs w:val="24"/>
        </w:rPr>
        <w:t>ajā periodā pārsniedza 60% starp visiem sociālās palīdzības saņēmējiem. Lielākā dzīvokļa pabalsta saņēmēju grupa ir pensijas vecuma personas.</w:t>
      </w:r>
    </w:p>
    <w:p w14:paraId="4BCAD89B" w14:textId="77777777" w:rsidR="00200837" w:rsidRPr="0015154B" w:rsidRDefault="00200837" w:rsidP="0030363D">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Nabadzības situācijas izvērtējums parāda, ka: </w:t>
      </w:r>
    </w:p>
    <w:p w14:paraId="3FE498F6" w14:textId="0F08A031" w:rsidR="00200837" w:rsidRPr="0015154B" w:rsidRDefault="00200837" w:rsidP="00161124">
      <w:pPr>
        <w:pStyle w:val="ListParagraph"/>
        <w:numPr>
          <w:ilvl w:val="0"/>
          <w:numId w:val="13"/>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 xml:space="preserve">galvenās nabadzības riskam pakļautās iedzīvotāju grupas ir zemas darba intensitātes un bezdarbnieku mājsaimniecības, pensijas vecuma iedzīvotāji; </w:t>
      </w:r>
    </w:p>
    <w:p w14:paraId="58F64161" w14:textId="2A164C2A" w:rsidR="00E50C29" w:rsidRPr="0015154B" w:rsidRDefault="00E50C29" w:rsidP="00161124">
      <w:pPr>
        <w:pStyle w:val="ListParagraph"/>
        <w:numPr>
          <w:ilvl w:val="0"/>
          <w:numId w:val="13"/>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augstāks izglītības un nodarbinātības līmenis ietekmē nabadzības riska mazināšanos;</w:t>
      </w:r>
    </w:p>
    <w:p w14:paraId="3FCCE95D" w14:textId="77777777" w:rsidR="00200837" w:rsidRPr="0015154B" w:rsidRDefault="00200837" w:rsidP="00161124">
      <w:pPr>
        <w:pStyle w:val="ListParagraph"/>
        <w:numPr>
          <w:ilvl w:val="0"/>
          <w:numId w:val="13"/>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sociālajiem transfertiem ir būtiska nozīme nabadzības riskam visvairāk pakļauto mājsaimniecību (zemāko ienākumu kvintiles) ienākumu stabilizēšanā.</w:t>
      </w:r>
    </w:p>
    <w:p w14:paraId="7FC9C1C3" w14:textId="77777777" w:rsidR="008F021B" w:rsidRPr="0015154B" w:rsidRDefault="008F021B" w:rsidP="00200837">
      <w:pPr>
        <w:spacing w:after="0" w:line="240" w:lineRule="auto"/>
        <w:jc w:val="both"/>
        <w:rPr>
          <w:rFonts w:ascii="Times New Roman" w:hAnsi="Times New Roman" w:cs="Times New Roman"/>
          <w:b/>
          <w:bCs/>
          <w:sz w:val="24"/>
          <w:szCs w:val="24"/>
          <w:highlight w:val="cyan"/>
        </w:rPr>
      </w:pPr>
    </w:p>
    <w:p w14:paraId="1B705C47" w14:textId="6897F351" w:rsidR="00200837" w:rsidRPr="0015154B" w:rsidRDefault="00200837" w:rsidP="00DA5144">
      <w:pPr>
        <w:pStyle w:val="Heading2"/>
      </w:pPr>
      <w:bookmarkStart w:id="8" w:name="_Toc55316060"/>
      <w:r w:rsidRPr="0015154B">
        <w:t xml:space="preserve">Nodarbinātība </w:t>
      </w:r>
      <w:r w:rsidR="007D5195" w:rsidRPr="0015154B">
        <w:t>un bezdarbs</w:t>
      </w:r>
      <w:bookmarkEnd w:id="8"/>
    </w:p>
    <w:p w14:paraId="0D71D64D" w14:textId="41E64853" w:rsidR="00200837" w:rsidRPr="0015154B" w:rsidRDefault="00200837" w:rsidP="0030363D">
      <w:pPr>
        <w:spacing w:before="120" w:after="0" w:line="240" w:lineRule="auto"/>
        <w:ind w:firstLine="720"/>
        <w:jc w:val="both"/>
        <w:rPr>
          <w:rFonts w:ascii="Times New Roman" w:hAnsi="Times New Roman"/>
          <w:sz w:val="24"/>
          <w:szCs w:val="24"/>
        </w:rPr>
      </w:pPr>
      <w:r w:rsidRPr="0015154B">
        <w:rPr>
          <w:rFonts w:ascii="Times New Roman" w:hAnsi="Times New Roman" w:cs="Times New Roman"/>
          <w:sz w:val="24"/>
          <w:szCs w:val="24"/>
        </w:rPr>
        <w:t xml:space="preserve">Ekonomiskās aktivitātes palielināšanās ir pozitīvi ietekmējusi situāciju darba tirgū Latvijā – kopš 2014.gada vērojams bezdarba līmeņa samazinājums un nodarbinātības līmeņa pakāpeniska palielināšanās.  </w:t>
      </w:r>
      <w:r w:rsidRPr="0015154B">
        <w:rPr>
          <w:rFonts w:ascii="Times New Roman" w:hAnsi="Times New Roman"/>
          <w:sz w:val="24"/>
          <w:szCs w:val="24"/>
        </w:rPr>
        <w:t>Nodarbinātības līmeņa pieaugumu sekmēja ekonomiskās un darba tirgus situācijas uzlabošanās kopumā, tai skaitā samērā labvēlīga situācija eksporta tirgos, augošs mājsaimniecību patēriņš, ES fondu līdzekļu pieejamība infrastruktūras, sociālajā un cilvēkresursu jomās, aktivitātes pieaugums atsevišķās nozarēs (piem., būvniecībā), kas rezultātā veicināja jaunu darbavietu veidošanos, bezdarba mazināšanos, ienākumu pieaugumu mājsaimniecībās.</w:t>
      </w:r>
    </w:p>
    <w:p w14:paraId="5030D2C0" w14:textId="16A894A8" w:rsidR="00200837" w:rsidRPr="0015154B" w:rsidRDefault="00200837" w:rsidP="0030363D">
      <w:pPr>
        <w:spacing w:before="120" w:after="0" w:line="240" w:lineRule="auto"/>
        <w:ind w:firstLine="720"/>
        <w:jc w:val="both"/>
        <w:rPr>
          <w:rFonts w:ascii="Times New Roman" w:hAnsi="Times New Roman"/>
          <w:sz w:val="24"/>
          <w:szCs w:val="24"/>
        </w:rPr>
      </w:pPr>
      <w:r w:rsidRPr="0015154B">
        <w:rPr>
          <w:rFonts w:ascii="Times New Roman" w:hAnsi="Times New Roman" w:cs="Times New Roman"/>
          <w:sz w:val="24"/>
          <w:szCs w:val="24"/>
        </w:rPr>
        <w:t xml:space="preserve">Laika posmā kopš 2014.gada gan kopējais </w:t>
      </w:r>
      <w:r w:rsidRPr="0015154B">
        <w:rPr>
          <w:rFonts w:ascii="Times New Roman" w:hAnsi="Times New Roman" w:cs="Times New Roman"/>
          <w:b/>
          <w:sz w:val="24"/>
          <w:szCs w:val="24"/>
        </w:rPr>
        <w:t>nodarbinātības līmenis</w:t>
      </w:r>
      <w:r w:rsidRPr="0015154B">
        <w:rPr>
          <w:rFonts w:ascii="Times New Roman" w:hAnsi="Times New Roman" w:cs="Times New Roman"/>
          <w:sz w:val="24"/>
          <w:szCs w:val="24"/>
        </w:rPr>
        <w:t xml:space="preserve"> Latvijā, gan sieviešu un vīriešu nodarbinātības līmenis pārsniedz ES-27 vidējo rādītāju (</w:t>
      </w:r>
      <w:r w:rsidRPr="0015154B">
        <w:rPr>
          <w:rFonts w:ascii="Times New Roman" w:hAnsi="Times New Roman" w:cs="Times New Roman"/>
          <w:sz w:val="24"/>
          <w:szCs w:val="24"/>
          <w:highlight w:val="yellow"/>
        </w:rPr>
        <w:t>skat.</w:t>
      </w:r>
      <w:r w:rsidR="005A410F" w:rsidRPr="0015154B">
        <w:rPr>
          <w:rFonts w:ascii="Times New Roman" w:hAnsi="Times New Roman" w:cs="Times New Roman"/>
          <w:sz w:val="24"/>
          <w:szCs w:val="24"/>
          <w:highlight w:val="yellow"/>
        </w:rPr>
        <w:t xml:space="preserve"> 4</w:t>
      </w:r>
      <w:r w:rsidRPr="0015154B">
        <w:rPr>
          <w:rFonts w:ascii="Times New Roman" w:hAnsi="Times New Roman" w:cs="Times New Roman"/>
          <w:sz w:val="24"/>
          <w:szCs w:val="24"/>
          <w:highlight w:val="yellow"/>
        </w:rPr>
        <w:t>.tabulu</w:t>
      </w:r>
      <w:r w:rsidRPr="0015154B">
        <w:rPr>
          <w:rFonts w:ascii="Times New Roman" w:hAnsi="Times New Roman" w:cs="Times New Roman"/>
          <w:sz w:val="24"/>
          <w:szCs w:val="24"/>
        </w:rPr>
        <w:t xml:space="preserve">). </w:t>
      </w:r>
    </w:p>
    <w:p w14:paraId="44AEF117" w14:textId="77777777" w:rsidR="00123959" w:rsidRPr="0015154B" w:rsidRDefault="00123959" w:rsidP="00200837">
      <w:pPr>
        <w:spacing w:after="0" w:line="240" w:lineRule="auto"/>
        <w:jc w:val="both"/>
        <w:rPr>
          <w:rFonts w:ascii="Times New Roman" w:hAnsi="Times New Roman" w:cs="Times New Roman"/>
          <w:color w:val="000000"/>
          <w:sz w:val="24"/>
          <w:szCs w:val="24"/>
        </w:rPr>
      </w:pPr>
    </w:p>
    <w:p w14:paraId="2061F556" w14:textId="432A5C3E" w:rsidR="00200837" w:rsidRPr="0015154B" w:rsidRDefault="005A410F" w:rsidP="00200837">
      <w:pPr>
        <w:spacing w:after="0" w:line="240" w:lineRule="auto"/>
        <w:jc w:val="both"/>
        <w:rPr>
          <w:rFonts w:ascii="Times New Roman" w:hAnsi="Times New Roman" w:cs="Times New Roman"/>
          <w:color w:val="000000"/>
          <w:sz w:val="24"/>
          <w:szCs w:val="24"/>
        </w:rPr>
      </w:pPr>
      <w:r w:rsidRPr="0015154B">
        <w:rPr>
          <w:rFonts w:ascii="Times New Roman" w:hAnsi="Times New Roman" w:cs="Times New Roman"/>
          <w:color w:val="000000"/>
          <w:sz w:val="24"/>
          <w:szCs w:val="24"/>
        </w:rPr>
        <w:t>4</w:t>
      </w:r>
      <w:r w:rsidR="00200837" w:rsidRPr="0015154B">
        <w:rPr>
          <w:rFonts w:ascii="Times New Roman" w:hAnsi="Times New Roman" w:cs="Times New Roman"/>
          <w:color w:val="000000"/>
          <w:sz w:val="24"/>
          <w:szCs w:val="24"/>
        </w:rPr>
        <w:t>.tabula</w:t>
      </w:r>
    </w:p>
    <w:p w14:paraId="690DAC52" w14:textId="77777777" w:rsidR="00200837" w:rsidRPr="0015154B" w:rsidRDefault="00200837" w:rsidP="00200837">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Nodarbinātības līmenis vecumā no 20-64 gadiem,</w:t>
      </w:r>
    </w:p>
    <w:p w14:paraId="4C98BBF3" w14:textId="77777777" w:rsidR="00200837" w:rsidRPr="0015154B" w:rsidRDefault="00200837" w:rsidP="00200837">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 no kopējā iedzīvotāju skaita</w:t>
      </w:r>
    </w:p>
    <w:tbl>
      <w:tblPr>
        <w:tblStyle w:val="TableGrid"/>
        <w:tblW w:w="0" w:type="auto"/>
        <w:tblLook w:val="04A0" w:firstRow="1" w:lastRow="0" w:firstColumn="1" w:lastColumn="0" w:noHBand="0" w:noVBand="1"/>
      </w:tblPr>
      <w:tblGrid>
        <w:gridCol w:w="1188"/>
        <w:gridCol w:w="1184"/>
        <w:gridCol w:w="1184"/>
        <w:gridCol w:w="1185"/>
        <w:gridCol w:w="1185"/>
        <w:gridCol w:w="1185"/>
        <w:gridCol w:w="1185"/>
      </w:tblGrid>
      <w:tr w:rsidR="00200837" w:rsidRPr="0015154B" w14:paraId="13A2C9FF" w14:textId="77777777" w:rsidTr="0026365F">
        <w:tc>
          <w:tcPr>
            <w:tcW w:w="1188" w:type="dxa"/>
          </w:tcPr>
          <w:p w14:paraId="399B19F5" w14:textId="77777777" w:rsidR="00200837" w:rsidRPr="0015154B" w:rsidRDefault="00200837" w:rsidP="0026365F">
            <w:pPr>
              <w:jc w:val="both"/>
              <w:rPr>
                <w:rFonts w:ascii="Times New Roman" w:hAnsi="Times New Roman" w:cs="Times New Roman"/>
                <w:color w:val="002060"/>
                <w:sz w:val="24"/>
                <w:szCs w:val="24"/>
              </w:rPr>
            </w:pPr>
          </w:p>
        </w:tc>
        <w:tc>
          <w:tcPr>
            <w:tcW w:w="1184" w:type="dxa"/>
          </w:tcPr>
          <w:p w14:paraId="0E3F8E65"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2014</w:t>
            </w:r>
          </w:p>
        </w:tc>
        <w:tc>
          <w:tcPr>
            <w:tcW w:w="1184" w:type="dxa"/>
          </w:tcPr>
          <w:p w14:paraId="3746699F"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2015</w:t>
            </w:r>
          </w:p>
        </w:tc>
        <w:tc>
          <w:tcPr>
            <w:tcW w:w="1185" w:type="dxa"/>
          </w:tcPr>
          <w:p w14:paraId="234EC3B1"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2016</w:t>
            </w:r>
          </w:p>
        </w:tc>
        <w:tc>
          <w:tcPr>
            <w:tcW w:w="1185" w:type="dxa"/>
          </w:tcPr>
          <w:p w14:paraId="1FB6295B"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2017</w:t>
            </w:r>
          </w:p>
        </w:tc>
        <w:tc>
          <w:tcPr>
            <w:tcW w:w="1185" w:type="dxa"/>
          </w:tcPr>
          <w:p w14:paraId="2A5D498C"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2018</w:t>
            </w:r>
          </w:p>
        </w:tc>
        <w:tc>
          <w:tcPr>
            <w:tcW w:w="1185" w:type="dxa"/>
          </w:tcPr>
          <w:p w14:paraId="57DB5042"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2019</w:t>
            </w:r>
          </w:p>
        </w:tc>
      </w:tr>
      <w:tr w:rsidR="00200837" w:rsidRPr="0015154B" w14:paraId="1E835A8D" w14:textId="77777777" w:rsidTr="0026365F">
        <w:tc>
          <w:tcPr>
            <w:tcW w:w="8296" w:type="dxa"/>
            <w:gridSpan w:val="7"/>
          </w:tcPr>
          <w:p w14:paraId="672C0331" w14:textId="77777777" w:rsidR="00200837" w:rsidRPr="0015154B" w:rsidRDefault="00200837" w:rsidP="0026365F">
            <w:pPr>
              <w:jc w:val="both"/>
              <w:rPr>
                <w:rFonts w:ascii="Times New Roman" w:hAnsi="Times New Roman" w:cs="Times New Roman"/>
                <w:b/>
                <w:color w:val="000000"/>
                <w:sz w:val="24"/>
                <w:szCs w:val="24"/>
              </w:rPr>
            </w:pPr>
            <w:r w:rsidRPr="0015154B">
              <w:rPr>
                <w:rFonts w:ascii="Times New Roman" w:hAnsi="Times New Roman" w:cs="Times New Roman"/>
                <w:b/>
                <w:color w:val="000000"/>
                <w:sz w:val="24"/>
                <w:szCs w:val="24"/>
              </w:rPr>
              <w:t>Pavisam:</w:t>
            </w:r>
          </w:p>
        </w:tc>
      </w:tr>
      <w:tr w:rsidR="00200837" w:rsidRPr="0015154B" w14:paraId="3FA45D3F" w14:textId="77777777" w:rsidTr="0026365F">
        <w:tc>
          <w:tcPr>
            <w:tcW w:w="1188" w:type="dxa"/>
          </w:tcPr>
          <w:p w14:paraId="30358E58" w14:textId="77777777" w:rsidR="00200837" w:rsidRPr="0015154B" w:rsidRDefault="00200837" w:rsidP="0026365F">
            <w:pPr>
              <w:jc w:val="right"/>
              <w:rPr>
                <w:rFonts w:ascii="Times New Roman" w:hAnsi="Times New Roman" w:cs="Times New Roman"/>
                <w:i/>
                <w:color w:val="000000"/>
                <w:sz w:val="24"/>
                <w:szCs w:val="24"/>
              </w:rPr>
            </w:pPr>
            <w:r w:rsidRPr="0015154B">
              <w:rPr>
                <w:rFonts w:ascii="Times New Roman" w:hAnsi="Times New Roman" w:cs="Times New Roman"/>
                <w:i/>
                <w:color w:val="000000"/>
                <w:sz w:val="24"/>
                <w:szCs w:val="24"/>
              </w:rPr>
              <w:t>ES27</w:t>
            </w:r>
          </w:p>
        </w:tc>
        <w:tc>
          <w:tcPr>
            <w:tcW w:w="1184" w:type="dxa"/>
          </w:tcPr>
          <w:p w14:paraId="11A28583"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68,2</w:t>
            </w:r>
          </w:p>
        </w:tc>
        <w:tc>
          <w:tcPr>
            <w:tcW w:w="1184" w:type="dxa"/>
          </w:tcPr>
          <w:p w14:paraId="22E8A744"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69,1</w:t>
            </w:r>
          </w:p>
        </w:tc>
        <w:tc>
          <w:tcPr>
            <w:tcW w:w="1185" w:type="dxa"/>
          </w:tcPr>
          <w:p w14:paraId="5265A9C7"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70,1</w:t>
            </w:r>
          </w:p>
        </w:tc>
        <w:tc>
          <w:tcPr>
            <w:tcW w:w="1185" w:type="dxa"/>
          </w:tcPr>
          <w:p w14:paraId="212F1B79"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71,3</w:t>
            </w:r>
          </w:p>
        </w:tc>
        <w:tc>
          <w:tcPr>
            <w:tcW w:w="1185" w:type="dxa"/>
          </w:tcPr>
          <w:p w14:paraId="273DC52E"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72,4</w:t>
            </w:r>
          </w:p>
        </w:tc>
        <w:tc>
          <w:tcPr>
            <w:tcW w:w="1185" w:type="dxa"/>
          </w:tcPr>
          <w:p w14:paraId="07C22F7C"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73,1</w:t>
            </w:r>
          </w:p>
        </w:tc>
      </w:tr>
      <w:tr w:rsidR="00200837" w:rsidRPr="0015154B" w14:paraId="677D309E" w14:textId="77777777" w:rsidTr="00585345">
        <w:tc>
          <w:tcPr>
            <w:tcW w:w="1188" w:type="dxa"/>
            <w:shd w:val="clear" w:color="auto" w:fill="E8F3D3" w:themeFill="accent2" w:themeFillTint="33"/>
          </w:tcPr>
          <w:p w14:paraId="1F9A1261" w14:textId="77777777" w:rsidR="00200837" w:rsidRPr="0015154B" w:rsidRDefault="00200837" w:rsidP="0026365F">
            <w:pPr>
              <w:jc w:val="right"/>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Latvija</w:t>
            </w:r>
          </w:p>
        </w:tc>
        <w:tc>
          <w:tcPr>
            <w:tcW w:w="1184" w:type="dxa"/>
            <w:shd w:val="clear" w:color="auto" w:fill="E8F3D3" w:themeFill="accent2" w:themeFillTint="33"/>
          </w:tcPr>
          <w:p w14:paraId="74BFDA91"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70,7</w:t>
            </w:r>
          </w:p>
        </w:tc>
        <w:tc>
          <w:tcPr>
            <w:tcW w:w="1184" w:type="dxa"/>
            <w:shd w:val="clear" w:color="auto" w:fill="E8F3D3" w:themeFill="accent2" w:themeFillTint="33"/>
          </w:tcPr>
          <w:p w14:paraId="7F30E9E1"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72,5</w:t>
            </w:r>
          </w:p>
        </w:tc>
        <w:tc>
          <w:tcPr>
            <w:tcW w:w="1185" w:type="dxa"/>
            <w:shd w:val="clear" w:color="auto" w:fill="E8F3D3" w:themeFill="accent2" w:themeFillTint="33"/>
          </w:tcPr>
          <w:p w14:paraId="12894AA9"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73,2</w:t>
            </w:r>
          </w:p>
        </w:tc>
        <w:tc>
          <w:tcPr>
            <w:tcW w:w="1185" w:type="dxa"/>
            <w:shd w:val="clear" w:color="auto" w:fill="E8F3D3" w:themeFill="accent2" w:themeFillTint="33"/>
          </w:tcPr>
          <w:p w14:paraId="3801FADB"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74,8</w:t>
            </w:r>
          </w:p>
        </w:tc>
        <w:tc>
          <w:tcPr>
            <w:tcW w:w="1185" w:type="dxa"/>
            <w:shd w:val="clear" w:color="auto" w:fill="E8F3D3" w:themeFill="accent2" w:themeFillTint="33"/>
          </w:tcPr>
          <w:p w14:paraId="3F0165A5"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76,8</w:t>
            </w:r>
          </w:p>
        </w:tc>
        <w:tc>
          <w:tcPr>
            <w:tcW w:w="1185" w:type="dxa"/>
            <w:shd w:val="clear" w:color="auto" w:fill="E8F3D3" w:themeFill="accent2" w:themeFillTint="33"/>
          </w:tcPr>
          <w:p w14:paraId="33A54CB9"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77,4</w:t>
            </w:r>
          </w:p>
        </w:tc>
      </w:tr>
      <w:tr w:rsidR="00200837" w:rsidRPr="0015154B" w14:paraId="724254B9" w14:textId="77777777" w:rsidTr="0026365F">
        <w:tc>
          <w:tcPr>
            <w:tcW w:w="1188" w:type="dxa"/>
          </w:tcPr>
          <w:p w14:paraId="48BF0E51" w14:textId="77777777" w:rsidR="00200837" w:rsidRPr="0015154B" w:rsidRDefault="00200837" w:rsidP="0026365F">
            <w:pPr>
              <w:jc w:val="right"/>
              <w:rPr>
                <w:rFonts w:ascii="Times New Roman" w:hAnsi="Times New Roman" w:cs="Times New Roman"/>
                <w:i/>
                <w:color w:val="000000"/>
                <w:sz w:val="24"/>
                <w:szCs w:val="24"/>
              </w:rPr>
            </w:pPr>
            <w:r w:rsidRPr="0015154B">
              <w:rPr>
                <w:rFonts w:ascii="Times New Roman" w:hAnsi="Times New Roman" w:cs="Times New Roman"/>
                <w:i/>
                <w:color w:val="000000"/>
                <w:sz w:val="24"/>
                <w:szCs w:val="24"/>
              </w:rPr>
              <w:t>Lietuva</w:t>
            </w:r>
          </w:p>
        </w:tc>
        <w:tc>
          <w:tcPr>
            <w:tcW w:w="1184" w:type="dxa"/>
          </w:tcPr>
          <w:p w14:paraId="649508FF"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71,8</w:t>
            </w:r>
          </w:p>
        </w:tc>
        <w:tc>
          <w:tcPr>
            <w:tcW w:w="1184" w:type="dxa"/>
          </w:tcPr>
          <w:p w14:paraId="44871B18"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73,3</w:t>
            </w:r>
          </w:p>
        </w:tc>
        <w:tc>
          <w:tcPr>
            <w:tcW w:w="1185" w:type="dxa"/>
          </w:tcPr>
          <w:p w14:paraId="0E27363F"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75,2</w:t>
            </w:r>
          </w:p>
        </w:tc>
        <w:tc>
          <w:tcPr>
            <w:tcW w:w="1185" w:type="dxa"/>
          </w:tcPr>
          <w:p w14:paraId="1158D027"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76,0</w:t>
            </w:r>
          </w:p>
        </w:tc>
        <w:tc>
          <w:tcPr>
            <w:tcW w:w="1185" w:type="dxa"/>
          </w:tcPr>
          <w:p w14:paraId="173623AA"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77,8</w:t>
            </w:r>
          </w:p>
        </w:tc>
        <w:tc>
          <w:tcPr>
            <w:tcW w:w="1185" w:type="dxa"/>
          </w:tcPr>
          <w:p w14:paraId="1302ECC7"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78,2</w:t>
            </w:r>
          </w:p>
        </w:tc>
      </w:tr>
      <w:tr w:rsidR="00200837" w:rsidRPr="0015154B" w14:paraId="40FB774E" w14:textId="77777777" w:rsidTr="0026365F">
        <w:tc>
          <w:tcPr>
            <w:tcW w:w="1188" w:type="dxa"/>
          </w:tcPr>
          <w:p w14:paraId="75B93384" w14:textId="77777777" w:rsidR="00200837" w:rsidRPr="0015154B" w:rsidRDefault="00200837" w:rsidP="0026365F">
            <w:pPr>
              <w:jc w:val="right"/>
              <w:rPr>
                <w:rFonts w:ascii="Times New Roman" w:hAnsi="Times New Roman" w:cs="Times New Roman"/>
                <w:i/>
                <w:color w:val="000000"/>
                <w:sz w:val="24"/>
                <w:szCs w:val="24"/>
              </w:rPr>
            </w:pPr>
            <w:r w:rsidRPr="0015154B">
              <w:rPr>
                <w:rFonts w:ascii="Times New Roman" w:hAnsi="Times New Roman" w:cs="Times New Roman"/>
                <w:i/>
                <w:color w:val="000000"/>
                <w:sz w:val="24"/>
                <w:szCs w:val="24"/>
              </w:rPr>
              <w:t>Igaunija</w:t>
            </w:r>
          </w:p>
        </w:tc>
        <w:tc>
          <w:tcPr>
            <w:tcW w:w="1184" w:type="dxa"/>
          </w:tcPr>
          <w:p w14:paraId="5CFA47F6"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74,3</w:t>
            </w:r>
          </w:p>
        </w:tc>
        <w:tc>
          <w:tcPr>
            <w:tcW w:w="1184" w:type="dxa"/>
          </w:tcPr>
          <w:p w14:paraId="08A78FB2"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76,5</w:t>
            </w:r>
          </w:p>
        </w:tc>
        <w:tc>
          <w:tcPr>
            <w:tcW w:w="1185" w:type="dxa"/>
          </w:tcPr>
          <w:p w14:paraId="1F4065A6"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76,6</w:t>
            </w:r>
          </w:p>
        </w:tc>
        <w:tc>
          <w:tcPr>
            <w:tcW w:w="1185" w:type="dxa"/>
          </w:tcPr>
          <w:p w14:paraId="04885DCF"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78,7</w:t>
            </w:r>
          </w:p>
        </w:tc>
        <w:tc>
          <w:tcPr>
            <w:tcW w:w="1185" w:type="dxa"/>
          </w:tcPr>
          <w:p w14:paraId="7E839321"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79,5</w:t>
            </w:r>
          </w:p>
        </w:tc>
        <w:tc>
          <w:tcPr>
            <w:tcW w:w="1185" w:type="dxa"/>
          </w:tcPr>
          <w:p w14:paraId="18B05D64"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80,2</w:t>
            </w:r>
          </w:p>
        </w:tc>
      </w:tr>
      <w:tr w:rsidR="00200837" w:rsidRPr="0015154B" w14:paraId="0DA836CE" w14:textId="77777777" w:rsidTr="0026365F">
        <w:tc>
          <w:tcPr>
            <w:tcW w:w="8296" w:type="dxa"/>
            <w:gridSpan w:val="7"/>
          </w:tcPr>
          <w:p w14:paraId="0A1CCB19" w14:textId="77777777" w:rsidR="00200837" w:rsidRPr="0015154B" w:rsidRDefault="00200837" w:rsidP="0026365F">
            <w:pPr>
              <w:jc w:val="both"/>
              <w:rPr>
                <w:rFonts w:ascii="Times New Roman" w:hAnsi="Times New Roman" w:cs="Times New Roman"/>
                <w:b/>
                <w:color w:val="000000"/>
                <w:sz w:val="24"/>
                <w:szCs w:val="24"/>
              </w:rPr>
            </w:pPr>
            <w:r w:rsidRPr="0015154B">
              <w:rPr>
                <w:rFonts w:ascii="Times New Roman" w:hAnsi="Times New Roman" w:cs="Times New Roman"/>
                <w:b/>
                <w:color w:val="000000"/>
                <w:sz w:val="24"/>
                <w:szCs w:val="24"/>
              </w:rPr>
              <w:t>Tai skaitā: sievietēm</w:t>
            </w:r>
          </w:p>
        </w:tc>
      </w:tr>
      <w:tr w:rsidR="00200837" w:rsidRPr="0015154B" w14:paraId="270CBD69" w14:textId="77777777" w:rsidTr="0026365F">
        <w:tc>
          <w:tcPr>
            <w:tcW w:w="1188" w:type="dxa"/>
          </w:tcPr>
          <w:p w14:paraId="094B4392" w14:textId="77777777" w:rsidR="00200837" w:rsidRPr="0015154B" w:rsidRDefault="00200837" w:rsidP="0026365F">
            <w:pPr>
              <w:jc w:val="right"/>
              <w:rPr>
                <w:rFonts w:ascii="Times New Roman" w:hAnsi="Times New Roman" w:cs="Times New Roman"/>
                <w:i/>
                <w:color w:val="000000"/>
                <w:sz w:val="24"/>
                <w:szCs w:val="24"/>
              </w:rPr>
            </w:pPr>
            <w:r w:rsidRPr="0015154B">
              <w:rPr>
                <w:rFonts w:ascii="Times New Roman" w:hAnsi="Times New Roman" w:cs="Times New Roman"/>
                <w:i/>
                <w:color w:val="000000"/>
                <w:sz w:val="24"/>
                <w:szCs w:val="24"/>
              </w:rPr>
              <w:t>ES27</w:t>
            </w:r>
          </w:p>
        </w:tc>
        <w:tc>
          <w:tcPr>
            <w:tcW w:w="1184" w:type="dxa"/>
          </w:tcPr>
          <w:p w14:paraId="276BFD80"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62,4</w:t>
            </w:r>
          </w:p>
        </w:tc>
        <w:tc>
          <w:tcPr>
            <w:tcW w:w="1184" w:type="dxa"/>
          </w:tcPr>
          <w:p w14:paraId="74E8D995"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63,3</w:t>
            </w:r>
          </w:p>
        </w:tc>
        <w:tc>
          <w:tcPr>
            <w:tcW w:w="1185" w:type="dxa"/>
          </w:tcPr>
          <w:p w14:paraId="23F03147"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64,3</w:t>
            </w:r>
          </w:p>
        </w:tc>
        <w:tc>
          <w:tcPr>
            <w:tcW w:w="1185" w:type="dxa"/>
          </w:tcPr>
          <w:p w14:paraId="509F25EB"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65,5</w:t>
            </w:r>
          </w:p>
        </w:tc>
        <w:tc>
          <w:tcPr>
            <w:tcW w:w="1185" w:type="dxa"/>
          </w:tcPr>
          <w:p w14:paraId="047E79E6"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66,5</w:t>
            </w:r>
          </w:p>
        </w:tc>
        <w:tc>
          <w:tcPr>
            <w:tcW w:w="1185" w:type="dxa"/>
          </w:tcPr>
          <w:p w14:paraId="031711A6"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67,3</w:t>
            </w:r>
          </w:p>
        </w:tc>
      </w:tr>
      <w:tr w:rsidR="00200837" w:rsidRPr="0015154B" w14:paraId="4ED1AC97" w14:textId="77777777" w:rsidTr="00585345">
        <w:tc>
          <w:tcPr>
            <w:tcW w:w="1188" w:type="dxa"/>
            <w:shd w:val="clear" w:color="auto" w:fill="E8F3D3" w:themeFill="accent2" w:themeFillTint="33"/>
          </w:tcPr>
          <w:p w14:paraId="2ECB3027" w14:textId="77777777" w:rsidR="00200837" w:rsidRPr="0015154B" w:rsidRDefault="00200837" w:rsidP="0026365F">
            <w:pPr>
              <w:jc w:val="right"/>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Latvija</w:t>
            </w:r>
          </w:p>
        </w:tc>
        <w:tc>
          <w:tcPr>
            <w:tcW w:w="1184" w:type="dxa"/>
            <w:shd w:val="clear" w:color="auto" w:fill="E8F3D3" w:themeFill="accent2" w:themeFillTint="33"/>
          </w:tcPr>
          <w:p w14:paraId="44030BD4"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68,5</w:t>
            </w:r>
          </w:p>
        </w:tc>
        <w:tc>
          <w:tcPr>
            <w:tcW w:w="1184" w:type="dxa"/>
            <w:shd w:val="clear" w:color="auto" w:fill="E8F3D3" w:themeFill="accent2" w:themeFillTint="33"/>
          </w:tcPr>
          <w:p w14:paraId="43E99EAE"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70,5</w:t>
            </w:r>
          </w:p>
        </w:tc>
        <w:tc>
          <w:tcPr>
            <w:tcW w:w="1185" w:type="dxa"/>
            <w:shd w:val="clear" w:color="auto" w:fill="E8F3D3" w:themeFill="accent2" w:themeFillTint="33"/>
          </w:tcPr>
          <w:p w14:paraId="74794ACE"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71,8</w:t>
            </w:r>
          </w:p>
        </w:tc>
        <w:tc>
          <w:tcPr>
            <w:tcW w:w="1185" w:type="dxa"/>
            <w:shd w:val="clear" w:color="auto" w:fill="E8F3D3" w:themeFill="accent2" w:themeFillTint="33"/>
          </w:tcPr>
          <w:p w14:paraId="6C37B99E"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72,7</w:t>
            </w:r>
          </w:p>
        </w:tc>
        <w:tc>
          <w:tcPr>
            <w:tcW w:w="1185" w:type="dxa"/>
            <w:shd w:val="clear" w:color="auto" w:fill="E8F3D3" w:themeFill="accent2" w:themeFillTint="33"/>
          </w:tcPr>
          <w:p w14:paraId="30D8DB1C"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74,8</w:t>
            </w:r>
          </w:p>
        </w:tc>
        <w:tc>
          <w:tcPr>
            <w:tcW w:w="1185" w:type="dxa"/>
            <w:shd w:val="clear" w:color="auto" w:fill="E8F3D3" w:themeFill="accent2" w:themeFillTint="33"/>
          </w:tcPr>
          <w:p w14:paraId="0A5A8CA1"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75,5</w:t>
            </w:r>
          </w:p>
        </w:tc>
      </w:tr>
      <w:tr w:rsidR="00200837" w:rsidRPr="0015154B" w14:paraId="39ED71DD" w14:textId="77777777" w:rsidTr="0026365F">
        <w:tc>
          <w:tcPr>
            <w:tcW w:w="1188" w:type="dxa"/>
          </w:tcPr>
          <w:p w14:paraId="5CD70E38" w14:textId="77777777" w:rsidR="00200837" w:rsidRPr="0015154B" w:rsidRDefault="00200837" w:rsidP="0026365F">
            <w:pPr>
              <w:jc w:val="right"/>
              <w:rPr>
                <w:rFonts w:ascii="Times New Roman" w:hAnsi="Times New Roman" w:cs="Times New Roman"/>
                <w:i/>
                <w:color w:val="000000"/>
                <w:sz w:val="24"/>
                <w:szCs w:val="24"/>
              </w:rPr>
            </w:pPr>
            <w:r w:rsidRPr="0015154B">
              <w:rPr>
                <w:rFonts w:ascii="Times New Roman" w:hAnsi="Times New Roman" w:cs="Times New Roman"/>
                <w:i/>
                <w:color w:val="000000"/>
                <w:sz w:val="24"/>
                <w:szCs w:val="24"/>
              </w:rPr>
              <w:t>Lietuva</w:t>
            </w:r>
          </w:p>
        </w:tc>
        <w:tc>
          <w:tcPr>
            <w:tcW w:w="1184" w:type="dxa"/>
          </w:tcPr>
          <w:p w14:paraId="414973BA"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70,6</w:t>
            </w:r>
          </w:p>
        </w:tc>
        <w:tc>
          <w:tcPr>
            <w:tcW w:w="1184" w:type="dxa"/>
          </w:tcPr>
          <w:p w14:paraId="39E98A4D"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72,2</w:t>
            </w:r>
          </w:p>
        </w:tc>
        <w:tc>
          <w:tcPr>
            <w:tcW w:w="1185" w:type="dxa"/>
          </w:tcPr>
          <w:p w14:paraId="4F6B7CBF"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74,3</w:t>
            </w:r>
          </w:p>
        </w:tc>
        <w:tc>
          <w:tcPr>
            <w:tcW w:w="1185" w:type="dxa"/>
          </w:tcPr>
          <w:p w14:paraId="699D7DE1"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75,5</w:t>
            </w:r>
          </w:p>
        </w:tc>
        <w:tc>
          <w:tcPr>
            <w:tcW w:w="1185" w:type="dxa"/>
          </w:tcPr>
          <w:p w14:paraId="59F3206A"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76,7</w:t>
            </w:r>
          </w:p>
        </w:tc>
        <w:tc>
          <w:tcPr>
            <w:tcW w:w="1185" w:type="dxa"/>
          </w:tcPr>
          <w:p w14:paraId="5F2F7020"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77,4</w:t>
            </w:r>
          </w:p>
        </w:tc>
      </w:tr>
      <w:tr w:rsidR="00200837" w:rsidRPr="0015154B" w14:paraId="4D5121A4" w14:textId="77777777" w:rsidTr="0026365F">
        <w:tc>
          <w:tcPr>
            <w:tcW w:w="1188" w:type="dxa"/>
          </w:tcPr>
          <w:p w14:paraId="6535F6E3" w14:textId="77777777" w:rsidR="00200837" w:rsidRPr="0015154B" w:rsidRDefault="00200837" w:rsidP="0026365F">
            <w:pPr>
              <w:jc w:val="right"/>
              <w:rPr>
                <w:rFonts w:ascii="Times New Roman" w:hAnsi="Times New Roman" w:cs="Times New Roman"/>
                <w:i/>
                <w:color w:val="000000"/>
                <w:sz w:val="24"/>
                <w:szCs w:val="24"/>
              </w:rPr>
            </w:pPr>
            <w:r w:rsidRPr="0015154B">
              <w:rPr>
                <w:rFonts w:ascii="Times New Roman" w:hAnsi="Times New Roman" w:cs="Times New Roman"/>
                <w:i/>
                <w:color w:val="000000"/>
                <w:sz w:val="24"/>
                <w:szCs w:val="24"/>
              </w:rPr>
              <w:t>Igaunija</w:t>
            </w:r>
          </w:p>
        </w:tc>
        <w:tc>
          <w:tcPr>
            <w:tcW w:w="1184" w:type="dxa"/>
          </w:tcPr>
          <w:p w14:paraId="624D46DE"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70,6</w:t>
            </w:r>
          </w:p>
        </w:tc>
        <w:tc>
          <w:tcPr>
            <w:tcW w:w="1184" w:type="dxa"/>
          </w:tcPr>
          <w:p w14:paraId="49A49BC6"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72,6</w:t>
            </w:r>
          </w:p>
        </w:tc>
        <w:tc>
          <w:tcPr>
            <w:tcW w:w="1185" w:type="dxa"/>
          </w:tcPr>
          <w:p w14:paraId="4AF8CEB3"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72,6</w:t>
            </w:r>
          </w:p>
        </w:tc>
        <w:tc>
          <w:tcPr>
            <w:tcW w:w="1185" w:type="dxa"/>
          </w:tcPr>
          <w:p w14:paraId="461E85B7"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75,1</w:t>
            </w:r>
          </w:p>
        </w:tc>
        <w:tc>
          <w:tcPr>
            <w:tcW w:w="1185" w:type="dxa"/>
          </w:tcPr>
          <w:p w14:paraId="1BFC8B69"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75,6</w:t>
            </w:r>
          </w:p>
        </w:tc>
        <w:tc>
          <w:tcPr>
            <w:tcW w:w="1185" w:type="dxa"/>
          </w:tcPr>
          <w:p w14:paraId="427CEB06"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76,3</w:t>
            </w:r>
          </w:p>
        </w:tc>
      </w:tr>
      <w:tr w:rsidR="00200837" w:rsidRPr="0015154B" w14:paraId="3FC812F9" w14:textId="77777777" w:rsidTr="0026365F">
        <w:tc>
          <w:tcPr>
            <w:tcW w:w="8296" w:type="dxa"/>
            <w:gridSpan w:val="7"/>
          </w:tcPr>
          <w:p w14:paraId="3C846FF6" w14:textId="77777777" w:rsidR="00200837" w:rsidRPr="0015154B" w:rsidRDefault="00200837" w:rsidP="0026365F">
            <w:pPr>
              <w:jc w:val="both"/>
              <w:rPr>
                <w:rFonts w:ascii="Times New Roman" w:hAnsi="Times New Roman" w:cs="Times New Roman"/>
                <w:b/>
                <w:color w:val="000000"/>
                <w:sz w:val="24"/>
                <w:szCs w:val="24"/>
              </w:rPr>
            </w:pPr>
            <w:r w:rsidRPr="0015154B">
              <w:rPr>
                <w:rFonts w:ascii="Times New Roman" w:hAnsi="Times New Roman" w:cs="Times New Roman"/>
                <w:b/>
                <w:color w:val="000000"/>
                <w:sz w:val="24"/>
                <w:szCs w:val="24"/>
              </w:rPr>
              <w:t>Tai skaitā: vīriešiem</w:t>
            </w:r>
          </w:p>
        </w:tc>
      </w:tr>
      <w:tr w:rsidR="00200837" w:rsidRPr="0015154B" w14:paraId="7E2473E9" w14:textId="77777777" w:rsidTr="0026365F">
        <w:tc>
          <w:tcPr>
            <w:tcW w:w="1188" w:type="dxa"/>
          </w:tcPr>
          <w:p w14:paraId="798CB5CB" w14:textId="77777777" w:rsidR="00200837" w:rsidRPr="0015154B" w:rsidRDefault="00200837" w:rsidP="0026365F">
            <w:pPr>
              <w:jc w:val="right"/>
              <w:rPr>
                <w:rFonts w:ascii="Times New Roman" w:hAnsi="Times New Roman" w:cs="Times New Roman"/>
                <w:i/>
                <w:color w:val="000000"/>
                <w:sz w:val="24"/>
                <w:szCs w:val="24"/>
              </w:rPr>
            </w:pPr>
            <w:r w:rsidRPr="0015154B">
              <w:rPr>
                <w:rFonts w:ascii="Times New Roman" w:hAnsi="Times New Roman" w:cs="Times New Roman"/>
                <w:i/>
                <w:color w:val="000000"/>
                <w:sz w:val="24"/>
                <w:szCs w:val="24"/>
              </w:rPr>
              <w:t>ES27</w:t>
            </w:r>
          </w:p>
        </w:tc>
        <w:tc>
          <w:tcPr>
            <w:tcW w:w="1184" w:type="dxa"/>
          </w:tcPr>
          <w:p w14:paraId="262716B2"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74,0</w:t>
            </w:r>
          </w:p>
        </w:tc>
        <w:tc>
          <w:tcPr>
            <w:tcW w:w="1184" w:type="dxa"/>
          </w:tcPr>
          <w:p w14:paraId="449E7E82"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74,9</w:t>
            </w:r>
          </w:p>
        </w:tc>
        <w:tc>
          <w:tcPr>
            <w:tcW w:w="1185" w:type="dxa"/>
          </w:tcPr>
          <w:p w14:paraId="0F6824E2"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76,0</w:t>
            </w:r>
          </w:p>
        </w:tc>
        <w:tc>
          <w:tcPr>
            <w:tcW w:w="1185" w:type="dxa"/>
          </w:tcPr>
          <w:p w14:paraId="295BBBE8"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77,2</w:t>
            </w:r>
          </w:p>
        </w:tc>
        <w:tc>
          <w:tcPr>
            <w:tcW w:w="1185" w:type="dxa"/>
          </w:tcPr>
          <w:p w14:paraId="3F4489E6"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78,3</w:t>
            </w:r>
          </w:p>
        </w:tc>
        <w:tc>
          <w:tcPr>
            <w:tcW w:w="1185" w:type="dxa"/>
          </w:tcPr>
          <w:p w14:paraId="436B157F"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79,0</w:t>
            </w:r>
          </w:p>
        </w:tc>
      </w:tr>
      <w:tr w:rsidR="00200837" w:rsidRPr="0015154B" w14:paraId="3A926671" w14:textId="77777777" w:rsidTr="00585345">
        <w:tc>
          <w:tcPr>
            <w:tcW w:w="1188" w:type="dxa"/>
            <w:shd w:val="clear" w:color="auto" w:fill="E8F3D3" w:themeFill="accent2" w:themeFillTint="33"/>
          </w:tcPr>
          <w:p w14:paraId="577FBC7C" w14:textId="77777777" w:rsidR="00200837" w:rsidRPr="0015154B" w:rsidRDefault="00200837" w:rsidP="0026365F">
            <w:pPr>
              <w:jc w:val="right"/>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Latvija</w:t>
            </w:r>
          </w:p>
        </w:tc>
        <w:tc>
          <w:tcPr>
            <w:tcW w:w="1184" w:type="dxa"/>
            <w:shd w:val="clear" w:color="auto" w:fill="E8F3D3" w:themeFill="accent2" w:themeFillTint="33"/>
          </w:tcPr>
          <w:p w14:paraId="5A6ED137"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73,1</w:t>
            </w:r>
          </w:p>
        </w:tc>
        <w:tc>
          <w:tcPr>
            <w:tcW w:w="1184" w:type="dxa"/>
            <w:shd w:val="clear" w:color="auto" w:fill="E8F3D3" w:themeFill="accent2" w:themeFillTint="33"/>
          </w:tcPr>
          <w:p w14:paraId="685D0198"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74,6</w:t>
            </w:r>
          </w:p>
        </w:tc>
        <w:tc>
          <w:tcPr>
            <w:tcW w:w="1185" w:type="dxa"/>
            <w:shd w:val="clear" w:color="auto" w:fill="E8F3D3" w:themeFill="accent2" w:themeFillTint="33"/>
          </w:tcPr>
          <w:p w14:paraId="53132385"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74,7</w:t>
            </w:r>
          </w:p>
        </w:tc>
        <w:tc>
          <w:tcPr>
            <w:tcW w:w="1185" w:type="dxa"/>
            <w:shd w:val="clear" w:color="auto" w:fill="E8F3D3" w:themeFill="accent2" w:themeFillTint="33"/>
          </w:tcPr>
          <w:p w14:paraId="20469676"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77,0</w:t>
            </w:r>
          </w:p>
        </w:tc>
        <w:tc>
          <w:tcPr>
            <w:tcW w:w="1185" w:type="dxa"/>
            <w:shd w:val="clear" w:color="auto" w:fill="E8F3D3" w:themeFill="accent2" w:themeFillTint="33"/>
          </w:tcPr>
          <w:p w14:paraId="4F06EAFB"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79,0</w:t>
            </w:r>
          </w:p>
        </w:tc>
        <w:tc>
          <w:tcPr>
            <w:tcW w:w="1185" w:type="dxa"/>
            <w:shd w:val="clear" w:color="auto" w:fill="E8F3D3" w:themeFill="accent2" w:themeFillTint="33"/>
          </w:tcPr>
          <w:p w14:paraId="57718F46" w14:textId="77777777" w:rsidR="00200837" w:rsidRPr="0015154B" w:rsidRDefault="00200837" w:rsidP="0026365F">
            <w:pPr>
              <w:jc w:val="center"/>
              <w:rPr>
                <w:rFonts w:ascii="Times New Roman" w:hAnsi="Times New Roman" w:cs="Times New Roman"/>
                <w:b/>
                <w:i/>
                <w:color w:val="000000"/>
                <w:sz w:val="24"/>
                <w:szCs w:val="24"/>
              </w:rPr>
            </w:pPr>
            <w:r w:rsidRPr="0015154B">
              <w:rPr>
                <w:rFonts w:ascii="Times New Roman" w:hAnsi="Times New Roman" w:cs="Times New Roman"/>
                <w:b/>
                <w:i/>
                <w:color w:val="000000"/>
                <w:sz w:val="24"/>
                <w:szCs w:val="24"/>
              </w:rPr>
              <w:t>79,3</w:t>
            </w:r>
          </w:p>
        </w:tc>
      </w:tr>
      <w:tr w:rsidR="00200837" w:rsidRPr="0015154B" w14:paraId="04B10996" w14:textId="77777777" w:rsidTr="0026365F">
        <w:tc>
          <w:tcPr>
            <w:tcW w:w="1188" w:type="dxa"/>
          </w:tcPr>
          <w:p w14:paraId="1D70DA1D" w14:textId="77777777" w:rsidR="00200837" w:rsidRPr="0015154B" w:rsidRDefault="00200837" w:rsidP="0026365F">
            <w:pPr>
              <w:jc w:val="right"/>
              <w:rPr>
                <w:rFonts w:ascii="Times New Roman" w:hAnsi="Times New Roman" w:cs="Times New Roman"/>
                <w:i/>
                <w:color w:val="000000"/>
                <w:sz w:val="24"/>
                <w:szCs w:val="24"/>
              </w:rPr>
            </w:pPr>
            <w:r w:rsidRPr="0015154B">
              <w:rPr>
                <w:rFonts w:ascii="Times New Roman" w:hAnsi="Times New Roman" w:cs="Times New Roman"/>
                <w:i/>
                <w:color w:val="000000"/>
                <w:sz w:val="24"/>
                <w:szCs w:val="24"/>
              </w:rPr>
              <w:t>Lietuva</w:t>
            </w:r>
          </w:p>
        </w:tc>
        <w:tc>
          <w:tcPr>
            <w:tcW w:w="1184" w:type="dxa"/>
          </w:tcPr>
          <w:p w14:paraId="0D6C54F1"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73,1</w:t>
            </w:r>
          </w:p>
        </w:tc>
        <w:tc>
          <w:tcPr>
            <w:tcW w:w="1184" w:type="dxa"/>
          </w:tcPr>
          <w:p w14:paraId="10036331"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74,6</w:t>
            </w:r>
          </w:p>
        </w:tc>
        <w:tc>
          <w:tcPr>
            <w:tcW w:w="1185" w:type="dxa"/>
          </w:tcPr>
          <w:p w14:paraId="6D0106C5"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76,2</w:t>
            </w:r>
          </w:p>
        </w:tc>
        <w:tc>
          <w:tcPr>
            <w:tcW w:w="1185" w:type="dxa"/>
          </w:tcPr>
          <w:p w14:paraId="5B6DA7B4"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76,5</w:t>
            </w:r>
          </w:p>
        </w:tc>
        <w:tc>
          <w:tcPr>
            <w:tcW w:w="1185" w:type="dxa"/>
          </w:tcPr>
          <w:p w14:paraId="18C79336"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79,0</w:t>
            </w:r>
          </w:p>
        </w:tc>
        <w:tc>
          <w:tcPr>
            <w:tcW w:w="1185" w:type="dxa"/>
          </w:tcPr>
          <w:p w14:paraId="3B674AE5"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79,0</w:t>
            </w:r>
          </w:p>
        </w:tc>
      </w:tr>
      <w:tr w:rsidR="00200837" w:rsidRPr="0015154B" w14:paraId="63796BC2" w14:textId="77777777" w:rsidTr="0026365F">
        <w:tc>
          <w:tcPr>
            <w:tcW w:w="1188" w:type="dxa"/>
          </w:tcPr>
          <w:p w14:paraId="16C98388" w14:textId="77777777" w:rsidR="00200837" w:rsidRPr="0015154B" w:rsidRDefault="00200837" w:rsidP="0026365F">
            <w:pPr>
              <w:jc w:val="right"/>
              <w:rPr>
                <w:rFonts w:ascii="Times New Roman" w:hAnsi="Times New Roman" w:cs="Times New Roman"/>
                <w:i/>
                <w:color w:val="000000"/>
                <w:sz w:val="24"/>
                <w:szCs w:val="24"/>
              </w:rPr>
            </w:pPr>
            <w:r w:rsidRPr="0015154B">
              <w:rPr>
                <w:rFonts w:ascii="Times New Roman" w:hAnsi="Times New Roman" w:cs="Times New Roman"/>
                <w:i/>
                <w:color w:val="000000"/>
                <w:sz w:val="24"/>
                <w:szCs w:val="24"/>
              </w:rPr>
              <w:t>Igaunija</w:t>
            </w:r>
          </w:p>
        </w:tc>
        <w:tc>
          <w:tcPr>
            <w:tcW w:w="1184" w:type="dxa"/>
          </w:tcPr>
          <w:p w14:paraId="4BC7A92F"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78,3</w:t>
            </w:r>
          </w:p>
        </w:tc>
        <w:tc>
          <w:tcPr>
            <w:tcW w:w="1184" w:type="dxa"/>
          </w:tcPr>
          <w:p w14:paraId="45B2536E"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80,5</w:t>
            </w:r>
          </w:p>
        </w:tc>
        <w:tc>
          <w:tcPr>
            <w:tcW w:w="1185" w:type="dxa"/>
          </w:tcPr>
          <w:p w14:paraId="65377741"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80,8</w:t>
            </w:r>
          </w:p>
        </w:tc>
        <w:tc>
          <w:tcPr>
            <w:tcW w:w="1185" w:type="dxa"/>
          </w:tcPr>
          <w:p w14:paraId="1BE6DFB8"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82,4</w:t>
            </w:r>
          </w:p>
        </w:tc>
        <w:tc>
          <w:tcPr>
            <w:tcW w:w="1185" w:type="dxa"/>
          </w:tcPr>
          <w:p w14:paraId="032146ED"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83,4</w:t>
            </w:r>
          </w:p>
        </w:tc>
        <w:tc>
          <w:tcPr>
            <w:tcW w:w="1185" w:type="dxa"/>
          </w:tcPr>
          <w:p w14:paraId="2EAAA49A" w14:textId="77777777" w:rsidR="00200837" w:rsidRPr="0015154B" w:rsidRDefault="00200837" w:rsidP="0026365F">
            <w:pPr>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84,0</w:t>
            </w:r>
          </w:p>
        </w:tc>
      </w:tr>
    </w:tbl>
    <w:p w14:paraId="4427CAB7" w14:textId="77777777" w:rsidR="00200837" w:rsidRPr="0015154B" w:rsidRDefault="00200837" w:rsidP="00200837">
      <w:pPr>
        <w:spacing w:after="0" w:line="240" w:lineRule="auto"/>
        <w:jc w:val="both"/>
        <w:rPr>
          <w:rFonts w:ascii="Times New Roman" w:eastAsia="Times New Roman" w:hAnsi="Times New Roman" w:cs="Times New Roman"/>
          <w:bCs/>
          <w:color w:val="000000"/>
          <w:sz w:val="20"/>
          <w:szCs w:val="20"/>
          <w:lang w:eastAsia="lv-LV"/>
        </w:rPr>
      </w:pPr>
      <w:r w:rsidRPr="0015154B">
        <w:rPr>
          <w:rFonts w:ascii="Times New Roman" w:hAnsi="Times New Roman" w:cs="Times New Roman"/>
          <w:color w:val="000000"/>
          <w:sz w:val="20"/>
          <w:szCs w:val="20"/>
        </w:rPr>
        <w:t xml:space="preserve">Datu avots: Darbaspēka apsekojums, Eirostat datu bāze, datu tabulas </w:t>
      </w:r>
      <w:r w:rsidRPr="0015154B">
        <w:rPr>
          <w:rFonts w:ascii="Times New Roman" w:eastAsia="Times New Roman" w:hAnsi="Times New Roman" w:cs="Times New Roman"/>
          <w:bCs/>
          <w:color w:val="000000"/>
          <w:sz w:val="20"/>
          <w:szCs w:val="20"/>
          <w:lang w:eastAsia="lv-LV"/>
        </w:rPr>
        <w:t>[lfsi_emp_a]</w:t>
      </w:r>
    </w:p>
    <w:p w14:paraId="2079F068" w14:textId="77777777" w:rsidR="00BD52AE" w:rsidRPr="0015154B" w:rsidRDefault="00BD52AE" w:rsidP="00BD52AE">
      <w:pPr>
        <w:spacing w:after="0" w:line="240" w:lineRule="auto"/>
        <w:ind w:firstLine="720"/>
        <w:jc w:val="both"/>
        <w:rPr>
          <w:rFonts w:ascii="Times New Roman" w:hAnsi="Times New Roman"/>
          <w:sz w:val="24"/>
          <w:szCs w:val="24"/>
        </w:rPr>
      </w:pPr>
    </w:p>
    <w:p w14:paraId="4598B522" w14:textId="4D03A912" w:rsidR="00200837" w:rsidRPr="0015154B" w:rsidRDefault="00200837" w:rsidP="0030363D">
      <w:pPr>
        <w:spacing w:before="120" w:after="0" w:line="240" w:lineRule="auto"/>
        <w:ind w:firstLine="720"/>
        <w:jc w:val="both"/>
        <w:rPr>
          <w:rFonts w:ascii="Times New Roman" w:hAnsi="Times New Roman" w:cs="Times New Roman"/>
          <w:sz w:val="24"/>
          <w:szCs w:val="24"/>
        </w:rPr>
      </w:pPr>
      <w:r w:rsidRPr="0015154B">
        <w:rPr>
          <w:rFonts w:ascii="Times New Roman" w:hAnsi="Times New Roman"/>
          <w:sz w:val="24"/>
          <w:szCs w:val="24"/>
        </w:rPr>
        <w:t xml:space="preserve">Līdz ar sabiedrības novecošanos aktuāls ir jautājums par ilgāku līdzdalību darba tirgū, darbspēju saglabāšanu un produktīvu nodarbinātību, atbilstošu prasmju apguvi nodarbinātības noturībai. </w:t>
      </w:r>
      <w:r w:rsidRPr="0015154B">
        <w:rPr>
          <w:rFonts w:ascii="Times New Roman" w:hAnsi="Times New Roman" w:cs="Times New Roman"/>
          <w:bCs/>
          <w:sz w:val="24"/>
          <w:szCs w:val="24"/>
        </w:rPr>
        <w:t xml:space="preserve">2019.gadā Latvijā ekonomiskās aktivitātes līmenis vecuma grupā 55-64 gadi bija 72,1% (62% vidēji ES). Nodarbinātības līmenis šajā vecuma grupā Latvijā bija 67,3% un pārsniedza vidējo ES līmeni par vairāk kā 8 procentpunktiem. </w:t>
      </w:r>
      <w:r w:rsidRPr="0015154B">
        <w:rPr>
          <w:rFonts w:ascii="Times New Roman" w:hAnsi="Times New Roman"/>
          <w:sz w:val="24"/>
          <w:szCs w:val="24"/>
        </w:rPr>
        <w:t xml:space="preserve">Lai arī nodarbinātības līmenis būtiski ir pieaudzis vecuma grupā 55-64 gadi un gados vecākos iedzīvotājus Latvijā raksturo samērā augsta līdzdalība darba tirgū, kā galvenie izaicinājumi tomēr saglabājas bezdarbs un īpaši ilgstošais bezdarbs, zemāka mobilitāte </w:t>
      </w:r>
      <w:r w:rsidRPr="0015154B">
        <w:rPr>
          <w:rFonts w:ascii="Times New Roman" w:hAnsi="Times New Roman" w:cs="Times New Roman"/>
          <w:sz w:val="24"/>
          <w:szCs w:val="24"/>
        </w:rPr>
        <w:t xml:space="preserve">gan attiecībā uz darbavietas maiņu, gan atgriešanos darba tirgū, stereotipi no darba devēju puses, izglītības un veselības aspekti, kā arī aprūpes pienākumi. </w:t>
      </w:r>
      <w:r w:rsidRPr="0015154B">
        <w:rPr>
          <w:rFonts w:ascii="Times New Roman" w:eastAsia="Calibri" w:hAnsi="Times New Roman" w:cs="Times New Roman"/>
          <w:iCs/>
          <w:color w:val="000000"/>
          <w:sz w:val="24"/>
          <w:szCs w:val="24"/>
        </w:rPr>
        <w:t xml:space="preserve">Lai uzlabotu aktīvās novecošanās situāciju kopumā, </w:t>
      </w:r>
      <w:r w:rsidRPr="0015154B">
        <w:rPr>
          <w:rFonts w:ascii="Times New Roman" w:hAnsi="Times New Roman" w:cs="Times New Roman"/>
          <w:sz w:val="24"/>
          <w:szCs w:val="24"/>
        </w:rPr>
        <w:t>veicinātu pēc iespējas ilgāku līdzdalību darba tirgū un mazinātu bezdarba iestāšanās riskus, būtiskākie darbības virzieni ir</w:t>
      </w:r>
      <w:r w:rsidRPr="0015154B">
        <w:rPr>
          <w:rFonts w:ascii="Times New Roman" w:eastAsia="Calibri" w:hAnsi="Times New Roman" w:cs="Times New Roman"/>
          <w:iCs/>
          <w:color w:val="000000"/>
          <w:sz w:val="24"/>
          <w:szCs w:val="24"/>
        </w:rPr>
        <w:t xml:space="preserve"> veselības pieejamības, pieaugušo iedzīvotāju prasmju pilnveides, nabadzības risku mazināšanas un kvalitatīvu darba vietu nodrošināšana</w:t>
      </w:r>
      <w:r w:rsidRPr="0015154B">
        <w:rPr>
          <w:rFonts w:ascii="Times New Roman" w:hAnsi="Times New Roman" w:cs="Times New Roman"/>
          <w:sz w:val="24"/>
          <w:szCs w:val="24"/>
        </w:rPr>
        <w:t>.</w:t>
      </w:r>
    </w:p>
    <w:p w14:paraId="3880D7DF" w14:textId="77777777" w:rsidR="00BD52AE" w:rsidRPr="002F5278" w:rsidRDefault="00200837" w:rsidP="0030363D">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Nodarbinātības līmenis tieši korelē ar personas iegūto </w:t>
      </w:r>
      <w:r w:rsidRPr="0015154B">
        <w:rPr>
          <w:rFonts w:ascii="Times New Roman" w:hAnsi="Times New Roman" w:cs="Times New Roman"/>
          <w:b/>
          <w:sz w:val="24"/>
          <w:szCs w:val="24"/>
        </w:rPr>
        <w:t>izglītības līmeni</w:t>
      </w:r>
      <w:r w:rsidRPr="0015154B">
        <w:rPr>
          <w:rFonts w:ascii="Times New Roman" w:hAnsi="Times New Roman" w:cs="Times New Roman"/>
          <w:sz w:val="24"/>
          <w:szCs w:val="24"/>
        </w:rPr>
        <w:t xml:space="preserve"> - jo augstāks ir izglītības līmenis, jo augstāks ir nodarbinātības līmenis, </w:t>
      </w:r>
      <w:r w:rsidRPr="0015154B">
        <w:rPr>
          <w:rFonts w:ascii="Times New Roman" w:eastAsia="Calibri" w:hAnsi="Times New Roman" w:cs="Times New Roman"/>
          <w:iCs/>
          <w:color w:val="000000"/>
          <w:sz w:val="24"/>
          <w:szCs w:val="24"/>
        </w:rPr>
        <w:t>īsāks bezdarba ilgums, kā arī labāki darba tirgus iznākumi algas un nodarbinātības noturības izteiksmē</w:t>
      </w:r>
      <w:r w:rsidRPr="0015154B">
        <w:rPr>
          <w:rFonts w:ascii="Times New Roman" w:hAnsi="Times New Roman" w:cs="Times New Roman"/>
          <w:sz w:val="24"/>
          <w:szCs w:val="24"/>
        </w:rPr>
        <w:t>. 2019.gadā visaugstākais nodarbinātības līmenis vecuma grupā no 15 līdz 64 gadiem bija personām ar augstāko izglītību - 89,0%, bet viszemākais personām ar pamatizglītību vai zemāku izglītību – 36,4 %.</w:t>
      </w:r>
      <w:r w:rsidR="00BD52AE" w:rsidRPr="007157D3">
        <w:rPr>
          <w:rStyle w:val="FootnoteReference"/>
          <w:rFonts w:ascii="Times New Roman" w:hAnsi="Times New Roman" w:cs="Times New Roman"/>
          <w:sz w:val="24"/>
          <w:szCs w:val="24"/>
        </w:rPr>
        <w:footnoteReference w:id="24"/>
      </w:r>
      <w:r w:rsidRPr="007157D3">
        <w:rPr>
          <w:rFonts w:ascii="Times New Roman" w:hAnsi="Times New Roman" w:cs="Times New Roman"/>
          <w:sz w:val="24"/>
          <w:szCs w:val="24"/>
        </w:rPr>
        <w:t xml:space="preserve"> </w:t>
      </w:r>
    </w:p>
    <w:p w14:paraId="3D3827E0" w14:textId="0B65E1D0" w:rsidR="00200837" w:rsidRPr="009703E6" w:rsidRDefault="00200837" w:rsidP="0030363D">
      <w:pPr>
        <w:spacing w:before="120" w:after="0" w:line="240" w:lineRule="auto"/>
        <w:ind w:firstLine="720"/>
        <w:jc w:val="both"/>
        <w:rPr>
          <w:rFonts w:ascii="Times New Roman" w:hAnsi="Times New Roman" w:cs="Times New Roman"/>
          <w:sz w:val="24"/>
          <w:szCs w:val="24"/>
        </w:rPr>
      </w:pPr>
      <w:r w:rsidRPr="0025422D">
        <w:rPr>
          <w:rFonts w:ascii="Times New Roman" w:hAnsi="Times New Roman" w:cs="Times New Roman"/>
          <w:sz w:val="24"/>
          <w:szCs w:val="24"/>
        </w:rPr>
        <w:t>Jop</w:t>
      </w:r>
      <w:r w:rsidRPr="00A857F2">
        <w:rPr>
          <w:rFonts w:ascii="Times New Roman" w:hAnsi="Times New Roman" w:cs="Times New Roman"/>
          <w:sz w:val="24"/>
          <w:szCs w:val="24"/>
        </w:rPr>
        <w:t xml:space="preserve">rojām saglabājas izteiktas </w:t>
      </w:r>
      <w:r w:rsidRPr="003B5C85">
        <w:rPr>
          <w:rFonts w:ascii="Times New Roman" w:hAnsi="Times New Roman" w:cs="Times New Roman"/>
          <w:b/>
          <w:sz w:val="24"/>
          <w:szCs w:val="24"/>
        </w:rPr>
        <w:t>reģionālās atšķirības</w:t>
      </w:r>
      <w:r w:rsidRPr="003B5C85">
        <w:rPr>
          <w:rFonts w:ascii="Times New Roman" w:hAnsi="Times New Roman" w:cs="Times New Roman"/>
          <w:sz w:val="24"/>
          <w:szCs w:val="24"/>
        </w:rPr>
        <w:t>. Viszemākais nodarbinātības līmenis 2019.gadā bija Latgales reģionā (54,9%), kur vērojams arī lēnākais nodarbinātības līmeņa pieaugums starp reģioniem. Savukārt augstākais nodarbinātības līmenis bija R</w:t>
      </w:r>
      <w:r w:rsidRPr="009703E6">
        <w:rPr>
          <w:rFonts w:ascii="Times New Roman" w:hAnsi="Times New Roman" w:cs="Times New Roman"/>
          <w:sz w:val="24"/>
          <w:szCs w:val="24"/>
        </w:rPr>
        <w:t xml:space="preserve">īgas un Pierīgas reģionā (attiecīgi 76,6 % un 75,4%), kur vērojams arī straujākais nodarbinātības līmeņa pieaugums. </w:t>
      </w:r>
    </w:p>
    <w:p w14:paraId="7D56B1EB" w14:textId="5F19D1C5" w:rsidR="00200837" w:rsidRPr="002F5278" w:rsidRDefault="00200837" w:rsidP="0030363D">
      <w:pPr>
        <w:spacing w:before="120" w:after="0" w:line="240" w:lineRule="auto"/>
        <w:ind w:firstLine="720"/>
        <w:jc w:val="both"/>
        <w:rPr>
          <w:rFonts w:ascii="Times New Roman" w:hAnsi="Times New Roman" w:cs="Times New Roman"/>
          <w:sz w:val="24"/>
          <w:szCs w:val="24"/>
        </w:rPr>
      </w:pPr>
      <w:r w:rsidRPr="009703E6">
        <w:rPr>
          <w:rFonts w:ascii="Times New Roman" w:hAnsi="Times New Roman" w:cs="Times New Roman"/>
          <w:sz w:val="24"/>
          <w:szCs w:val="24"/>
        </w:rPr>
        <w:t xml:space="preserve">Kopš 2010.gada vidus </w:t>
      </w:r>
      <w:r w:rsidRPr="0015154B">
        <w:rPr>
          <w:rFonts w:ascii="Times New Roman" w:hAnsi="Times New Roman" w:cs="Times New Roman"/>
          <w:b/>
          <w:sz w:val="24"/>
          <w:szCs w:val="24"/>
        </w:rPr>
        <w:t>nodarbināto skaits</w:t>
      </w:r>
      <w:r w:rsidRPr="0015154B">
        <w:rPr>
          <w:rFonts w:ascii="Times New Roman" w:hAnsi="Times New Roman" w:cs="Times New Roman"/>
          <w:sz w:val="24"/>
          <w:szCs w:val="24"/>
        </w:rPr>
        <w:t xml:space="preserve"> pakāpeniski palielinās, lai gan nodarbināto skaits joprojām būtiski atpaliek no pirmskrīzes perioda pirms 2008.gada. Saskaņā ar </w:t>
      </w:r>
      <w:r w:rsidR="00BD52AE" w:rsidRPr="0015154B">
        <w:rPr>
          <w:rFonts w:ascii="Times New Roman" w:hAnsi="Times New Roman" w:cs="Times New Roman"/>
          <w:sz w:val="24"/>
          <w:szCs w:val="24"/>
        </w:rPr>
        <w:t>D</w:t>
      </w:r>
      <w:r w:rsidRPr="0015154B">
        <w:rPr>
          <w:rFonts w:ascii="Times New Roman" w:hAnsi="Times New Roman" w:cs="Times New Roman"/>
          <w:sz w:val="24"/>
          <w:szCs w:val="24"/>
        </w:rPr>
        <w:t>arbaspēka apsekojuma datiem laika posmā no 2014.gada 1.ceturksņa līdz 2020. gada 1.ceturksnim nodarbināto skaits vecumā no 15-74 gadiem ir palielinājies par 20,4 tūkstošiem, turklāt lielākais nodarbināto skaita pieaugums absolūtos skaitļos ir vērojams tieši gados vecāko nodarbināto vidū (55-64 gadi un 65-74 gadi).</w:t>
      </w:r>
      <w:r w:rsidRPr="007157D3">
        <w:rPr>
          <w:rStyle w:val="FootnoteReference"/>
          <w:rFonts w:ascii="Times New Roman" w:hAnsi="Times New Roman" w:cs="Times New Roman"/>
          <w:sz w:val="24"/>
          <w:szCs w:val="24"/>
        </w:rPr>
        <w:footnoteReference w:id="25"/>
      </w:r>
      <w:r w:rsidRPr="007157D3">
        <w:rPr>
          <w:rFonts w:ascii="Times New Roman" w:hAnsi="Times New Roman" w:cs="Times New Roman"/>
          <w:sz w:val="24"/>
          <w:szCs w:val="24"/>
        </w:rPr>
        <w:t xml:space="preserve"> </w:t>
      </w:r>
    </w:p>
    <w:p w14:paraId="4C729ACD" w14:textId="17135502" w:rsidR="009E3770" w:rsidRPr="0025422D" w:rsidRDefault="00200837" w:rsidP="0030363D">
      <w:pPr>
        <w:pStyle w:val="NormalWeb"/>
        <w:spacing w:before="120" w:beforeAutospacing="0" w:after="0" w:afterAutospacing="0"/>
        <w:ind w:firstLine="720"/>
        <w:jc w:val="both"/>
        <w:rPr>
          <w:rFonts w:ascii="Times New Roman" w:hAnsi="Times New Roman"/>
          <w:sz w:val="24"/>
          <w:szCs w:val="24"/>
        </w:rPr>
      </w:pPr>
      <w:r w:rsidRPr="0025422D">
        <w:rPr>
          <w:rFonts w:ascii="Times New Roman" w:hAnsi="Times New Roman"/>
          <w:b/>
          <w:sz w:val="24"/>
          <w:szCs w:val="24"/>
        </w:rPr>
        <w:t>Bezdarba līmenis</w:t>
      </w:r>
      <w:r w:rsidRPr="00A857F2">
        <w:rPr>
          <w:rFonts w:ascii="Times New Roman" w:hAnsi="Times New Roman"/>
          <w:sz w:val="24"/>
          <w:szCs w:val="24"/>
        </w:rPr>
        <w:t xml:space="preserve"> kopš 2014.gada 1.ceturkšņa līdz 2020.gada 1.ceturksnim ir samazinājies par 4,5 procentpunktiem. 2020.gada 1.ceturksnī bezdarba līmenis vecuma grupā</w:t>
      </w:r>
      <w:r w:rsidRPr="009703E6">
        <w:rPr>
          <w:rFonts w:ascii="Times New Roman" w:hAnsi="Times New Roman"/>
          <w:sz w:val="24"/>
          <w:szCs w:val="24"/>
        </w:rPr>
        <w:t xml:space="preserve"> 15-74 gadi bija 7,4%, tai skaitā, sievietēm – 6,5% un vīriešiem – 8,4%. Bezdarba līmeņa pakāpeniska samazināšanās bija vērojama visās vecuma grupās kā sievietēm, tā vīriešiem.</w:t>
      </w:r>
      <w:r w:rsidRPr="007157D3">
        <w:rPr>
          <w:rStyle w:val="FootnoteReference"/>
          <w:rFonts w:ascii="Times New Roman" w:hAnsi="Times New Roman"/>
          <w:sz w:val="24"/>
          <w:szCs w:val="24"/>
        </w:rPr>
        <w:footnoteReference w:id="26"/>
      </w:r>
      <w:r w:rsidRPr="007157D3">
        <w:rPr>
          <w:rFonts w:ascii="Times New Roman" w:hAnsi="Times New Roman"/>
          <w:sz w:val="24"/>
          <w:szCs w:val="24"/>
        </w:rPr>
        <w:t xml:space="preserve"> Bezdarba līmeņa samazinājumu ietekmēja gan iedzīvotāju nodarbinātības pieaugums, gan</w:t>
      </w:r>
      <w:r w:rsidRPr="002F5278">
        <w:rPr>
          <w:rFonts w:ascii="Times New Roman" w:hAnsi="Times New Roman"/>
          <w:sz w:val="24"/>
          <w:szCs w:val="24"/>
        </w:rPr>
        <w:t xml:space="preserve"> ekonomiski aktīvo iedzīvotāju skaita samazinājums. </w:t>
      </w:r>
    </w:p>
    <w:p w14:paraId="39A14F6D" w14:textId="5699A1F8" w:rsidR="00200837" w:rsidRPr="009703E6" w:rsidRDefault="00200837" w:rsidP="0030363D">
      <w:pPr>
        <w:pStyle w:val="NormalWeb"/>
        <w:spacing w:before="120" w:beforeAutospacing="0" w:after="0" w:afterAutospacing="0"/>
        <w:ind w:firstLine="720"/>
        <w:jc w:val="both"/>
        <w:rPr>
          <w:rFonts w:ascii="Times New Roman" w:hAnsi="Times New Roman"/>
          <w:color w:val="000000"/>
          <w:sz w:val="24"/>
          <w:szCs w:val="24"/>
        </w:rPr>
      </w:pPr>
      <w:r w:rsidRPr="00A857F2">
        <w:rPr>
          <w:rFonts w:ascii="Times New Roman" w:hAnsi="Times New Roman"/>
          <w:sz w:val="24"/>
          <w:szCs w:val="24"/>
        </w:rPr>
        <w:t xml:space="preserve">Bezdarba līmenis Latvijā bija zemāks nekā ES-27 vidēji. 2019.gada 4.ceturksnī bezdarba līmenis vidēji ES bija 6,5%, savukārt Latvijā attiecīgajā periodā 6,0%. </w:t>
      </w:r>
      <w:r w:rsidRPr="009703E6">
        <w:rPr>
          <w:rFonts w:ascii="Times New Roman" w:hAnsi="Times New Roman"/>
          <w:color w:val="000000"/>
          <w:sz w:val="24"/>
          <w:szCs w:val="24"/>
        </w:rPr>
        <w:t>Kopš 2014.gada 3.ceturkšņa Latvijā bija augstākais bezdarba līmenis Baltijas valstīs, tikai 2019.gada 3. un 4. ceturksnī tas bija nedaudz zemāks nekā Lietuvā, bet 2020.gada 1.ceturksnī Latvijā bezdarba līmenis bija augstāks nekā Igaunijā (5,0 %) un Lietuvā (7,2 %).</w:t>
      </w:r>
    </w:p>
    <w:p w14:paraId="58E956E6" w14:textId="4663CA74" w:rsidR="006553CE" w:rsidRPr="0015154B" w:rsidRDefault="00200837" w:rsidP="0030363D">
      <w:pPr>
        <w:pStyle w:val="NormalWeb"/>
        <w:spacing w:before="120" w:beforeAutospacing="0" w:after="0" w:afterAutospacing="0"/>
        <w:ind w:firstLine="720"/>
        <w:jc w:val="both"/>
        <w:rPr>
          <w:rFonts w:ascii="Times New Roman" w:hAnsi="Times New Roman"/>
          <w:color w:val="000000"/>
          <w:sz w:val="24"/>
          <w:szCs w:val="24"/>
        </w:rPr>
      </w:pPr>
      <w:r w:rsidRPr="0015154B">
        <w:rPr>
          <w:rFonts w:ascii="Times New Roman" w:hAnsi="Times New Roman"/>
          <w:color w:val="000000"/>
          <w:sz w:val="24"/>
          <w:szCs w:val="24"/>
        </w:rPr>
        <w:t xml:space="preserve">Arī </w:t>
      </w:r>
      <w:r w:rsidRPr="0015154B">
        <w:rPr>
          <w:rFonts w:ascii="Times New Roman" w:hAnsi="Times New Roman"/>
          <w:b/>
          <w:color w:val="000000"/>
          <w:sz w:val="24"/>
          <w:szCs w:val="24"/>
        </w:rPr>
        <w:t>reģistrētā bezdarba līmenis</w:t>
      </w:r>
      <w:r w:rsidRPr="0015154B">
        <w:rPr>
          <w:rFonts w:ascii="Times New Roman" w:hAnsi="Times New Roman"/>
          <w:color w:val="000000"/>
          <w:sz w:val="24"/>
          <w:szCs w:val="24"/>
        </w:rPr>
        <w:t xml:space="preserve"> aizvadītajos gados ir būtiski sarucis, 2019.gada decembra beigās sasniedzot 6,2%. </w:t>
      </w:r>
      <w:r w:rsidRPr="0015154B">
        <w:rPr>
          <w:rFonts w:ascii="Times New Roman" w:hAnsi="Times New Roman"/>
          <w:bCs/>
          <w:sz w:val="24"/>
          <w:szCs w:val="24"/>
          <w:lang w:eastAsia="ar-SA"/>
        </w:rPr>
        <w:t xml:space="preserve">2019.gada beigās </w:t>
      </w:r>
      <w:r w:rsidR="000D485B">
        <w:rPr>
          <w:rFonts w:ascii="Times New Roman" w:hAnsi="Times New Roman"/>
          <w:bCs/>
          <w:sz w:val="24"/>
          <w:szCs w:val="24"/>
          <w:lang w:eastAsia="ar-SA"/>
        </w:rPr>
        <w:t>Nodarbinātības valsts aģentūrā (turpm</w:t>
      </w:r>
      <w:r w:rsidR="00EF22A3">
        <w:rPr>
          <w:rFonts w:ascii="Times New Roman" w:hAnsi="Times New Roman"/>
          <w:bCs/>
          <w:sz w:val="24"/>
          <w:szCs w:val="24"/>
          <w:lang w:eastAsia="ar-SA"/>
        </w:rPr>
        <w:t>ā</w:t>
      </w:r>
      <w:r w:rsidR="000D485B">
        <w:rPr>
          <w:rFonts w:ascii="Times New Roman" w:hAnsi="Times New Roman"/>
          <w:bCs/>
          <w:sz w:val="24"/>
          <w:szCs w:val="24"/>
          <w:lang w:eastAsia="ar-SA"/>
        </w:rPr>
        <w:t xml:space="preserve">k- </w:t>
      </w:r>
      <w:r w:rsidRPr="0015154B">
        <w:rPr>
          <w:rFonts w:ascii="Times New Roman" w:hAnsi="Times New Roman"/>
          <w:bCs/>
          <w:sz w:val="24"/>
          <w:szCs w:val="24"/>
          <w:lang w:eastAsia="ar-SA"/>
        </w:rPr>
        <w:t>NVA</w:t>
      </w:r>
      <w:r w:rsidR="00EF22A3">
        <w:rPr>
          <w:rFonts w:ascii="Times New Roman" w:hAnsi="Times New Roman"/>
          <w:bCs/>
          <w:sz w:val="24"/>
          <w:szCs w:val="24"/>
          <w:lang w:eastAsia="ar-SA"/>
        </w:rPr>
        <w:t>)</w:t>
      </w:r>
      <w:r w:rsidRPr="0015154B">
        <w:rPr>
          <w:rFonts w:ascii="Times New Roman" w:hAnsi="Times New Roman"/>
          <w:bCs/>
          <w:sz w:val="24"/>
          <w:szCs w:val="24"/>
          <w:lang w:eastAsia="ar-SA"/>
        </w:rPr>
        <w:t xml:space="preserve"> bija reģistrēti 57 808 bezdarbnieki. </w:t>
      </w:r>
      <w:r w:rsidRPr="0015154B">
        <w:rPr>
          <w:rFonts w:ascii="Times New Roman" w:hAnsi="Times New Roman"/>
          <w:color w:val="000000"/>
          <w:sz w:val="24"/>
          <w:szCs w:val="24"/>
        </w:rPr>
        <w:t xml:space="preserve">Zemākais bezdarba līmenis 2019. gada decembrī reģistrēts Rīgas reģionā – 4,3%, augstākais bezdarba līmenis bija Latgales reģionā – 13,8%. </w:t>
      </w:r>
      <w:r w:rsidRPr="0015154B">
        <w:rPr>
          <w:rFonts w:ascii="Times New Roman" w:hAnsi="Times New Roman"/>
          <w:color w:val="000000"/>
          <w:sz w:val="24"/>
          <w:szCs w:val="24"/>
        </w:rPr>
        <w:lastRenderedPageBreak/>
        <w:t>Vidzemes reģionā bezdarba līmenis decembrī bija 5,9%, Zemgales reģionā – 6,3% un Kurzemes reģionā – 7,2%.</w:t>
      </w:r>
      <w:r w:rsidR="009E3770" w:rsidRPr="0015154B">
        <w:rPr>
          <w:rFonts w:ascii="Times New Roman" w:hAnsi="Times New Roman"/>
          <w:color w:val="000000"/>
          <w:sz w:val="24"/>
          <w:szCs w:val="24"/>
        </w:rPr>
        <w:t xml:space="preserve"> </w:t>
      </w:r>
      <w:r w:rsidRPr="0015154B">
        <w:rPr>
          <w:rFonts w:ascii="Times New Roman" w:hAnsi="Times New Roman"/>
          <w:color w:val="000000"/>
          <w:sz w:val="24"/>
          <w:szCs w:val="24"/>
        </w:rPr>
        <w:t>No reģistrēto bezdarbnieku kopskaita (57 808) 2019.gada decembra beigās 53,7% (31 053) bija sievietes un 46,3% (26 755) vīrieši.</w:t>
      </w:r>
      <w:r w:rsidR="009E3770" w:rsidRPr="0015154B">
        <w:rPr>
          <w:rFonts w:ascii="Times New Roman" w:hAnsi="Times New Roman"/>
          <w:color w:val="000000"/>
          <w:sz w:val="24"/>
          <w:szCs w:val="24"/>
        </w:rPr>
        <w:t xml:space="preserve"> </w:t>
      </w:r>
      <w:r w:rsidR="006553CE" w:rsidRPr="0015154B">
        <w:rPr>
          <w:rFonts w:ascii="Times New Roman" w:hAnsi="Times New Roman"/>
          <w:color w:val="000000"/>
          <w:sz w:val="24"/>
          <w:szCs w:val="24"/>
        </w:rPr>
        <w:t>Arī 2020.gada jūnija beigās saglabājās līdzīga proporcija - no reģistrēto bezdarbnieku kopskaita 55,2% (43 192) bija sievietes un 44,8% (35 074) vīrieši.</w:t>
      </w:r>
    </w:p>
    <w:p w14:paraId="19EEAA05" w14:textId="29BB4157" w:rsidR="00200837" w:rsidRPr="0015154B" w:rsidRDefault="00200837" w:rsidP="00350281">
      <w:pPr>
        <w:pStyle w:val="ListParagraph"/>
        <w:spacing w:before="120" w:after="0" w:line="240" w:lineRule="auto"/>
        <w:ind w:left="0" w:right="-1" w:firstLine="720"/>
        <w:contextualSpacing w:val="0"/>
        <w:jc w:val="both"/>
        <w:rPr>
          <w:rFonts w:ascii="Times New Roman" w:hAnsi="Times New Roman" w:cs="Times New Roman"/>
          <w:color w:val="000000"/>
          <w:sz w:val="24"/>
          <w:szCs w:val="24"/>
        </w:rPr>
      </w:pPr>
      <w:r w:rsidRPr="0015154B">
        <w:rPr>
          <w:rFonts w:ascii="Times New Roman" w:hAnsi="Times New Roman" w:cs="Times New Roman"/>
          <w:color w:val="000000"/>
          <w:sz w:val="24"/>
          <w:szCs w:val="24"/>
        </w:rPr>
        <w:t>2019.gada decembra beigās nedaudz vairāk nekā puse reģistrēto bezdarbnieku bija ar bezdarba ilgumu līdz 6 mēnešiem – 34 211 jeb 59,2%.</w:t>
      </w:r>
      <w:r w:rsidR="009E3770" w:rsidRPr="0015154B">
        <w:rPr>
          <w:rFonts w:ascii="Times New Roman" w:hAnsi="Times New Roman" w:cs="Times New Roman"/>
          <w:color w:val="000000"/>
          <w:sz w:val="24"/>
          <w:szCs w:val="24"/>
        </w:rPr>
        <w:t xml:space="preserve"> </w:t>
      </w:r>
      <w:r w:rsidRPr="0015154B">
        <w:rPr>
          <w:rFonts w:ascii="Times New Roman" w:hAnsi="Times New Roman" w:cs="Times New Roman"/>
          <w:color w:val="000000"/>
          <w:sz w:val="24"/>
          <w:szCs w:val="24"/>
        </w:rPr>
        <w:t>Vidējais bezdarba ilgums 2019.gada decembra beigās bija 139 dienas jeb nedaudz mazāk nekā 5 mēneši, kas, salīdzinot ar atbilstošo periodu pirms gada, bija par 22 dienām mazāk. Salīdzinot ar iepriekšējo gadu, visās mērķgrupās vērojams bezdarba ilguma samazinājums, izņemot jauniešus vecuma grupā 15-24 gadi, kurā vidējais dienu skaits uzskaitē, salīdzinājumā ar iepriekšējo gadu, bija saglabājies nemainīgs.</w:t>
      </w:r>
    </w:p>
    <w:p w14:paraId="73FD2FAB" w14:textId="01A3D1EA" w:rsidR="00200837" w:rsidRPr="0015154B" w:rsidRDefault="00200837" w:rsidP="0030363D">
      <w:pPr>
        <w:tabs>
          <w:tab w:val="left" w:pos="4468"/>
        </w:tabs>
        <w:spacing w:before="120" w:after="0" w:line="240" w:lineRule="auto"/>
        <w:ind w:firstLine="851"/>
        <w:jc w:val="both"/>
        <w:rPr>
          <w:rFonts w:ascii="Times New Roman" w:hAnsi="Times New Roman" w:cs="Times New Roman"/>
          <w:color w:val="000000"/>
          <w:sz w:val="24"/>
          <w:szCs w:val="24"/>
        </w:rPr>
      </w:pPr>
      <w:r w:rsidRPr="0015154B">
        <w:rPr>
          <w:rFonts w:ascii="Times New Roman" w:hAnsi="Times New Roman" w:cs="Times New Roman"/>
          <w:color w:val="000000"/>
          <w:sz w:val="24"/>
          <w:szCs w:val="24"/>
        </w:rPr>
        <w:t xml:space="preserve">Reģistrēto bezdarbnieku kopskaitā 2019.decembra beigās lielāko īpatsvaru veidoja bezdarbnieki ar profesionālo izglītību – 35,9%, no kuriem puse (52,4%) bija vecumā 50 gadi un vairāk. </w:t>
      </w:r>
      <w:r w:rsidR="002A785B" w:rsidRPr="0015154B">
        <w:rPr>
          <w:rFonts w:ascii="Times New Roman" w:hAnsi="Times New Roman" w:cs="Times New Roman"/>
          <w:color w:val="000000"/>
          <w:sz w:val="24"/>
          <w:szCs w:val="24"/>
        </w:rPr>
        <w:t>Salīdzinot ar 2014.gadu, reģistrēto bezdarbnieku īpatsvars ar augstāko izglītību ir pieaudzis – 2019.gadā no kopējā reģistrēto bezdarbnieku skaita 21,3% bija augstākā izglītības, kamēr 2014.gadā  - 14,7%.</w:t>
      </w:r>
      <w:r w:rsidR="00350281" w:rsidRPr="0015154B">
        <w:rPr>
          <w:rFonts w:ascii="Times New Roman" w:hAnsi="Times New Roman" w:cs="Times New Roman"/>
          <w:color w:val="000000"/>
          <w:sz w:val="24"/>
          <w:szCs w:val="24"/>
        </w:rPr>
        <w:t xml:space="preserve"> </w:t>
      </w:r>
      <w:r w:rsidR="002A785B" w:rsidRPr="0015154B">
        <w:rPr>
          <w:rFonts w:ascii="Times New Roman" w:hAnsi="Times New Roman" w:cs="Times New Roman"/>
          <w:color w:val="000000"/>
          <w:sz w:val="24"/>
          <w:szCs w:val="24"/>
        </w:rPr>
        <w:t>Savukārt, bezdarbnieku īpatsvars, kuru iegūtā izglītība ir zemāka par pamatizglītību, ir samazinājies par 0,7</w:t>
      </w:r>
      <w:r w:rsidR="00C86B2B" w:rsidRPr="0015154B">
        <w:rPr>
          <w:rFonts w:ascii="Times New Roman" w:hAnsi="Times New Roman" w:cs="Times New Roman"/>
          <w:color w:val="000000"/>
          <w:sz w:val="24"/>
          <w:szCs w:val="24"/>
        </w:rPr>
        <w:t xml:space="preserve"> procentpunktiem,</w:t>
      </w:r>
      <w:r w:rsidR="002A785B" w:rsidRPr="0015154B">
        <w:rPr>
          <w:rFonts w:ascii="Times New Roman" w:hAnsi="Times New Roman" w:cs="Times New Roman"/>
          <w:color w:val="000000"/>
          <w:sz w:val="24"/>
          <w:szCs w:val="24"/>
        </w:rPr>
        <w:t xml:space="preserve">  un 2019.gadā bija 2,1%.</w:t>
      </w:r>
    </w:p>
    <w:p w14:paraId="434FBE09" w14:textId="56677CAD" w:rsidR="00200837" w:rsidRPr="0015154B" w:rsidRDefault="00200837" w:rsidP="0030363D">
      <w:pPr>
        <w:tabs>
          <w:tab w:val="left" w:pos="4468"/>
        </w:tabs>
        <w:spacing w:before="120" w:after="0" w:line="240" w:lineRule="auto"/>
        <w:ind w:firstLine="709"/>
        <w:jc w:val="both"/>
        <w:rPr>
          <w:rFonts w:ascii="Times New Roman" w:hAnsi="Times New Roman" w:cs="Times New Roman"/>
          <w:color w:val="000000"/>
          <w:sz w:val="24"/>
          <w:szCs w:val="24"/>
        </w:rPr>
      </w:pPr>
      <w:r w:rsidRPr="0015154B">
        <w:rPr>
          <w:rFonts w:ascii="Times New Roman" w:hAnsi="Times New Roman" w:cs="Times New Roman"/>
          <w:color w:val="000000"/>
          <w:sz w:val="24"/>
          <w:szCs w:val="24"/>
        </w:rPr>
        <w:t>2019</w:t>
      </w:r>
      <w:r w:rsidR="005A410F" w:rsidRPr="0015154B">
        <w:rPr>
          <w:rFonts w:ascii="Times New Roman" w:hAnsi="Times New Roman" w:cs="Times New Roman"/>
          <w:color w:val="000000"/>
          <w:sz w:val="24"/>
          <w:szCs w:val="24"/>
        </w:rPr>
        <w:t>.</w:t>
      </w:r>
      <w:r w:rsidRPr="0015154B">
        <w:rPr>
          <w:rFonts w:ascii="Times New Roman" w:hAnsi="Times New Roman" w:cs="Times New Roman"/>
          <w:color w:val="000000"/>
          <w:sz w:val="24"/>
          <w:szCs w:val="24"/>
        </w:rPr>
        <w:t>gada decembra beigās lielākās mērķgrupas no bezdarbnieku kopskaita bija bezdarbnieki vecumā 50 gadi un vairāk – 39,6% un ilgstošie bezdarbnieki – 21,0%. 2019.gada decembra beigās 7 868 jeb 13,6% no  reģistrētā bezdarbnieku kopskaita valstī bija bezdarbnieki ar invaliditāti</w:t>
      </w:r>
      <w:r w:rsidR="007D5195" w:rsidRPr="0015154B">
        <w:rPr>
          <w:rFonts w:ascii="Times New Roman" w:hAnsi="Times New Roman" w:cs="Times New Roman"/>
          <w:color w:val="000000"/>
          <w:sz w:val="24"/>
          <w:szCs w:val="24"/>
        </w:rPr>
        <w:t>, turklāt</w:t>
      </w:r>
      <w:r w:rsidRPr="0015154B">
        <w:rPr>
          <w:rFonts w:ascii="Times New Roman" w:hAnsi="Times New Roman" w:cs="Times New Roman"/>
          <w:color w:val="000000"/>
          <w:sz w:val="24"/>
          <w:szCs w:val="24"/>
        </w:rPr>
        <w:t xml:space="preserve"> atgriešanās darba tirgū </w:t>
      </w:r>
      <w:r w:rsidR="007D5195" w:rsidRPr="0015154B">
        <w:rPr>
          <w:rFonts w:ascii="Times New Roman" w:hAnsi="Times New Roman" w:cs="Times New Roman"/>
          <w:color w:val="000000"/>
          <w:sz w:val="24"/>
          <w:szCs w:val="24"/>
        </w:rPr>
        <w:t xml:space="preserve">šai mērķa grupai </w:t>
      </w:r>
      <w:r w:rsidRPr="0015154B">
        <w:rPr>
          <w:rFonts w:ascii="Times New Roman" w:hAnsi="Times New Roman" w:cs="Times New Roman"/>
          <w:color w:val="000000"/>
          <w:sz w:val="24"/>
          <w:szCs w:val="24"/>
        </w:rPr>
        <w:t>ir lēnāka nekā citām grupām.</w:t>
      </w:r>
    </w:p>
    <w:p w14:paraId="74764B3B" w14:textId="57D27ABD" w:rsidR="00200837" w:rsidRPr="0015154B" w:rsidRDefault="00200837" w:rsidP="0030363D">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Bezdarba straujāku samazināšanos joprojām kavē darba tirgus reģionālās atšķirības – reģistrētais bezdarba līmenis Latgales reģionā ir vairāk nekā trīs reizes augstāks nekā Rīgas reģionā. Riskus rada arī salīdzinoši augstais ilgstošo bezdarbnieku īpatsvars – joprojām gandrīz 1/4 no reģistrētiem darba meklētājiem ir bez darba ilgāk par gadu. Ņemot vērā negatīvās demogrāfiskās tendences, arvien lielāka nozīme darbaspēka piedāvājuma noturēšanai esošajā līmenī būs dažādu ekonomiski neaktīvo iedzīvotāju grupu iesaistei darba tirgū. </w:t>
      </w:r>
    </w:p>
    <w:p w14:paraId="73A049CA" w14:textId="3D8484EA" w:rsidR="003018FA" w:rsidRPr="007157D3" w:rsidRDefault="00C156C4" w:rsidP="0030363D">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Viens no darbspējīgā vecuma iedzīvotāju neaktivitātes vai nepilna darbalaika iemesliem ir </w:t>
      </w:r>
      <w:r w:rsidRPr="0015154B">
        <w:rPr>
          <w:rFonts w:ascii="Times New Roman" w:hAnsi="Times New Roman" w:cs="Times New Roman"/>
          <w:b/>
          <w:sz w:val="24"/>
          <w:szCs w:val="24"/>
        </w:rPr>
        <w:t>ģimenes un aprūpes pienākumu veikšana</w:t>
      </w:r>
      <w:r w:rsidRPr="0015154B">
        <w:rPr>
          <w:rFonts w:ascii="Times New Roman" w:hAnsi="Times New Roman" w:cs="Times New Roman"/>
          <w:sz w:val="24"/>
          <w:szCs w:val="24"/>
        </w:rPr>
        <w:t>. 2019.gadā bērnu vai pieaugušu personu aprūpe/ pieskatīšana bija neaktivitātes iemesls 7% no neaktīvajiem iedzīvotājiem</w:t>
      </w:r>
      <w:r w:rsidR="00924C32" w:rsidRPr="0015154B">
        <w:rPr>
          <w:rFonts w:ascii="Times New Roman" w:hAnsi="Times New Roman" w:cs="Times New Roman"/>
          <w:sz w:val="24"/>
          <w:szCs w:val="24"/>
        </w:rPr>
        <w:t xml:space="preserve"> un 8,3% nepilnu darbalaiku strādājošajiem, savukārt</w:t>
      </w:r>
      <w:r w:rsidRPr="0015154B">
        <w:rPr>
          <w:rFonts w:ascii="Times New Roman" w:hAnsi="Times New Roman" w:cs="Times New Roman"/>
          <w:sz w:val="24"/>
          <w:szCs w:val="24"/>
        </w:rPr>
        <w:t xml:space="preserve"> citi personiski vai ģimenes apstākļi</w:t>
      </w:r>
      <w:r w:rsidR="00924C32" w:rsidRPr="0015154B">
        <w:rPr>
          <w:rFonts w:ascii="Times New Roman" w:hAnsi="Times New Roman" w:cs="Times New Roman"/>
          <w:sz w:val="24"/>
          <w:szCs w:val="24"/>
        </w:rPr>
        <w:t xml:space="preserve"> bija neaktivitātes iemesls 22,3% no neaktīvajiem iedzīvotājiem un 14,9% nepilnu darbalaiku strādājošiem. Aprūpes pienākumu veikšana kā neaktivitātes vai nepilna darbalaika iemesls ir daudz izteiktāks sievietēm. Kopš 2014.gada vērojams, ka aprūpes un citi ģimenes pienākumu ietekme uz neaktivitāti samazinās, bet pakāpeniski pieaug to ietekme uz nepilna darbalaika nodarbinātību.</w:t>
      </w:r>
      <w:r w:rsidR="00924C32" w:rsidRPr="007157D3">
        <w:rPr>
          <w:rStyle w:val="FootnoteReference"/>
          <w:rFonts w:ascii="Times New Roman" w:hAnsi="Times New Roman" w:cs="Times New Roman"/>
          <w:sz w:val="24"/>
          <w:szCs w:val="24"/>
        </w:rPr>
        <w:footnoteReference w:id="27"/>
      </w:r>
    </w:p>
    <w:p w14:paraId="66F86996" w14:textId="0318DD49" w:rsidR="006553CE" w:rsidRPr="0015154B" w:rsidRDefault="007D5195" w:rsidP="0030363D">
      <w:pPr>
        <w:pStyle w:val="NormalWeb"/>
        <w:spacing w:before="120" w:beforeAutospacing="0" w:after="0" w:afterAutospacing="0"/>
        <w:ind w:firstLine="720"/>
        <w:jc w:val="both"/>
        <w:rPr>
          <w:rFonts w:ascii="Times New Roman" w:hAnsi="Times New Roman"/>
          <w:color w:val="000000"/>
          <w:sz w:val="24"/>
          <w:szCs w:val="24"/>
        </w:rPr>
      </w:pPr>
      <w:r w:rsidRPr="002F5278">
        <w:rPr>
          <w:rFonts w:ascii="Times New Roman" w:hAnsi="Times New Roman"/>
          <w:sz w:val="24"/>
          <w:szCs w:val="24"/>
        </w:rPr>
        <w:t xml:space="preserve">Stabilo nodarbinātības līmeņa pieaugumu un darba tirgu ir </w:t>
      </w:r>
      <w:r w:rsidR="001122E4" w:rsidRPr="0025422D">
        <w:rPr>
          <w:rFonts w:ascii="Times New Roman" w:hAnsi="Times New Roman"/>
          <w:sz w:val="24"/>
          <w:szCs w:val="24"/>
        </w:rPr>
        <w:t xml:space="preserve">negatīvi </w:t>
      </w:r>
      <w:r w:rsidRPr="00A857F2">
        <w:rPr>
          <w:rFonts w:ascii="Times New Roman" w:hAnsi="Times New Roman"/>
          <w:sz w:val="24"/>
          <w:szCs w:val="24"/>
        </w:rPr>
        <w:t xml:space="preserve">ietekmējusi 2020.gada 13. martā izsludinātā </w:t>
      </w:r>
      <w:r w:rsidRPr="009703E6">
        <w:rPr>
          <w:rFonts w:ascii="Times New Roman" w:hAnsi="Times New Roman"/>
          <w:b/>
          <w:sz w:val="24"/>
          <w:szCs w:val="24"/>
        </w:rPr>
        <w:t>ārkārtējā situācija sakarā ar Covid-19 izplatību</w:t>
      </w:r>
      <w:r w:rsidRPr="009703E6">
        <w:rPr>
          <w:rFonts w:ascii="Times New Roman" w:hAnsi="Times New Roman"/>
          <w:sz w:val="24"/>
          <w:szCs w:val="24"/>
        </w:rPr>
        <w:t>. </w:t>
      </w:r>
      <w:r w:rsidR="006553CE" w:rsidRPr="0015154B">
        <w:rPr>
          <w:rFonts w:ascii="Times New Roman" w:hAnsi="Times New Roman"/>
          <w:color w:val="000000"/>
          <w:sz w:val="24"/>
          <w:szCs w:val="24"/>
        </w:rPr>
        <w:t xml:space="preserve">Pirms pandēmijas sākuma 2020.gada 1.martā bezdarba līmenis bija 6,3%, savukārt 2020.gada 30.jūnijā tas bija jau 8,6%, attiecīgi pieaugot reģistrēto bezdarbnieku skaitam par aptuveni 25% no 58 247 līdz 78 266. Pandēmijas izraisīto nelabvēlīgo ekonomisko seku rezultātā samazinājās reģistrēto vakanču skaits un 2020.gada 30.jūnijā tās bija 18 040 vakances, bet pirms pandēmijas 2020.gada 1.martā bija pieejamas 30 750 vakances. Vienlaikus gan jāatzīmē, ka arī šajā laika posmā no 2020.gada marta līdz 2020.gada jūlijam ekonomiskā aktivitāte turpinājās un darba tirgū notika gan jaunu vakanču reģistrēšana, gan notika bezdarbnieku darbā iekārtošanās. Tā laika posmā no 2020.gada 1.marta līdz 2020.gada 30.jūnijam </w:t>
      </w:r>
      <w:r w:rsidR="00924C32" w:rsidRPr="0015154B">
        <w:rPr>
          <w:rFonts w:ascii="Times New Roman" w:hAnsi="Times New Roman"/>
          <w:color w:val="000000"/>
          <w:sz w:val="24"/>
          <w:szCs w:val="24"/>
        </w:rPr>
        <w:t>NVA</w:t>
      </w:r>
      <w:r w:rsidR="006553CE" w:rsidRPr="0015154B">
        <w:rPr>
          <w:rFonts w:ascii="Times New Roman" w:hAnsi="Times New Roman"/>
          <w:color w:val="000000"/>
          <w:sz w:val="24"/>
          <w:szCs w:val="24"/>
        </w:rPr>
        <w:t xml:space="preserve"> tika reģistrētas 25 802 </w:t>
      </w:r>
      <w:r w:rsidR="006553CE" w:rsidRPr="0015154B">
        <w:rPr>
          <w:rFonts w:ascii="Times New Roman" w:hAnsi="Times New Roman"/>
          <w:color w:val="000000"/>
          <w:sz w:val="24"/>
          <w:szCs w:val="24"/>
        </w:rPr>
        <w:lastRenderedPageBreak/>
        <w:t xml:space="preserve">jaunas vakances un 17 869 bezdarbnieki iekārtojās darbā, par ko liecina </w:t>
      </w:r>
      <w:r w:rsidR="00924C32" w:rsidRPr="0015154B">
        <w:rPr>
          <w:rFonts w:ascii="Times New Roman" w:hAnsi="Times New Roman"/>
          <w:color w:val="000000"/>
          <w:sz w:val="24"/>
          <w:szCs w:val="24"/>
        </w:rPr>
        <w:t>VID</w:t>
      </w:r>
      <w:r w:rsidR="006553CE" w:rsidRPr="0015154B">
        <w:rPr>
          <w:rFonts w:ascii="Times New Roman" w:hAnsi="Times New Roman"/>
          <w:color w:val="000000"/>
          <w:sz w:val="24"/>
          <w:szCs w:val="24"/>
        </w:rPr>
        <w:t xml:space="preserve"> dati. Vēl spilgtāk pandēmijas ietekmi raksturo izmaiņas salīdzinājumā ar gadu iepriekš. 2020.gada 1.pusgadā NVA tika reģistrētas 41 758 vakances, kas bija par 18 255 jeb 30% mazāk salīdzinot ar 2019.</w:t>
      </w:r>
      <w:r w:rsidR="001122E4" w:rsidRPr="0015154B">
        <w:rPr>
          <w:rFonts w:ascii="Times New Roman" w:hAnsi="Times New Roman"/>
          <w:color w:val="000000"/>
          <w:sz w:val="24"/>
          <w:szCs w:val="24"/>
        </w:rPr>
        <w:t> </w:t>
      </w:r>
      <w:r w:rsidR="006553CE" w:rsidRPr="0015154B">
        <w:rPr>
          <w:rFonts w:ascii="Times New Roman" w:hAnsi="Times New Roman"/>
          <w:color w:val="000000"/>
          <w:sz w:val="24"/>
          <w:szCs w:val="24"/>
        </w:rPr>
        <w:t>gada šo pašu periodu. 2020.gada jūnija beigās bija reģistrētas aktuālas 18 040 brīvās darba vietas, kas bija par 13 132 jeb 42% mazāk salīdzinot ar 2019. gada jūniju.</w:t>
      </w:r>
    </w:p>
    <w:p w14:paraId="065A4F52" w14:textId="5DBD621E" w:rsidR="007D5195" w:rsidRPr="0015154B" w:rsidRDefault="007D5195" w:rsidP="0030363D">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Atbilstoši Ekonomikas ministrijas</w:t>
      </w:r>
      <w:r w:rsidR="00924C32" w:rsidRPr="0015154B">
        <w:rPr>
          <w:rFonts w:ascii="Times New Roman" w:hAnsi="Times New Roman" w:cs="Times New Roman"/>
          <w:sz w:val="24"/>
          <w:szCs w:val="24"/>
        </w:rPr>
        <w:t xml:space="preserve"> (turpmāk</w:t>
      </w:r>
      <w:r w:rsidR="001F7DF6" w:rsidRPr="0015154B">
        <w:rPr>
          <w:rFonts w:ascii="Times New Roman" w:hAnsi="Times New Roman" w:cs="Times New Roman"/>
          <w:sz w:val="24"/>
          <w:szCs w:val="24"/>
        </w:rPr>
        <w:t xml:space="preserve"> </w:t>
      </w:r>
      <w:r w:rsidR="00924C32" w:rsidRPr="0015154B">
        <w:rPr>
          <w:rFonts w:ascii="Times New Roman" w:hAnsi="Times New Roman" w:cs="Times New Roman"/>
          <w:sz w:val="24"/>
          <w:szCs w:val="24"/>
        </w:rPr>
        <w:t>- EM)</w:t>
      </w:r>
      <w:r w:rsidRPr="0015154B">
        <w:rPr>
          <w:rFonts w:ascii="Times New Roman" w:hAnsi="Times New Roman" w:cs="Times New Roman"/>
          <w:sz w:val="24"/>
          <w:szCs w:val="24"/>
        </w:rPr>
        <w:t xml:space="preserve"> </w:t>
      </w:r>
      <w:r w:rsidRPr="0015154B">
        <w:rPr>
          <w:rFonts w:ascii="Times New Roman" w:hAnsi="Times New Roman" w:cs="Times New Roman"/>
          <w:b/>
          <w:sz w:val="24"/>
          <w:szCs w:val="24"/>
        </w:rPr>
        <w:t>prognozēm</w:t>
      </w:r>
      <w:r w:rsidRPr="0015154B">
        <w:rPr>
          <w:rFonts w:ascii="Times New Roman" w:hAnsi="Times New Roman" w:cs="Times New Roman"/>
          <w:sz w:val="24"/>
          <w:szCs w:val="24"/>
        </w:rPr>
        <w:t xml:space="preserve"> 2020.gadā kopumā nodarbināto skaits, salīdzinot ar 2019.gadu, varētu samazināties par 7,5% jeb gandrīz 69 tūkstošiem. Covid-19 izplatības ierobežošanai noteikto pasākumu kopums ir būtiski ierobežojis ekonomiskās aktivitātes gandrīz visās tautsaimniecības jomās, primāri un visvairāk skarot tādas nozares kā pasažieru pārvadājumi, ceļojumu biroju un tūrisma operatoru rezervēšanas pakalpojumi, izmitināšanas un ēdināšanas pakalpojumi, mākslas un dažādas kultūras jomas,  sporta centri un citas nozares, kas tiešā veidā saistītas ar iedzīvotāju pārvietošanos un pulcēšanos. Saskaņā ar prognozēm </w:t>
      </w:r>
      <w:r w:rsidR="004826D8" w:rsidRPr="0015154B">
        <w:rPr>
          <w:rFonts w:ascii="Times New Roman" w:hAnsi="Times New Roman" w:cs="Times New Roman"/>
          <w:color w:val="000000"/>
          <w:sz w:val="24"/>
          <w:szCs w:val="24"/>
        </w:rPr>
        <w:t>2020.gadā iekšzemes kopprodukts (</w:t>
      </w:r>
      <w:r w:rsidR="006C2B61" w:rsidRPr="0015154B">
        <w:rPr>
          <w:rFonts w:ascii="Times New Roman" w:hAnsi="Times New Roman" w:cs="Times New Roman"/>
          <w:color w:val="000000"/>
          <w:sz w:val="24"/>
          <w:szCs w:val="24"/>
        </w:rPr>
        <w:t xml:space="preserve">turpmāk - </w:t>
      </w:r>
      <w:r w:rsidR="004826D8" w:rsidRPr="0015154B">
        <w:rPr>
          <w:rFonts w:ascii="Times New Roman" w:hAnsi="Times New Roman" w:cs="Times New Roman"/>
          <w:color w:val="000000"/>
          <w:sz w:val="24"/>
          <w:szCs w:val="24"/>
        </w:rPr>
        <w:t xml:space="preserve">IKP) var sarukt par 8%, salīdzinot ar 2019. gadu, bezdarba līmenim pieaugot līdz 12%. </w:t>
      </w:r>
      <w:r w:rsidRPr="0015154B">
        <w:rPr>
          <w:rFonts w:ascii="Times New Roman" w:hAnsi="Times New Roman" w:cs="Times New Roman"/>
          <w:sz w:val="24"/>
          <w:szCs w:val="24"/>
        </w:rPr>
        <w:t xml:space="preserve">Saskaņā </w:t>
      </w:r>
      <w:r w:rsidR="00DF7A40">
        <w:rPr>
          <w:rFonts w:ascii="Times New Roman" w:hAnsi="Times New Roman" w:cs="Times New Roman"/>
          <w:sz w:val="24"/>
          <w:szCs w:val="24"/>
        </w:rPr>
        <w:t xml:space="preserve">ar </w:t>
      </w:r>
      <w:r w:rsidR="00924C32" w:rsidRPr="0015154B">
        <w:rPr>
          <w:rFonts w:ascii="Times New Roman" w:hAnsi="Times New Roman" w:cs="Times New Roman"/>
          <w:sz w:val="24"/>
          <w:szCs w:val="24"/>
        </w:rPr>
        <w:t>EM</w:t>
      </w:r>
      <w:r w:rsidRPr="0015154B">
        <w:rPr>
          <w:rFonts w:ascii="Times New Roman" w:hAnsi="Times New Roman" w:cs="Times New Roman"/>
          <w:sz w:val="24"/>
          <w:szCs w:val="24"/>
        </w:rPr>
        <w:t xml:space="preserve"> sagatavoto tautsaimniecības izaugsmes mērķa scenāriju, darba tirgus varētu atgriezties pie izaugsmes jau 2020.gada otrajā pusē un 2021. gadā nodarbināto ska</w:t>
      </w:r>
      <w:r w:rsidR="004826D8" w:rsidRPr="0015154B">
        <w:rPr>
          <w:rFonts w:ascii="Times New Roman" w:hAnsi="Times New Roman" w:cs="Times New Roman"/>
          <w:sz w:val="24"/>
          <w:szCs w:val="24"/>
        </w:rPr>
        <w:t>i</w:t>
      </w:r>
      <w:r w:rsidRPr="0015154B">
        <w:rPr>
          <w:rFonts w:ascii="Times New Roman" w:hAnsi="Times New Roman" w:cs="Times New Roman"/>
          <w:sz w:val="24"/>
          <w:szCs w:val="24"/>
        </w:rPr>
        <w:t>ts varētu pieaugt par 4,2%, bet bezdarbs samazināties līdz 8,1%. Kopumā nodarbinātības un bezdarba rādītāji varētu atgriezties 2019.gada līmenī ap 2022.-2023. gadu, vienlaikus nodarbināto skaits absolūtā izteiksmē visdrīzāk neatgriezīsies līdzšinējā līmenī, ņemot vērā gan demogrāfiskos procesus, gan darbaspēka produktivitātes pieaugumu.</w:t>
      </w:r>
    </w:p>
    <w:p w14:paraId="4F8768C2" w14:textId="607345EB" w:rsidR="007D5195" w:rsidRPr="0015154B" w:rsidRDefault="007D5195" w:rsidP="00BD52AE">
      <w:pPr>
        <w:spacing w:after="0" w:line="240" w:lineRule="auto"/>
        <w:ind w:firstLine="720"/>
        <w:jc w:val="both"/>
        <w:rPr>
          <w:rFonts w:ascii="Times New Roman" w:hAnsi="Times New Roman" w:cs="Times New Roman"/>
          <w:sz w:val="24"/>
          <w:szCs w:val="24"/>
        </w:rPr>
      </w:pPr>
    </w:p>
    <w:p w14:paraId="03CF59C3" w14:textId="44288DF8" w:rsidR="00200837" w:rsidRPr="0015154B" w:rsidRDefault="00200837" w:rsidP="00DA5144">
      <w:pPr>
        <w:pStyle w:val="Heading2"/>
      </w:pPr>
      <w:bookmarkStart w:id="9" w:name="_Toc55316061"/>
      <w:r w:rsidRPr="0015154B">
        <w:t>Izdevumi sociālai aizsardzībai</w:t>
      </w:r>
      <w:bookmarkEnd w:id="9"/>
    </w:p>
    <w:p w14:paraId="4F32B6E3" w14:textId="77777777" w:rsidR="006C2B61" w:rsidRPr="0015154B" w:rsidRDefault="00200837" w:rsidP="000A02BD">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Latvijā ir izveidota sociālās aizsardzības sistēma, kas aizsargā iedzīvotājus īslaicīga ienākumu zaudējuma gadījumā (slimība, maternitāte, paternitāte, bērna kopšana), nodrošina iztikas līdzekļus pēc darba dzīves pārtraukšanas (pensionējoties), daļēji vai pilnībā zaudējot darbspējas, ciešot nelaimes gadījumā darbā u.c. </w:t>
      </w:r>
      <w:r w:rsidR="00183044" w:rsidRPr="0015154B">
        <w:rPr>
          <w:rFonts w:ascii="Times New Roman" w:hAnsi="Times New Roman" w:cs="Times New Roman"/>
          <w:sz w:val="24"/>
          <w:szCs w:val="24"/>
        </w:rPr>
        <w:t xml:space="preserve">Savukārt, ģimenes vai personas, kurām finanšu līdzekļi ir nepietiekami ikdienas vajadzību nodrošināšanai un kuru ienākumi ir zemāki par valstī noteikto trūcīgās personas līmeni, var vērsties pēc palīdzības pašvaldībā. </w:t>
      </w:r>
    </w:p>
    <w:p w14:paraId="44B33387" w14:textId="30EBE53B" w:rsidR="00200837" w:rsidRPr="002F5278" w:rsidRDefault="00200837" w:rsidP="000A02BD">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2019.gadā </w:t>
      </w:r>
      <w:r w:rsidR="00D978D0" w:rsidRPr="0015154B">
        <w:rPr>
          <w:rFonts w:ascii="Times New Roman" w:hAnsi="Times New Roman" w:cs="Times New Roman"/>
          <w:sz w:val="24"/>
          <w:szCs w:val="24"/>
        </w:rPr>
        <w:t>1,3 milj. jeb 67</w:t>
      </w:r>
      <w:r w:rsidRPr="0015154B">
        <w:rPr>
          <w:rFonts w:ascii="Times New Roman" w:hAnsi="Times New Roman" w:cs="Times New Roman"/>
          <w:sz w:val="24"/>
          <w:szCs w:val="24"/>
        </w:rPr>
        <w:t xml:space="preserve">% Latvijas </w:t>
      </w:r>
      <w:r w:rsidRPr="0015154B">
        <w:rPr>
          <w:rFonts w:ascii="Times New Roman" w:hAnsi="Times New Roman" w:cs="Times New Roman"/>
          <w:b/>
          <w:sz w:val="24"/>
          <w:szCs w:val="24"/>
        </w:rPr>
        <w:t xml:space="preserve">iedzīvotāju saņēma </w:t>
      </w:r>
      <w:r w:rsidR="00D978D0" w:rsidRPr="0015154B">
        <w:rPr>
          <w:rFonts w:ascii="Times New Roman" w:hAnsi="Times New Roman" w:cs="Times New Roman"/>
          <w:b/>
          <w:sz w:val="24"/>
          <w:szCs w:val="24"/>
        </w:rPr>
        <w:t>atbalstu</w:t>
      </w:r>
      <w:r w:rsidR="00D978D0" w:rsidRPr="0015154B">
        <w:rPr>
          <w:rFonts w:ascii="Times New Roman" w:hAnsi="Times New Roman" w:cs="Times New Roman"/>
          <w:sz w:val="24"/>
          <w:szCs w:val="24"/>
        </w:rPr>
        <w:t xml:space="preserve"> sociālās sistēmas ietvaros, valsts pensija tika izmaksāta 0,57 milj. jeb 30% Latvijas iedzīvotāju, valsts sociālie pabalsti – 0,51 milj. jeb 26,5% Latvijas iedzīvotāju, valsts sociālās apdrošināšan</w:t>
      </w:r>
      <w:r w:rsidR="00183044" w:rsidRPr="0015154B">
        <w:rPr>
          <w:rFonts w:ascii="Times New Roman" w:hAnsi="Times New Roman" w:cs="Times New Roman"/>
          <w:sz w:val="24"/>
          <w:szCs w:val="24"/>
        </w:rPr>
        <w:t>a</w:t>
      </w:r>
      <w:r w:rsidR="00D978D0" w:rsidRPr="0015154B">
        <w:rPr>
          <w:rFonts w:ascii="Times New Roman" w:hAnsi="Times New Roman" w:cs="Times New Roman"/>
          <w:sz w:val="24"/>
          <w:szCs w:val="24"/>
        </w:rPr>
        <w:t>s pabalst</w:t>
      </w:r>
      <w:r w:rsidR="00183044" w:rsidRPr="0015154B">
        <w:rPr>
          <w:rFonts w:ascii="Times New Roman" w:hAnsi="Times New Roman" w:cs="Times New Roman"/>
          <w:sz w:val="24"/>
          <w:szCs w:val="24"/>
        </w:rPr>
        <w:t>i</w:t>
      </w:r>
      <w:r w:rsidR="00D978D0" w:rsidRPr="0015154B">
        <w:rPr>
          <w:rFonts w:ascii="Times New Roman" w:hAnsi="Times New Roman" w:cs="Times New Roman"/>
          <w:sz w:val="24"/>
          <w:szCs w:val="24"/>
        </w:rPr>
        <w:t xml:space="preserve"> – 0,3</w:t>
      </w:r>
      <w:r w:rsidRPr="0015154B">
        <w:rPr>
          <w:rFonts w:ascii="Times New Roman" w:hAnsi="Times New Roman" w:cs="Times New Roman"/>
          <w:sz w:val="24"/>
          <w:szCs w:val="24"/>
        </w:rPr>
        <w:t xml:space="preserve"> </w:t>
      </w:r>
      <w:r w:rsidR="00D978D0" w:rsidRPr="0015154B">
        <w:rPr>
          <w:rFonts w:ascii="Times New Roman" w:hAnsi="Times New Roman" w:cs="Times New Roman"/>
          <w:sz w:val="24"/>
          <w:szCs w:val="24"/>
        </w:rPr>
        <w:t>milj. jeb 17% Latvijas iedzīvotāju</w:t>
      </w:r>
      <w:r w:rsidR="00183044" w:rsidRPr="0015154B">
        <w:rPr>
          <w:rFonts w:ascii="Times New Roman" w:hAnsi="Times New Roman" w:cs="Times New Roman"/>
          <w:sz w:val="24"/>
          <w:szCs w:val="24"/>
        </w:rPr>
        <w:t>, pašvaldību sociālās palīdzības pabalsti – 0,09 milj. jeb 5% Latvijas iedzīvotāju, valsts nodrošinātos sociālos pakalpojumus saņēma 0,1 milj. jeb 5,8%, bet pašvaldību nodrošinātos sociālos pakalpojumus - 0,13 milj. jeb 6,6% Latvijas iedzīvotāju.</w:t>
      </w:r>
      <w:r w:rsidR="00183044" w:rsidRPr="007157D3">
        <w:rPr>
          <w:rStyle w:val="FootnoteReference"/>
          <w:rFonts w:ascii="Times New Roman" w:hAnsi="Times New Roman" w:cs="Times New Roman"/>
          <w:sz w:val="24"/>
          <w:szCs w:val="24"/>
        </w:rPr>
        <w:footnoteReference w:id="28"/>
      </w:r>
      <w:r w:rsidR="00183044" w:rsidRPr="007157D3">
        <w:rPr>
          <w:rFonts w:ascii="Times New Roman" w:hAnsi="Times New Roman" w:cs="Times New Roman"/>
          <w:sz w:val="24"/>
          <w:szCs w:val="24"/>
        </w:rPr>
        <w:t xml:space="preserve"> </w:t>
      </w:r>
    </w:p>
    <w:p w14:paraId="29CCA9E5" w14:textId="64C5CABE" w:rsidR="00200837" w:rsidRPr="0015154B" w:rsidRDefault="00200837" w:rsidP="000A02BD">
      <w:pPr>
        <w:spacing w:before="120" w:after="0" w:line="240" w:lineRule="auto"/>
        <w:ind w:firstLine="720"/>
        <w:jc w:val="both"/>
        <w:rPr>
          <w:rFonts w:ascii="Times New Roman" w:hAnsi="Times New Roman" w:cs="Times New Roman"/>
          <w:sz w:val="24"/>
          <w:szCs w:val="24"/>
        </w:rPr>
      </w:pPr>
      <w:r w:rsidRPr="0025422D">
        <w:rPr>
          <w:rFonts w:ascii="Times New Roman" w:hAnsi="Times New Roman" w:cs="Times New Roman"/>
          <w:b/>
          <w:sz w:val="24"/>
          <w:szCs w:val="24"/>
        </w:rPr>
        <w:t>Izdevumi</w:t>
      </w:r>
      <w:r w:rsidRPr="00A857F2">
        <w:rPr>
          <w:rFonts w:ascii="Times New Roman" w:hAnsi="Times New Roman" w:cs="Times New Roman"/>
          <w:sz w:val="24"/>
          <w:szCs w:val="24"/>
        </w:rPr>
        <w:t xml:space="preserve"> sociālajai aizsardzībai Latvijā k</w:t>
      </w:r>
      <w:r w:rsidRPr="003B5C85">
        <w:rPr>
          <w:rFonts w:ascii="Times New Roman" w:hAnsi="Times New Roman" w:cs="Times New Roman"/>
          <w:sz w:val="24"/>
          <w:szCs w:val="24"/>
        </w:rPr>
        <w:t>opš 2014.gada ir palielinājušies (</w:t>
      </w:r>
      <w:r w:rsidRPr="003B5C85">
        <w:rPr>
          <w:rFonts w:ascii="Times New Roman" w:hAnsi="Times New Roman" w:cs="Times New Roman"/>
          <w:sz w:val="24"/>
          <w:szCs w:val="24"/>
          <w:highlight w:val="yellow"/>
        </w:rPr>
        <w:t>skat</w:t>
      </w:r>
      <w:r w:rsidR="006C2B61" w:rsidRPr="009703E6">
        <w:rPr>
          <w:rFonts w:ascii="Times New Roman" w:hAnsi="Times New Roman" w:cs="Times New Roman"/>
          <w:sz w:val="24"/>
          <w:szCs w:val="24"/>
          <w:highlight w:val="yellow"/>
        </w:rPr>
        <w:t>. 5.</w:t>
      </w:r>
      <w:r w:rsidRPr="009703E6">
        <w:rPr>
          <w:rFonts w:ascii="Times New Roman" w:hAnsi="Times New Roman" w:cs="Times New Roman"/>
          <w:sz w:val="24"/>
          <w:szCs w:val="24"/>
          <w:highlight w:val="yellow"/>
        </w:rPr>
        <w:t>tabulu</w:t>
      </w:r>
      <w:r w:rsidRPr="0015154B">
        <w:rPr>
          <w:rFonts w:ascii="Times New Roman" w:hAnsi="Times New Roman" w:cs="Times New Roman"/>
          <w:sz w:val="24"/>
          <w:szCs w:val="24"/>
        </w:rPr>
        <w:t xml:space="preserve">). Lielākais procentuālais izdevumu pieaugums šajā periodā bija ģimeņu un bērnu atbalstam (54,3 procentpunkti), veselības aprūpei (46,9 procentpunkti), bezdarbnieku atbalstam (41,2 procentpunkti) un personu ar invaliditāti atbalstam (23,7 procentpunkti). </w:t>
      </w:r>
    </w:p>
    <w:p w14:paraId="2B9E8697" w14:textId="77777777" w:rsidR="00200837" w:rsidRPr="0015154B" w:rsidRDefault="00200837" w:rsidP="00200837">
      <w:pPr>
        <w:spacing w:after="0" w:line="240" w:lineRule="auto"/>
        <w:rPr>
          <w:rFonts w:ascii="Times New Roman" w:hAnsi="Times New Roman" w:cs="Times New Roman"/>
        </w:rPr>
      </w:pPr>
    </w:p>
    <w:p w14:paraId="7D1F47DD" w14:textId="77777777" w:rsidR="00EE3A9C" w:rsidRDefault="00EE3A9C">
      <w:pPr>
        <w:rPr>
          <w:rFonts w:ascii="Times New Roman" w:hAnsi="Times New Roman" w:cs="Times New Roman"/>
          <w:sz w:val="24"/>
          <w:szCs w:val="24"/>
        </w:rPr>
      </w:pPr>
      <w:r>
        <w:rPr>
          <w:rFonts w:ascii="Times New Roman" w:hAnsi="Times New Roman" w:cs="Times New Roman"/>
          <w:sz w:val="24"/>
          <w:szCs w:val="24"/>
        </w:rPr>
        <w:br w:type="page"/>
      </w:r>
    </w:p>
    <w:p w14:paraId="7B9E24DF" w14:textId="45021CFF" w:rsidR="00200837" w:rsidRPr="0015154B" w:rsidRDefault="006C2B61" w:rsidP="00200837">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lastRenderedPageBreak/>
        <w:t>5</w:t>
      </w:r>
      <w:r w:rsidR="00200837" w:rsidRPr="0015154B">
        <w:rPr>
          <w:rFonts w:ascii="Times New Roman" w:hAnsi="Times New Roman" w:cs="Times New Roman"/>
          <w:sz w:val="24"/>
          <w:szCs w:val="24"/>
        </w:rPr>
        <w:t>.tabula</w:t>
      </w:r>
    </w:p>
    <w:p w14:paraId="7CF96CEE" w14:textId="77777777" w:rsidR="00200837" w:rsidRPr="0015154B" w:rsidRDefault="00200837" w:rsidP="006C2B61">
      <w:pPr>
        <w:spacing w:after="0" w:line="240" w:lineRule="auto"/>
        <w:jc w:val="center"/>
        <w:rPr>
          <w:rFonts w:ascii="Times New Roman" w:hAnsi="Times New Roman" w:cs="Times New Roman"/>
          <w:b/>
          <w:bCs/>
          <w:color w:val="002060"/>
          <w:sz w:val="24"/>
          <w:szCs w:val="24"/>
          <w:shd w:val="clear" w:color="auto" w:fill="FFFFFF"/>
        </w:rPr>
      </w:pPr>
      <w:r w:rsidRPr="0015154B">
        <w:rPr>
          <w:rFonts w:ascii="Times New Roman" w:hAnsi="Times New Roman" w:cs="Times New Roman"/>
          <w:b/>
          <w:bCs/>
          <w:color w:val="002060"/>
          <w:sz w:val="24"/>
          <w:szCs w:val="24"/>
          <w:shd w:val="clear" w:color="auto" w:fill="FFFFFF"/>
        </w:rPr>
        <w:t>Sociālās aizsardzības izdevumi pēc ESSPROS klasifikācijas Latvijā</w:t>
      </w:r>
    </w:p>
    <w:p w14:paraId="07D4D249" w14:textId="77777777" w:rsidR="00200837" w:rsidRPr="0015154B" w:rsidRDefault="00200837" w:rsidP="0020083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23"/>
        <w:gridCol w:w="1142"/>
        <w:gridCol w:w="1048"/>
        <w:gridCol w:w="1049"/>
        <w:gridCol w:w="1049"/>
        <w:gridCol w:w="1049"/>
        <w:gridCol w:w="1049"/>
      </w:tblGrid>
      <w:tr w:rsidR="000A02BD" w:rsidRPr="0015154B" w14:paraId="7B02946C" w14:textId="77777777" w:rsidTr="000A02BD">
        <w:tc>
          <w:tcPr>
            <w:tcW w:w="3052" w:type="dxa"/>
            <w:gridSpan w:val="2"/>
            <w:shd w:val="clear" w:color="auto" w:fill="E8F3D3" w:themeFill="accent2" w:themeFillTint="33"/>
          </w:tcPr>
          <w:p w14:paraId="0A93FCAF" w14:textId="77777777" w:rsidR="00200837" w:rsidRPr="0015154B" w:rsidRDefault="00200837" w:rsidP="0026365F">
            <w:pP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ESSPROS funkcija</w:t>
            </w:r>
          </w:p>
        </w:tc>
        <w:tc>
          <w:tcPr>
            <w:tcW w:w="1048" w:type="dxa"/>
            <w:shd w:val="clear" w:color="auto" w:fill="E8F3D3" w:themeFill="accent2" w:themeFillTint="33"/>
          </w:tcPr>
          <w:p w14:paraId="6A5187F5"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2014</w:t>
            </w:r>
          </w:p>
        </w:tc>
        <w:tc>
          <w:tcPr>
            <w:tcW w:w="1049" w:type="dxa"/>
            <w:shd w:val="clear" w:color="auto" w:fill="E8F3D3" w:themeFill="accent2" w:themeFillTint="33"/>
          </w:tcPr>
          <w:p w14:paraId="54D9BFA8"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2015</w:t>
            </w:r>
          </w:p>
        </w:tc>
        <w:tc>
          <w:tcPr>
            <w:tcW w:w="1049" w:type="dxa"/>
            <w:shd w:val="clear" w:color="auto" w:fill="E8F3D3" w:themeFill="accent2" w:themeFillTint="33"/>
          </w:tcPr>
          <w:p w14:paraId="409A8153"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2016</w:t>
            </w:r>
          </w:p>
        </w:tc>
        <w:tc>
          <w:tcPr>
            <w:tcW w:w="1049" w:type="dxa"/>
            <w:shd w:val="clear" w:color="auto" w:fill="E8F3D3" w:themeFill="accent2" w:themeFillTint="33"/>
          </w:tcPr>
          <w:p w14:paraId="02601935"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2017</w:t>
            </w:r>
          </w:p>
        </w:tc>
        <w:tc>
          <w:tcPr>
            <w:tcW w:w="1049" w:type="dxa"/>
            <w:shd w:val="clear" w:color="auto" w:fill="E8F3D3" w:themeFill="accent2" w:themeFillTint="33"/>
          </w:tcPr>
          <w:p w14:paraId="3BB3C7BE"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2018</w:t>
            </w:r>
          </w:p>
        </w:tc>
      </w:tr>
      <w:tr w:rsidR="00200837" w:rsidRPr="0015154B" w14:paraId="25DF896F" w14:textId="77777777" w:rsidTr="000A02BD">
        <w:tc>
          <w:tcPr>
            <w:tcW w:w="1910" w:type="dxa"/>
            <w:vMerge w:val="restart"/>
            <w:shd w:val="clear" w:color="auto" w:fill="E8F3D3" w:themeFill="accent2" w:themeFillTint="33"/>
          </w:tcPr>
          <w:p w14:paraId="2D04E042" w14:textId="77777777" w:rsidR="00200837" w:rsidRPr="0015154B" w:rsidRDefault="00200837" w:rsidP="0026365F">
            <w:pPr>
              <w:rPr>
                <w:rFonts w:ascii="Times New Roman" w:hAnsi="Times New Roman" w:cs="Times New Roman"/>
                <w:b/>
                <w:i/>
                <w:color w:val="002060"/>
                <w:sz w:val="24"/>
                <w:szCs w:val="24"/>
              </w:rPr>
            </w:pPr>
            <w:r w:rsidRPr="0015154B">
              <w:rPr>
                <w:rFonts w:ascii="Times New Roman" w:eastAsia="Times New Roman" w:hAnsi="Times New Roman" w:cs="Times New Roman"/>
                <w:b/>
                <w:bCs/>
                <w:i/>
                <w:color w:val="002060"/>
                <w:sz w:val="24"/>
                <w:szCs w:val="24"/>
                <w:lang w:eastAsia="lv-LV"/>
              </w:rPr>
              <w:t>Kopējie izdevumi sociālajai aizsardzībai</w:t>
            </w:r>
          </w:p>
        </w:tc>
        <w:tc>
          <w:tcPr>
            <w:tcW w:w="1142" w:type="dxa"/>
          </w:tcPr>
          <w:p w14:paraId="2F1C028B" w14:textId="5690DD03"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milj.</w:t>
            </w:r>
            <w:r w:rsidR="00C1460D" w:rsidRPr="0015154B">
              <w:rPr>
                <w:rFonts w:ascii="Times New Roman" w:hAnsi="Times New Roman" w:cs="Times New Roman"/>
                <w:color w:val="002060"/>
                <w:sz w:val="24"/>
                <w:szCs w:val="24"/>
              </w:rPr>
              <w:t>eiro</w:t>
            </w:r>
          </w:p>
        </w:tc>
        <w:tc>
          <w:tcPr>
            <w:tcW w:w="1048" w:type="dxa"/>
            <w:vAlign w:val="bottom"/>
          </w:tcPr>
          <w:p w14:paraId="609A5BAC" w14:textId="3A29C5DA"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3421</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18</w:t>
            </w:r>
          </w:p>
        </w:tc>
        <w:tc>
          <w:tcPr>
            <w:tcW w:w="1049" w:type="dxa"/>
            <w:vAlign w:val="bottom"/>
          </w:tcPr>
          <w:p w14:paraId="1CBBB2C6" w14:textId="38E86510"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3634</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63</w:t>
            </w:r>
          </w:p>
        </w:tc>
        <w:tc>
          <w:tcPr>
            <w:tcW w:w="1049" w:type="dxa"/>
            <w:vAlign w:val="bottom"/>
          </w:tcPr>
          <w:p w14:paraId="67C60EE0" w14:textId="4DB917DC"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3793</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38</w:t>
            </w:r>
          </w:p>
        </w:tc>
        <w:tc>
          <w:tcPr>
            <w:tcW w:w="1049" w:type="dxa"/>
            <w:vAlign w:val="bottom"/>
          </w:tcPr>
          <w:p w14:paraId="34358303" w14:textId="1C70CE88"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3982</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37</w:t>
            </w:r>
          </w:p>
        </w:tc>
        <w:tc>
          <w:tcPr>
            <w:tcW w:w="1049" w:type="dxa"/>
            <w:vAlign w:val="bottom"/>
          </w:tcPr>
          <w:p w14:paraId="03EFE98D" w14:textId="318D06D7"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4440</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24</w:t>
            </w:r>
          </w:p>
        </w:tc>
      </w:tr>
      <w:tr w:rsidR="00200837" w:rsidRPr="0015154B" w14:paraId="46B4D78B" w14:textId="77777777" w:rsidTr="000A02BD">
        <w:tc>
          <w:tcPr>
            <w:tcW w:w="1910" w:type="dxa"/>
            <w:vMerge/>
            <w:shd w:val="clear" w:color="auto" w:fill="E8F3D3" w:themeFill="accent2" w:themeFillTint="33"/>
          </w:tcPr>
          <w:p w14:paraId="0BA83E8B" w14:textId="77777777" w:rsidR="00200837" w:rsidRPr="0015154B" w:rsidRDefault="00200837" w:rsidP="0026365F">
            <w:pPr>
              <w:rPr>
                <w:rFonts w:ascii="Times New Roman" w:hAnsi="Times New Roman" w:cs="Times New Roman"/>
                <w:b/>
                <w:i/>
                <w:color w:val="002060"/>
                <w:sz w:val="24"/>
                <w:szCs w:val="24"/>
              </w:rPr>
            </w:pPr>
          </w:p>
        </w:tc>
        <w:tc>
          <w:tcPr>
            <w:tcW w:w="1142" w:type="dxa"/>
          </w:tcPr>
          <w:p w14:paraId="50741E75" w14:textId="77777777" w:rsidR="00200837" w:rsidRPr="0015154B" w:rsidRDefault="00200837" w:rsidP="0026365F">
            <w:pPr>
              <w:rPr>
                <w:rFonts w:ascii="Times New Roman" w:hAnsi="Times New Roman" w:cs="Times New Roman"/>
                <w:i/>
                <w:color w:val="002060"/>
                <w:sz w:val="24"/>
                <w:szCs w:val="24"/>
              </w:rPr>
            </w:pPr>
            <w:r w:rsidRPr="0015154B">
              <w:rPr>
                <w:rFonts w:ascii="Times New Roman" w:hAnsi="Times New Roman" w:cs="Times New Roman"/>
                <w:i/>
                <w:color w:val="002060"/>
                <w:sz w:val="24"/>
                <w:szCs w:val="24"/>
              </w:rPr>
              <w:t>% no IKP</w:t>
            </w:r>
          </w:p>
        </w:tc>
        <w:tc>
          <w:tcPr>
            <w:tcW w:w="1048" w:type="dxa"/>
          </w:tcPr>
          <w:p w14:paraId="11C13EAE"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14,2</w:t>
            </w:r>
          </w:p>
        </w:tc>
        <w:tc>
          <w:tcPr>
            <w:tcW w:w="1049" w:type="dxa"/>
          </w:tcPr>
          <w:p w14:paraId="3D8E5A53"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14,7</w:t>
            </w:r>
          </w:p>
        </w:tc>
        <w:tc>
          <w:tcPr>
            <w:tcW w:w="1049" w:type="dxa"/>
          </w:tcPr>
          <w:p w14:paraId="192BF613"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14,9</w:t>
            </w:r>
          </w:p>
        </w:tc>
        <w:tc>
          <w:tcPr>
            <w:tcW w:w="1049" w:type="dxa"/>
          </w:tcPr>
          <w:p w14:paraId="468BFB29"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14,6</w:t>
            </w:r>
          </w:p>
        </w:tc>
        <w:tc>
          <w:tcPr>
            <w:tcW w:w="1049" w:type="dxa"/>
          </w:tcPr>
          <w:p w14:paraId="032F3FF2" w14:textId="77777777" w:rsidR="00200837" w:rsidRPr="0015154B" w:rsidRDefault="00200837" w:rsidP="0026365F">
            <w:pPr>
              <w:jc w:val="center"/>
              <w:rPr>
                <w:rFonts w:ascii="Times New Roman" w:hAnsi="Times New Roman" w:cs="Times New Roman"/>
                <w:i/>
                <w:sz w:val="24"/>
                <w:szCs w:val="24"/>
              </w:rPr>
            </w:pPr>
          </w:p>
        </w:tc>
      </w:tr>
      <w:tr w:rsidR="00200837" w:rsidRPr="0015154B" w14:paraId="02E8D06B" w14:textId="77777777" w:rsidTr="000A02BD">
        <w:tc>
          <w:tcPr>
            <w:tcW w:w="1910" w:type="dxa"/>
            <w:vMerge w:val="restart"/>
            <w:shd w:val="clear" w:color="auto" w:fill="E8F3D3" w:themeFill="accent2" w:themeFillTint="33"/>
          </w:tcPr>
          <w:p w14:paraId="22BDC4EB" w14:textId="77777777" w:rsidR="00200837" w:rsidRPr="0015154B" w:rsidRDefault="00200837" w:rsidP="0026365F">
            <w:pPr>
              <w:rPr>
                <w:rFonts w:ascii="Times New Roman" w:hAnsi="Times New Roman" w:cs="Times New Roman"/>
                <w:b/>
                <w:i/>
                <w:color w:val="002060"/>
                <w:sz w:val="24"/>
                <w:szCs w:val="24"/>
              </w:rPr>
            </w:pPr>
            <w:r w:rsidRPr="0015154B">
              <w:rPr>
                <w:rFonts w:ascii="Times New Roman" w:eastAsia="Times New Roman" w:hAnsi="Times New Roman" w:cs="Times New Roman"/>
                <w:b/>
                <w:bCs/>
                <w:i/>
                <w:color w:val="002060"/>
                <w:sz w:val="24"/>
                <w:szCs w:val="24"/>
                <w:lang w:eastAsia="lv-LV"/>
              </w:rPr>
              <w:t>Slimība/veselības aprūpe</w:t>
            </w:r>
          </w:p>
        </w:tc>
        <w:tc>
          <w:tcPr>
            <w:tcW w:w="1142" w:type="dxa"/>
          </w:tcPr>
          <w:p w14:paraId="6538388C" w14:textId="6D64D5B9"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milj.</w:t>
            </w:r>
            <w:r w:rsidR="00C1460D" w:rsidRPr="0015154B">
              <w:rPr>
                <w:rFonts w:ascii="Times New Roman" w:hAnsi="Times New Roman" w:cs="Times New Roman"/>
                <w:color w:val="002060"/>
                <w:sz w:val="24"/>
                <w:szCs w:val="24"/>
              </w:rPr>
              <w:t>eiro</w:t>
            </w:r>
          </w:p>
        </w:tc>
        <w:tc>
          <w:tcPr>
            <w:tcW w:w="1048" w:type="dxa"/>
            <w:vAlign w:val="bottom"/>
          </w:tcPr>
          <w:p w14:paraId="38DE3025" w14:textId="096B4B3F"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815</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74</w:t>
            </w:r>
          </w:p>
        </w:tc>
        <w:tc>
          <w:tcPr>
            <w:tcW w:w="1049" w:type="dxa"/>
            <w:vAlign w:val="bottom"/>
          </w:tcPr>
          <w:p w14:paraId="3EE9DAC0" w14:textId="01BD62F1"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876</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65</w:t>
            </w:r>
          </w:p>
        </w:tc>
        <w:tc>
          <w:tcPr>
            <w:tcW w:w="1049" w:type="dxa"/>
            <w:vAlign w:val="bottom"/>
          </w:tcPr>
          <w:p w14:paraId="2C79D364" w14:textId="732E726A"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933</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15</w:t>
            </w:r>
          </w:p>
        </w:tc>
        <w:tc>
          <w:tcPr>
            <w:tcW w:w="1049" w:type="dxa"/>
            <w:vAlign w:val="bottom"/>
          </w:tcPr>
          <w:p w14:paraId="58AF5C6C" w14:textId="32F1252C"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996</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37</w:t>
            </w:r>
          </w:p>
        </w:tc>
        <w:tc>
          <w:tcPr>
            <w:tcW w:w="1049" w:type="dxa"/>
            <w:vAlign w:val="bottom"/>
          </w:tcPr>
          <w:p w14:paraId="5A7984CF" w14:textId="265B6556"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1198</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11</w:t>
            </w:r>
          </w:p>
        </w:tc>
      </w:tr>
      <w:tr w:rsidR="00200837" w:rsidRPr="0015154B" w14:paraId="46F0BF11" w14:textId="77777777" w:rsidTr="000A02BD">
        <w:tc>
          <w:tcPr>
            <w:tcW w:w="1910" w:type="dxa"/>
            <w:vMerge/>
            <w:shd w:val="clear" w:color="auto" w:fill="E8F3D3" w:themeFill="accent2" w:themeFillTint="33"/>
          </w:tcPr>
          <w:p w14:paraId="38905CD5" w14:textId="77777777" w:rsidR="00200837" w:rsidRPr="0015154B" w:rsidRDefault="00200837" w:rsidP="0026365F">
            <w:pPr>
              <w:rPr>
                <w:rFonts w:ascii="Times New Roman" w:hAnsi="Times New Roman" w:cs="Times New Roman"/>
                <w:b/>
                <w:i/>
                <w:color w:val="002060"/>
                <w:sz w:val="24"/>
                <w:szCs w:val="24"/>
              </w:rPr>
            </w:pPr>
          </w:p>
        </w:tc>
        <w:tc>
          <w:tcPr>
            <w:tcW w:w="1142" w:type="dxa"/>
          </w:tcPr>
          <w:p w14:paraId="1546278F" w14:textId="77777777" w:rsidR="00200837" w:rsidRPr="0015154B" w:rsidRDefault="00200837" w:rsidP="0026365F">
            <w:pPr>
              <w:rPr>
                <w:rFonts w:ascii="Times New Roman" w:hAnsi="Times New Roman" w:cs="Times New Roman"/>
                <w:i/>
                <w:color w:val="002060"/>
                <w:sz w:val="24"/>
                <w:szCs w:val="24"/>
              </w:rPr>
            </w:pPr>
            <w:r w:rsidRPr="0015154B">
              <w:rPr>
                <w:rFonts w:ascii="Times New Roman" w:hAnsi="Times New Roman" w:cs="Times New Roman"/>
                <w:i/>
                <w:color w:val="002060"/>
                <w:sz w:val="24"/>
                <w:szCs w:val="24"/>
              </w:rPr>
              <w:t>% no IKP</w:t>
            </w:r>
          </w:p>
        </w:tc>
        <w:tc>
          <w:tcPr>
            <w:tcW w:w="1048" w:type="dxa"/>
          </w:tcPr>
          <w:p w14:paraId="3F684AB4"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3,4</w:t>
            </w:r>
          </w:p>
        </w:tc>
        <w:tc>
          <w:tcPr>
            <w:tcW w:w="1049" w:type="dxa"/>
          </w:tcPr>
          <w:p w14:paraId="1F06A63F"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3,6</w:t>
            </w:r>
          </w:p>
        </w:tc>
        <w:tc>
          <w:tcPr>
            <w:tcW w:w="1049" w:type="dxa"/>
          </w:tcPr>
          <w:p w14:paraId="5D2483F8"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3,7</w:t>
            </w:r>
          </w:p>
        </w:tc>
        <w:tc>
          <w:tcPr>
            <w:tcW w:w="1049" w:type="dxa"/>
          </w:tcPr>
          <w:p w14:paraId="5CE7AD10"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3,7</w:t>
            </w:r>
          </w:p>
        </w:tc>
        <w:tc>
          <w:tcPr>
            <w:tcW w:w="1049" w:type="dxa"/>
          </w:tcPr>
          <w:p w14:paraId="3EE73533" w14:textId="77777777" w:rsidR="00200837" w:rsidRPr="0015154B" w:rsidRDefault="00200837" w:rsidP="0026365F">
            <w:pPr>
              <w:jc w:val="center"/>
              <w:rPr>
                <w:rFonts w:ascii="Times New Roman" w:hAnsi="Times New Roman" w:cs="Times New Roman"/>
                <w:sz w:val="24"/>
                <w:szCs w:val="24"/>
              </w:rPr>
            </w:pPr>
          </w:p>
        </w:tc>
      </w:tr>
      <w:tr w:rsidR="00200837" w:rsidRPr="0015154B" w14:paraId="3524D75A" w14:textId="77777777" w:rsidTr="000A02BD">
        <w:tc>
          <w:tcPr>
            <w:tcW w:w="1910" w:type="dxa"/>
            <w:vMerge w:val="restart"/>
            <w:shd w:val="clear" w:color="auto" w:fill="E8F3D3" w:themeFill="accent2" w:themeFillTint="33"/>
          </w:tcPr>
          <w:p w14:paraId="1CDECB57" w14:textId="77777777" w:rsidR="00200837" w:rsidRPr="0015154B" w:rsidRDefault="00200837" w:rsidP="0026365F">
            <w:pPr>
              <w:rPr>
                <w:rFonts w:ascii="Times New Roman" w:hAnsi="Times New Roman" w:cs="Times New Roman"/>
                <w:b/>
                <w:i/>
                <w:color w:val="002060"/>
                <w:sz w:val="24"/>
                <w:szCs w:val="24"/>
              </w:rPr>
            </w:pPr>
            <w:r w:rsidRPr="0015154B">
              <w:rPr>
                <w:rFonts w:ascii="Times New Roman" w:eastAsia="Times New Roman" w:hAnsi="Times New Roman" w:cs="Times New Roman"/>
                <w:b/>
                <w:bCs/>
                <w:i/>
                <w:color w:val="002060"/>
                <w:sz w:val="24"/>
                <w:szCs w:val="24"/>
                <w:lang w:eastAsia="lv-LV"/>
              </w:rPr>
              <w:t>Invaliditāte</w:t>
            </w:r>
          </w:p>
        </w:tc>
        <w:tc>
          <w:tcPr>
            <w:tcW w:w="1142" w:type="dxa"/>
          </w:tcPr>
          <w:p w14:paraId="2A2B8C1E" w14:textId="6908ADF1"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milj.</w:t>
            </w:r>
            <w:r w:rsidR="00C1460D" w:rsidRPr="0015154B">
              <w:rPr>
                <w:rFonts w:ascii="Times New Roman" w:hAnsi="Times New Roman" w:cs="Times New Roman"/>
                <w:color w:val="002060"/>
                <w:sz w:val="24"/>
                <w:szCs w:val="24"/>
              </w:rPr>
              <w:t>eiro</w:t>
            </w:r>
          </w:p>
        </w:tc>
        <w:tc>
          <w:tcPr>
            <w:tcW w:w="1048" w:type="dxa"/>
            <w:vAlign w:val="bottom"/>
          </w:tcPr>
          <w:p w14:paraId="63AB27A0" w14:textId="4A20CF38"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308</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05</w:t>
            </w:r>
          </w:p>
        </w:tc>
        <w:tc>
          <w:tcPr>
            <w:tcW w:w="1049" w:type="dxa"/>
            <w:vAlign w:val="bottom"/>
          </w:tcPr>
          <w:p w14:paraId="381BFEF7" w14:textId="75FF7078"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332</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02</w:t>
            </w:r>
          </w:p>
        </w:tc>
        <w:tc>
          <w:tcPr>
            <w:tcW w:w="1049" w:type="dxa"/>
            <w:vAlign w:val="bottom"/>
          </w:tcPr>
          <w:p w14:paraId="25111B67" w14:textId="577ADF0C"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338</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49</w:t>
            </w:r>
          </w:p>
        </w:tc>
        <w:tc>
          <w:tcPr>
            <w:tcW w:w="1049" w:type="dxa"/>
            <w:vAlign w:val="bottom"/>
          </w:tcPr>
          <w:p w14:paraId="1C5517CF" w14:textId="66881445"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355</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16</w:t>
            </w:r>
          </w:p>
        </w:tc>
        <w:tc>
          <w:tcPr>
            <w:tcW w:w="1049" w:type="dxa"/>
            <w:vAlign w:val="bottom"/>
          </w:tcPr>
          <w:p w14:paraId="077F2E6E" w14:textId="4B1AAEA1"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381</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21</w:t>
            </w:r>
          </w:p>
        </w:tc>
      </w:tr>
      <w:tr w:rsidR="00200837" w:rsidRPr="0015154B" w14:paraId="6B8CCDDE" w14:textId="77777777" w:rsidTr="000A02BD">
        <w:tc>
          <w:tcPr>
            <w:tcW w:w="1910" w:type="dxa"/>
            <w:vMerge/>
            <w:shd w:val="clear" w:color="auto" w:fill="E8F3D3" w:themeFill="accent2" w:themeFillTint="33"/>
          </w:tcPr>
          <w:p w14:paraId="616663AC" w14:textId="77777777" w:rsidR="00200837" w:rsidRPr="0015154B" w:rsidRDefault="00200837" w:rsidP="0026365F">
            <w:pPr>
              <w:rPr>
                <w:rFonts w:ascii="Times New Roman" w:hAnsi="Times New Roman" w:cs="Times New Roman"/>
                <w:b/>
                <w:i/>
                <w:color w:val="002060"/>
                <w:sz w:val="24"/>
                <w:szCs w:val="24"/>
              </w:rPr>
            </w:pPr>
          </w:p>
        </w:tc>
        <w:tc>
          <w:tcPr>
            <w:tcW w:w="1142" w:type="dxa"/>
          </w:tcPr>
          <w:p w14:paraId="300A9E5E" w14:textId="77777777" w:rsidR="00200837" w:rsidRPr="0015154B" w:rsidRDefault="00200837" w:rsidP="0026365F">
            <w:pPr>
              <w:rPr>
                <w:rFonts w:ascii="Times New Roman" w:hAnsi="Times New Roman" w:cs="Times New Roman"/>
                <w:i/>
                <w:color w:val="002060"/>
                <w:sz w:val="24"/>
                <w:szCs w:val="24"/>
              </w:rPr>
            </w:pPr>
            <w:r w:rsidRPr="0015154B">
              <w:rPr>
                <w:rFonts w:ascii="Times New Roman" w:hAnsi="Times New Roman" w:cs="Times New Roman"/>
                <w:i/>
                <w:color w:val="002060"/>
                <w:sz w:val="24"/>
                <w:szCs w:val="24"/>
              </w:rPr>
              <w:t>% no IKP</w:t>
            </w:r>
          </w:p>
        </w:tc>
        <w:tc>
          <w:tcPr>
            <w:tcW w:w="1048" w:type="dxa"/>
          </w:tcPr>
          <w:p w14:paraId="226A50AB"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1,3</w:t>
            </w:r>
          </w:p>
        </w:tc>
        <w:tc>
          <w:tcPr>
            <w:tcW w:w="1049" w:type="dxa"/>
          </w:tcPr>
          <w:p w14:paraId="63A585C3"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1,4</w:t>
            </w:r>
          </w:p>
        </w:tc>
        <w:tc>
          <w:tcPr>
            <w:tcW w:w="1049" w:type="dxa"/>
          </w:tcPr>
          <w:p w14:paraId="60097B48"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1,4</w:t>
            </w:r>
          </w:p>
        </w:tc>
        <w:tc>
          <w:tcPr>
            <w:tcW w:w="1049" w:type="dxa"/>
          </w:tcPr>
          <w:p w14:paraId="66CB5325"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1,3</w:t>
            </w:r>
          </w:p>
        </w:tc>
        <w:tc>
          <w:tcPr>
            <w:tcW w:w="1049" w:type="dxa"/>
          </w:tcPr>
          <w:p w14:paraId="2141920D" w14:textId="77777777" w:rsidR="00200837" w:rsidRPr="0015154B" w:rsidRDefault="00200837" w:rsidP="0026365F">
            <w:pPr>
              <w:jc w:val="center"/>
              <w:rPr>
                <w:rFonts w:ascii="Times New Roman" w:hAnsi="Times New Roman" w:cs="Times New Roman"/>
                <w:sz w:val="24"/>
                <w:szCs w:val="24"/>
              </w:rPr>
            </w:pPr>
          </w:p>
        </w:tc>
      </w:tr>
      <w:tr w:rsidR="00200837" w:rsidRPr="0015154B" w14:paraId="5ACB749E" w14:textId="77777777" w:rsidTr="000A02BD">
        <w:tc>
          <w:tcPr>
            <w:tcW w:w="1910" w:type="dxa"/>
            <w:vMerge w:val="restart"/>
            <w:shd w:val="clear" w:color="auto" w:fill="E8F3D3" w:themeFill="accent2" w:themeFillTint="33"/>
          </w:tcPr>
          <w:p w14:paraId="13C2B2FD" w14:textId="77777777" w:rsidR="00200837" w:rsidRPr="0015154B" w:rsidRDefault="00200837" w:rsidP="0026365F">
            <w:pPr>
              <w:rPr>
                <w:rFonts w:ascii="Times New Roman" w:hAnsi="Times New Roman" w:cs="Times New Roman"/>
                <w:b/>
                <w:i/>
                <w:color w:val="002060"/>
                <w:sz w:val="24"/>
                <w:szCs w:val="24"/>
              </w:rPr>
            </w:pPr>
            <w:r w:rsidRPr="0015154B">
              <w:rPr>
                <w:rFonts w:ascii="Times New Roman" w:eastAsia="Times New Roman" w:hAnsi="Times New Roman" w:cs="Times New Roman"/>
                <w:b/>
                <w:bCs/>
                <w:i/>
                <w:color w:val="002060"/>
                <w:sz w:val="24"/>
                <w:szCs w:val="24"/>
                <w:lang w:eastAsia="lv-LV"/>
              </w:rPr>
              <w:t>Vecums</w:t>
            </w:r>
          </w:p>
        </w:tc>
        <w:tc>
          <w:tcPr>
            <w:tcW w:w="1142" w:type="dxa"/>
          </w:tcPr>
          <w:p w14:paraId="2F5958C5" w14:textId="3C6D4B1F"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milj.</w:t>
            </w:r>
            <w:r w:rsidR="00C1460D" w:rsidRPr="0015154B">
              <w:rPr>
                <w:rFonts w:ascii="Times New Roman" w:hAnsi="Times New Roman" w:cs="Times New Roman"/>
                <w:color w:val="002060"/>
                <w:sz w:val="24"/>
                <w:szCs w:val="24"/>
              </w:rPr>
              <w:t>eiro</w:t>
            </w:r>
          </w:p>
        </w:tc>
        <w:tc>
          <w:tcPr>
            <w:tcW w:w="1048" w:type="dxa"/>
            <w:vAlign w:val="bottom"/>
          </w:tcPr>
          <w:p w14:paraId="11AF54A3" w14:textId="710FB80E"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1706</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91</w:t>
            </w:r>
          </w:p>
        </w:tc>
        <w:tc>
          <w:tcPr>
            <w:tcW w:w="1049" w:type="dxa"/>
            <w:vAlign w:val="bottom"/>
          </w:tcPr>
          <w:p w14:paraId="0E4EA73E" w14:textId="54CA1D98"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1748</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26</w:t>
            </w:r>
          </w:p>
        </w:tc>
        <w:tc>
          <w:tcPr>
            <w:tcW w:w="1049" w:type="dxa"/>
            <w:vAlign w:val="bottom"/>
          </w:tcPr>
          <w:p w14:paraId="7A72A793" w14:textId="2D739076"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1786</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01</w:t>
            </w:r>
          </w:p>
        </w:tc>
        <w:tc>
          <w:tcPr>
            <w:tcW w:w="1049" w:type="dxa"/>
            <w:vAlign w:val="bottom"/>
          </w:tcPr>
          <w:p w14:paraId="1B939922" w14:textId="6E926863"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1869</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61</w:t>
            </w:r>
          </w:p>
        </w:tc>
        <w:tc>
          <w:tcPr>
            <w:tcW w:w="1049" w:type="dxa"/>
            <w:vAlign w:val="bottom"/>
          </w:tcPr>
          <w:p w14:paraId="08666208" w14:textId="166D60D6"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2028</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24</w:t>
            </w:r>
          </w:p>
        </w:tc>
      </w:tr>
      <w:tr w:rsidR="00200837" w:rsidRPr="0015154B" w14:paraId="43A5D543" w14:textId="77777777" w:rsidTr="000A02BD">
        <w:tc>
          <w:tcPr>
            <w:tcW w:w="1910" w:type="dxa"/>
            <w:vMerge/>
            <w:shd w:val="clear" w:color="auto" w:fill="E8F3D3" w:themeFill="accent2" w:themeFillTint="33"/>
          </w:tcPr>
          <w:p w14:paraId="4A45B594" w14:textId="77777777" w:rsidR="00200837" w:rsidRPr="0015154B" w:rsidRDefault="00200837" w:rsidP="0026365F">
            <w:pPr>
              <w:rPr>
                <w:rFonts w:ascii="Times New Roman" w:hAnsi="Times New Roman" w:cs="Times New Roman"/>
                <w:b/>
                <w:i/>
                <w:color w:val="002060"/>
                <w:sz w:val="24"/>
                <w:szCs w:val="24"/>
              </w:rPr>
            </w:pPr>
          </w:p>
        </w:tc>
        <w:tc>
          <w:tcPr>
            <w:tcW w:w="1142" w:type="dxa"/>
          </w:tcPr>
          <w:p w14:paraId="6F53C2FC" w14:textId="77777777" w:rsidR="00200837" w:rsidRPr="0015154B" w:rsidRDefault="00200837" w:rsidP="0026365F">
            <w:pPr>
              <w:rPr>
                <w:rFonts w:ascii="Times New Roman" w:hAnsi="Times New Roman" w:cs="Times New Roman"/>
                <w:i/>
                <w:color w:val="002060"/>
                <w:sz w:val="24"/>
                <w:szCs w:val="24"/>
              </w:rPr>
            </w:pPr>
            <w:r w:rsidRPr="0015154B">
              <w:rPr>
                <w:rFonts w:ascii="Times New Roman" w:hAnsi="Times New Roman" w:cs="Times New Roman"/>
                <w:i/>
                <w:color w:val="002060"/>
                <w:sz w:val="24"/>
                <w:szCs w:val="24"/>
              </w:rPr>
              <w:t>% no IKP</w:t>
            </w:r>
          </w:p>
        </w:tc>
        <w:tc>
          <w:tcPr>
            <w:tcW w:w="1048" w:type="dxa"/>
          </w:tcPr>
          <w:p w14:paraId="7B6C1DAD"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7,2</w:t>
            </w:r>
          </w:p>
        </w:tc>
        <w:tc>
          <w:tcPr>
            <w:tcW w:w="1049" w:type="dxa"/>
          </w:tcPr>
          <w:p w14:paraId="7DBB77D8"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7,2</w:t>
            </w:r>
          </w:p>
        </w:tc>
        <w:tc>
          <w:tcPr>
            <w:tcW w:w="1049" w:type="dxa"/>
          </w:tcPr>
          <w:p w14:paraId="1BF19F5E"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7,1</w:t>
            </w:r>
          </w:p>
        </w:tc>
        <w:tc>
          <w:tcPr>
            <w:tcW w:w="1049" w:type="dxa"/>
          </w:tcPr>
          <w:p w14:paraId="1F7BA368"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7,0</w:t>
            </w:r>
          </w:p>
        </w:tc>
        <w:tc>
          <w:tcPr>
            <w:tcW w:w="1049" w:type="dxa"/>
          </w:tcPr>
          <w:p w14:paraId="6538807B" w14:textId="77777777" w:rsidR="00200837" w:rsidRPr="0015154B" w:rsidRDefault="00200837" w:rsidP="0026365F">
            <w:pPr>
              <w:jc w:val="center"/>
              <w:rPr>
                <w:rFonts w:ascii="Times New Roman" w:hAnsi="Times New Roman" w:cs="Times New Roman"/>
                <w:sz w:val="24"/>
                <w:szCs w:val="24"/>
              </w:rPr>
            </w:pPr>
          </w:p>
        </w:tc>
      </w:tr>
      <w:tr w:rsidR="00200837" w:rsidRPr="0015154B" w14:paraId="7C11DA87" w14:textId="77777777" w:rsidTr="000A02BD">
        <w:tc>
          <w:tcPr>
            <w:tcW w:w="1910" w:type="dxa"/>
            <w:vMerge w:val="restart"/>
            <w:shd w:val="clear" w:color="auto" w:fill="E8F3D3" w:themeFill="accent2" w:themeFillTint="33"/>
          </w:tcPr>
          <w:p w14:paraId="4BF3385E" w14:textId="77777777" w:rsidR="00200837" w:rsidRPr="0015154B" w:rsidRDefault="00200837" w:rsidP="0026365F">
            <w:pPr>
              <w:rPr>
                <w:rFonts w:ascii="Times New Roman" w:hAnsi="Times New Roman" w:cs="Times New Roman"/>
                <w:b/>
                <w:i/>
                <w:color w:val="002060"/>
                <w:sz w:val="24"/>
                <w:szCs w:val="24"/>
              </w:rPr>
            </w:pPr>
            <w:r w:rsidRPr="0015154B">
              <w:rPr>
                <w:rFonts w:ascii="Times New Roman" w:eastAsia="Times New Roman" w:hAnsi="Times New Roman" w:cs="Times New Roman"/>
                <w:b/>
                <w:bCs/>
                <w:i/>
                <w:color w:val="002060"/>
                <w:sz w:val="24"/>
                <w:szCs w:val="24"/>
                <w:lang w:eastAsia="lv-LV"/>
              </w:rPr>
              <w:t>Apgādnieka zaudējums</w:t>
            </w:r>
          </w:p>
        </w:tc>
        <w:tc>
          <w:tcPr>
            <w:tcW w:w="1142" w:type="dxa"/>
          </w:tcPr>
          <w:p w14:paraId="4CC63D7F" w14:textId="6DF4C295"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milj.</w:t>
            </w:r>
            <w:r w:rsidR="00C1460D" w:rsidRPr="0015154B">
              <w:rPr>
                <w:rFonts w:ascii="Times New Roman" w:hAnsi="Times New Roman" w:cs="Times New Roman"/>
                <w:color w:val="002060"/>
                <w:sz w:val="24"/>
                <w:szCs w:val="24"/>
              </w:rPr>
              <w:t>eiro</w:t>
            </w:r>
          </w:p>
        </w:tc>
        <w:tc>
          <w:tcPr>
            <w:tcW w:w="1048" w:type="dxa"/>
            <w:vAlign w:val="bottom"/>
          </w:tcPr>
          <w:p w14:paraId="6C3218AF" w14:textId="1BCD18B8"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46</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14</w:t>
            </w:r>
          </w:p>
        </w:tc>
        <w:tc>
          <w:tcPr>
            <w:tcW w:w="1049" w:type="dxa"/>
            <w:vAlign w:val="bottom"/>
          </w:tcPr>
          <w:p w14:paraId="58E9F2D3" w14:textId="1BE3CA2F"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44</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97</w:t>
            </w:r>
          </w:p>
        </w:tc>
        <w:tc>
          <w:tcPr>
            <w:tcW w:w="1049" w:type="dxa"/>
            <w:vAlign w:val="bottom"/>
          </w:tcPr>
          <w:p w14:paraId="22156F3B" w14:textId="2B3DA7B4"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44</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74</w:t>
            </w:r>
          </w:p>
        </w:tc>
        <w:tc>
          <w:tcPr>
            <w:tcW w:w="1049" w:type="dxa"/>
            <w:vAlign w:val="bottom"/>
          </w:tcPr>
          <w:p w14:paraId="2B58F776" w14:textId="6D73AA13"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49</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42</w:t>
            </w:r>
          </w:p>
        </w:tc>
        <w:tc>
          <w:tcPr>
            <w:tcW w:w="1049" w:type="dxa"/>
            <w:vAlign w:val="bottom"/>
          </w:tcPr>
          <w:p w14:paraId="0F1A3938" w14:textId="7438AE1B"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54</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19</w:t>
            </w:r>
          </w:p>
        </w:tc>
      </w:tr>
      <w:tr w:rsidR="00200837" w:rsidRPr="0015154B" w14:paraId="5F199D6E" w14:textId="77777777" w:rsidTr="000A02BD">
        <w:tc>
          <w:tcPr>
            <w:tcW w:w="1910" w:type="dxa"/>
            <w:vMerge/>
            <w:shd w:val="clear" w:color="auto" w:fill="E8F3D3" w:themeFill="accent2" w:themeFillTint="33"/>
          </w:tcPr>
          <w:p w14:paraId="53F96E4B" w14:textId="77777777" w:rsidR="00200837" w:rsidRPr="0015154B" w:rsidRDefault="00200837" w:rsidP="0026365F">
            <w:pPr>
              <w:rPr>
                <w:rFonts w:ascii="Times New Roman" w:hAnsi="Times New Roman" w:cs="Times New Roman"/>
                <w:b/>
                <w:i/>
                <w:color w:val="002060"/>
                <w:sz w:val="24"/>
                <w:szCs w:val="24"/>
              </w:rPr>
            </w:pPr>
          </w:p>
        </w:tc>
        <w:tc>
          <w:tcPr>
            <w:tcW w:w="1142" w:type="dxa"/>
          </w:tcPr>
          <w:p w14:paraId="230919D3" w14:textId="77777777" w:rsidR="00200837" w:rsidRPr="0015154B" w:rsidRDefault="00200837" w:rsidP="0026365F">
            <w:pPr>
              <w:rPr>
                <w:rFonts w:ascii="Times New Roman" w:hAnsi="Times New Roman" w:cs="Times New Roman"/>
                <w:i/>
                <w:color w:val="002060"/>
                <w:sz w:val="24"/>
                <w:szCs w:val="24"/>
              </w:rPr>
            </w:pPr>
            <w:r w:rsidRPr="0015154B">
              <w:rPr>
                <w:rFonts w:ascii="Times New Roman" w:hAnsi="Times New Roman" w:cs="Times New Roman"/>
                <w:i/>
                <w:color w:val="002060"/>
                <w:sz w:val="24"/>
                <w:szCs w:val="24"/>
              </w:rPr>
              <w:t>% no IKP</w:t>
            </w:r>
          </w:p>
        </w:tc>
        <w:tc>
          <w:tcPr>
            <w:tcW w:w="1048" w:type="dxa"/>
          </w:tcPr>
          <w:p w14:paraId="2F3080AE"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0,2</w:t>
            </w:r>
          </w:p>
        </w:tc>
        <w:tc>
          <w:tcPr>
            <w:tcW w:w="1049" w:type="dxa"/>
          </w:tcPr>
          <w:p w14:paraId="72C5628F"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0,2</w:t>
            </w:r>
          </w:p>
        </w:tc>
        <w:tc>
          <w:tcPr>
            <w:tcW w:w="1049" w:type="dxa"/>
          </w:tcPr>
          <w:p w14:paraId="1962EF81"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0,2</w:t>
            </w:r>
          </w:p>
        </w:tc>
        <w:tc>
          <w:tcPr>
            <w:tcW w:w="1049" w:type="dxa"/>
          </w:tcPr>
          <w:p w14:paraId="038ADC8B"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0,2</w:t>
            </w:r>
          </w:p>
        </w:tc>
        <w:tc>
          <w:tcPr>
            <w:tcW w:w="1049" w:type="dxa"/>
          </w:tcPr>
          <w:p w14:paraId="013B6836" w14:textId="77777777" w:rsidR="00200837" w:rsidRPr="0015154B" w:rsidRDefault="00200837" w:rsidP="0026365F">
            <w:pPr>
              <w:jc w:val="center"/>
              <w:rPr>
                <w:rFonts w:ascii="Times New Roman" w:hAnsi="Times New Roman" w:cs="Times New Roman"/>
                <w:sz w:val="24"/>
                <w:szCs w:val="24"/>
              </w:rPr>
            </w:pPr>
          </w:p>
        </w:tc>
      </w:tr>
      <w:tr w:rsidR="00200837" w:rsidRPr="0015154B" w14:paraId="0E0F3E41" w14:textId="77777777" w:rsidTr="000A02BD">
        <w:tc>
          <w:tcPr>
            <w:tcW w:w="1910" w:type="dxa"/>
            <w:vMerge w:val="restart"/>
            <w:shd w:val="clear" w:color="auto" w:fill="E8F3D3" w:themeFill="accent2" w:themeFillTint="33"/>
          </w:tcPr>
          <w:p w14:paraId="74B97F8B" w14:textId="77777777" w:rsidR="00200837" w:rsidRPr="0015154B" w:rsidRDefault="00200837" w:rsidP="0026365F">
            <w:pPr>
              <w:rPr>
                <w:rFonts w:ascii="Times New Roman" w:hAnsi="Times New Roman" w:cs="Times New Roman"/>
                <w:b/>
                <w:i/>
                <w:color w:val="002060"/>
                <w:sz w:val="24"/>
                <w:szCs w:val="24"/>
              </w:rPr>
            </w:pPr>
            <w:r w:rsidRPr="0015154B">
              <w:rPr>
                <w:rFonts w:ascii="Times New Roman" w:eastAsia="Times New Roman" w:hAnsi="Times New Roman" w:cs="Times New Roman"/>
                <w:b/>
                <w:bCs/>
                <w:i/>
                <w:color w:val="002060"/>
                <w:sz w:val="24"/>
                <w:szCs w:val="24"/>
                <w:lang w:eastAsia="lv-LV"/>
              </w:rPr>
              <w:t>Ģimene/bērni</w:t>
            </w:r>
          </w:p>
        </w:tc>
        <w:tc>
          <w:tcPr>
            <w:tcW w:w="1142" w:type="dxa"/>
          </w:tcPr>
          <w:p w14:paraId="0B5EE319" w14:textId="75D0C10B"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milj.</w:t>
            </w:r>
            <w:r w:rsidR="00C1460D" w:rsidRPr="0015154B">
              <w:rPr>
                <w:rFonts w:ascii="Times New Roman" w:hAnsi="Times New Roman" w:cs="Times New Roman"/>
                <w:color w:val="002060"/>
                <w:sz w:val="24"/>
                <w:szCs w:val="24"/>
              </w:rPr>
              <w:t>eiro</w:t>
            </w:r>
          </w:p>
        </w:tc>
        <w:tc>
          <w:tcPr>
            <w:tcW w:w="1048" w:type="dxa"/>
            <w:vAlign w:val="bottom"/>
          </w:tcPr>
          <w:p w14:paraId="523AE343" w14:textId="5FE102BC"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306</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37</w:t>
            </w:r>
          </w:p>
        </w:tc>
        <w:tc>
          <w:tcPr>
            <w:tcW w:w="1049" w:type="dxa"/>
            <w:vAlign w:val="bottom"/>
          </w:tcPr>
          <w:p w14:paraId="382D6F7C" w14:textId="749FE945"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387</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15</w:t>
            </w:r>
          </w:p>
        </w:tc>
        <w:tc>
          <w:tcPr>
            <w:tcW w:w="1049" w:type="dxa"/>
            <w:vAlign w:val="bottom"/>
          </w:tcPr>
          <w:p w14:paraId="421AC256" w14:textId="61848F6F"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414</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91</w:t>
            </w:r>
          </w:p>
        </w:tc>
        <w:tc>
          <w:tcPr>
            <w:tcW w:w="1049" w:type="dxa"/>
            <w:vAlign w:val="bottom"/>
          </w:tcPr>
          <w:p w14:paraId="179E325D" w14:textId="7833E942"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430</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62</w:t>
            </w:r>
          </w:p>
        </w:tc>
        <w:tc>
          <w:tcPr>
            <w:tcW w:w="1049" w:type="dxa"/>
            <w:vAlign w:val="bottom"/>
          </w:tcPr>
          <w:p w14:paraId="2AFEDA73" w14:textId="6242E40C"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472</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72</w:t>
            </w:r>
          </w:p>
        </w:tc>
      </w:tr>
      <w:tr w:rsidR="00200837" w:rsidRPr="0015154B" w14:paraId="4CA5EA23" w14:textId="77777777" w:rsidTr="000A02BD">
        <w:tc>
          <w:tcPr>
            <w:tcW w:w="1910" w:type="dxa"/>
            <w:vMerge/>
            <w:shd w:val="clear" w:color="auto" w:fill="E8F3D3" w:themeFill="accent2" w:themeFillTint="33"/>
          </w:tcPr>
          <w:p w14:paraId="79D3FA3C" w14:textId="77777777" w:rsidR="00200837" w:rsidRPr="0015154B" w:rsidRDefault="00200837" w:rsidP="0026365F">
            <w:pPr>
              <w:rPr>
                <w:rFonts w:ascii="Times New Roman" w:hAnsi="Times New Roman" w:cs="Times New Roman"/>
                <w:b/>
                <w:i/>
                <w:color w:val="002060"/>
                <w:sz w:val="24"/>
                <w:szCs w:val="24"/>
              </w:rPr>
            </w:pPr>
          </w:p>
        </w:tc>
        <w:tc>
          <w:tcPr>
            <w:tcW w:w="1142" w:type="dxa"/>
          </w:tcPr>
          <w:p w14:paraId="5433B998" w14:textId="77777777" w:rsidR="00200837" w:rsidRPr="0015154B" w:rsidRDefault="00200837" w:rsidP="0026365F">
            <w:pPr>
              <w:rPr>
                <w:rFonts w:ascii="Times New Roman" w:hAnsi="Times New Roman" w:cs="Times New Roman"/>
                <w:i/>
                <w:color w:val="002060"/>
                <w:sz w:val="24"/>
                <w:szCs w:val="24"/>
              </w:rPr>
            </w:pPr>
            <w:r w:rsidRPr="0015154B">
              <w:rPr>
                <w:rFonts w:ascii="Times New Roman" w:hAnsi="Times New Roman" w:cs="Times New Roman"/>
                <w:i/>
                <w:color w:val="002060"/>
                <w:sz w:val="24"/>
                <w:szCs w:val="24"/>
              </w:rPr>
              <w:t>% no IKP</w:t>
            </w:r>
          </w:p>
        </w:tc>
        <w:tc>
          <w:tcPr>
            <w:tcW w:w="1048" w:type="dxa"/>
          </w:tcPr>
          <w:p w14:paraId="5F63E857"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1,3</w:t>
            </w:r>
          </w:p>
        </w:tc>
        <w:tc>
          <w:tcPr>
            <w:tcW w:w="1049" w:type="dxa"/>
          </w:tcPr>
          <w:p w14:paraId="16D52F92"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1,6</w:t>
            </w:r>
          </w:p>
        </w:tc>
        <w:tc>
          <w:tcPr>
            <w:tcW w:w="1049" w:type="dxa"/>
          </w:tcPr>
          <w:p w14:paraId="0B8E9EFA"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1,7</w:t>
            </w:r>
          </w:p>
        </w:tc>
        <w:tc>
          <w:tcPr>
            <w:tcW w:w="1049" w:type="dxa"/>
          </w:tcPr>
          <w:p w14:paraId="7975935D"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1,6</w:t>
            </w:r>
          </w:p>
        </w:tc>
        <w:tc>
          <w:tcPr>
            <w:tcW w:w="1049" w:type="dxa"/>
          </w:tcPr>
          <w:p w14:paraId="2EA35FFB" w14:textId="77777777" w:rsidR="00200837" w:rsidRPr="0015154B" w:rsidRDefault="00200837" w:rsidP="0026365F">
            <w:pPr>
              <w:jc w:val="center"/>
              <w:rPr>
                <w:rFonts w:ascii="Times New Roman" w:hAnsi="Times New Roman" w:cs="Times New Roman"/>
                <w:sz w:val="24"/>
                <w:szCs w:val="24"/>
              </w:rPr>
            </w:pPr>
          </w:p>
        </w:tc>
      </w:tr>
      <w:tr w:rsidR="00200837" w:rsidRPr="0015154B" w14:paraId="2689C50F" w14:textId="77777777" w:rsidTr="000A02BD">
        <w:tc>
          <w:tcPr>
            <w:tcW w:w="1910" w:type="dxa"/>
            <w:vMerge w:val="restart"/>
            <w:shd w:val="clear" w:color="auto" w:fill="E8F3D3" w:themeFill="accent2" w:themeFillTint="33"/>
          </w:tcPr>
          <w:p w14:paraId="14142546" w14:textId="77777777" w:rsidR="00200837" w:rsidRPr="0015154B" w:rsidRDefault="00200837" w:rsidP="0026365F">
            <w:pPr>
              <w:rPr>
                <w:rFonts w:ascii="Times New Roman" w:hAnsi="Times New Roman" w:cs="Times New Roman"/>
                <w:b/>
                <w:i/>
                <w:color w:val="002060"/>
                <w:sz w:val="24"/>
                <w:szCs w:val="24"/>
              </w:rPr>
            </w:pPr>
            <w:r w:rsidRPr="0015154B">
              <w:rPr>
                <w:rFonts w:ascii="Times New Roman" w:eastAsia="Times New Roman" w:hAnsi="Times New Roman" w:cs="Times New Roman"/>
                <w:b/>
                <w:bCs/>
                <w:i/>
                <w:color w:val="002060"/>
                <w:sz w:val="24"/>
                <w:szCs w:val="24"/>
                <w:lang w:eastAsia="lv-LV"/>
              </w:rPr>
              <w:t>Bezdarbs</w:t>
            </w:r>
          </w:p>
        </w:tc>
        <w:tc>
          <w:tcPr>
            <w:tcW w:w="1142" w:type="dxa"/>
          </w:tcPr>
          <w:p w14:paraId="63E698C3" w14:textId="45DDD8CA"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milj.</w:t>
            </w:r>
            <w:r w:rsidR="00C1460D" w:rsidRPr="0015154B">
              <w:rPr>
                <w:rFonts w:ascii="Times New Roman" w:hAnsi="Times New Roman" w:cs="Times New Roman"/>
                <w:color w:val="002060"/>
                <w:sz w:val="24"/>
                <w:szCs w:val="24"/>
              </w:rPr>
              <w:t>eiro</w:t>
            </w:r>
          </w:p>
        </w:tc>
        <w:tc>
          <w:tcPr>
            <w:tcW w:w="1048" w:type="dxa"/>
            <w:vAlign w:val="bottom"/>
          </w:tcPr>
          <w:p w14:paraId="207F62BC" w14:textId="41F7BBC9"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136</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83</w:t>
            </w:r>
          </w:p>
        </w:tc>
        <w:tc>
          <w:tcPr>
            <w:tcW w:w="1049" w:type="dxa"/>
            <w:vAlign w:val="bottom"/>
          </w:tcPr>
          <w:p w14:paraId="51FB7D5E" w14:textId="0E4D8A11"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145</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87</w:t>
            </w:r>
          </w:p>
        </w:tc>
        <w:tc>
          <w:tcPr>
            <w:tcW w:w="1049" w:type="dxa"/>
            <w:vAlign w:val="bottom"/>
          </w:tcPr>
          <w:p w14:paraId="38056C65" w14:textId="21C4A13D"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173</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91</w:t>
            </w:r>
          </w:p>
        </w:tc>
        <w:tc>
          <w:tcPr>
            <w:tcW w:w="1049" w:type="dxa"/>
            <w:vAlign w:val="bottom"/>
          </w:tcPr>
          <w:p w14:paraId="431C3216" w14:textId="023FC936"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176</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17</w:t>
            </w:r>
          </w:p>
        </w:tc>
        <w:tc>
          <w:tcPr>
            <w:tcW w:w="1049" w:type="dxa"/>
            <w:vAlign w:val="bottom"/>
          </w:tcPr>
          <w:p w14:paraId="2BBA5634" w14:textId="5AACF538"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193</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27</w:t>
            </w:r>
          </w:p>
        </w:tc>
      </w:tr>
      <w:tr w:rsidR="00200837" w:rsidRPr="0015154B" w14:paraId="4A5FAC17" w14:textId="77777777" w:rsidTr="000A02BD">
        <w:tc>
          <w:tcPr>
            <w:tcW w:w="1910" w:type="dxa"/>
            <w:vMerge/>
            <w:shd w:val="clear" w:color="auto" w:fill="E8F3D3" w:themeFill="accent2" w:themeFillTint="33"/>
          </w:tcPr>
          <w:p w14:paraId="0E59A4D2" w14:textId="77777777" w:rsidR="00200837" w:rsidRPr="0015154B" w:rsidRDefault="00200837" w:rsidP="0026365F">
            <w:pPr>
              <w:rPr>
                <w:rFonts w:ascii="Times New Roman" w:hAnsi="Times New Roman" w:cs="Times New Roman"/>
                <w:b/>
                <w:i/>
                <w:color w:val="002060"/>
                <w:sz w:val="24"/>
                <w:szCs w:val="24"/>
              </w:rPr>
            </w:pPr>
          </w:p>
        </w:tc>
        <w:tc>
          <w:tcPr>
            <w:tcW w:w="1142" w:type="dxa"/>
          </w:tcPr>
          <w:p w14:paraId="2014D3FF" w14:textId="77777777" w:rsidR="00200837" w:rsidRPr="0015154B" w:rsidRDefault="00200837" w:rsidP="0026365F">
            <w:pPr>
              <w:rPr>
                <w:rFonts w:ascii="Times New Roman" w:hAnsi="Times New Roman" w:cs="Times New Roman"/>
                <w:i/>
                <w:color w:val="002060"/>
                <w:sz w:val="24"/>
                <w:szCs w:val="24"/>
              </w:rPr>
            </w:pPr>
            <w:r w:rsidRPr="0015154B">
              <w:rPr>
                <w:rFonts w:ascii="Times New Roman" w:hAnsi="Times New Roman" w:cs="Times New Roman"/>
                <w:i/>
                <w:color w:val="002060"/>
                <w:sz w:val="24"/>
                <w:szCs w:val="24"/>
              </w:rPr>
              <w:t>% no IKP</w:t>
            </w:r>
          </w:p>
        </w:tc>
        <w:tc>
          <w:tcPr>
            <w:tcW w:w="1048" w:type="dxa"/>
          </w:tcPr>
          <w:p w14:paraId="5A15B0F5"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0,6</w:t>
            </w:r>
          </w:p>
        </w:tc>
        <w:tc>
          <w:tcPr>
            <w:tcW w:w="1049" w:type="dxa"/>
          </w:tcPr>
          <w:p w14:paraId="0D32803F"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0,6</w:t>
            </w:r>
          </w:p>
        </w:tc>
        <w:tc>
          <w:tcPr>
            <w:tcW w:w="1049" w:type="dxa"/>
          </w:tcPr>
          <w:p w14:paraId="656EB12C"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0,7</w:t>
            </w:r>
          </w:p>
        </w:tc>
        <w:tc>
          <w:tcPr>
            <w:tcW w:w="1049" w:type="dxa"/>
          </w:tcPr>
          <w:p w14:paraId="628FDF57"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0,7</w:t>
            </w:r>
          </w:p>
        </w:tc>
        <w:tc>
          <w:tcPr>
            <w:tcW w:w="1049" w:type="dxa"/>
          </w:tcPr>
          <w:p w14:paraId="4477FE32" w14:textId="77777777" w:rsidR="00200837" w:rsidRPr="0015154B" w:rsidRDefault="00200837" w:rsidP="0026365F">
            <w:pPr>
              <w:jc w:val="center"/>
              <w:rPr>
                <w:rFonts w:ascii="Times New Roman" w:hAnsi="Times New Roman" w:cs="Times New Roman"/>
                <w:sz w:val="24"/>
                <w:szCs w:val="24"/>
              </w:rPr>
            </w:pPr>
          </w:p>
        </w:tc>
      </w:tr>
      <w:tr w:rsidR="00200837" w:rsidRPr="0015154B" w14:paraId="530FBD0B" w14:textId="77777777" w:rsidTr="000A02BD">
        <w:tc>
          <w:tcPr>
            <w:tcW w:w="1910" w:type="dxa"/>
            <w:vMerge w:val="restart"/>
            <w:shd w:val="clear" w:color="auto" w:fill="E8F3D3" w:themeFill="accent2" w:themeFillTint="33"/>
          </w:tcPr>
          <w:p w14:paraId="5359C5B9" w14:textId="77777777" w:rsidR="00200837" w:rsidRPr="0015154B" w:rsidRDefault="00200837" w:rsidP="0026365F">
            <w:pPr>
              <w:rPr>
                <w:rFonts w:ascii="Times New Roman" w:hAnsi="Times New Roman" w:cs="Times New Roman"/>
                <w:b/>
                <w:i/>
                <w:color w:val="002060"/>
                <w:sz w:val="24"/>
                <w:szCs w:val="24"/>
              </w:rPr>
            </w:pPr>
            <w:r w:rsidRPr="0015154B">
              <w:rPr>
                <w:rFonts w:ascii="Times New Roman" w:eastAsia="Times New Roman" w:hAnsi="Times New Roman" w:cs="Times New Roman"/>
                <w:b/>
                <w:bCs/>
                <w:i/>
                <w:color w:val="002060"/>
                <w:sz w:val="24"/>
                <w:szCs w:val="24"/>
                <w:lang w:eastAsia="lv-LV"/>
              </w:rPr>
              <w:t>Mājoklis</w:t>
            </w:r>
          </w:p>
        </w:tc>
        <w:tc>
          <w:tcPr>
            <w:tcW w:w="1142" w:type="dxa"/>
          </w:tcPr>
          <w:p w14:paraId="36031C1B" w14:textId="5C6B6B56"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milj.</w:t>
            </w:r>
            <w:r w:rsidR="00C1460D" w:rsidRPr="0015154B">
              <w:rPr>
                <w:rFonts w:ascii="Times New Roman" w:hAnsi="Times New Roman" w:cs="Times New Roman"/>
                <w:color w:val="002060"/>
                <w:sz w:val="24"/>
                <w:szCs w:val="24"/>
              </w:rPr>
              <w:t>eiro</w:t>
            </w:r>
          </w:p>
        </w:tc>
        <w:tc>
          <w:tcPr>
            <w:tcW w:w="1048" w:type="dxa"/>
            <w:vAlign w:val="bottom"/>
          </w:tcPr>
          <w:p w14:paraId="3059FFBE" w14:textId="48590C7A"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22</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78</w:t>
            </w:r>
          </w:p>
        </w:tc>
        <w:tc>
          <w:tcPr>
            <w:tcW w:w="1049" w:type="dxa"/>
            <w:vAlign w:val="bottom"/>
          </w:tcPr>
          <w:p w14:paraId="07B4DDE4" w14:textId="141ADDBC"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21</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12</w:t>
            </w:r>
          </w:p>
        </w:tc>
        <w:tc>
          <w:tcPr>
            <w:tcW w:w="1049" w:type="dxa"/>
            <w:vAlign w:val="bottom"/>
          </w:tcPr>
          <w:p w14:paraId="40B11A57" w14:textId="0B1BE894"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19</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78</w:t>
            </w:r>
          </w:p>
        </w:tc>
        <w:tc>
          <w:tcPr>
            <w:tcW w:w="1049" w:type="dxa"/>
            <w:vAlign w:val="bottom"/>
          </w:tcPr>
          <w:p w14:paraId="654C6361" w14:textId="11FC82CF"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18</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74</w:t>
            </w:r>
          </w:p>
        </w:tc>
        <w:tc>
          <w:tcPr>
            <w:tcW w:w="1049" w:type="dxa"/>
            <w:vAlign w:val="bottom"/>
          </w:tcPr>
          <w:p w14:paraId="3E8D7008" w14:textId="7F1C1975"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17</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13</w:t>
            </w:r>
          </w:p>
        </w:tc>
      </w:tr>
      <w:tr w:rsidR="00200837" w:rsidRPr="0015154B" w14:paraId="130C37BD" w14:textId="77777777" w:rsidTr="000A02BD">
        <w:tc>
          <w:tcPr>
            <w:tcW w:w="1910" w:type="dxa"/>
            <w:vMerge/>
            <w:shd w:val="clear" w:color="auto" w:fill="E8F3D3" w:themeFill="accent2" w:themeFillTint="33"/>
          </w:tcPr>
          <w:p w14:paraId="1DD43C8B" w14:textId="77777777" w:rsidR="00200837" w:rsidRPr="0015154B" w:rsidRDefault="00200837" w:rsidP="0026365F">
            <w:pPr>
              <w:rPr>
                <w:rFonts w:ascii="Times New Roman" w:hAnsi="Times New Roman" w:cs="Times New Roman"/>
                <w:b/>
                <w:i/>
                <w:color w:val="002060"/>
                <w:sz w:val="24"/>
                <w:szCs w:val="24"/>
              </w:rPr>
            </w:pPr>
          </w:p>
        </w:tc>
        <w:tc>
          <w:tcPr>
            <w:tcW w:w="1142" w:type="dxa"/>
          </w:tcPr>
          <w:p w14:paraId="72236966" w14:textId="77777777" w:rsidR="00200837" w:rsidRPr="0015154B" w:rsidRDefault="00200837" w:rsidP="0026365F">
            <w:pPr>
              <w:rPr>
                <w:rFonts w:ascii="Times New Roman" w:hAnsi="Times New Roman" w:cs="Times New Roman"/>
                <w:i/>
                <w:color w:val="002060"/>
                <w:sz w:val="24"/>
                <w:szCs w:val="24"/>
              </w:rPr>
            </w:pPr>
            <w:r w:rsidRPr="0015154B">
              <w:rPr>
                <w:rFonts w:ascii="Times New Roman" w:hAnsi="Times New Roman" w:cs="Times New Roman"/>
                <w:i/>
                <w:color w:val="002060"/>
                <w:sz w:val="24"/>
                <w:szCs w:val="24"/>
              </w:rPr>
              <w:t>% no IKP</w:t>
            </w:r>
          </w:p>
        </w:tc>
        <w:tc>
          <w:tcPr>
            <w:tcW w:w="1048" w:type="dxa"/>
          </w:tcPr>
          <w:p w14:paraId="538F6424"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0,1</w:t>
            </w:r>
          </w:p>
        </w:tc>
        <w:tc>
          <w:tcPr>
            <w:tcW w:w="1049" w:type="dxa"/>
          </w:tcPr>
          <w:p w14:paraId="3F019D1C"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0,1</w:t>
            </w:r>
          </w:p>
        </w:tc>
        <w:tc>
          <w:tcPr>
            <w:tcW w:w="1049" w:type="dxa"/>
          </w:tcPr>
          <w:p w14:paraId="3BF50175"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0,1</w:t>
            </w:r>
          </w:p>
        </w:tc>
        <w:tc>
          <w:tcPr>
            <w:tcW w:w="1049" w:type="dxa"/>
          </w:tcPr>
          <w:p w14:paraId="4145A784"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0,1</w:t>
            </w:r>
          </w:p>
        </w:tc>
        <w:tc>
          <w:tcPr>
            <w:tcW w:w="1049" w:type="dxa"/>
          </w:tcPr>
          <w:p w14:paraId="28384DC5" w14:textId="77777777" w:rsidR="00200837" w:rsidRPr="0015154B" w:rsidRDefault="00200837" w:rsidP="0026365F">
            <w:pPr>
              <w:jc w:val="center"/>
              <w:rPr>
                <w:rFonts w:ascii="Times New Roman" w:hAnsi="Times New Roman" w:cs="Times New Roman"/>
                <w:sz w:val="24"/>
                <w:szCs w:val="24"/>
              </w:rPr>
            </w:pPr>
          </w:p>
        </w:tc>
      </w:tr>
      <w:tr w:rsidR="00200837" w:rsidRPr="0015154B" w14:paraId="2CA30E2E" w14:textId="77777777" w:rsidTr="000A02BD">
        <w:tc>
          <w:tcPr>
            <w:tcW w:w="1910" w:type="dxa"/>
            <w:vMerge w:val="restart"/>
            <w:shd w:val="clear" w:color="auto" w:fill="E8F3D3" w:themeFill="accent2" w:themeFillTint="33"/>
          </w:tcPr>
          <w:p w14:paraId="56C317D7" w14:textId="77777777" w:rsidR="00200837" w:rsidRPr="0015154B" w:rsidRDefault="00200837" w:rsidP="0026365F">
            <w:pPr>
              <w:rPr>
                <w:rFonts w:ascii="Times New Roman" w:hAnsi="Times New Roman" w:cs="Times New Roman"/>
                <w:b/>
                <w:i/>
                <w:color w:val="002060"/>
                <w:sz w:val="24"/>
                <w:szCs w:val="24"/>
              </w:rPr>
            </w:pPr>
            <w:r w:rsidRPr="0015154B">
              <w:rPr>
                <w:rFonts w:ascii="Times New Roman" w:eastAsia="Times New Roman" w:hAnsi="Times New Roman" w:cs="Times New Roman"/>
                <w:b/>
                <w:bCs/>
                <w:i/>
                <w:color w:val="002060"/>
                <w:sz w:val="24"/>
                <w:szCs w:val="24"/>
                <w:lang w:eastAsia="lv-LV"/>
              </w:rPr>
              <w:t>Sociālā atstumtība</w:t>
            </w:r>
          </w:p>
        </w:tc>
        <w:tc>
          <w:tcPr>
            <w:tcW w:w="1142" w:type="dxa"/>
          </w:tcPr>
          <w:p w14:paraId="15766634" w14:textId="065CAA48"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milj.</w:t>
            </w:r>
            <w:r w:rsidR="00C1460D" w:rsidRPr="0015154B">
              <w:rPr>
                <w:rFonts w:ascii="Times New Roman" w:hAnsi="Times New Roman" w:cs="Times New Roman"/>
                <w:color w:val="002060"/>
                <w:sz w:val="24"/>
                <w:szCs w:val="24"/>
              </w:rPr>
              <w:t>eiro</w:t>
            </w:r>
          </w:p>
        </w:tc>
        <w:tc>
          <w:tcPr>
            <w:tcW w:w="1048" w:type="dxa"/>
            <w:vAlign w:val="bottom"/>
          </w:tcPr>
          <w:p w14:paraId="7A3B9D39" w14:textId="304D1691"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29</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87</w:t>
            </w:r>
          </w:p>
        </w:tc>
        <w:tc>
          <w:tcPr>
            <w:tcW w:w="1049" w:type="dxa"/>
            <w:vAlign w:val="bottom"/>
          </w:tcPr>
          <w:p w14:paraId="5C0B86B8" w14:textId="588F2212"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26</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12</w:t>
            </w:r>
          </w:p>
        </w:tc>
        <w:tc>
          <w:tcPr>
            <w:tcW w:w="1049" w:type="dxa"/>
            <w:vAlign w:val="bottom"/>
          </w:tcPr>
          <w:p w14:paraId="413C3A27" w14:textId="061B0135"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27</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.00</w:t>
            </w:r>
          </w:p>
        </w:tc>
        <w:tc>
          <w:tcPr>
            <w:tcW w:w="1049" w:type="dxa"/>
            <w:vAlign w:val="bottom"/>
          </w:tcPr>
          <w:p w14:paraId="3E8FC6EE" w14:textId="7AE020E3"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27</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71</w:t>
            </w:r>
          </w:p>
        </w:tc>
        <w:tc>
          <w:tcPr>
            <w:tcW w:w="1049" w:type="dxa"/>
            <w:vAlign w:val="bottom"/>
          </w:tcPr>
          <w:p w14:paraId="2CCF6D5B" w14:textId="48889924" w:rsidR="00200837" w:rsidRPr="0015154B" w:rsidRDefault="00200837" w:rsidP="0026365F">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29</w:t>
            </w:r>
            <w:r w:rsidR="0082245F">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59</w:t>
            </w:r>
          </w:p>
        </w:tc>
      </w:tr>
      <w:tr w:rsidR="00200837" w:rsidRPr="0015154B" w14:paraId="44AB24E5" w14:textId="77777777" w:rsidTr="000A02BD">
        <w:tc>
          <w:tcPr>
            <w:tcW w:w="1910" w:type="dxa"/>
            <w:vMerge/>
            <w:shd w:val="clear" w:color="auto" w:fill="E8F3D3" w:themeFill="accent2" w:themeFillTint="33"/>
          </w:tcPr>
          <w:p w14:paraId="0663D78D" w14:textId="77777777" w:rsidR="00200837" w:rsidRPr="0015154B" w:rsidRDefault="00200837" w:rsidP="0026365F">
            <w:pPr>
              <w:rPr>
                <w:rFonts w:ascii="Times New Roman" w:hAnsi="Times New Roman" w:cs="Times New Roman"/>
                <w:color w:val="002060"/>
                <w:sz w:val="24"/>
                <w:szCs w:val="24"/>
              </w:rPr>
            </w:pPr>
          </w:p>
        </w:tc>
        <w:tc>
          <w:tcPr>
            <w:tcW w:w="1142" w:type="dxa"/>
          </w:tcPr>
          <w:p w14:paraId="3F50F1B9" w14:textId="77777777" w:rsidR="00200837" w:rsidRPr="0015154B" w:rsidRDefault="00200837" w:rsidP="0026365F">
            <w:pPr>
              <w:rPr>
                <w:rFonts w:ascii="Times New Roman" w:hAnsi="Times New Roman" w:cs="Times New Roman"/>
                <w:i/>
                <w:color w:val="002060"/>
                <w:sz w:val="24"/>
                <w:szCs w:val="24"/>
              </w:rPr>
            </w:pPr>
            <w:r w:rsidRPr="0015154B">
              <w:rPr>
                <w:rFonts w:ascii="Times New Roman" w:hAnsi="Times New Roman" w:cs="Times New Roman"/>
                <w:i/>
                <w:color w:val="002060"/>
                <w:sz w:val="24"/>
                <w:szCs w:val="24"/>
              </w:rPr>
              <w:t>% no IKP</w:t>
            </w:r>
          </w:p>
        </w:tc>
        <w:tc>
          <w:tcPr>
            <w:tcW w:w="1048" w:type="dxa"/>
          </w:tcPr>
          <w:p w14:paraId="1F561436"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0,1</w:t>
            </w:r>
          </w:p>
        </w:tc>
        <w:tc>
          <w:tcPr>
            <w:tcW w:w="1049" w:type="dxa"/>
          </w:tcPr>
          <w:p w14:paraId="44521277"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0,1</w:t>
            </w:r>
          </w:p>
        </w:tc>
        <w:tc>
          <w:tcPr>
            <w:tcW w:w="1049" w:type="dxa"/>
          </w:tcPr>
          <w:p w14:paraId="1B9B3793"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0,1</w:t>
            </w:r>
          </w:p>
        </w:tc>
        <w:tc>
          <w:tcPr>
            <w:tcW w:w="1049" w:type="dxa"/>
          </w:tcPr>
          <w:p w14:paraId="2CAFBBCD" w14:textId="77777777" w:rsidR="00200837" w:rsidRPr="0015154B" w:rsidRDefault="00200837" w:rsidP="0026365F">
            <w:pPr>
              <w:jc w:val="center"/>
              <w:rPr>
                <w:rFonts w:ascii="Times New Roman" w:hAnsi="Times New Roman" w:cs="Times New Roman"/>
                <w:i/>
                <w:sz w:val="24"/>
                <w:szCs w:val="24"/>
              </w:rPr>
            </w:pPr>
            <w:r w:rsidRPr="0015154B">
              <w:rPr>
                <w:rFonts w:ascii="Times New Roman" w:hAnsi="Times New Roman" w:cs="Times New Roman"/>
                <w:i/>
                <w:sz w:val="24"/>
                <w:szCs w:val="24"/>
              </w:rPr>
              <w:t>0,1</w:t>
            </w:r>
          </w:p>
        </w:tc>
        <w:tc>
          <w:tcPr>
            <w:tcW w:w="1049" w:type="dxa"/>
          </w:tcPr>
          <w:p w14:paraId="6CC46031" w14:textId="77777777" w:rsidR="00200837" w:rsidRPr="0015154B" w:rsidRDefault="00200837" w:rsidP="0026365F">
            <w:pPr>
              <w:jc w:val="center"/>
              <w:rPr>
                <w:rFonts w:ascii="Times New Roman" w:hAnsi="Times New Roman" w:cs="Times New Roman"/>
                <w:sz w:val="24"/>
                <w:szCs w:val="24"/>
              </w:rPr>
            </w:pPr>
          </w:p>
        </w:tc>
      </w:tr>
    </w:tbl>
    <w:p w14:paraId="74B35103" w14:textId="68FDE716" w:rsidR="00200837" w:rsidRPr="0015154B" w:rsidRDefault="00200837" w:rsidP="00200837">
      <w:pPr>
        <w:shd w:val="clear" w:color="auto" w:fill="FCFCFC"/>
        <w:spacing w:after="0" w:line="240" w:lineRule="auto"/>
        <w:rPr>
          <w:rFonts w:ascii="Times New Roman" w:hAnsi="Times New Roman" w:cs="Times New Roman"/>
          <w:sz w:val="20"/>
          <w:szCs w:val="20"/>
        </w:rPr>
      </w:pPr>
      <w:r w:rsidRPr="0015154B">
        <w:rPr>
          <w:rFonts w:ascii="Times New Roman" w:hAnsi="Times New Roman" w:cs="Times New Roman"/>
          <w:sz w:val="20"/>
          <w:szCs w:val="20"/>
        </w:rPr>
        <w:t>Datu avots: CSP</w:t>
      </w:r>
      <w:r w:rsidR="003E3D11" w:rsidRPr="0015154B">
        <w:rPr>
          <w:rFonts w:ascii="Times New Roman" w:hAnsi="Times New Roman" w:cs="Times New Roman"/>
          <w:sz w:val="20"/>
          <w:szCs w:val="20"/>
        </w:rPr>
        <w:t xml:space="preserve"> </w:t>
      </w:r>
      <w:r w:rsidR="006C2B61" w:rsidRPr="0015154B">
        <w:rPr>
          <w:rFonts w:ascii="Times New Roman" w:hAnsi="Times New Roman" w:cs="Times New Roman"/>
          <w:sz w:val="20"/>
          <w:szCs w:val="20"/>
        </w:rPr>
        <w:t>datu bāze,</w:t>
      </w:r>
      <w:r w:rsidRPr="0015154B">
        <w:rPr>
          <w:rFonts w:ascii="Times New Roman" w:hAnsi="Times New Roman" w:cs="Times New Roman"/>
          <w:sz w:val="20"/>
          <w:szCs w:val="20"/>
        </w:rPr>
        <w:t xml:space="preserve"> datu tabula SDG150</w:t>
      </w:r>
      <w:r w:rsidR="006C2B61" w:rsidRPr="0015154B">
        <w:rPr>
          <w:rFonts w:ascii="Times New Roman" w:hAnsi="Times New Roman" w:cs="Times New Roman"/>
          <w:sz w:val="20"/>
          <w:szCs w:val="20"/>
        </w:rPr>
        <w:t>;</w:t>
      </w:r>
      <w:r w:rsidRPr="0015154B">
        <w:rPr>
          <w:rFonts w:ascii="Times New Roman" w:hAnsi="Times New Roman" w:cs="Times New Roman"/>
          <w:sz w:val="20"/>
          <w:szCs w:val="20"/>
        </w:rPr>
        <w:t xml:space="preserve"> Eirostat </w:t>
      </w:r>
      <w:r w:rsidR="006C2B61" w:rsidRPr="0015154B">
        <w:rPr>
          <w:rFonts w:ascii="Times New Roman" w:hAnsi="Times New Roman" w:cs="Times New Roman"/>
          <w:sz w:val="20"/>
          <w:szCs w:val="20"/>
        </w:rPr>
        <w:t xml:space="preserve">datu bāze, </w:t>
      </w:r>
      <w:r w:rsidRPr="0015154B">
        <w:rPr>
          <w:rFonts w:ascii="Times New Roman" w:hAnsi="Times New Roman" w:cs="Times New Roman"/>
          <w:sz w:val="20"/>
          <w:szCs w:val="20"/>
        </w:rPr>
        <w:t>datu tabula [spr_exp_gdp]</w:t>
      </w:r>
    </w:p>
    <w:p w14:paraId="4E34A6DB" w14:textId="77777777" w:rsidR="007D4A24" w:rsidRPr="0015154B" w:rsidRDefault="007D4A24" w:rsidP="006C2B61">
      <w:pPr>
        <w:spacing w:after="0" w:line="240" w:lineRule="auto"/>
        <w:ind w:firstLine="720"/>
        <w:jc w:val="both"/>
        <w:rPr>
          <w:rFonts w:ascii="Times New Roman" w:hAnsi="Times New Roman" w:cs="Times New Roman"/>
          <w:sz w:val="24"/>
          <w:szCs w:val="24"/>
        </w:rPr>
      </w:pPr>
    </w:p>
    <w:p w14:paraId="6489FC5E" w14:textId="0A2C193B" w:rsidR="006C2B61" w:rsidRPr="0015154B" w:rsidRDefault="006C2B61" w:rsidP="005653A7">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Izdevumu pieaugumu ģimeņu un bērnu atbalstam ietekmēja </w:t>
      </w:r>
      <w:r w:rsidRPr="0015154B">
        <w:rPr>
          <w:rFonts w:ascii="Times New Roman" w:eastAsia="Times New Roman" w:hAnsi="Times New Roman" w:cs="Times New Roman"/>
          <w:sz w:val="24"/>
          <w:szCs w:val="24"/>
          <w:lang w:eastAsia="lv-LV"/>
        </w:rPr>
        <w:t xml:space="preserve">ekonomiskās krīzes periodā noteikto maternitātes, paternitātes un vecāku pabalstu izmaksas ierobežojumu atcelšana, izmaiņas bērna kopšanas pabalsta, ģimenes valsts pabalsta un vecāku pabalsta piešķiršanas nosacījumos un apmērā, </w:t>
      </w:r>
      <w:r w:rsidRPr="0015154B">
        <w:rPr>
          <w:rFonts w:ascii="Times New Roman" w:hAnsi="Times New Roman" w:cs="Times New Roman"/>
          <w:sz w:val="24"/>
          <w:szCs w:val="24"/>
        </w:rPr>
        <w:t xml:space="preserve">piemaksas pie ģimenes valsts pabalsta par divu un vairāk bērnu audzināšanu ieviešana, kā arī </w:t>
      </w:r>
      <w:r w:rsidRPr="0015154B">
        <w:rPr>
          <w:rFonts w:ascii="Times New Roman" w:eastAsia="Times New Roman" w:hAnsi="Times New Roman" w:cs="Times New Roman"/>
          <w:sz w:val="24"/>
          <w:szCs w:val="24"/>
        </w:rPr>
        <w:t>valsts materiālā atbalsta adoptētājiem, audžuģimenēm un aizbildņiem paaugstināšana</w:t>
      </w:r>
      <w:r w:rsidRPr="0015154B">
        <w:rPr>
          <w:rFonts w:ascii="Times New Roman" w:hAnsi="Times New Roman" w:cs="Times New Roman"/>
          <w:sz w:val="24"/>
          <w:szCs w:val="24"/>
        </w:rPr>
        <w:t>. Izdevumu pieaugumu veselības aprūpē daļēji ietekmēja arī slimības pabalsta izmaksu pieaugums gan pēc pabalsta izmaksas ierobežojumu atcelšanas, gan vidējā izmaksājamā slimības pabalsta apmēra kāpums. Izdevumu pieaugums bezdarbnieku atbalsta pasākumiem šajā periodā saistīts galvenokārt ar vidējā izmaksājamā bezdarbnieka pabalsta apmēra kāpumu un izdevumu pieaugumu darba devēju izmaksātajam atlaišanas pabalstam, daļēji - izdevumu palielināšanās aktīvās nodarbinātības pasākumiem, uzsākot vairāku ESF līdzfinansētu pasākumu īstenošanu un nodrošinot lielākas mērķa grupas iesaisti. Izdevumu pieaugums personu ar invaliditāti atbalstam ir saistīts ar izdevumu palielināšanos asistenta pakalpojuma nodrošināšanai, pabalsta invalīdam, kuram nepieciešama īpaša kopšana, apmēra palielināšanu, izdevumu pieaugumu braukšanas maksas atvieglojumiem sabiedriskajā transportā.</w:t>
      </w:r>
    </w:p>
    <w:p w14:paraId="5D153810" w14:textId="2CBFD23F" w:rsidR="00200837" w:rsidRPr="002F5278" w:rsidRDefault="00200837" w:rsidP="005653A7">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Neraugoties uz pakāpenisku sociālās aizsardzības izdevumu pieaugumu Latvijā, no IKP </w:t>
      </w:r>
      <w:r w:rsidR="001122E4" w:rsidRPr="0015154B">
        <w:rPr>
          <w:rFonts w:ascii="Times New Roman" w:hAnsi="Times New Roman" w:cs="Times New Roman"/>
          <w:sz w:val="24"/>
          <w:szCs w:val="24"/>
        </w:rPr>
        <w:t xml:space="preserve">(14,6 % 2017. gadā) </w:t>
      </w:r>
      <w:r w:rsidRPr="0015154B">
        <w:rPr>
          <w:rFonts w:ascii="Times New Roman" w:hAnsi="Times New Roman" w:cs="Times New Roman"/>
          <w:sz w:val="24"/>
          <w:szCs w:val="24"/>
        </w:rPr>
        <w:t xml:space="preserve">atvēlētais </w:t>
      </w:r>
      <w:r w:rsidRPr="0015154B">
        <w:rPr>
          <w:rFonts w:ascii="Times New Roman" w:hAnsi="Times New Roman" w:cs="Times New Roman"/>
          <w:b/>
          <w:sz w:val="24"/>
          <w:szCs w:val="24"/>
        </w:rPr>
        <w:t>izdevumu īpatsvars</w:t>
      </w:r>
      <w:r w:rsidRPr="0015154B">
        <w:rPr>
          <w:rFonts w:ascii="Times New Roman" w:hAnsi="Times New Roman" w:cs="Times New Roman"/>
          <w:sz w:val="24"/>
          <w:szCs w:val="24"/>
        </w:rPr>
        <w:t xml:space="preserve"> joprojām ir otrs zemākais starp ES </w:t>
      </w:r>
      <w:r w:rsidRPr="0015154B">
        <w:rPr>
          <w:rFonts w:ascii="Times New Roman" w:hAnsi="Times New Roman" w:cs="Times New Roman"/>
          <w:sz w:val="24"/>
          <w:szCs w:val="24"/>
        </w:rPr>
        <w:lastRenderedPageBreak/>
        <w:t>dalībvalstīm, kā arī zemākais starp Baltijas valstīm</w:t>
      </w:r>
      <w:r w:rsidR="00BA6430">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29"/>
      </w:r>
      <w:r w:rsidRPr="007157D3">
        <w:rPr>
          <w:rFonts w:ascii="Times New Roman" w:hAnsi="Times New Roman" w:cs="Times New Roman"/>
          <w:sz w:val="24"/>
          <w:szCs w:val="24"/>
        </w:rPr>
        <w:t xml:space="preserve"> 2017.gadā ES28 vidējais rādītājs bija 27,9% no IKP, savukārt Igaunijā tas sasniedza 16,0% no IKP, bet Lietuvā – 15,1% no IKP. EK dienesti vairākkārt kā būtisku izaicinājumu Latvijai ir no</w:t>
      </w:r>
      <w:r w:rsidRPr="002F5278">
        <w:rPr>
          <w:rFonts w:ascii="Times New Roman" w:hAnsi="Times New Roman" w:cs="Times New Roman"/>
          <w:sz w:val="24"/>
          <w:szCs w:val="24"/>
        </w:rPr>
        <w:t>rādījuši zemos sociālās aizsardzības izdevumus</w:t>
      </w:r>
      <w:r w:rsidRPr="007157D3">
        <w:rPr>
          <w:rStyle w:val="FootnoteReference"/>
          <w:rFonts w:ascii="Times New Roman" w:hAnsi="Times New Roman" w:cs="Times New Roman"/>
          <w:sz w:val="24"/>
          <w:szCs w:val="24"/>
        </w:rPr>
        <w:footnoteReference w:id="30"/>
      </w:r>
      <w:r w:rsidRPr="007157D3">
        <w:rPr>
          <w:rFonts w:ascii="Times New Roman" w:hAnsi="Times New Roman" w:cs="Times New Roman"/>
          <w:sz w:val="24"/>
          <w:szCs w:val="24"/>
        </w:rPr>
        <w:t>, kas liegs veiksmīgi sasniegt 1. ilgtspējīgas attīstības mērķi – izskaust nabadzību un veicināt neaizsargāto grupu aktīvu iekļaušanu un sociālo integrāciju, kas ietver atbalstošu sociālo pakalpojumu sniegšanu</w:t>
      </w:r>
      <w:r w:rsidRPr="002F5278">
        <w:rPr>
          <w:rFonts w:ascii="Times New Roman" w:hAnsi="Times New Roman" w:cs="Times New Roman"/>
          <w:sz w:val="24"/>
          <w:szCs w:val="24"/>
        </w:rPr>
        <w:t xml:space="preserve"> šīm grupām. EK dienestu vērtējumā, bez ievērojamiem ieguldījumiem sociālai aizsardzībai nabadzības un sociālās atstumtības rādītāji, kā arī ienākumu nevienlīdzības līmenis būtiski nesamazināsies.</w:t>
      </w:r>
    </w:p>
    <w:p w14:paraId="1214A72A" w14:textId="77777777" w:rsidR="00200837" w:rsidRPr="0025422D" w:rsidRDefault="00200837" w:rsidP="00200837">
      <w:pPr>
        <w:pStyle w:val="NormalWeb"/>
        <w:spacing w:before="0" w:beforeAutospacing="0" w:after="0" w:afterAutospacing="0"/>
        <w:rPr>
          <w:rFonts w:ascii="Times New Roman" w:hAnsi="Times New Roman"/>
          <w:sz w:val="24"/>
          <w:szCs w:val="24"/>
          <w:highlight w:val="yellow"/>
        </w:rPr>
      </w:pPr>
    </w:p>
    <w:p w14:paraId="446883D6" w14:textId="3C181533" w:rsidR="00200837" w:rsidRPr="00A857F2" w:rsidRDefault="00200837" w:rsidP="00DA5144">
      <w:pPr>
        <w:pStyle w:val="Heading2"/>
      </w:pPr>
      <w:bookmarkStart w:id="10" w:name="_Toc55316062"/>
      <w:r w:rsidRPr="00A857F2">
        <w:t>Sociālie transferti</w:t>
      </w:r>
      <w:bookmarkEnd w:id="10"/>
    </w:p>
    <w:p w14:paraId="7896746B" w14:textId="44CE66D7" w:rsidR="00200837" w:rsidRPr="0015154B" w:rsidRDefault="00200837" w:rsidP="00200837">
      <w:pPr>
        <w:pStyle w:val="NormalWeb"/>
        <w:spacing w:before="0" w:beforeAutospacing="0" w:after="0" w:afterAutospacing="0"/>
        <w:ind w:firstLine="720"/>
        <w:jc w:val="both"/>
        <w:rPr>
          <w:rFonts w:ascii="Times New Roman" w:hAnsi="Times New Roman"/>
          <w:sz w:val="24"/>
          <w:szCs w:val="24"/>
        </w:rPr>
      </w:pPr>
      <w:r w:rsidRPr="009703E6">
        <w:rPr>
          <w:rFonts w:ascii="Times New Roman" w:hAnsi="Times New Roman"/>
          <w:sz w:val="24"/>
          <w:szCs w:val="24"/>
        </w:rPr>
        <w:t>Zemie sociālās aizsardzības izdevumi negatīvi ietekmē sistēmas efektivitāti, ko uzskatāmi atspoguļo sociālo transfertu ietekme uz nabadzības riska mazināšanu (</w:t>
      </w:r>
      <w:r w:rsidRPr="0015154B">
        <w:rPr>
          <w:rFonts w:ascii="Times New Roman" w:hAnsi="Times New Roman"/>
          <w:sz w:val="24"/>
          <w:szCs w:val="24"/>
          <w:highlight w:val="yellow"/>
        </w:rPr>
        <w:t>skat</w:t>
      </w:r>
      <w:r w:rsidR="007172E5" w:rsidRPr="0015154B">
        <w:rPr>
          <w:rFonts w:ascii="Times New Roman" w:hAnsi="Times New Roman"/>
          <w:sz w:val="24"/>
          <w:szCs w:val="24"/>
          <w:highlight w:val="yellow"/>
        </w:rPr>
        <w:t>. 6.</w:t>
      </w:r>
      <w:r w:rsidRPr="0015154B">
        <w:rPr>
          <w:rFonts w:ascii="Times New Roman" w:hAnsi="Times New Roman"/>
          <w:sz w:val="24"/>
          <w:szCs w:val="24"/>
          <w:highlight w:val="yellow"/>
        </w:rPr>
        <w:t>tabulu</w:t>
      </w:r>
      <w:r w:rsidRPr="0015154B">
        <w:rPr>
          <w:rFonts w:ascii="Times New Roman" w:hAnsi="Times New Roman"/>
          <w:sz w:val="24"/>
          <w:szCs w:val="24"/>
        </w:rPr>
        <w:t>). Sociālās aizsardzības izdevumu palielinājums ģimeņu ar bērniem atbalstam ir palielinājis sociālo transfertu nozīmi bērnu nabadzības riska samazināšanā laika posmā no 2014.-2018.gadam, savukārt to ietekme uz gados vecāko cilvēku pakļautību nabadzības riskam ir būtiski samazinājusies.</w:t>
      </w:r>
    </w:p>
    <w:p w14:paraId="3EFD183E" w14:textId="77777777" w:rsidR="00200837" w:rsidRPr="00E07E75" w:rsidRDefault="00200837" w:rsidP="00200837">
      <w:pPr>
        <w:spacing w:after="0" w:line="240" w:lineRule="auto"/>
        <w:jc w:val="both"/>
        <w:rPr>
          <w:rFonts w:ascii="Times New Roman" w:hAnsi="Times New Roman" w:cs="Times New Roman"/>
          <w:b/>
          <w:sz w:val="24"/>
          <w:szCs w:val="24"/>
        </w:rPr>
      </w:pPr>
    </w:p>
    <w:p w14:paraId="0E97E79B" w14:textId="2DAE8A5D" w:rsidR="00200837" w:rsidRPr="0015154B" w:rsidRDefault="007172E5" w:rsidP="00200837">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t>6</w:t>
      </w:r>
      <w:r w:rsidR="00200837" w:rsidRPr="0015154B">
        <w:rPr>
          <w:rFonts w:ascii="Times New Roman" w:hAnsi="Times New Roman" w:cs="Times New Roman"/>
          <w:sz w:val="24"/>
          <w:szCs w:val="24"/>
        </w:rPr>
        <w:t xml:space="preserve">.tabula </w:t>
      </w:r>
    </w:p>
    <w:p w14:paraId="749CDA0E" w14:textId="77777777" w:rsidR="00200837" w:rsidRPr="0015154B" w:rsidRDefault="00200837" w:rsidP="007172E5">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Sociālo transfertu ietekme uz nabadzības riska indeksu pēc vecuma (%)</w:t>
      </w:r>
    </w:p>
    <w:p w14:paraId="4066467E" w14:textId="77777777" w:rsidR="00200837" w:rsidRPr="0015154B" w:rsidRDefault="00200837" w:rsidP="0020083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82"/>
        <w:gridCol w:w="1382"/>
        <w:gridCol w:w="1383"/>
        <w:gridCol w:w="1383"/>
        <w:gridCol w:w="1383"/>
        <w:gridCol w:w="1383"/>
      </w:tblGrid>
      <w:tr w:rsidR="00200837" w:rsidRPr="0015154B" w14:paraId="6D0605D4" w14:textId="77777777" w:rsidTr="0044313C">
        <w:tc>
          <w:tcPr>
            <w:tcW w:w="1382" w:type="dxa"/>
            <w:vMerge w:val="restart"/>
            <w:shd w:val="clear" w:color="auto" w:fill="E8F3D3" w:themeFill="accent2" w:themeFillTint="33"/>
          </w:tcPr>
          <w:p w14:paraId="2EAB2FE8" w14:textId="77777777" w:rsidR="00200837" w:rsidRPr="0015154B" w:rsidRDefault="00200837" w:rsidP="0026365F">
            <w:pPr>
              <w:rPr>
                <w:rFonts w:ascii="Times New Roman" w:hAnsi="Times New Roman" w:cs="Times New Roman"/>
                <w:b/>
                <w:sz w:val="24"/>
                <w:szCs w:val="24"/>
              </w:rPr>
            </w:pPr>
            <w:r w:rsidRPr="0015154B">
              <w:rPr>
                <w:rFonts w:ascii="Times New Roman" w:hAnsi="Times New Roman" w:cs="Times New Roman"/>
                <w:b/>
                <w:sz w:val="24"/>
                <w:szCs w:val="24"/>
              </w:rPr>
              <w:t>Vecuma grupa</w:t>
            </w:r>
          </w:p>
        </w:tc>
        <w:tc>
          <w:tcPr>
            <w:tcW w:w="1382" w:type="dxa"/>
            <w:shd w:val="clear" w:color="auto" w:fill="E8F3D3" w:themeFill="accent2" w:themeFillTint="33"/>
          </w:tcPr>
          <w:p w14:paraId="7859B2D7" w14:textId="77777777" w:rsidR="00200837" w:rsidRPr="0015154B" w:rsidRDefault="00200837" w:rsidP="0026365F">
            <w:pPr>
              <w:jc w:val="center"/>
              <w:rPr>
                <w:rFonts w:ascii="Times New Roman" w:hAnsi="Times New Roman" w:cs="Times New Roman"/>
                <w:b/>
                <w:sz w:val="24"/>
                <w:szCs w:val="24"/>
              </w:rPr>
            </w:pPr>
            <w:r w:rsidRPr="0015154B">
              <w:rPr>
                <w:rFonts w:ascii="Times New Roman" w:hAnsi="Times New Roman" w:cs="Times New Roman"/>
                <w:b/>
                <w:sz w:val="24"/>
                <w:szCs w:val="24"/>
              </w:rPr>
              <w:t>2014</w:t>
            </w:r>
          </w:p>
        </w:tc>
        <w:tc>
          <w:tcPr>
            <w:tcW w:w="1383" w:type="dxa"/>
            <w:shd w:val="clear" w:color="auto" w:fill="E8F3D3" w:themeFill="accent2" w:themeFillTint="33"/>
          </w:tcPr>
          <w:p w14:paraId="242EE0F6" w14:textId="77777777" w:rsidR="00200837" w:rsidRPr="0015154B" w:rsidRDefault="00200837" w:rsidP="0026365F">
            <w:pPr>
              <w:jc w:val="center"/>
              <w:rPr>
                <w:rFonts w:ascii="Times New Roman" w:hAnsi="Times New Roman" w:cs="Times New Roman"/>
                <w:b/>
                <w:sz w:val="24"/>
                <w:szCs w:val="24"/>
              </w:rPr>
            </w:pPr>
            <w:r w:rsidRPr="0015154B">
              <w:rPr>
                <w:rFonts w:ascii="Times New Roman" w:hAnsi="Times New Roman" w:cs="Times New Roman"/>
                <w:b/>
                <w:sz w:val="24"/>
                <w:szCs w:val="24"/>
              </w:rPr>
              <w:t>2015</w:t>
            </w:r>
          </w:p>
        </w:tc>
        <w:tc>
          <w:tcPr>
            <w:tcW w:w="1383" w:type="dxa"/>
            <w:shd w:val="clear" w:color="auto" w:fill="E8F3D3" w:themeFill="accent2" w:themeFillTint="33"/>
          </w:tcPr>
          <w:p w14:paraId="357904C6" w14:textId="77777777" w:rsidR="00200837" w:rsidRPr="0015154B" w:rsidRDefault="00200837" w:rsidP="0026365F">
            <w:pPr>
              <w:jc w:val="center"/>
              <w:rPr>
                <w:rFonts w:ascii="Times New Roman" w:hAnsi="Times New Roman" w:cs="Times New Roman"/>
                <w:b/>
                <w:sz w:val="24"/>
                <w:szCs w:val="24"/>
              </w:rPr>
            </w:pPr>
            <w:r w:rsidRPr="0015154B">
              <w:rPr>
                <w:rFonts w:ascii="Times New Roman" w:hAnsi="Times New Roman" w:cs="Times New Roman"/>
                <w:b/>
                <w:sz w:val="24"/>
                <w:szCs w:val="24"/>
              </w:rPr>
              <w:t>2016</w:t>
            </w:r>
          </w:p>
        </w:tc>
        <w:tc>
          <w:tcPr>
            <w:tcW w:w="1383" w:type="dxa"/>
            <w:shd w:val="clear" w:color="auto" w:fill="E8F3D3" w:themeFill="accent2" w:themeFillTint="33"/>
          </w:tcPr>
          <w:p w14:paraId="7EB8FDBD" w14:textId="77777777" w:rsidR="00200837" w:rsidRPr="0015154B" w:rsidRDefault="00200837" w:rsidP="0026365F">
            <w:pPr>
              <w:jc w:val="center"/>
              <w:rPr>
                <w:rFonts w:ascii="Times New Roman" w:hAnsi="Times New Roman" w:cs="Times New Roman"/>
                <w:b/>
                <w:sz w:val="24"/>
                <w:szCs w:val="24"/>
              </w:rPr>
            </w:pPr>
            <w:r w:rsidRPr="0015154B">
              <w:rPr>
                <w:rFonts w:ascii="Times New Roman" w:hAnsi="Times New Roman" w:cs="Times New Roman"/>
                <w:b/>
                <w:sz w:val="24"/>
                <w:szCs w:val="24"/>
              </w:rPr>
              <w:t>2017</w:t>
            </w:r>
          </w:p>
        </w:tc>
        <w:tc>
          <w:tcPr>
            <w:tcW w:w="1383" w:type="dxa"/>
            <w:shd w:val="clear" w:color="auto" w:fill="E8F3D3" w:themeFill="accent2" w:themeFillTint="33"/>
          </w:tcPr>
          <w:p w14:paraId="19EB2563" w14:textId="77777777" w:rsidR="00200837" w:rsidRPr="0015154B" w:rsidRDefault="00200837" w:rsidP="0026365F">
            <w:pPr>
              <w:jc w:val="center"/>
              <w:rPr>
                <w:rFonts w:ascii="Times New Roman" w:hAnsi="Times New Roman" w:cs="Times New Roman"/>
                <w:b/>
                <w:sz w:val="24"/>
                <w:szCs w:val="24"/>
              </w:rPr>
            </w:pPr>
            <w:r w:rsidRPr="0015154B">
              <w:rPr>
                <w:rFonts w:ascii="Times New Roman" w:hAnsi="Times New Roman" w:cs="Times New Roman"/>
                <w:b/>
                <w:sz w:val="24"/>
                <w:szCs w:val="24"/>
              </w:rPr>
              <w:t>2018</w:t>
            </w:r>
          </w:p>
        </w:tc>
      </w:tr>
      <w:tr w:rsidR="00200837" w:rsidRPr="0015154B" w14:paraId="4F6BC65E" w14:textId="77777777" w:rsidTr="0044313C">
        <w:tc>
          <w:tcPr>
            <w:tcW w:w="1382" w:type="dxa"/>
            <w:vMerge/>
            <w:shd w:val="clear" w:color="auto" w:fill="E8F3D3" w:themeFill="accent2" w:themeFillTint="33"/>
          </w:tcPr>
          <w:p w14:paraId="1B1A7F11" w14:textId="77777777" w:rsidR="00200837" w:rsidRPr="0015154B" w:rsidRDefault="00200837" w:rsidP="0026365F">
            <w:pPr>
              <w:rPr>
                <w:rFonts w:ascii="Times New Roman" w:hAnsi="Times New Roman" w:cs="Times New Roman"/>
                <w:sz w:val="24"/>
                <w:szCs w:val="24"/>
              </w:rPr>
            </w:pPr>
          </w:p>
        </w:tc>
        <w:tc>
          <w:tcPr>
            <w:tcW w:w="6914" w:type="dxa"/>
            <w:gridSpan w:val="5"/>
            <w:shd w:val="clear" w:color="auto" w:fill="E8F3D3" w:themeFill="accent2" w:themeFillTint="33"/>
          </w:tcPr>
          <w:p w14:paraId="62897C20" w14:textId="77777777" w:rsidR="00200837" w:rsidRPr="0015154B" w:rsidRDefault="00200837" w:rsidP="0026365F">
            <w:pPr>
              <w:jc w:val="center"/>
              <w:rPr>
                <w:rFonts w:ascii="Times New Roman" w:hAnsi="Times New Roman" w:cs="Times New Roman"/>
                <w:b/>
                <w:i/>
                <w:sz w:val="24"/>
                <w:szCs w:val="24"/>
              </w:rPr>
            </w:pPr>
            <w:r w:rsidRPr="0015154B">
              <w:rPr>
                <w:rFonts w:ascii="Times New Roman" w:hAnsi="Times New Roman" w:cs="Times New Roman"/>
                <w:b/>
                <w:i/>
                <w:sz w:val="24"/>
                <w:szCs w:val="24"/>
              </w:rPr>
              <w:t>Nabadzības riska indekss pirms visiem sociālajiem transfertiem</w:t>
            </w:r>
          </w:p>
        </w:tc>
      </w:tr>
      <w:tr w:rsidR="00200837" w:rsidRPr="0015154B" w14:paraId="0EABBE7F" w14:textId="77777777" w:rsidTr="0026365F">
        <w:tc>
          <w:tcPr>
            <w:tcW w:w="1382" w:type="dxa"/>
          </w:tcPr>
          <w:p w14:paraId="74A5EFD1"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Pavisam</w:t>
            </w:r>
          </w:p>
        </w:tc>
        <w:tc>
          <w:tcPr>
            <w:tcW w:w="1382" w:type="dxa"/>
          </w:tcPr>
          <w:p w14:paraId="1CEE25C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40,9</w:t>
            </w:r>
          </w:p>
        </w:tc>
        <w:tc>
          <w:tcPr>
            <w:tcW w:w="1383" w:type="dxa"/>
          </w:tcPr>
          <w:p w14:paraId="772D137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40,2</w:t>
            </w:r>
          </w:p>
        </w:tc>
        <w:tc>
          <w:tcPr>
            <w:tcW w:w="1383" w:type="dxa"/>
          </w:tcPr>
          <w:p w14:paraId="1751C9C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39,9</w:t>
            </w:r>
          </w:p>
        </w:tc>
        <w:tc>
          <w:tcPr>
            <w:tcW w:w="1383" w:type="dxa"/>
          </w:tcPr>
          <w:p w14:paraId="37B78F38"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39,1</w:t>
            </w:r>
          </w:p>
        </w:tc>
        <w:tc>
          <w:tcPr>
            <w:tcW w:w="1383" w:type="dxa"/>
          </w:tcPr>
          <w:p w14:paraId="17FE37B4"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39,3</w:t>
            </w:r>
          </w:p>
        </w:tc>
      </w:tr>
      <w:tr w:rsidR="00200837" w:rsidRPr="0015154B" w14:paraId="16F14AC4" w14:textId="77777777" w:rsidTr="0026365F">
        <w:tc>
          <w:tcPr>
            <w:tcW w:w="1382" w:type="dxa"/>
          </w:tcPr>
          <w:p w14:paraId="6DB7DA43"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0-17</w:t>
            </w:r>
          </w:p>
        </w:tc>
        <w:tc>
          <w:tcPr>
            <w:tcW w:w="1382" w:type="dxa"/>
          </w:tcPr>
          <w:p w14:paraId="413D2B29"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34,0</w:t>
            </w:r>
          </w:p>
        </w:tc>
        <w:tc>
          <w:tcPr>
            <w:tcW w:w="1383" w:type="dxa"/>
          </w:tcPr>
          <w:p w14:paraId="62AD903F"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32,3</w:t>
            </w:r>
          </w:p>
        </w:tc>
        <w:tc>
          <w:tcPr>
            <w:tcW w:w="1383" w:type="dxa"/>
          </w:tcPr>
          <w:p w14:paraId="37839E40"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31,7</w:t>
            </w:r>
          </w:p>
        </w:tc>
        <w:tc>
          <w:tcPr>
            <w:tcW w:w="1383" w:type="dxa"/>
          </w:tcPr>
          <w:p w14:paraId="4F5ABD2A"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29,8</w:t>
            </w:r>
          </w:p>
        </w:tc>
        <w:tc>
          <w:tcPr>
            <w:tcW w:w="1383" w:type="dxa"/>
          </w:tcPr>
          <w:p w14:paraId="6717CBC6"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29,5</w:t>
            </w:r>
          </w:p>
        </w:tc>
      </w:tr>
      <w:tr w:rsidR="00200837" w:rsidRPr="0015154B" w14:paraId="145F6629" w14:textId="77777777" w:rsidTr="0026365F">
        <w:tc>
          <w:tcPr>
            <w:tcW w:w="1382" w:type="dxa"/>
          </w:tcPr>
          <w:p w14:paraId="41CE00E4"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18-64</w:t>
            </w:r>
          </w:p>
        </w:tc>
        <w:tc>
          <w:tcPr>
            <w:tcW w:w="1382" w:type="dxa"/>
          </w:tcPr>
          <w:p w14:paraId="170513C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30,6</w:t>
            </w:r>
          </w:p>
        </w:tc>
        <w:tc>
          <w:tcPr>
            <w:tcW w:w="1383" w:type="dxa"/>
          </w:tcPr>
          <w:p w14:paraId="38D58BAB"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29,9</w:t>
            </w:r>
          </w:p>
        </w:tc>
        <w:tc>
          <w:tcPr>
            <w:tcW w:w="1383" w:type="dxa"/>
          </w:tcPr>
          <w:p w14:paraId="735C040C"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29,5</w:t>
            </w:r>
          </w:p>
        </w:tc>
        <w:tc>
          <w:tcPr>
            <w:tcW w:w="1383" w:type="dxa"/>
          </w:tcPr>
          <w:p w14:paraId="2C1433E6"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28,8</w:t>
            </w:r>
          </w:p>
        </w:tc>
        <w:tc>
          <w:tcPr>
            <w:tcW w:w="1383" w:type="dxa"/>
          </w:tcPr>
          <w:p w14:paraId="1E17DBF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28,7</w:t>
            </w:r>
          </w:p>
        </w:tc>
      </w:tr>
      <w:tr w:rsidR="00200837" w:rsidRPr="0015154B" w14:paraId="01272A3E" w14:textId="77777777" w:rsidTr="0026365F">
        <w:tc>
          <w:tcPr>
            <w:tcW w:w="1382" w:type="dxa"/>
          </w:tcPr>
          <w:p w14:paraId="2ADEDFEE"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65+</w:t>
            </w:r>
          </w:p>
        </w:tc>
        <w:tc>
          <w:tcPr>
            <w:tcW w:w="1382" w:type="dxa"/>
          </w:tcPr>
          <w:p w14:paraId="4341674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80,8</w:t>
            </w:r>
          </w:p>
        </w:tc>
        <w:tc>
          <w:tcPr>
            <w:tcW w:w="1383" w:type="dxa"/>
          </w:tcPr>
          <w:p w14:paraId="3F24FDD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80,2</w:t>
            </w:r>
          </w:p>
        </w:tc>
        <w:tc>
          <w:tcPr>
            <w:tcW w:w="1383" w:type="dxa"/>
          </w:tcPr>
          <w:p w14:paraId="092C020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79,7</w:t>
            </w:r>
          </w:p>
        </w:tc>
        <w:tc>
          <w:tcPr>
            <w:tcW w:w="1383" w:type="dxa"/>
          </w:tcPr>
          <w:p w14:paraId="7856418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79,5</w:t>
            </w:r>
          </w:p>
        </w:tc>
        <w:tc>
          <w:tcPr>
            <w:tcW w:w="1383" w:type="dxa"/>
          </w:tcPr>
          <w:p w14:paraId="201C8501"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80,5</w:t>
            </w:r>
          </w:p>
        </w:tc>
      </w:tr>
      <w:tr w:rsidR="00200837" w:rsidRPr="0015154B" w14:paraId="3E3B93A4" w14:textId="77777777" w:rsidTr="0044313C">
        <w:tc>
          <w:tcPr>
            <w:tcW w:w="1382" w:type="dxa"/>
          </w:tcPr>
          <w:p w14:paraId="568C4CD0" w14:textId="77777777" w:rsidR="00200837" w:rsidRPr="0015154B" w:rsidRDefault="00200837" w:rsidP="0026365F">
            <w:pPr>
              <w:rPr>
                <w:rFonts w:ascii="Times New Roman" w:hAnsi="Times New Roman" w:cs="Times New Roman"/>
                <w:sz w:val="24"/>
                <w:szCs w:val="24"/>
              </w:rPr>
            </w:pPr>
          </w:p>
        </w:tc>
        <w:tc>
          <w:tcPr>
            <w:tcW w:w="6914" w:type="dxa"/>
            <w:gridSpan w:val="5"/>
            <w:shd w:val="clear" w:color="auto" w:fill="E8F3D3" w:themeFill="accent2" w:themeFillTint="33"/>
          </w:tcPr>
          <w:p w14:paraId="5F6B9B8F" w14:textId="77777777" w:rsidR="00200837" w:rsidRPr="0015154B" w:rsidRDefault="00200837" w:rsidP="0026365F">
            <w:pPr>
              <w:jc w:val="center"/>
              <w:rPr>
                <w:rFonts w:ascii="Times New Roman" w:hAnsi="Times New Roman" w:cs="Times New Roman"/>
                <w:b/>
                <w:i/>
                <w:sz w:val="24"/>
                <w:szCs w:val="24"/>
              </w:rPr>
            </w:pPr>
            <w:r w:rsidRPr="0015154B">
              <w:rPr>
                <w:rFonts w:ascii="Times New Roman" w:hAnsi="Times New Roman" w:cs="Times New Roman"/>
                <w:b/>
                <w:i/>
                <w:sz w:val="24"/>
                <w:szCs w:val="24"/>
              </w:rPr>
              <w:t>Nabadzības riska indekss pēc visiem sociālajiem transfertiem</w:t>
            </w:r>
          </w:p>
        </w:tc>
      </w:tr>
      <w:tr w:rsidR="00200837" w:rsidRPr="0015154B" w14:paraId="46C98EB5" w14:textId="77777777" w:rsidTr="0026365F">
        <w:tc>
          <w:tcPr>
            <w:tcW w:w="1382" w:type="dxa"/>
          </w:tcPr>
          <w:p w14:paraId="0E9BDA7D"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Pavisam</w:t>
            </w:r>
          </w:p>
        </w:tc>
        <w:tc>
          <w:tcPr>
            <w:tcW w:w="1382" w:type="dxa"/>
          </w:tcPr>
          <w:p w14:paraId="0C19B412"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22,5</w:t>
            </w:r>
          </w:p>
        </w:tc>
        <w:tc>
          <w:tcPr>
            <w:tcW w:w="1383" w:type="dxa"/>
          </w:tcPr>
          <w:p w14:paraId="511DD507"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21,8</w:t>
            </w:r>
          </w:p>
        </w:tc>
        <w:tc>
          <w:tcPr>
            <w:tcW w:w="1383" w:type="dxa"/>
          </w:tcPr>
          <w:p w14:paraId="00825A1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22,1</w:t>
            </w:r>
          </w:p>
        </w:tc>
        <w:tc>
          <w:tcPr>
            <w:tcW w:w="1383" w:type="dxa"/>
          </w:tcPr>
          <w:p w14:paraId="23C7EBF2"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23,3</w:t>
            </w:r>
          </w:p>
        </w:tc>
        <w:tc>
          <w:tcPr>
            <w:tcW w:w="1383" w:type="dxa"/>
          </w:tcPr>
          <w:p w14:paraId="47B35B7C"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22,9</w:t>
            </w:r>
          </w:p>
        </w:tc>
      </w:tr>
      <w:tr w:rsidR="00200837" w:rsidRPr="0015154B" w14:paraId="66CBC894" w14:textId="77777777" w:rsidTr="0026365F">
        <w:tc>
          <w:tcPr>
            <w:tcW w:w="1382" w:type="dxa"/>
          </w:tcPr>
          <w:p w14:paraId="3D749211"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0-17</w:t>
            </w:r>
          </w:p>
        </w:tc>
        <w:tc>
          <w:tcPr>
            <w:tcW w:w="1382" w:type="dxa"/>
          </w:tcPr>
          <w:p w14:paraId="3C1467A0"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23,2</w:t>
            </w:r>
          </w:p>
        </w:tc>
        <w:tc>
          <w:tcPr>
            <w:tcW w:w="1383" w:type="dxa"/>
          </w:tcPr>
          <w:p w14:paraId="75D8299B"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18,6</w:t>
            </w:r>
          </w:p>
        </w:tc>
        <w:tc>
          <w:tcPr>
            <w:tcW w:w="1383" w:type="dxa"/>
          </w:tcPr>
          <w:p w14:paraId="00C12044"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18,4</w:t>
            </w:r>
          </w:p>
        </w:tc>
        <w:tc>
          <w:tcPr>
            <w:tcW w:w="1383" w:type="dxa"/>
          </w:tcPr>
          <w:p w14:paraId="0BFF750C"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17,5</w:t>
            </w:r>
          </w:p>
        </w:tc>
        <w:tc>
          <w:tcPr>
            <w:tcW w:w="1383" w:type="dxa"/>
          </w:tcPr>
          <w:p w14:paraId="623A0482"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14,5</w:t>
            </w:r>
          </w:p>
        </w:tc>
      </w:tr>
      <w:tr w:rsidR="00200837" w:rsidRPr="0015154B" w14:paraId="711ED0C4" w14:textId="77777777" w:rsidTr="0026365F">
        <w:tc>
          <w:tcPr>
            <w:tcW w:w="1382" w:type="dxa"/>
          </w:tcPr>
          <w:p w14:paraId="32DAB3BA"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18-64</w:t>
            </w:r>
          </w:p>
        </w:tc>
        <w:tc>
          <w:tcPr>
            <w:tcW w:w="1382" w:type="dxa"/>
          </w:tcPr>
          <w:p w14:paraId="0B2DB7DF"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18,6</w:t>
            </w:r>
          </w:p>
        </w:tc>
        <w:tc>
          <w:tcPr>
            <w:tcW w:w="1383" w:type="dxa"/>
          </w:tcPr>
          <w:p w14:paraId="73F39C8F"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17,7</w:t>
            </w:r>
          </w:p>
        </w:tc>
        <w:tc>
          <w:tcPr>
            <w:tcW w:w="1383" w:type="dxa"/>
          </w:tcPr>
          <w:p w14:paraId="63C9FCC7"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17,5</w:t>
            </w:r>
          </w:p>
        </w:tc>
        <w:tc>
          <w:tcPr>
            <w:tcW w:w="1383" w:type="dxa"/>
          </w:tcPr>
          <w:p w14:paraId="56F34E9C"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17,8</w:t>
            </w:r>
          </w:p>
        </w:tc>
        <w:tc>
          <w:tcPr>
            <w:tcW w:w="1383" w:type="dxa"/>
          </w:tcPr>
          <w:p w14:paraId="4F1B9B3A"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17,2</w:t>
            </w:r>
          </w:p>
        </w:tc>
      </w:tr>
      <w:tr w:rsidR="00200837" w:rsidRPr="0015154B" w14:paraId="652F8855" w14:textId="77777777" w:rsidTr="0026365F">
        <w:tc>
          <w:tcPr>
            <w:tcW w:w="1382" w:type="dxa"/>
          </w:tcPr>
          <w:p w14:paraId="463BE118"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65+</w:t>
            </w:r>
          </w:p>
        </w:tc>
        <w:tc>
          <w:tcPr>
            <w:tcW w:w="1382" w:type="dxa"/>
          </w:tcPr>
          <w:p w14:paraId="02373329"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34,6</w:t>
            </w:r>
          </w:p>
        </w:tc>
        <w:tc>
          <w:tcPr>
            <w:tcW w:w="1383" w:type="dxa"/>
          </w:tcPr>
          <w:p w14:paraId="1AB24C6B"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38,1</w:t>
            </w:r>
          </w:p>
        </w:tc>
        <w:tc>
          <w:tcPr>
            <w:tcW w:w="1383" w:type="dxa"/>
          </w:tcPr>
          <w:p w14:paraId="452A51E8"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39,9</w:t>
            </w:r>
          </w:p>
        </w:tc>
        <w:tc>
          <w:tcPr>
            <w:tcW w:w="1383" w:type="dxa"/>
          </w:tcPr>
          <w:p w14:paraId="03950222"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45,7</w:t>
            </w:r>
          </w:p>
        </w:tc>
        <w:tc>
          <w:tcPr>
            <w:tcW w:w="1383" w:type="dxa"/>
          </w:tcPr>
          <w:p w14:paraId="067F857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47,9</w:t>
            </w:r>
          </w:p>
        </w:tc>
      </w:tr>
      <w:tr w:rsidR="00200837" w:rsidRPr="0015154B" w14:paraId="20A4A802" w14:textId="77777777" w:rsidTr="0044313C">
        <w:tc>
          <w:tcPr>
            <w:tcW w:w="1382" w:type="dxa"/>
          </w:tcPr>
          <w:p w14:paraId="6B8E12DF" w14:textId="77777777" w:rsidR="00200837" w:rsidRPr="0015154B" w:rsidRDefault="00200837" w:rsidP="0026365F">
            <w:pPr>
              <w:rPr>
                <w:rFonts w:ascii="Times New Roman" w:hAnsi="Times New Roman" w:cs="Times New Roman"/>
                <w:sz w:val="24"/>
                <w:szCs w:val="24"/>
              </w:rPr>
            </w:pPr>
          </w:p>
        </w:tc>
        <w:tc>
          <w:tcPr>
            <w:tcW w:w="6914" w:type="dxa"/>
            <w:gridSpan w:val="5"/>
            <w:shd w:val="clear" w:color="auto" w:fill="E8F3D3" w:themeFill="accent2" w:themeFillTint="33"/>
          </w:tcPr>
          <w:p w14:paraId="4476E7BA" w14:textId="77777777" w:rsidR="00200837" w:rsidRPr="0015154B" w:rsidRDefault="00200837" w:rsidP="0026365F">
            <w:pPr>
              <w:jc w:val="center"/>
              <w:rPr>
                <w:rFonts w:ascii="Times New Roman" w:hAnsi="Times New Roman" w:cs="Times New Roman"/>
                <w:b/>
                <w:i/>
                <w:sz w:val="24"/>
                <w:szCs w:val="24"/>
              </w:rPr>
            </w:pPr>
            <w:r w:rsidRPr="0015154B">
              <w:rPr>
                <w:rFonts w:ascii="Times New Roman" w:hAnsi="Times New Roman" w:cs="Times New Roman"/>
                <w:b/>
                <w:i/>
                <w:sz w:val="24"/>
                <w:szCs w:val="24"/>
              </w:rPr>
              <w:t>Sociālo transfertu ietekme</w:t>
            </w:r>
          </w:p>
        </w:tc>
      </w:tr>
      <w:tr w:rsidR="00200837" w:rsidRPr="0015154B" w14:paraId="6E9E7D67" w14:textId="77777777" w:rsidTr="0026365F">
        <w:tc>
          <w:tcPr>
            <w:tcW w:w="1382" w:type="dxa"/>
          </w:tcPr>
          <w:p w14:paraId="67CE1B9B"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Pavisam</w:t>
            </w:r>
          </w:p>
        </w:tc>
        <w:tc>
          <w:tcPr>
            <w:tcW w:w="1382" w:type="dxa"/>
          </w:tcPr>
          <w:p w14:paraId="69060311"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18,4</w:t>
            </w:r>
          </w:p>
        </w:tc>
        <w:tc>
          <w:tcPr>
            <w:tcW w:w="1383" w:type="dxa"/>
          </w:tcPr>
          <w:p w14:paraId="26B08363"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18,4</w:t>
            </w:r>
          </w:p>
        </w:tc>
        <w:tc>
          <w:tcPr>
            <w:tcW w:w="1383" w:type="dxa"/>
          </w:tcPr>
          <w:p w14:paraId="5CAD2921"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17,8</w:t>
            </w:r>
          </w:p>
        </w:tc>
        <w:tc>
          <w:tcPr>
            <w:tcW w:w="1383" w:type="dxa"/>
          </w:tcPr>
          <w:p w14:paraId="7A0FD1B8"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15,8</w:t>
            </w:r>
          </w:p>
        </w:tc>
        <w:tc>
          <w:tcPr>
            <w:tcW w:w="1383" w:type="dxa"/>
          </w:tcPr>
          <w:p w14:paraId="4BED6DEA"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16,4</w:t>
            </w:r>
          </w:p>
        </w:tc>
      </w:tr>
      <w:tr w:rsidR="00200837" w:rsidRPr="0015154B" w14:paraId="4DDCDDD2" w14:textId="77777777" w:rsidTr="0026365F">
        <w:tc>
          <w:tcPr>
            <w:tcW w:w="1382" w:type="dxa"/>
          </w:tcPr>
          <w:p w14:paraId="513DB8A0"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0-17</w:t>
            </w:r>
          </w:p>
        </w:tc>
        <w:tc>
          <w:tcPr>
            <w:tcW w:w="1382" w:type="dxa"/>
          </w:tcPr>
          <w:p w14:paraId="47E0B4A8"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10,8</w:t>
            </w:r>
          </w:p>
        </w:tc>
        <w:tc>
          <w:tcPr>
            <w:tcW w:w="1383" w:type="dxa"/>
          </w:tcPr>
          <w:p w14:paraId="127F6567"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13,7</w:t>
            </w:r>
          </w:p>
        </w:tc>
        <w:tc>
          <w:tcPr>
            <w:tcW w:w="1383" w:type="dxa"/>
          </w:tcPr>
          <w:p w14:paraId="3C61E820"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13,3</w:t>
            </w:r>
          </w:p>
        </w:tc>
        <w:tc>
          <w:tcPr>
            <w:tcW w:w="1383" w:type="dxa"/>
          </w:tcPr>
          <w:p w14:paraId="1312E6F3"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12,3</w:t>
            </w:r>
          </w:p>
        </w:tc>
        <w:tc>
          <w:tcPr>
            <w:tcW w:w="1383" w:type="dxa"/>
          </w:tcPr>
          <w:p w14:paraId="5732AB27"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15,0</w:t>
            </w:r>
          </w:p>
        </w:tc>
      </w:tr>
      <w:tr w:rsidR="00200837" w:rsidRPr="0015154B" w14:paraId="34924634" w14:textId="77777777" w:rsidTr="0026365F">
        <w:tc>
          <w:tcPr>
            <w:tcW w:w="1382" w:type="dxa"/>
          </w:tcPr>
          <w:p w14:paraId="2D369549" w14:textId="77777777"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18-64</w:t>
            </w:r>
          </w:p>
        </w:tc>
        <w:tc>
          <w:tcPr>
            <w:tcW w:w="1382" w:type="dxa"/>
          </w:tcPr>
          <w:p w14:paraId="2209DCC0"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12,0</w:t>
            </w:r>
          </w:p>
        </w:tc>
        <w:tc>
          <w:tcPr>
            <w:tcW w:w="1383" w:type="dxa"/>
          </w:tcPr>
          <w:p w14:paraId="6F66734F"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12,2</w:t>
            </w:r>
          </w:p>
        </w:tc>
        <w:tc>
          <w:tcPr>
            <w:tcW w:w="1383" w:type="dxa"/>
          </w:tcPr>
          <w:p w14:paraId="48629B6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12,0</w:t>
            </w:r>
          </w:p>
        </w:tc>
        <w:tc>
          <w:tcPr>
            <w:tcW w:w="1383" w:type="dxa"/>
          </w:tcPr>
          <w:p w14:paraId="09F19D03"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11,0</w:t>
            </w:r>
          </w:p>
        </w:tc>
        <w:tc>
          <w:tcPr>
            <w:tcW w:w="1383" w:type="dxa"/>
          </w:tcPr>
          <w:p w14:paraId="15212B99"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11,5</w:t>
            </w:r>
          </w:p>
        </w:tc>
      </w:tr>
      <w:tr w:rsidR="00200837" w:rsidRPr="0015154B" w14:paraId="4BD7D38D" w14:textId="77777777" w:rsidTr="0026365F">
        <w:tc>
          <w:tcPr>
            <w:tcW w:w="1382" w:type="dxa"/>
          </w:tcPr>
          <w:p w14:paraId="6A9C0684" w14:textId="26756584" w:rsidR="00200837" w:rsidRPr="0015154B" w:rsidRDefault="00200837" w:rsidP="0026365F">
            <w:pPr>
              <w:rPr>
                <w:rFonts w:ascii="Times New Roman" w:hAnsi="Times New Roman" w:cs="Times New Roman"/>
                <w:sz w:val="24"/>
                <w:szCs w:val="24"/>
              </w:rPr>
            </w:pPr>
            <w:r w:rsidRPr="0015154B">
              <w:rPr>
                <w:rFonts w:ascii="Times New Roman" w:hAnsi="Times New Roman" w:cs="Times New Roman"/>
                <w:sz w:val="24"/>
                <w:szCs w:val="24"/>
              </w:rPr>
              <w:t>65+</w:t>
            </w:r>
          </w:p>
        </w:tc>
        <w:tc>
          <w:tcPr>
            <w:tcW w:w="1382" w:type="dxa"/>
          </w:tcPr>
          <w:p w14:paraId="7EB2D6AF"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46,2</w:t>
            </w:r>
          </w:p>
        </w:tc>
        <w:tc>
          <w:tcPr>
            <w:tcW w:w="1383" w:type="dxa"/>
          </w:tcPr>
          <w:p w14:paraId="2DE2E48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42,1</w:t>
            </w:r>
          </w:p>
        </w:tc>
        <w:tc>
          <w:tcPr>
            <w:tcW w:w="1383" w:type="dxa"/>
          </w:tcPr>
          <w:p w14:paraId="7465A059"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39,8</w:t>
            </w:r>
          </w:p>
        </w:tc>
        <w:tc>
          <w:tcPr>
            <w:tcW w:w="1383" w:type="dxa"/>
          </w:tcPr>
          <w:p w14:paraId="79C574F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33,8</w:t>
            </w:r>
          </w:p>
        </w:tc>
        <w:tc>
          <w:tcPr>
            <w:tcW w:w="1383" w:type="dxa"/>
          </w:tcPr>
          <w:p w14:paraId="2724DA4F"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32,6</w:t>
            </w:r>
          </w:p>
        </w:tc>
      </w:tr>
    </w:tbl>
    <w:p w14:paraId="31DBB3AC" w14:textId="6AD56E54" w:rsidR="00200837" w:rsidRPr="0015154B" w:rsidRDefault="00200837" w:rsidP="00200837">
      <w:pPr>
        <w:spacing w:after="0" w:line="240" w:lineRule="auto"/>
        <w:rPr>
          <w:rFonts w:ascii="Times New Roman" w:hAnsi="Times New Roman" w:cs="Times New Roman"/>
          <w:sz w:val="20"/>
          <w:szCs w:val="20"/>
        </w:rPr>
      </w:pPr>
      <w:r w:rsidRPr="0015154B">
        <w:rPr>
          <w:rFonts w:ascii="Times New Roman" w:hAnsi="Times New Roman" w:cs="Times New Roman"/>
          <w:sz w:val="20"/>
          <w:szCs w:val="20"/>
        </w:rPr>
        <w:t xml:space="preserve">Datu avots: CSP </w:t>
      </w:r>
      <w:r w:rsidR="003E3D11" w:rsidRPr="0015154B">
        <w:rPr>
          <w:rFonts w:ascii="Times New Roman" w:hAnsi="Times New Roman" w:cs="Times New Roman"/>
          <w:sz w:val="20"/>
          <w:szCs w:val="20"/>
        </w:rPr>
        <w:t xml:space="preserve">datu bāze, </w:t>
      </w:r>
      <w:r w:rsidRPr="0015154B">
        <w:rPr>
          <w:rFonts w:ascii="Times New Roman" w:hAnsi="Times New Roman" w:cs="Times New Roman"/>
          <w:sz w:val="20"/>
          <w:szCs w:val="20"/>
        </w:rPr>
        <w:t>datu tabula NIG090, NIG030</w:t>
      </w:r>
    </w:p>
    <w:p w14:paraId="54889318" w14:textId="38DA8F04" w:rsidR="00200837" w:rsidRPr="0015154B" w:rsidRDefault="00200837" w:rsidP="00200837">
      <w:pPr>
        <w:spacing w:after="0" w:line="240" w:lineRule="auto"/>
        <w:rPr>
          <w:rFonts w:ascii="Times New Roman" w:hAnsi="Times New Roman" w:cs="Times New Roman"/>
          <w:sz w:val="24"/>
          <w:szCs w:val="24"/>
        </w:rPr>
      </w:pPr>
    </w:p>
    <w:p w14:paraId="167FCFBF" w14:textId="4E6D933B" w:rsidR="00200837" w:rsidRPr="007157D3" w:rsidRDefault="00200837" w:rsidP="005653A7">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Vislielāko īpatsvaru mājsaimniecību ienākumu struktūrā sociālie transferti veido zemāko ienākumu kvintilēs – vidēji pusi no ienākumiem, kamēr augstāko ienākumu kvintilēs esošajās mājsaimniecībās galvenais ienākumu avots ir algota darba samaksa – vidēji 80% no ienākumiem. 2018.gadā 1.kvintiles mājsaimniecībās sociālie transferti veidoja 55,1% no </w:t>
      </w:r>
      <w:r w:rsidRPr="0015154B">
        <w:rPr>
          <w:rFonts w:ascii="Times New Roman" w:hAnsi="Times New Roman" w:cs="Times New Roman"/>
          <w:sz w:val="24"/>
          <w:szCs w:val="24"/>
        </w:rPr>
        <w:lastRenderedPageBreak/>
        <w:t>ienākumiem, 2.kvintiles mājsaimniecībās – 48,1% no ienākumiem. Savukārt turīgākajās mājsaimniecībās sociālo transfertu īpatsvars svārstās starp 10-20%.</w:t>
      </w:r>
      <w:r w:rsidRPr="007157D3">
        <w:rPr>
          <w:rStyle w:val="FootnoteReference"/>
          <w:rFonts w:ascii="Times New Roman" w:hAnsi="Times New Roman" w:cs="Times New Roman"/>
          <w:sz w:val="24"/>
          <w:szCs w:val="24"/>
        </w:rPr>
        <w:footnoteReference w:id="31"/>
      </w:r>
    </w:p>
    <w:p w14:paraId="10D94F28" w14:textId="0ADF9B2A" w:rsidR="004570DD" w:rsidRDefault="00200837" w:rsidP="005653A7">
      <w:pPr>
        <w:pStyle w:val="NormalWeb"/>
        <w:spacing w:before="120" w:beforeAutospacing="0" w:after="0" w:afterAutospacing="0"/>
        <w:ind w:firstLine="720"/>
        <w:jc w:val="both"/>
        <w:rPr>
          <w:rFonts w:ascii="Times New Roman" w:hAnsi="Times New Roman"/>
          <w:sz w:val="24"/>
          <w:szCs w:val="24"/>
        </w:rPr>
      </w:pPr>
      <w:r w:rsidRPr="002F5278">
        <w:rPr>
          <w:rFonts w:ascii="Times New Roman" w:hAnsi="Times New Roman"/>
          <w:sz w:val="24"/>
          <w:szCs w:val="24"/>
        </w:rPr>
        <w:t>Pēdējo gadu laikā turpina samazināties sociālo transfertu ietekme</w:t>
      </w:r>
      <w:r w:rsidRPr="0025422D">
        <w:rPr>
          <w:rFonts w:ascii="Times New Roman" w:hAnsi="Times New Roman"/>
          <w:b/>
          <w:sz w:val="24"/>
          <w:szCs w:val="24"/>
        </w:rPr>
        <w:t xml:space="preserve"> </w:t>
      </w:r>
      <w:r w:rsidRPr="00A857F2">
        <w:rPr>
          <w:rFonts w:ascii="Times New Roman" w:hAnsi="Times New Roman"/>
          <w:sz w:val="24"/>
          <w:szCs w:val="24"/>
        </w:rPr>
        <w:t>uz iedzīvotāju ienākumiem, turklāt tās ietekme Latvijā ir būtiski zemāka nekā ES vid</w:t>
      </w:r>
      <w:r w:rsidRPr="009703E6">
        <w:rPr>
          <w:rFonts w:ascii="Times New Roman" w:hAnsi="Times New Roman"/>
          <w:sz w:val="24"/>
          <w:szCs w:val="24"/>
        </w:rPr>
        <w:t>ēji. 2018.gadā sociālo transferti (neiekļaujot pensijas) nabadzības risku Latvijā samazināja par 19,1</w:t>
      </w:r>
      <w:r w:rsidR="007172E5" w:rsidRPr="009703E6">
        <w:rPr>
          <w:rFonts w:ascii="Times New Roman" w:hAnsi="Times New Roman"/>
          <w:sz w:val="24"/>
          <w:szCs w:val="24"/>
        </w:rPr>
        <w:t>0</w:t>
      </w:r>
      <w:r w:rsidRPr="0015154B">
        <w:rPr>
          <w:rFonts w:ascii="Times New Roman" w:hAnsi="Times New Roman"/>
          <w:sz w:val="24"/>
          <w:szCs w:val="24"/>
        </w:rPr>
        <w:t xml:space="preserve"> procentpunktiem, kamēr ES28 – par 33,20 procentpunktiem. Sociālo transfertu ietekme uz nabadzības riska mazināšanu Latvijā 2018.gadā bija zemākā Baltijas valstīs – Igaunijā sociālie transferti nabadzības risku samazināja par 26,76 procentpunktiem, bet Lietuvā- par 22,90 procentpunktiem</w:t>
      </w:r>
      <w:r w:rsidR="00BA6430">
        <w:rPr>
          <w:rFonts w:ascii="Times New Roman" w:hAnsi="Times New Roman"/>
          <w:sz w:val="24"/>
          <w:szCs w:val="24"/>
        </w:rPr>
        <w:t>.</w:t>
      </w:r>
      <w:r w:rsidRPr="007157D3">
        <w:rPr>
          <w:rStyle w:val="FootnoteReference"/>
          <w:rFonts w:ascii="Times New Roman" w:hAnsi="Times New Roman"/>
          <w:sz w:val="24"/>
          <w:szCs w:val="24"/>
        </w:rPr>
        <w:footnoteReference w:id="32"/>
      </w:r>
    </w:p>
    <w:p w14:paraId="63349BEF" w14:textId="580EED57" w:rsidR="00BA6430" w:rsidRDefault="00EE3A9C" w:rsidP="005653A7">
      <w:pPr>
        <w:pStyle w:val="NormalWeb"/>
        <w:spacing w:before="120" w:beforeAutospacing="0" w:after="0" w:afterAutospacing="0"/>
        <w:ind w:firstLine="720"/>
        <w:jc w:val="both"/>
        <w:rPr>
          <w:rFonts w:ascii="Times New Roman" w:hAnsi="Times New Roman"/>
          <w:sz w:val="24"/>
          <w:szCs w:val="24"/>
        </w:rPr>
      </w:pPr>
      <w:r w:rsidRPr="004A6572">
        <w:rPr>
          <w:rFonts w:ascii="Times New Roman" w:hAnsi="Times New Roman"/>
          <w:noProof/>
          <w:sz w:val="24"/>
          <w:szCs w:val="24"/>
        </w:rPr>
        <mc:AlternateContent>
          <mc:Choice Requires="wpg">
            <w:drawing>
              <wp:anchor distT="45720" distB="45720" distL="182880" distR="182880" simplePos="0" relativeHeight="251665408" behindDoc="0" locked="0" layoutInCell="1" allowOverlap="1" wp14:anchorId="1F90F060" wp14:editId="1C953929">
                <wp:simplePos x="0" y="0"/>
                <wp:positionH relativeFrom="margin">
                  <wp:posOffset>315015</wp:posOffset>
                </wp:positionH>
                <wp:positionV relativeFrom="margin">
                  <wp:posOffset>2048415</wp:posOffset>
                </wp:positionV>
                <wp:extent cx="5462270" cy="1666875"/>
                <wp:effectExtent l="0" t="0" r="5080" b="9525"/>
                <wp:wrapSquare wrapText="bothSides"/>
                <wp:docPr id="198" name="Group 198"/>
                <wp:cNvGraphicFramePr/>
                <a:graphic xmlns:a="http://schemas.openxmlformats.org/drawingml/2006/main">
                  <a:graphicData uri="http://schemas.microsoft.com/office/word/2010/wordprocessingGroup">
                    <wpg:wgp>
                      <wpg:cNvGrpSpPr/>
                      <wpg:grpSpPr>
                        <a:xfrm>
                          <a:off x="0" y="0"/>
                          <a:ext cx="5462270" cy="1666875"/>
                          <a:chOff x="0" y="0"/>
                          <a:chExt cx="3567448" cy="1539569"/>
                        </a:xfrm>
                      </wpg:grpSpPr>
                      <wps:wsp>
                        <wps:cNvPr id="199" name="Rectangle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7C0FFD" w14:textId="47EF6484" w:rsidR="00D67CF6" w:rsidRPr="00375BD0" w:rsidRDefault="00D67CF6" w:rsidP="00161124">
                              <w:pPr>
                                <w:jc w:val="center"/>
                                <w:rPr>
                                  <w:rFonts w:ascii="Times New Roman" w:eastAsiaTheme="majorEastAsia" w:hAnsi="Times New Roman" w:cs="Times New Roman"/>
                                  <w:b/>
                                  <w:caps/>
                                  <w:color w:val="FFFFFF" w:themeColor="background1"/>
                                  <w:sz w:val="24"/>
                                  <w:szCs w:val="28"/>
                                </w:rPr>
                              </w:pPr>
                              <w:r w:rsidRPr="00375BD0">
                                <w:rPr>
                                  <w:rFonts w:ascii="Times New Roman" w:eastAsiaTheme="majorEastAsia" w:hAnsi="Times New Roman" w:cs="Times New Roman"/>
                                  <w:b/>
                                  <w:caps/>
                                  <w:color w:val="FFFFFF" w:themeColor="background1"/>
                                  <w:sz w:val="24"/>
                                  <w:szCs w:val="28"/>
                                </w:rPr>
                                <w:t>Izaicinājumi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5"/>
                            <a:ext cx="3567448" cy="1286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7E533A" w14:textId="41ED6DFE" w:rsidR="00D67CF6" w:rsidRPr="005843E4" w:rsidRDefault="00D67CF6" w:rsidP="00974071">
                              <w:pPr>
                                <w:pStyle w:val="ListParagraph"/>
                                <w:numPr>
                                  <w:ilvl w:val="0"/>
                                  <w:numId w:val="35"/>
                                </w:numPr>
                                <w:spacing w:after="0" w:line="240" w:lineRule="auto"/>
                                <w:jc w:val="both"/>
                                <w:rPr>
                                  <w:rFonts w:ascii="Times New Roman" w:hAnsi="Times New Roman" w:cs="Times New Roman"/>
                                  <w:color w:val="549E39" w:themeColor="accent1"/>
                                  <w:sz w:val="24"/>
                                  <w:szCs w:val="24"/>
                                </w:rPr>
                              </w:pPr>
                              <w:r w:rsidRPr="005843E4">
                                <w:rPr>
                                  <w:rFonts w:ascii="Times New Roman" w:hAnsi="Times New Roman" w:cs="Times New Roman"/>
                                  <w:color w:val="549E39" w:themeColor="accent1"/>
                                  <w:sz w:val="24"/>
                                  <w:szCs w:val="24"/>
                                </w:rPr>
                                <w:t>Sabiedrības novecošanās, bērnu un da</w:t>
                              </w:r>
                              <w:r>
                                <w:rPr>
                                  <w:rFonts w:ascii="Times New Roman" w:hAnsi="Times New Roman" w:cs="Times New Roman"/>
                                  <w:color w:val="549E39" w:themeColor="accent1"/>
                                  <w:sz w:val="24"/>
                                  <w:szCs w:val="24"/>
                                </w:rPr>
                                <w:t>r</w:t>
                              </w:r>
                              <w:r w:rsidRPr="005843E4">
                                <w:rPr>
                                  <w:rFonts w:ascii="Times New Roman" w:hAnsi="Times New Roman" w:cs="Times New Roman"/>
                                  <w:color w:val="549E39" w:themeColor="accent1"/>
                                  <w:sz w:val="24"/>
                                  <w:szCs w:val="24"/>
                                </w:rPr>
                                <w:t>bspējīgā vecuma iedzīvotāju skaita samazināšanās</w:t>
                              </w:r>
                            </w:p>
                            <w:p w14:paraId="0DEA1D6D" w14:textId="518B0E6A" w:rsidR="00D67CF6" w:rsidRPr="005843E4" w:rsidRDefault="00D67CF6" w:rsidP="00974071">
                              <w:pPr>
                                <w:pStyle w:val="ListParagraph"/>
                                <w:numPr>
                                  <w:ilvl w:val="0"/>
                                  <w:numId w:val="35"/>
                                </w:numPr>
                                <w:spacing w:after="0" w:line="240" w:lineRule="auto"/>
                                <w:jc w:val="both"/>
                                <w:rPr>
                                  <w:rFonts w:ascii="Times New Roman" w:hAnsi="Times New Roman" w:cs="Times New Roman"/>
                                  <w:color w:val="549E39" w:themeColor="accent1"/>
                                  <w:sz w:val="24"/>
                                  <w:szCs w:val="24"/>
                                </w:rPr>
                              </w:pPr>
                              <w:r w:rsidRPr="005843E4">
                                <w:rPr>
                                  <w:rFonts w:ascii="Times New Roman" w:hAnsi="Times New Roman" w:cs="Times New Roman"/>
                                  <w:color w:val="549E39" w:themeColor="accent1"/>
                                  <w:sz w:val="24"/>
                                  <w:szCs w:val="24"/>
                                </w:rPr>
                                <w:t>Pieaugošs nabadzības risks pensijas vecuma iedzīvotājiem, bezdarbniekiem un citiem neaktīviem iedzīvotājiem</w:t>
                              </w:r>
                            </w:p>
                            <w:p w14:paraId="54F05346" w14:textId="2E8BF040" w:rsidR="00D67CF6" w:rsidRPr="005843E4" w:rsidRDefault="00D67CF6" w:rsidP="00974071">
                              <w:pPr>
                                <w:pStyle w:val="ListParagraph"/>
                                <w:numPr>
                                  <w:ilvl w:val="0"/>
                                  <w:numId w:val="35"/>
                                </w:numPr>
                                <w:spacing w:after="0" w:line="240" w:lineRule="auto"/>
                                <w:jc w:val="both"/>
                                <w:rPr>
                                  <w:rFonts w:ascii="Times New Roman" w:hAnsi="Times New Roman" w:cs="Times New Roman"/>
                                  <w:color w:val="549E39" w:themeColor="accent1"/>
                                  <w:sz w:val="24"/>
                                  <w:szCs w:val="24"/>
                                </w:rPr>
                              </w:pPr>
                              <w:r w:rsidRPr="005843E4">
                                <w:rPr>
                                  <w:rFonts w:ascii="Times New Roman" w:hAnsi="Times New Roman" w:cs="Times New Roman"/>
                                  <w:color w:val="549E39" w:themeColor="accent1"/>
                                  <w:sz w:val="24"/>
                                  <w:szCs w:val="24"/>
                                </w:rPr>
                                <w:t>Viens no augstākajiem ienākumu nevienlīdzības rādītājiem starp ES dalībvalstīm</w:t>
                              </w:r>
                            </w:p>
                            <w:p w14:paraId="11A4D134" w14:textId="05AF75EA" w:rsidR="00D67CF6" w:rsidRPr="005843E4" w:rsidRDefault="00D67CF6" w:rsidP="00974071">
                              <w:pPr>
                                <w:pStyle w:val="ListParagraph"/>
                                <w:numPr>
                                  <w:ilvl w:val="0"/>
                                  <w:numId w:val="35"/>
                                </w:numPr>
                                <w:spacing w:after="0" w:line="240" w:lineRule="auto"/>
                                <w:jc w:val="both"/>
                                <w:rPr>
                                  <w:rFonts w:ascii="Times New Roman" w:hAnsi="Times New Roman" w:cs="Times New Roman"/>
                                  <w:color w:val="549E39" w:themeColor="accent1"/>
                                  <w:sz w:val="24"/>
                                  <w:szCs w:val="24"/>
                                </w:rPr>
                              </w:pPr>
                              <w:r w:rsidRPr="005843E4">
                                <w:rPr>
                                  <w:rFonts w:ascii="Times New Roman" w:hAnsi="Times New Roman" w:cs="Times New Roman"/>
                                  <w:color w:val="549E39" w:themeColor="accent1"/>
                                  <w:sz w:val="24"/>
                                  <w:szCs w:val="24"/>
                                </w:rPr>
                                <w:t>Vieni no zemākajiem izdevumiem sociālai aizsardzībai starp ES dalībvalstīm</w:t>
                              </w:r>
                            </w:p>
                            <w:p w14:paraId="374B572B" w14:textId="0A863D8C" w:rsidR="00D67CF6" w:rsidRPr="00161124" w:rsidRDefault="00D67CF6" w:rsidP="00974071">
                              <w:pPr>
                                <w:pStyle w:val="ListParagraph"/>
                                <w:numPr>
                                  <w:ilvl w:val="0"/>
                                  <w:numId w:val="35"/>
                                </w:numPr>
                                <w:spacing w:after="0" w:line="240" w:lineRule="auto"/>
                                <w:jc w:val="both"/>
                                <w:rPr>
                                  <w:rFonts w:ascii="Times New Roman" w:hAnsi="Times New Roman" w:cs="Times New Roman"/>
                                  <w:sz w:val="24"/>
                                  <w:szCs w:val="24"/>
                                </w:rPr>
                              </w:pPr>
                              <w:r w:rsidRPr="00161124">
                                <w:rPr>
                                  <w:rFonts w:ascii="Times New Roman" w:hAnsi="Times New Roman" w:cs="Times New Roman"/>
                                  <w:sz w:val="24"/>
                                  <w:szCs w:val="24"/>
                                </w:rPr>
                                <w:t>Zema sociālo transfertu ietekme uz nabadzības riska mazināšanu, īpaši pensijas vecuma iedzīvotājiem</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90F060" id="Group 198" o:spid="_x0000_s1026" style="position:absolute;left:0;text-align:left;margin-left:24.8pt;margin-top:161.3pt;width:430.1pt;height:131.25pt;z-index:251665408;mso-wrap-distance-left:14.4pt;mso-wrap-distance-top:3.6pt;mso-wrap-distance-right:14.4pt;mso-wrap-distance-bottom:3.6pt;mso-position-horizontal-relative:margin;mso-position-vertical-relative:margin;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549e39 [3204]" stroked="f" strokeweight="1pt">
                  <v:textbox>
                    <w:txbxContent>
                      <w:p w14:paraId="557C0FFD" w14:textId="47EF6484" w:rsidR="00D67CF6" w:rsidRPr="00375BD0" w:rsidRDefault="00D67CF6" w:rsidP="00161124">
                        <w:pPr>
                          <w:jc w:val="center"/>
                          <w:rPr>
                            <w:rFonts w:ascii="Times New Roman" w:eastAsiaTheme="majorEastAsia" w:hAnsi="Times New Roman" w:cs="Times New Roman"/>
                            <w:b/>
                            <w:caps/>
                            <w:color w:val="FFFFFF" w:themeColor="background1"/>
                            <w:sz w:val="24"/>
                            <w:szCs w:val="28"/>
                          </w:rPr>
                        </w:pPr>
                        <w:r w:rsidRPr="00375BD0">
                          <w:rPr>
                            <w:rFonts w:ascii="Times New Roman" w:eastAsiaTheme="majorEastAsia" w:hAnsi="Times New Roman" w:cs="Times New Roman"/>
                            <w:b/>
                            <w:caps/>
                            <w:color w:val="FFFFFF" w:themeColor="background1"/>
                            <w:sz w:val="24"/>
                            <w:szCs w:val="28"/>
                          </w:rPr>
                          <w:t>Izaicinājumi</w:t>
                        </w: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137E533A" w14:textId="41ED6DFE" w:rsidR="00D67CF6" w:rsidRPr="005843E4" w:rsidRDefault="00D67CF6" w:rsidP="00974071">
                        <w:pPr>
                          <w:pStyle w:val="ListParagraph"/>
                          <w:numPr>
                            <w:ilvl w:val="0"/>
                            <w:numId w:val="35"/>
                          </w:numPr>
                          <w:spacing w:after="0" w:line="240" w:lineRule="auto"/>
                          <w:jc w:val="both"/>
                          <w:rPr>
                            <w:rFonts w:ascii="Times New Roman" w:hAnsi="Times New Roman" w:cs="Times New Roman"/>
                            <w:color w:val="549E39" w:themeColor="accent1"/>
                            <w:sz w:val="24"/>
                            <w:szCs w:val="24"/>
                          </w:rPr>
                        </w:pPr>
                        <w:r w:rsidRPr="005843E4">
                          <w:rPr>
                            <w:rFonts w:ascii="Times New Roman" w:hAnsi="Times New Roman" w:cs="Times New Roman"/>
                            <w:color w:val="549E39" w:themeColor="accent1"/>
                            <w:sz w:val="24"/>
                            <w:szCs w:val="24"/>
                          </w:rPr>
                          <w:t>Sabiedrības novecošanās, bērnu un da</w:t>
                        </w:r>
                        <w:r>
                          <w:rPr>
                            <w:rFonts w:ascii="Times New Roman" w:hAnsi="Times New Roman" w:cs="Times New Roman"/>
                            <w:color w:val="549E39" w:themeColor="accent1"/>
                            <w:sz w:val="24"/>
                            <w:szCs w:val="24"/>
                          </w:rPr>
                          <w:t>r</w:t>
                        </w:r>
                        <w:r w:rsidRPr="005843E4">
                          <w:rPr>
                            <w:rFonts w:ascii="Times New Roman" w:hAnsi="Times New Roman" w:cs="Times New Roman"/>
                            <w:color w:val="549E39" w:themeColor="accent1"/>
                            <w:sz w:val="24"/>
                            <w:szCs w:val="24"/>
                          </w:rPr>
                          <w:t>bspējīgā vecuma iedzīvotāju skaita samazināšanās</w:t>
                        </w:r>
                      </w:p>
                      <w:p w14:paraId="0DEA1D6D" w14:textId="518B0E6A" w:rsidR="00D67CF6" w:rsidRPr="005843E4" w:rsidRDefault="00D67CF6" w:rsidP="00974071">
                        <w:pPr>
                          <w:pStyle w:val="ListParagraph"/>
                          <w:numPr>
                            <w:ilvl w:val="0"/>
                            <w:numId w:val="35"/>
                          </w:numPr>
                          <w:spacing w:after="0" w:line="240" w:lineRule="auto"/>
                          <w:jc w:val="both"/>
                          <w:rPr>
                            <w:rFonts w:ascii="Times New Roman" w:hAnsi="Times New Roman" w:cs="Times New Roman"/>
                            <w:color w:val="549E39" w:themeColor="accent1"/>
                            <w:sz w:val="24"/>
                            <w:szCs w:val="24"/>
                          </w:rPr>
                        </w:pPr>
                        <w:r w:rsidRPr="005843E4">
                          <w:rPr>
                            <w:rFonts w:ascii="Times New Roman" w:hAnsi="Times New Roman" w:cs="Times New Roman"/>
                            <w:color w:val="549E39" w:themeColor="accent1"/>
                            <w:sz w:val="24"/>
                            <w:szCs w:val="24"/>
                          </w:rPr>
                          <w:t>Pieaugošs nabadzības risks pensijas vecuma iedzīvotājiem, bezdarbniekiem un citiem neaktīviem iedzīvotājiem</w:t>
                        </w:r>
                      </w:p>
                      <w:p w14:paraId="54F05346" w14:textId="2E8BF040" w:rsidR="00D67CF6" w:rsidRPr="005843E4" w:rsidRDefault="00D67CF6" w:rsidP="00974071">
                        <w:pPr>
                          <w:pStyle w:val="ListParagraph"/>
                          <w:numPr>
                            <w:ilvl w:val="0"/>
                            <w:numId w:val="35"/>
                          </w:numPr>
                          <w:spacing w:after="0" w:line="240" w:lineRule="auto"/>
                          <w:jc w:val="both"/>
                          <w:rPr>
                            <w:rFonts w:ascii="Times New Roman" w:hAnsi="Times New Roman" w:cs="Times New Roman"/>
                            <w:color w:val="549E39" w:themeColor="accent1"/>
                            <w:sz w:val="24"/>
                            <w:szCs w:val="24"/>
                          </w:rPr>
                        </w:pPr>
                        <w:r w:rsidRPr="005843E4">
                          <w:rPr>
                            <w:rFonts w:ascii="Times New Roman" w:hAnsi="Times New Roman" w:cs="Times New Roman"/>
                            <w:color w:val="549E39" w:themeColor="accent1"/>
                            <w:sz w:val="24"/>
                            <w:szCs w:val="24"/>
                          </w:rPr>
                          <w:t>Viens no augstākajiem ienākumu nevienlīdzības rādītājiem starp ES dalībvalstīm</w:t>
                        </w:r>
                      </w:p>
                      <w:p w14:paraId="11A4D134" w14:textId="05AF75EA" w:rsidR="00D67CF6" w:rsidRPr="005843E4" w:rsidRDefault="00D67CF6" w:rsidP="00974071">
                        <w:pPr>
                          <w:pStyle w:val="ListParagraph"/>
                          <w:numPr>
                            <w:ilvl w:val="0"/>
                            <w:numId w:val="35"/>
                          </w:numPr>
                          <w:spacing w:after="0" w:line="240" w:lineRule="auto"/>
                          <w:jc w:val="both"/>
                          <w:rPr>
                            <w:rFonts w:ascii="Times New Roman" w:hAnsi="Times New Roman" w:cs="Times New Roman"/>
                            <w:color w:val="549E39" w:themeColor="accent1"/>
                            <w:sz w:val="24"/>
                            <w:szCs w:val="24"/>
                          </w:rPr>
                        </w:pPr>
                        <w:r w:rsidRPr="005843E4">
                          <w:rPr>
                            <w:rFonts w:ascii="Times New Roman" w:hAnsi="Times New Roman" w:cs="Times New Roman"/>
                            <w:color w:val="549E39" w:themeColor="accent1"/>
                            <w:sz w:val="24"/>
                            <w:szCs w:val="24"/>
                          </w:rPr>
                          <w:t>Vieni no zemākajiem izdevumiem sociālai aizsardzībai starp ES dalībvalstīm</w:t>
                        </w:r>
                      </w:p>
                      <w:p w14:paraId="374B572B" w14:textId="0A863D8C" w:rsidR="00D67CF6" w:rsidRPr="00161124" w:rsidRDefault="00D67CF6" w:rsidP="00974071">
                        <w:pPr>
                          <w:pStyle w:val="ListParagraph"/>
                          <w:numPr>
                            <w:ilvl w:val="0"/>
                            <w:numId w:val="35"/>
                          </w:numPr>
                          <w:spacing w:after="0" w:line="240" w:lineRule="auto"/>
                          <w:jc w:val="both"/>
                          <w:rPr>
                            <w:rFonts w:ascii="Times New Roman" w:hAnsi="Times New Roman" w:cs="Times New Roman"/>
                            <w:sz w:val="24"/>
                            <w:szCs w:val="24"/>
                          </w:rPr>
                        </w:pPr>
                        <w:r w:rsidRPr="00161124">
                          <w:rPr>
                            <w:rFonts w:ascii="Times New Roman" w:hAnsi="Times New Roman" w:cs="Times New Roman"/>
                            <w:sz w:val="24"/>
                            <w:szCs w:val="24"/>
                          </w:rPr>
                          <w:t>Zema sociālo transfertu ietekme uz nabadzības riska mazināšanu, īpaši pensijas vecuma iedzīvotājiem</w:t>
                        </w:r>
                      </w:p>
                    </w:txbxContent>
                  </v:textbox>
                </v:shape>
                <w10:wrap type="square" anchorx="margin" anchory="margin"/>
              </v:group>
            </w:pict>
          </mc:Fallback>
        </mc:AlternateContent>
      </w:r>
    </w:p>
    <w:p w14:paraId="07B65EA2" w14:textId="3D3FEA5E" w:rsidR="00520521" w:rsidRPr="00A857F2" w:rsidRDefault="00520521">
      <w:pPr>
        <w:rPr>
          <w:rFonts w:ascii="Times New Roman" w:hAnsi="Times New Roman" w:cs="Times New Roman"/>
          <w:b/>
          <w:sz w:val="28"/>
          <w:szCs w:val="28"/>
        </w:rPr>
      </w:pPr>
      <w:r w:rsidRPr="00A857F2">
        <w:rPr>
          <w:rFonts w:ascii="Times New Roman" w:hAnsi="Times New Roman" w:cs="Times New Roman"/>
          <w:b/>
          <w:sz w:val="28"/>
          <w:szCs w:val="28"/>
        </w:rPr>
        <w:br w:type="page"/>
      </w:r>
    </w:p>
    <w:p w14:paraId="6F960BA7" w14:textId="55B7AAFD" w:rsidR="00C77341" w:rsidRPr="0015154B" w:rsidRDefault="00ED5C1B" w:rsidP="00EC7537">
      <w:pPr>
        <w:pStyle w:val="Heading1"/>
      </w:pPr>
      <w:bookmarkStart w:id="11" w:name="_Toc55316063"/>
      <w:r w:rsidRPr="00A857F2">
        <w:lastRenderedPageBreak/>
        <w:t>Valsts un pašvaldību sniegt</w:t>
      </w:r>
      <w:r w:rsidR="000E1DEB" w:rsidRPr="003B5C85">
        <w:t>ais</w:t>
      </w:r>
      <w:r w:rsidRPr="009703E6">
        <w:t xml:space="preserve"> </w:t>
      </w:r>
      <w:r w:rsidR="00144406" w:rsidRPr="009703E6">
        <w:t>finansiālais</w:t>
      </w:r>
      <w:r w:rsidRPr="0015154B">
        <w:t xml:space="preserve"> atbalst</w:t>
      </w:r>
      <w:r w:rsidR="000E1DEB" w:rsidRPr="0015154B">
        <w:t>s</w:t>
      </w:r>
      <w:bookmarkEnd w:id="11"/>
    </w:p>
    <w:p w14:paraId="7D7428D4" w14:textId="6D22B30F" w:rsidR="00200837" w:rsidRPr="0015154B" w:rsidRDefault="00ED5C1B" w:rsidP="00DA5144">
      <w:pPr>
        <w:pStyle w:val="Heading2"/>
      </w:pPr>
      <w:bookmarkStart w:id="12" w:name="_Toc55316064"/>
      <w:r w:rsidRPr="0015154B">
        <w:t>Sistēmas raksturojums</w:t>
      </w:r>
      <w:bookmarkEnd w:id="12"/>
    </w:p>
    <w:p w14:paraId="384D7C1F" w14:textId="730FA4A8" w:rsidR="00ED5C1B" w:rsidRPr="0015154B" w:rsidRDefault="00200837" w:rsidP="002B00E3">
      <w:pPr>
        <w:autoSpaceDE w:val="0"/>
        <w:autoSpaceDN w:val="0"/>
        <w:adjustRightInd w:val="0"/>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 xml:space="preserve">Sociālās aizsardzības sistēma Latvijā ir piedzīvojusi būtiskas pārmaiņas, gan ieviešot sociālās apdrošināšanas, sociālās palīdzības un sociālo pakalpojumu sistēmas reformas, gan ieviešot pagaidu risinājumus 2008.-2010.gada ekonomiskās krīzes un 2020.gada COVID-19 pandēmijas radīto seku mazināšanai, gan rodot pastāvīgus risinājumus ilgtspējas un adekvātuma nodrošināšanai. </w:t>
      </w:r>
    </w:p>
    <w:p w14:paraId="375B25A6" w14:textId="249B5C9C" w:rsidR="00200837" w:rsidRPr="0015154B" w:rsidRDefault="00200837" w:rsidP="002B00E3">
      <w:pPr>
        <w:autoSpaceDE w:val="0"/>
        <w:autoSpaceDN w:val="0"/>
        <w:adjustRightInd w:val="0"/>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 xml:space="preserve">Latvijā jau kopš 1996.gada darbojas </w:t>
      </w:r>
      <w:r w:rsidRPr="0015154B">
        <w:rPr>
          <w:rFonts w:ascii="Times New Roman" w:hAnsi="Times New Roman" w:cs="Times New Roman"/>
          <w:b/>
          <w:bCs/>
          <w:sz w:val="24"/>
          <w:szCs w:val="24"/>
        </w:rPr>
        <w:t>uz sociālās apdrošināšanas iemaksām balstīta sistēma</w:t>
      </w:r>
      <w:r w:rsidRPr="0015154B">
        <w:rPr>
          <w:rFonts w:ascii="Times New Roman" w:hAnsi="Times New Roman" w:cs="Times New Roman"/>
          <w:sz w:val="24"/>
          <w:szCs w:val="24"/>
        </w:rPr>
        <w:t xml:space="preserve">, kas garantē </w:t>
      </w:r>
      <w:r w:rsidRPr="0015154B">
        <w:rPr>
          <w:rFonts w:ascii="Times New Roman" w:hAnsi="Times New Roman" w:cs="Times New Roman"/>
          <w:b/>
          <w:bCs/>
          <w:sz w:val="24"/>
          <w:szCs w:val="24"/>
        </w:rPr>
        <w:t>aizsardzību</w:t>
      </w:r>
      <w:r w:rsidRPr="0015154B">
        <w:rPr>
          <w:rFonts w:ascii="Times New Roman" w:hAnsi="Times New Roman" w:cs="Times New Roman"/>
          <w:sz w:val="24"/>
          <w:szCs w:val="24"/>
        </w:rPr>
        <w:t xml:space="preserve"> </w:t>
      </w:r>
      <w:r w:rsidRPr="0015154B">
        <w:rPr>
          <w:rFonts w:ascii="Times New Roman" w:hAnsi="Times New Roman" w:cs="Times New Roman"/>
          <w:b/>
          <w:bCs/>
          <w:sz w:val="24"/>
          <w:szCs w:val="24"/>
        </w:rPr>
        <w:t>visu tradicionālo sociālo risku gadījumā</w:t>
      </w:r>
      <w:r w:rsidRPr="0015154B">
        <w:rPr>
          <w:rFonts w:ascii="Times New Roman" w:hAnsi="Times New Roman" w:cs="Times New Roman"/>
          <w:sz w:val="24"/>
          <w:szCs w:val="24"/>
        </w:rPr>
        <w:t xml:space="preserve"> – </w:t>
      </w:r>
      <w:r w:rsidRPr="0015154B">
        <w:rPr>
          <w:rFonts w:ascii="Times New Roman" w:hAnsi="Times New Roman" w:cs="Times New Roman"/>
          <w:i/>
          <w:iCs/>
          <w:sz w:val="24"/>
          <w:szCs w:val="24"/>
        </w:rPr>
        <w:t>iestājoties pensijas vecumam, iegūstot invaliditāti, zaudējot apgādnieku, slimības gadījumā, pirmsdzemdību un pēcdzemdību periodā, kopjot bērnu, zaudējot darbu, kā arī ciešot darba negadījumā vai saslimstot ar arodslimību.</w:t>
      </w:r>
      <w:r w:rsidRPr="0015154B">
        <w:rPr>
          <w:rFonts w:ascii="Times New Roman" w:hAnsi="Times New Roman" w:cs="Times New Roman"/>
          <w:sz w:val="24"/>
          <w:szCs w:val="24"/>
        </w:rPr>
        <w:t xml:space="preserve"> Sociālā apdrošināšana atbilstoši individuālajām sociālās apdrošināšanas iemaksām garantē noteiktu ienākumu aizvietojumu. Vienīgais sociālās apdrošināšanas veids, kas nav saistīts ar saņemtā pakalpojuma apjomu, ir</w:t>
      </w:r>
      <w:r w:rsidRPr="0015154B">
        <w:rPr>
          <w:rFonts w:ascii="Times New Roman" w:hAnsi="Times New Roman" w:cs="Times New Roman"/>
          <w:b/>
          <w:bCs/>
          <w:sz w:val="24"/>
          <w:szCs w:val="24"/>
        </w:rPr>
        <w:t xml:space="preserve"> </w:t>
      </w:r>
      <w:r w:rsidRPr="0015154B">
        <w:rPr>
          <w:rFonts w:ascii="Times New Roman" w:hAnsi="Times New Roman" w:cs="Times New Roman"/>
          <w:bCs/>
          <w:sz w:val="24"/>
          <w:szCs w:val="24"/>
        </w:rPr>
        <w:t>no 2018. gada ieviestā veselības apdrošināšana.</w:t>
      </w:r>
      <w:r w:rsidRPr="0015154B">
        <w:rPr>
          <w:rFonts w:ascii="Times New Roman" w:hAnsi="Times New Roman" w:cs="Times New Roman"/>
          <w:sz w:val="24"/>
          <w:szCs w:val="24"/>
        </w:rPr>
        <w:t xml:space="preserve"> Valsts sociālās apdrošināšanas sistēma darbojas pēc pašfinansēšanas principa.</w:t>
      </w:r>
      <w:r w:rsidR="00ED5C1B"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Tā kā sociālās apdrošināšanas pensijas, atlīdzības un pabalsti ir tieši atkarīgi no ienākumiem, no kuriem veiktas sociālās apdrošināšanas iemaksas, palielinoties ienākumiem un līdz ar to arī sociālajām iemaksām, palielinās arī sociālās apdrošināšanas pakalpojumu vidējie apmēri un apdrošināto cilvēku aizsardzība dažādu sociālo risku gadījumos. </w:t>
      </w:r>
    </w:p>
    <w:p w14:paraId="16F09195" w14:textId="56118F02" w:rsidR="00364B06" w:rsidRPr="003B5C85" w:rsidRDefault="00364B06" w:rsidP="002B00E3">
      <w:pPr>
        <w:pStyle w:val="NormalWeb"/>
        <w:shd w:val="clear" w:color="auto" w:fill="FFFFFF"/>
        <w:spacing w:before="120" w:beforeAutospacing="0" w:after="0" w:afterAutospacing="0"/>
        <w:ind w:firstLine="709"/>
        <w:jc w:val="both"/>
        <w:rPr>
          <w:rFonts w:ascii="Times New Roman" w:hAnsi="Times New Roman"/>
          <w:color w:val="333333"/>
          <w:sz w:val="24"/>
          <w:szCs w:val="24"/>
        </w:rPr>
      </w:pPr>
      <w:r w:rsidRPr="0015154B">
        <w:rPr>
          <w:rFonts w:ascii="Times New Roman" w:hAnsi="Times New Roman"/>
          <w:b/>
          <w:color w:val="333333"/>
          <w:sz w:val="24"/>
          <w:szCs w:val="24"/>
        </w:rPr>
        <w:t>Valsts sociālo pabalstu</w:t>
      </w:r>
      <w:r w:rsidRPr="0015154B">
        <w:rPr>
          <w:rFonts w:ascii="Times New Roman" w:hAnsi="Times New Roman"/>
          <w:color w:val="333333"/>
          <w:sz w:val="24"/>
          <w:szCs w:val="24"/>
        </w:rPr>
        <w:t xml:space="preserve"> sistēma papildina valsts sociālās apdrošināšanas sistēmu. Tā ietver gan </w:t>
      </w:r>
      <w:r w:rsidR="00854BD7" w:rsidRPr="0015154B">
        <w:rPr>
          <w:rFonts w:ascii="Times New Roman" w:hAnsi="Times New Roman"/>
          <w:color w:val="333333"/>
          <w:sz w:val="24"/>
          <w:szCs w:val="24"/>
        </w:rPr>
        <w:t>regulāri</w:t>
      </w:r>
      <w:r w:rsidRPr="0015154B">
        <w:rPr>
          <w:rFonts w:ascii="Times New Roman" w:hAnsi="Times New Roman"/>
          <w:color w:val="333333"/>
          <w:sz w:val="24"/>
          <w:szCs w:val="24"/>
        </w:rPr>
        <w:t xml:space="preserve"> izmaksājamus pabalstus</w:t>
      </w:r>
      <w:r w:rsidR="00854BD7" w:rsidRPr="0015154B">
        <w:rPr>
          <w:rFonts w:ascii="Times New Roman" w:hAnsi="Times New Roman"/>
          <w:color w:val="333333"/>
          <w:sz w:val="24"/>
          <w:szCs w:val="24"/>
        </w:rPr>
        <w:t xml:space="preserve"> noteiktām mērķa grupām</w:t>
      </w:r>
      <w:r w:rsidR="00854BD7" w:rsidRPr="007157D3">
        <w:rPr>
          <w:rStyle w:val="FootnoteReference"/>
          <w:rFonts w:ascii="Times New Roman" w:hAnsi="Times New Roman"/>
          <w:color w:val="333333"/>
          <w:sz w:val="24"/>
          <w:szCs w:val="24"/>
        </w:rPr>
        <w:footnoteReference w:id="33"/>
      </w:r>
      <w:r w:rsidR="00854BD7" w:rsidRPr="007157D3">
        <w:rPr>
          <w:rFonts w:ascii="Times New Roman" w:hAnsi="Times New Roman"/>
          <w:color w:val="333333"/>
          <w:sz w:val="24"/>
          <w:szCs w:val="24"/>
        </w:rPr>
        <w:t>, gan vienreizēji izmaksājamus pabalstus</w:t>
      </w:r>
      <w:r w:rsidR="00854BD7" w:rsidRPr="007157D3">
        <w:rPr>
          <w:rStyle w:val="FootnoteReference"/>
          <w:rFonts w:ascii="Times New Roman" w:hAnsi="Times New Roman"/>
          <w:color w:val="333333"/>
          <w:sz w:val="24"/>
          <w:szCs w:val="24"/>
        </w:rPr>
        <w:footnoteReference w:id="34"/>
      </w:r>
      <w:r w:rsidR="00854BD7" w:rsidRPr="007157D3">
        <w:rPr>
          <w:rFonts w:ascii="Times New Roman" w:hAnsi="Times New Roman"/>
          <w:color w:val="333333"/>
          <w:sz w:val="24"/>
          <w:szCs w:val="24"/>
        </w:rPr>
        <w:t>.</w:t>
      </w:r>
      <w:r w:rsidRPr="007157D3">
        <w:rPr>
          <w:rFonts w:ascii="Times New Roman" w:hAnsi="Times New Roman"/>
          <w:color w:val="333333"/>
          <w:sz w:val="24"/>
          <w:szCs w:val="24"/>
        </w:rPr>
        <w:t xml:space="preserve"> </w:t>
      </w:r>
      <w:r w:rsidR="00854BD7" w:rsidRPr="002F5278">
        <w:rPr>
          <w:rFonts w:ascii="Times New Roman" w:hAnsi="Times New Roman"/>
          <w:color w:val="333333"/>
          <w:sz w:val="24"/>
          <w:szCs w:val="24"/>
        </w:rPr>
        <w:t>Pabalsti kā valsts atbalsts naudas izmaksu veidā tiek piešķirti papildu izdevumu segšanai vai noteiktu ienākumu</w:t>
      </w:r>
      <w:r w:rsidRPr="0025422D">
        <w:rPr>
          <w:rFonts w:ascii="Times New Roman" w:hAnsi="Times New Roman"/>
          <w:color w:val="333333"/>
          <w:sz w:val="24"/>
          <w:szCs w:val="24"/>
        </w:rPr>
        <w:t xml:space="preserve"> </w:t>
      </w:r>
      <w:r w:rsidR="00854BD7" w:rsidRPr="00A857F2">
        <w:rPr>
          <w:rFonts w:ascii="Times New Roman" w:hAnsi="Times New Roman"/>
          <w:color w:val="333333"/>
          <w:sz w:val="24"/>
          <w:szCs w:val="24"/>
        </w:rPr>
        <w:t>garantēšanai</w:t>
      </w:r>
      <w:r w:rsidRPr="003B5C85">
        <w:rPr>
          <w:rFonts w:ascii="Times New Roman" w:hAnsi="Times New Roman"/>
          <w:color w:val="333333"/>
          <w:sz w:val="24"/>
          <w:szCs w:val="24"/>
        </w:rPr>
        <w:t>:</w:t>
      </w:r>
    </w:p>
    <w:p w14:paraId="260DC551" w14:textId="77777777" w:rsidR="00364B06" w:rsidRPr="009703E6" w:rsidRDefault="00364B06" w:rsidP="002B00E3">
      <w:pPr>
        <w:numPr>
          <w:ilvl w:val="0"/>
          <w:numId w:val="21"/>
        </w:numPr>
        <w:shd w:val="clear" w:color="auto" w:fill="FFFFFF"/>
        <w:spacing w:before="120" w:after="0" w:line="240" w:lineRule="auto"/>
        <w:ind w:left="714" w:hanging="357"/>
        <w:contextualSpacing/>
        <w:jc w:val="both"/>
        <w:rPr>
          <w:rFonts w:ascii="Times New Roman" w:hAnsi="Times New Roman" w:cs="Times New Roman"/>
          <w:color w:val="333333"/>
          <w:sz w:val="24"/>
          <w:szCs w:val="24"/>
        </w:rPr>
      </w:pPr>
      <w:r w:rsidRPr="009703E6">
        <w:rPr>
          <w:rFonts w:ascii="Times New Roman" w:hAnsi="Times New Roman" w:cs="Times New Roman"/>
          <w:color w:val="333333"/>
          <w:sz w:val="24"/>
          <w:szCs w:val="24"/>
        </w:rPr>
        <w:t>tādām personām, kuras nav sociāli apdrošinātas, vai kuru veiktās iemaksas nav pietiekamas valsts sociālās apdrošināšanas pabalstu un pensiju saņemšanai;</w:t>
      </w:r>
    </w:p>
    <w:p w14:paraId="79577323" w14:textId="77777777" w:rsidR="00364B06" w:rsidRPr="0015154B" w:rsidRDefault="00364B06" w:rsidP="002B00E3">
      <w:pPr>
        <w:numPr>
          <w:ilvl w:val="0"/>
          <w:numId w:val="21"/>
        </w:numPr>
        <w:shd w:val="clear" w:color="auto" w:fill="FFFFFF"/>
        <w:spacing w:before="120" w:after="0" w:line="240" w:lineRule="auto"/>
        <w:ind w:left="714" w:hanging="357"/>
        <w:contextualSpacing/>
        <w:jc w:val="both"/>
        <w:rPr>
          <w:rFonts w:ascii="Times New Roman" w:hAnsi="Times New Roman" w:cs="Times New Roman"/>
          <w:color w:val="333333"/>
          <w:sz w:val="24"/>
          <w:szCs w:val="24"/>
        </w:rPr>
      </w:pPr>
      <w:r w:rsidRPr="0015154B">
        <w:rPr>
          <w:rFonts w:ascii="Times New Roman" w:hAnsi="Times New Roman" w:cs="Times New Roman"/>
          <w:color w:val="333333"/>
          <w:sz w:val="24"/>
          <w:szCs w:val="24"/>
        </w:rPr>
        <w:t>tādu papildus izdevumu rašanās gadījumos, kuros sociālās apdrošināšanas sistēma neparedz aizsardzību (piemēram, ģimenes valsts pabalsts, bērna kopšanas un piedzimšanas pabalsti, valsts sociālā nodrošinājuma pabalsts, kas sniedz aizsardzību vecuma, invaliditātes vai apgādnieka zaudējuma gadījumā tām personām, kuras nav sociāli apdrošinātas, u.c.).</w:t>
      </w:r>
    </w:p>
    <w:p w14:paraId="15C1409C" w14:textId="5F8982E6" w:rsidR="00ED5C1B" w:rsidRPr="0015154B" w:rsidRDefault="00254B54" w:rsidP="002B00E3">
      <w:pPr>
        <w:autoSpaceDE w:val="0"/>
        <w:autoSpaceDN w:val="0"/>
        <w:adjustRightInd w:val="0"/>
        <w:spacing w:before="120" w:after="0" w:line="240" w:lineRule="auto"/>
        <w:ind w:firstLine="720"/>
        <w:jc w:val="both"/>
        <w:rPr>
          <w:rFonts w:ascii="Times New Roman" w:hAnsi="Times New Roman" w:cs="Times New Roman"/>
          <w:color w:val="333333"/>
          <w:sz w:val="24"/>
          <w:szCs w:val="24"/>
        </w:rPr>
      </w:pPr>
      <w:r w:rsidRPr="0015154B">
        <w:rPr>
          <w:rFonts w:ascii="Times New Roman" w:hAnsi="Times New Roman" w:cs="Times New Roman"/>
          <w:color w:val="333333"/>
          <w:sz w:val="24"/>
          <w:szCs w:val="24"/>
        </w:rPr>
        <w:t>Valsts sociālie pabalsti tiek finansēti no valsts pamatbudžeta un to apmērs ir atkarīgs no valsts finansiālajām iespējām. Valsts sociālie pabalsti tiek regulāri pārskatīti, taču lielākā to daļa kādam sociāli ekonomiskam rādītājam vai iedzīvotāju ienākumu līmeni raksturojošam rādītājam</w:t>
      </w:r>
      <w:r w:rsidR="00DF7A40">
        <w:rPr>
          <w:rFonts w:ascii="Times New Roman" w:hAnsi="Times New Roman" w:cs="Times New Roman"/>
          <w:color w:val="333333"/>
          <w:sz w:val="24"/>
          <w:szCs w:val="24"/>
        </w:rPr>
        <w:t xml:space="preserve"> nav piesasistīta</w:t>
      </w:r>
      <w:r w:rsidRPr="0015154B">
        <w:rPr>
          <w:rFonts w:ascii="Times New Roman" w:hAnsi="Times New Roman" w:cs="Times New Roman"/>
          <w:color w:val="333333"/>
          <w:sz w:val="24"/>
          <w:szCs w:val="24"/>
        </w:rPr>
        <w:t xml:space="preserve">. Latvijā universālo pabalstu piešķiršana nav atkarīga no ģimenes materiālā stāvokļa, t.i., </w:t>
      </w:r>
      <w:r w:rsidR="00DB21CB" w:rsidRPr="0015154B">
        <w:rPr>
          <w:rFonts w:ascii="Times New Roman" w:hAnsi="Times New Roman" w:cs="Times New Roman"/>
          <w:color w:val="333333"/>
          <w:sz w:val="24"/>
          <w:szCs w:val="24"/>
        </w:rPr>
        <w:t>atbalsts tiek sniegts neatkarīgi no saņēmēja ienākumiem</w:t>
      </w:r>
      <w:r w:rsidRPr="0015154B">
        <w:rPr>
          <w:rFonts w:ascii="Times New Roman" w:hAnsi="Times New Roman" w:cs="Times New Roman"/>
          <w:color w:val="333333"/>
          <w:sz w:val="24"/>
          <w:szCs w:val="24"/>
        </w:rPr>
        <w:t>.</w:t>
      </w:r>
    </w:p>
    <w:p w14:paraId="477F24A9" w14:textId="4CF66DFB" w:rsidR="00275861" w:rsidRPr="0015154B" w:rsidRDefault="00275861" w:rsidP="002B00E3">
      <w:pPr>
        <w:autoSpaceDE w:val="0"/>
        <w:autoSpaceDN w:val="0"/>
        <w:adjustRightInd w:val="0"/>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 xml:space="preserve">Pašvaldību sniegtā </w:t>
      </w:r>
      <w:r w:rsidRPr="0015154B">
        <w:rPr>
          <w:rFonts w:ascii="Times New Roman" w:hAnsi="Times New Roman" w:cs="Times New Roman"/>
          <w:b/>
          <w:sz w:val="24"/>
          <w:szCs w:val="24"/>
        </w:rPr>
        <w:t>sociālā palīdzība</w:t>
      </w:r>
      <w:r w:rsidRPr="0015154B">
        <w:rPr>
          <w:rFonts w:ascii="Times New Roman" w:hAnsi="Times New Roman" w:cs="Times New Roman"/>
          <w:sz w:val="24"/>
          <w:szCs w:val="24"/>
        </w:rPr>
        <w:t xml:space="preserve"> balstās uz ienākumu izvērtējumu, nodrošinot trūcīgākiem iedzīvotājiem atbalstu pamatvajadzību apmierināšanai. </w:t>
      </w:r>
      <w:r w:rsidR="00DF7B5C" w:rsidRPr="0015154B">
        <w:rPr>
          <w:rFonts w:ascii="Times New Roman" w:hAnsi="Times New Roman" w:cs="Times New Roman"/>
          <w:sz w:val="24"/>
          <w:szCs w:val="24"/>
        </w:rPr>
        <w:t>Līdzīgi kā citās ES dalībvalstīs sociālās palīdzības saņēmējiem noteiktie līdzdarbības pienākumi</w:t>
      </w:r>
      <w:r w:rsidRPr="0015154B">
        <w:rPr>
          <w:rFonts w:ascii="Times New Roman" w:hAnsi="Times New Roman" w:cs="Times New Roman"/>
          <w:sz w:val="24"/>
          <w:szCs w:val="24"/>
        </w:rPr>
        <w:t xml:space="preserve"> ir viens no nosacījumiem sociālās palīdzības saņemšanai. </w:t>
      </w:r>
    </w:p>
    <w:p w14:paraId="356D4333" w14:textId="77777777" w:rsidR="00275861" w:rsidRPr="007157D3" w:rsidRDefault="00275861" w:rsidP="002B00E3">
      <w:pPr>
        <w:pStyle w:val="naisf"/>
        <w:spacing w:before="120" w:beforeAutospacing="0" w:after="0" w:afterAutospacing="0"/>
        <w:ind w:firstLine="709"/>
        <w:contextualSpacing/>
        <w:jc w:val="both"/>
      </w:pPr>
      <w:r w:rsidRPr="0015154B">
        <w:lastRenderedPageBreak/>
        <w:t>Latvijā noteikti šādi pašvaldības sociālās palīdzības pabalsti</w:t>
      </w:r>
      <w:r w:rsidRPr="007157D3">
        <w:rPr>
          <w:rStyle w:val="FootnoteReference"/>
        </w:rPr>
        <w:footnoteReference w:id="35"/>
      </w:r>
      <w:r w:rsidRPr="007157D3">
        <w:t>:</w:t>
      </w:r>
    </w:p>
    <w:p w14:paraId="3BB7D178" w14:textId="2F2EE0CC" w:rsidR="00275861" w:rsidRPr="007157D3" w:rsidRDefault="00275861" w:rsidP="002B00E3">
      <w:pPr>
        <w:pStyle w:val="ListParagraph"/>
        <w:numPr>
          <w:ilvl w:val="0"/>
          <w:numId w:val="22"/>
        </w:numPr>
        <w:spacing w:before="120"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t>pabalsts garantētā minimālā ienākumu līmeņa nodrošināšanai (turpmāk – GMI pabalsts);</w:t>
      </w:r>
    </w:p>
    <w:p w14:paraId="15EBCF8C" w14:textId="5614F536" w:rsidR="00275861" w:rsidRPr="002F5278" w:rsidRDefault="00275861" w:rsidP="002B00E3">
      <w:pPr>
        <w:pStyle w:val="ListParagraph"/>
        <w:numPr>
          <w:ilvl w:val="0"/>
          <w:numId w:val="22"/>
        </w:numPr>
        <w:spacing w:before="120" w:after="0" w:line="240" w:lineRule="auto"/>
        <w:jc w:val="both"/>
        <w:rPr>
          <w:rFonts w:ascii="Times New Roman" w:hAnsi="Times New Roman" w:cs="Times New Roman"/>
          <w:sz w:val="24"/>
          <w:szCs w:val="24"/>
        </w:rPr>
      </w:pPr>
      <w:r w:rsidRPr="002F5278">
        <w:rPr>
          <w:rFonts w:ascii="Times New Roman" w:hAnsi="Times New Roman" w:cs="Times New Roman"/>
          <w:sz w:val="24"/>
          <w:szCs w:val="24"/>
        </w:rPr>
        <w:t>dzīvokļa pabalsts;</w:t>
      </w:r>
    </w:p>
    <w:p w14:paraId="1285F75E" w14:textId="06E7D89C" w:rsidR="00275861" w:rsidRPr="009703E6" w:rsidRDefault="00275861" w:rsidP="002B00E3">
      <w:pPr>
        <w:pStyle w:val="ListParagraph"/>
        <w:numPr>
          <w:ilvl w:val="0"/>
          <w:numId w:val="22"/>
        </w:numPr>
        <w:spacing w:before="120" w:after="0" w:line="240" w:lineRule="auto"/>
        <w:jc w:val="both"/>
        <w:rPr>
          <w:rFonts w:ascii="Times New Roman" w:hAnsi="Times New Roman" w:cs="Times New Roman"/>
          <w:sz w:val="24"/>
          <w:szCs w:val="24"/>
        </w:rPr>
      </w:pPr>
      <w:r w:rsidRPr="0025422D">
        <w:rPr>
          <w:rFonts w:ascii="Times New Roman" w:hAnsi="Times New Roman" w:cs="Times New Roman"/>
          <w:sz w:val="24"/>
          <w:szCs w:val="24"/>
        </w:rPr>
        <w:t>vienreizējs pabalsts ārkārtas situācijā - pašvaldība var piešķirt</w:t>
      </w:r>
      <w:r w:rsidR="007A0E23">
        <w:rPr>
          <w:rFonts w:ascii="Times New Roman" w:hAnsi="Times New Roman" w:cs="Times New Roman"/>
          <w:sz w:val="24"/>
          <w:szCs w:val="24"/>
        </w:rPr>
        <w:t>,</w:t>
      </w:r>
      <w:r w:rsidRPr="0025422D">
        <w:rPr>
          <w:rFonts w:ascii="Times New Roman" w:hAnsi="Times New Roman" w:cs="Times New Roman"/>
          <w:sz w:val="24"/>
          <w:szCs w:val="24"/>
        </w:rPr>
        <w:t xml:space="preserve"> </w:t>
      </w:r>
      <w:r w:rsidRPr="00A857F2">
        <w:rPr>
          <w:rFonts w:ascii="Times New Roman" w:hAnsi="Times New Roman" w:cs="Times New Roman"/>
          <w:iCs/>
          <w:sz w:val="24"/>
          <w:szCs w:val="24"/>
        </w:rPr>
        <w:t>neizvērtējot ienākumus</w:t>
      </w:r>
      <w:r w:rsidRPr="003B5C85">
        <w:rPr>
          <w:rFonts w:ascii="Times New Roman" w:hAnsi="Times New Roman" w:cs="Times New Roman"/>
          <w:sz w:val="24"/>
          <w:szCs w:val="24"/>
        </w:rPr>
        <w:t>, ja persona nonākusi ārkārtas situācijā iepriekš neparedzamu apstākļu dēļ un nespēj nodrošināt savas un ģimen</w:t>
      </w:r>
      <w:r w:rsidRPr="009703E6">
        <w:rPr>
          <w:rFonts w:ascii="Times New Roman" w:hAnsi="Times New Roman" w:cs="Times New Roman"/>
          <w:sz w:val="24"/>
          <w:szCs w:val="24"/>
        </w:rPr>
        <w:t>es locekļu pamatvajadzības;</w:t>
      </w:r>
    </w:p>
    <w:p w14:paraId="386F8BE5" w14:textId="57A1B0E6" w:rsidR="00275861" w:rsidRPr="009703E6" w:rsidRDefault="00275861" w:rsidP="002B00E3">
      <w:pPr>
        <w:pStyle w:val="ListParagraph"/>
        <w:numPr>
          <w:ilvl w:val="0"/>
          <w:numId w:val="22"/>
        </w:numPr>
        <w:spacing w:before="120" w:after="0" w:line="240" w:lineRule="auto"/>
        <w:jc w:val="both"/>
        <w:rPr>
          <w:rFonts w:ascii="Times New Roman" w:hAnsi="Times New Roman" w:cs="Times New Roman"/>
          <w:sz w:val="24"/>
          <w:szCs w:val="24"/>
        </w:rPr>
      </w:pPr>
      <w:r w:rsidRPr="009703E6">
        <w:rPr>
          <w:rFonts w:ascii="Times New Roman" w:hAnsi="Times New Roman" w:cs="Times New Roman"/>
          <w:sz w:val="24"/>
          <w:szCs w:val="24"/>
        </w:rPr>
        <w:t>citi pabalsti pamatvajadzību apmierināšanai, izvērtējot materiālo situāciju.</w:t>
      </w:r>
    </w:p>
    <w:p w14:paraId="6397125E" w14:textId="5480719B" w:rsidR="00ED5C1B" w:rsidRPr="0015154B" w:rsidRDefault="007422C8" w:rsidP="002B00E3">
      <w:pPr>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GMI pabalsts un dzīvokļa pabalsts ir noteikti kā divi obligāti izmaksājamie pašvaldību sociālās palīdzības pabalsti. Tikai tad, ja ir nodrošināta šo pabalstu piešķiršana,</w:t>
      </w:r>
      <w:r w:rsidR="00275861" w:rsidRPr="0015154B">
        <w:rPr>
          <w:rFonts w:ascii="Times New Roman" w:hAnsi="Times New Roman" w:cs="Times New Roman"/>
          <w:sz w:val="24"/>
          <w:szCs w:val="24"/>
        </w:rPr>
        <w:t xml:space="preserve"> pašvaldība, izvērtējot ģimenes (personas) ienākumus, ir tiesīga no pašvaldības pamatbudžeta izmaksāt arī citus </w:t>
      </w:r>
      <w:r w:rsidRPr="0015154B">
        <w:rPr>
          <w:rFonts w:ascii="Times New Roman" w:hAnsi="Times New Roman" w:cs="Times New Roman"/>
          <w:sz w:val="24"/>
          <w:szCs w:val="24"/>
        </w:rPr>
        <w:t xml:space="preserve">sociālās palīdzības </w:t>
      </w:r>
      <w:r w:rsidR="00275861" w:rsidRPr="0015154B">
        <w:rPr>
          <w:rFonts w:ascii="Times New Roman" w:hAnsi="Times New Roman" w:cs="Times New Roman"/>
          <w:sz w:val="24"/>
          <w:szCs w:val="24"/>
        </w:rPr>
        <w:t>pabalstus</w:t>
      </w:r>
      <w:r w:rsidR="00DC0AB7" w:rsidRPr="0015154B">
        <w:rPr>
          <w:rFonts w:ascii="Times New Roman" w:hAnsi="Times New Roman" w:cs="Times New Roman"/>
          <w:sz w:val="24"/>
          <w:szCs w:val="24"/>
        </w:rPr>
        <w:t xml:space="preserve"> savus brīvprātīgo iniciatīvu ietvaros</w:t>
      </w:r>
      <w:r w:rsidR="00275861" w:rsidRPr="0015154B">
        <w:rPr>
          <w:rFonts w:ascii="Times New Roman" w:hAnsi="Times New Roman" w:cs="Times New Roman"/>
          <w:sz w:val="24"/>
          <w:szCs w:val="24"/>
        </w:rPr>
        <w:t xml:space="preserve">. GMI </w:t>
      </w:r>
      <w:r w:rsidR="00DC0AB7" w:rsidRPr="0015154B">
        <w:rPr>
          <w:rFonts w:ascii="Times New Roman" w:hAnsi="Times New Roman" w:cs="Times New Roman"/>
          <w:sz w:val="24"/>
          <w:szCs w:val="24"/>
        </w:rPr>
        <w:t xml:space="preserve">līmeni un </w:t>
      </w:r>
      <w:r w:rsidR="00275861" w:rsidRPr="0015154B">
        <w:rPr>
          <w:rFonts w:ascii="Times New Roman" w:hAnsi="Times New Roman" w:cs="Times New Roman"/>
          <w:sz w:val="24"/>
          <w:szCs w:val="24"/>
        </w:rPr>
        <w:t xml:space="preserve">pabalsta aprēķināšanas kārtību regulē </w:t>
      </w:r>
      <w:r w:rsidR="00DC0AB7" w:rsidRPr="0015154B">
        <w:rPr>
          <w:rFonts w:ascii="Times New Roman" w:hAnsi="Times New Roman" w:cs="Times New Roman"/>
          <w:sz w:val="24"/>
          <w:szCs w:val="24"/>
        </w:rPr>
        <w:t>nacionālā līmenī</w:t>
      </w:r>
      <w:r w:rsidR="00275861" w:rsidRPr="0015154B">
        <w:rPr>
          <w:rFonts w:ascii="Times New Roman" w:hAnsi="Times New Roman" w:cs="Times New Roman"/>
          <w:sz w:val="24"/>
          <w:szCs w:val="24"/>
        </w:rPr>
        <w:t>, savukārt dzīvokļa pabalsta un citu pabalstu pamatvajadzību nodrošināšanai apmēru, piešķiršanas nosacījumus, tai skaitā ienākumu līmeņus to saņemšanai, nosaka pašvaldība.</w:t>
      </w:r>
    </w:p>
    <w:p w14:paraId="3EC0230D" w14:textId="240867B1" w:rsidR="00200837" w:rsidRPr="007157D3" w:rsidRDefault="00200837" w:rsidP="002B00E3">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Iedzīvotāji, vērtējot, uz kurām atbalsta sistēmām var visvairāk paļauties, kā trešo </w:t>
      </w:r>
      <w:r w:rsidRPr="0015154B">
        <w:rPr>
          <w:rFonts w:ascii="Times New Roman" w:hAnsi="Times New Roman" w:cs="Times New Roman"/>
          <w:b/>
          <w:sz w:val="24"/>
          <w:szCs w:val="24"/>
        </w:rPr>
        <w:t>drošāko atbalsta sistēmu</w:t>
      </w:r>
      <w:r w:rsidRPr="0015154B">
        <w:rPr>
          <w:rFonts w:ascii="Times New Roman" w:hAnsi="Times New Roman" w:cs="Times New Roman"/>
          <w:sz w:val="24"/>
          <w:szCs w:val="24"/>
        </w:rPr>
        <w:t xml:space="preserve"> pēc </w:t>
      </w:r>
      <w:r w:rsidR="007F0A36" w:rsidRPr="0015154B">
        <w:rPr>
          <w:rFonts w:ascii="Times New Roman" w:hAnsi="Times New Roman" w:cs="Times New Roman"/>
          <w:sz w:val="24"/>
          <w:szCs w:val="24"/>
        </w:rPr>
        <w:t>ģimenes</w:t>
      </w:r>
      <w:r w:rsidRPr="0015154B">
        <w:rPr>
          <w:rFonts w:ascii="Times New Roman" w:hAnsi="Times New Roman" w:cs="Times New Roman"/>
          <w:sz w:val="24"/>
          <w:szCs w:val="24"/>
        </w:rPr>
        <w:t xml:space="preserve"> locekļu un radinieku atbalsta un personīgajiem resursiem nosauc valsts sociālo apdrošināšanu. Turklāt salīdzinot 2013.gada un 2019.gada aptauju rezultātus, paļāvība uz valsts sociālās apdrošināšanas sistēmu ir palielinājusies (</w:t>
      </w:r>
      <w:r w:rsidRPr="0015154B">
        <w:rPr>
          <w:rFonts w:ascii="Times New Roman" w:hAnsi="Times New Roman" w:cs="Times New Roman"/>
          <w:sz w:val="24"/>
          <w:szCs w:val="24"/>
          <w:highlight w:val="yellow"/>
        </w:rPr>
        <w:t xml:space="preserve">skat. </w:t>
      </w:r>
      <w:r w:rsidR="00652FE6" w:rsidRPr="0015154B">
        <w:rPr>
          <w:rFonts w:ascii="Times New Roman" w:hAnsi="Times New Roman" w:cs="Times New Roman"/>
          <w:sz w:val="24"/>
          <w:szCs w:val="24"/>
          <w:highlight w:val="yellow"/>
        </w:rPr>
        <w:t>8.</w:t>
      </w:r>
      <w:r w:rsidRPr="0015154B">
        <w:rPr>
          <w:rFonts w:ascii="Times New Roman" w:hAnsi="Times New Roman" w:cs="Times New Roman"/>
          <w:sz w:val="24"/>
          <w:szCs w:val="24"/>
          <w:highlight w:val="yellow"/>
        </w:rPr>
        <w:t>attēlu</w:t>
      </w:r>
      <w:r w:rsidRPr="0015154B">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36"/>
      </w:r>
      <w:r w:rsidRPr="007157D3">
        <w:rPr>
          <w:rFonts w:ascii="Times New Roman" w:hAnsi="Times New Roman" w:cs="Times New Roman"/>
          <w:sz w:val="24"/>
          <w:szCs w:val="24"/>
        </w:rPr>
        <w:t xml:space="preserve"> </w:t>
      </w:r>
    </w:p>
    <w:p w14:paraId="6C0D8A14" w14:textId="77777777" w:rsidR="00200837" w:rsidRPr="002F5278" w:rsidRDefault="00200837" w:rsidP="00200837">
      <w:pPr>
        <w:autoSpaceDE w:val="0"/>
        <w:autoSpaceDN w:val="0"/>
        <w:adjustRightInd w:val="0"/>
        <w:spacing w:after="0" w:line="240" w:lineRule="auto"/>
        <w:ind w:firstLine="720"/>
        <w:jc w:val="both"/>
        <w:rPr>
          <w:rFonts w:ascii="Times New Roman" w:hAnsi="Times New Roman" w:cs="Times New Roman"/>
          <w:sz w:val="24"/>
          <w:szCs w:val="24"/>
        </w:rPr>
      </w:pPr>
    </w:p>
    <w:p w14:paraId="5E7711BB" w14:textId="7527647E" w:rsidR="00200837" w:rsidRPr="00A857F2" w:rsidRDefault="00652FE6" w:rsidP="00652FE6">
      <w:pPr>
        <w:autoSpaceDE w:val="0"/>
        <w:autoSpaceDN w:val="0"/>
        <w:adjustRightInd w:val="0"/>
        <w:spacing w:after="0" w:line="240" w:lineRule="auto"/>
        <w:jc w:val="both"/>
        <w:rPr>
          <w:rFonts w:ascii="Times New Roman" w:hAnsi="Times New Roman" w:cs="Times New Roman"/>
          <w:sz w:val="24"/>
          <w:szCs w:val="24"/>
        </w:rPr>
      </w:pPr>
      <w:r w:rsidRPr="0025422D">
        <w:rPr>
          <w:rFonts w:ascii="Times New Roman" w:hAnsi="Times New Roman" w:cs="Times New Roman"/>
          <w:sz w:val="24"/>
          <w:szCs w:val="24"/>
        </w:rPr>
        <w:t>8.</w:t>
      </w:r>
      <w:r w:rsidR="00200837" w:rsidRPr="00A857F2">
        <w:rPr>
          <w:rFonts w:ascii="Times New Roman" w:hAnsi="Times New Roman" w:cs="Times New Roman"/>
          <w:sz w:val="24"/>
          <w:szCs w:val="24"/>
        </w:rPr>
        <w:t>attēls</w:t>
      </w:r>
    </w:p>
    <w:p w14:paraId="18F02580" w14:textId="013B2987" w:rsidR="00200837" w:rsidRPr="0015154B" w:rsidRDefault="00CB767B" w:rsidP="00652FE6">
      <w:pPr>
        <w:autoSpaceDE w:val="0"/>
        <w:autoSpaceDN w:val="0"/>
        <w:adjustRightInd w:val="0"/>
        <w:spacing w:after="0" w:line="240" w:lineRule="auto"/>
        <w:ind w:firstLine="720"/>
        <w:jc w:val="center"/>
        <w:rPr>
          <w:rFonts w:ascii="Times New Roman" w:hAnsi="Times New Roman" w:cs="Times New Roman"/>
          <w:b/>
          <w:sz w:val="24"/>
          <w:szCs w:val="24"/>
        </w:rPr>
      </w:pPr>
      <w:r w:rsidRPr="009703E6">
        <w:rPr>
          <w:rFonts w:ascii="Times New Roman" w:hAnsi="Times New Roman" w:cs="Times New Roman"/>
          <w:b/>
          <w:color w:val="002060"/>
          <w:sz w:val="24"/>
          <w:szCs w:val="24"/>
        </w:rPr>
        <w:t>D</w:t>
      </w:r>
      <w:r w:rsidR="00200837" w:rsidRPr="009703E6">
        <w:rPr>
          <w:rFonts w:ascii="Times New Roman" w:hAnsi="Times New Roman" w:cs="Times New Roman"/>
          <w:b/>
          <w:color w:val="002060"/>
          <w:sz w:val="24"/>
          <w:szCs w:val="24"/>
        </w:rPr>
        <w:t>rošāk</w:t>
      </w:r>
      <w:r w:rsidRPr="0015154B">
        <w:rPr>
          <w:rFonts w:ascii="Times New Roman" w:hAnsi="Times New Roman" w:cs="Times New Roman"/>
          <w:b/>
          <w:color w:val="002060"/>
          <w:sz w:val="24"/>
          <w:szCs w:val="24"/>
        </w:rPr>
        <w:t>ās</w:t>
      </w:r>
      <w:r w:rsidR="00200837" w:rsidRPr="0015154B">
        <w:rPr>
          <w:rFonts w:ascii="Times New Roman" w:hAnsi="Times New Roman" w:cs="Times New Roman"/>
          <w:b/>
          <w:color w:val="002060"/>
          <w:sz w:val="24"/>
          <w:szCs w:val="24"/>
        </w:rPr>
        <w:t xml:space="preserve"> </w:t>
      </w:r>
      <w:r w:rsidRPr="0015154B">
        <w:rPr>
          <w:rFonts w:ascii="Times New Roman" w:hAnsi="Times New Roman" w:cs="Times New Roman"/>
          <w:b/>
          <w:color w:val="002060"/>
          <w:sz w:val="24"/>
          <w:szCs w:val="24"/>
        </w:rPr>
        <w:t xml:space="preserve">iedzīvotāju </w:t>
      </w:r>
      <w:r w:rsidR="00200837" w:rsidRPr="0015154B">
        <w:rPr>
          <w:rFonts w:ascii="Times New Roman" w:hAnsi="Times New Roman" w:cs="Times New Roman"/>
          <w:b/>
          <w:color w:val="002060"/>
          <w:sz w:val="24"/>
          <w:szCs w:val="24"/>
        </w:rPr>
        <w:t>atbalsta sistēm</w:t>
      </w:r>
      <w:r w:rsidRPr="0015154B">
        <w:rPr>
          <w:rFonts w:ascii="Times New Roman" w:hAnsi="Times New Roman" w:cs="Times New Roman"/>
          <w:b/>
          <w:color w:val="002060"/>
          <w:sz w:val="24"/>
          <w:szCs w:val="24"/>
        </w:rPr>
        <w:t>as</w:t>
      </w:r>
    </w:p>
    <w:p w14:paraId="5C792DBD" w14:textId="2FDC99F5" w:rsidR="00E34DEC" w:rsidRDefault="00200837" w:rsidP="00E34DEC">
      <w:pPr>
        <w:autoSpaceDE w:val="0"/>
        <w:autoSpaceDN w:val="0"/>
        <w:adjustRightInd w:val="0"/>
        <w:spacing w:after="0" w:line="240" w:lineRule="auto"/>
        <w:jc w:val="center"/>
        <w:rPr>
          <w:rFonts w:ascii="Times New Roman" w:hAnsi="Times New Roman" w:cs="Times New Roman"/>
          <w:sz w:val="24"/>
          <w:szCs w:val="24"/>
        </w:rPr>
      </w:pPr>
      <w:r w:rsidRPr="004A6572">
        <w:rPr>
          <w:noProof/>
          <w:lang w:eastAsia="lv-LV"/>
        </w:rPr>
        <w:drawing>
          <wp:inline distT="0" distB="0" distL="0" distR="0" wp14:anchorId="4277A8F1" wp14:editId="6163B2FB">
            <wp:extent cx="5382792" cy="3076575"/>
            <wp:effectExtent l="0" t="0" r="0" b="0"/>
            <wp:docPr id="16" name="Char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DB6D52" w14:textId="68D55DB7" w:rsidR="00C3230B" w:rsidRPr="007157D3" w:rsidRDefault="00C3230B" w:rsidP="002B00E3">
      <w:pPr>
        <w:autoSpaceDE w:val="0"/>
        <w:autoSpaceDN w:val="0"/>
        <w:adjustRightInd w:val="0"/>
        <w:spacing w:before="120" w:after="0" w:line="240" w:lineRule="auto"/>
        <w:ind w:firstLine="720"/>
        <w:jc w:val="both"/>
        <w:rPr>
          <w:rFonts w:ascii="Times New Roman" w:hAnsi="Times New Roman" w:cs="Times New Roman"/>
          <w:sz w:val="24"/>
          <w:szCs w:val="24"/>
        </w:rPr>
      </w:pPr>
      <w:r w:rsidRPr="0025422D">
        <w:rPr>
          <w:rFonts w:ascii="Times New Roman" w:hAnsi="Times New Roman" w:cs="Times New Roman"/>
          <w:sz w:val="24"/>
          <w:szCs w:val="24"/>
        </w:rPr>
        <w:t>Valsts sociālās apdrošināšanas sistēmas sniegto atbalstu pozitīvāk vērtē jaunāku vecuma grupu iedzīvotāji. Diemžēl paļaušanās uz valsts sociālās apdrošināšanas sistēmu nav</w:t>
      </w:r>
      <w:r w:rsidRPr="00A857F2">
        <w:rPr>
          <w:rFonts w:ascii="Times New Roman" w:hAnsi="Times New Roman" w:cs="Times New Roman"/>
          <w:sz w:val="24"/>
          <w:szCs w:val="24"/>
        </w:rPr>
        <w:t xml:space="preserve"> saistīta ar drošības sajūtu, ko tā rada – 34,5% gadījumu respondenti ir pauduši viedokli, ka šī atbalsta sistēma drīzāk neļauj justies droši, un 17,9% gadījumu, ka neļauj justies droši. Vairāk kā piektā </w:t>
      </w:r>
      <w:r w:rsidRPr="00A857F2">
        <w:rPr>
          <w:rFonts w:ascii="Times New Roman" w:hAnsi="Times New Roman" w:cs="Times New Roman"/>
          <w:sz w:val="24"/>
          <w:szCs w:val="24"/>
        </w:rPr>
        <w:lastRenderedPageBreak/>
        <w:t>daļa respondentu valsts sociālās apdrošināšanas sistēmas uzlabošanu saredz kā Saeimas un valdības primāri risināmu uzdevumu drošības sajūtas paaugstināšanai.</w:t>
      </w:r>
      <w:r w:rsidR="00652FE6" w:rsidRPr="007157D3">
        <w:rPr>
          <w:rStyle w:val="FootnoteReference"/>
          <w:rFonts w:ascii="Times New Roman" w:hAnsi="Times New Roman" w:cs="Times New Roman"/>
          <w:sz w:val="24"/>
          <w:szCs w:val="24"/>
        </w:rPr>
        <w:footnoteReference w:id="37"/>
      </w:r>
    </w:p>
    <w:p w14:paraId="1014E2C6" w14:textId="5C048583" w:rsidR="00C3230B" w:rsidRPr="007157D3" w:rsidRDefault="00BA7456" w:rsidP="002B00E3">
      <w:pPr>
        <w:autoSpaceDE w:val="0"/>
        <w:autoSpaceDN w:val="0"/>
        <w:adjustRightInd w:val="0"/>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sz w:val="24"/>
          <w:szCs w:val="24"/>
        </w:rPr>
        <w:t xml:space="preserve">Savukārt uz pašvaldību sniegto atbalstu, nonākot finansiālās grūtībās, paļautos 13,4% respondentu. Pozitīvāku vērtējumu šai atbalsta sistēmai sniedz </w:t>
      </w:r>
      <w:r w:rsidRPr="0025422D">
        <w:rPr>
          <w:rFonts w:ascii="Times New Roman" w:hAnsi="Times New Roman" w:cs="Times New Roman"/>
          <w:sz w:val="24"/>
          <w:szCs w:val="24"/>
        </w:rPr>
        <w:t xml:space="preserve">lauku iedzīvotāji un pirmspensijas vecuma iedzīvotāji. Paļāvība uz pašvaldību sniegto atbalstu zināmā mērā korelē ar drošības sajūtu, ko tas rada – 32,2% gadījumu respondenti ir pauduši viedokli, ka šī atbalsta sistēma drīzāk neļauj justies droši un 15,3% </w:t>
      </w:r>
      <w:r w:rsidRPr="00A857F2">
        <w:rPr>
          <w:rFonts w:ascii="Times New Roman" w:hAnsi="Times New Roman" w:cs="Times New Roman"/>
          <w:sz w:val="24"/>
          <w:szCs w:val="24"/>
        </w:rPr>
        <w:t>gadījumu, ka neļauj justies droši.</w:t>
      </w:r>
      <w:r w:rsidRPr="007157D3">
        <w:rPr>
          <w:rStyle w:val="FootnoteReference"/>
          <w:rFonts w:ascii="Times New Roman" w:hAnsi="Times New Roman" w:cs="Times New Roman"/>
          <w:sz w:val="24"/>
          <w:szCs w:val="24"/>
        </w:rPr>
        <w:footnoteReference w:id="38"/>
      </w:r>
    </w:p>
    <w:p w14:paraId="58E71E56" w14:textId="77777777" w:rsidR="00DB21CB" w:rsidRPr="002F5278" w:rsidRDefault="00DB21CB" w:rsidP="00200837">
      <w:pPr>
        <w:autoSpaceDE w:val="0"/>
        <w:autoSpaceDN w:val="0"/>
        <w:adjustRightInd w:val="0"/>
        <w:spacing w:after="0" w:line="240" w:lineRule="auto"/>
        <w:ind w:firstLine="720"/>
        <w:jc w:val="both"/>
        <w:rPr>
          <w:rFonts w:ascii="Times New Roman" w:hAnsi="Times New Roman" w:cs="Times New Roman"/>
          <w:sz w:val="24"/>
          <w:szCs w:val="24"/>
        </w:rPr>
      </w:pPr>
    </w:p>
    <w:p w14:paraId="48F8178E" w14:textId="0C475F40" w:rsidR="007505C2" w:rsidRPr="0025422D" w:rsidRDefault="007505C2" w:rsidP="00DA5144">
      <w:pPr>
        <w:pStyle w:val="Heading2"/>
      </w:pPr>
      <w:bookmarkStart w:id="14" w:name="_Toc55316065"/>
      <w:r w:rsidRPr="0025422D">
        <w:t>Pensiju adekvātums</w:t>
      </w:r>
      <w:bookmarkEnd w:id="14"/>
    </w:p>
    <w:p w14:paraId="69249430" w14:textId="4899A1C2" w:rsidR="00D861A9" w:rsidRPr="009703E6" w:rsidRDefault="00D861A9" w:rsidP="00520521">
      <w:pPr>
        <w:pStyle w:val="NormalWeb"/>
        <w:shd w:val="clear" w:color="auto" w:fill="FFFFFF"/>
        <w:spacing w:before="0" w:beforeAutospacing="0" w:after="240" w:afterAutospacing="0"/>
        <w:ind w:firstLine="567"/>
        <w:rPr>
          <w:rFonts w:ascii="Times New Roman" w:hAnsi="Times New Roman"/>
          <w:sz w:val="24"/>
          <w:szCs w:val="24"/>
        </w:rPr>
      </w:pPr>
      <w:r w:rsidRPr="00A857F2">
        <w:rPr>
          <w:rFonts w:ascii="Times New Roman" w:hAnsi="Times New Roman"/>
          <w:sz w:val="24"/>
          <w:szCs w:val="24"/>
        </w:rPr>
        <w:t xml:space="preserve">Latvijā darbojas trīs līmeņu </w:t>
      </w:r>
      <w:r w:rsidRPr="003B5C85">
        <w:rPr>
          <w:rFonts w:ascii="Times New Roman" w:hAnsi="Times New Roman"/>
          <w:b/>
          <w:sz w:val="24"/>
          <w:szCs w:val="24"/>
        </w:rPr>
        <w:t>pensiju sistēma</w:t>
      </w:r>
      <w:r w:rsidRPr="009703E6">
        <w:rPr>
          <w:rFonts w:ascii="Times New Roman" w:hAnsi="Times New Roman"/>
          <w:sz w:val="24"/>
          <w:szCs w:val="24"/>
        </w:rPr>
        <w:t>. Tā ietver:</w:t>
      </w:r>
    </w:p>
    <w:p w14:paraId="3B55ED79" w14:textId="2E274A01" w:rsidR="00D861A9" w:rsidRPr="0015154B" w:rsidRDefault="00D861A9" w:rsidP="00520521">
      <w:pPr>
        <w:pStyle w:val="NormalWeb"/>
        <w:shd w:val="clear" w:color="auto" w:fill="FFFFFF"/>
        <w:spacing w:before="240" w:beforeAutospacing="0" w:after="240" w:afterAutospacing="0"/>
        <w:ind w:left="567"/>
        <w:contextualSpacing/>
        <w:rPr>
          <w:rFonts w:ascii="Times New Roman" w:hAnsi="Times New Roman"/>
          <w:sz w:val="24"/>
          <w:szCs w:val="24"/>
        </w:rPr>
      </w:pPr>
      <w:r w:rsidRPr="009703E6">
        <w:rPr>
          <w:rFonts w:ascii="Times New Roman" w:hAnsi="Times New Roman"/>
          <w:b/>
          <w:color w:val="002060"/>
          <w:sz w:val="24"/>
          <w:szCs w:val="24"/>
        </w:rPr>
        <w:t>1.līmeni</w:t>
      </w:r>
      <w:r w:rsidR="006D741D" w:rsidRPr="0015154B">
        <w:rPr>
          <w:rFonts w:ascii="Times New Roman" w:hAnsi="Times New Roman"/>
          <w:sz w:val="24"/>
          <w:szCs w:val="24"/>
        </w:rPr>
        <w:t xml:space="preserve"> -</w:t>
      </w:r>
      <w:r w:rsidRPr="0015154B">
        <w:rPr>
          <w:rFonts w:ascii="Times New Roman" w:hAnsi="Times New Roman"/>
          <w:sz w:val="24"/>
          <w:szCs w:val="24"/>
        </w:rPr>
        <w:t xml:space="preserve"> valsts obligātā nefondēto pensiju shēma;</w:t>
      </w:r>
    </w:p>
    <w:p w14:paraId="6A841458" w14:textId="08E781E7" w:rsidR="00D861A9" w:rsidRPr="0015154B" w:rsidRDefault="00D861A9" w:rsidP="00520521">
      <w:pPr>
        <w:pStyle w:val="NormalWeb"/>
        <w:shd w:val="clear" w:color="auto" w:fill="FFFFFF"/>
        <w:spacing w:before="240" w:beforeAutospacing="0" w:after="240" w:afterAutospacing="0"/>
        <w:ind w:left="567"/>
        <w:contextualSpacing/>
        <w:rPr>
          <w:rFonts w:ascii="Times New Roman" w:hAnsi="Times New Roman"/>
          <w:sz w:val="24"/>
          <w:szCs w:val="24"/>
        </w:rPr>
      </w:pPr>
      <w:r w:rsidRPr="0015154B">
        <w:rPr>
          <w:rFonts w:ascii="Times New Roman" w:hAnsi="Times New Roman"/>
          <w:b/>
          <w:color w:val="002060"/>
          <w:sz w:val="24"/>
          <w:szCs w:val="24"/>
        </w:rPr>
        <w:t>2.līmeni</w:t>
      </w:r>
      <w:r w:rsidR="006D741D" w:rsidRPr="0015154B">
        <w:rPr>
          <w:rFonts w:ascii="Times New Roman" w:hAnsi="Times New Roman"/>
          <w:sz w:val="24"/>
          <w:szCs w:val="24"/>
        </w:rPr>
        <w:t xml:space="preserve"> -</w:t>
      </w:r>
      <w:r w:rsidRPr="0015154B">
        <w:rPr>
          <w:rFonts w:ascii="Times New Roman" w:hAnsi="Times New Roman"/>
          <w:sz w:val="24"/>
          <w:szCs w:val="24"/>
        </w:rPr>
        <w:t xml:space="preserve"> valsts fondēto pensiju shēma</w:t>
      </w:r>
      <w:r w:rsidR="00905D36" w:rsidRPr="0015154B">
        <w:rPr>
          <w:rFonts w:ascii="Times New Roman" w:hAnsi="Times New Roman"/>
          <w:sz w:val="24"/>
          <w:szCs w:val="24"/>
        </w:rPr>
        <w:t>;</w:t>
      </w:r>
    </w:p>
    <w:p w14:paraId="680D688E" w14:textId="39A20ED0" w:rsidR="00D861A9" w:rsidRPr="0015154B" w:rsidRDefault="00D861A9" w:rsidP="00520521">
      <w:pPr>
        <w:pStyle w:val="NormalWeb"/>
        <w:shd w:val="clear" w:color="auto" w:fill="FFFFFF"/>
        <w:spacing w:before="240" w:beforeAutospacing="0" w:after="240" w:afterAutospacing="0"/>
        <w:ind w:left="567"/>
        <w:contextualSpacing/>
        <w:rPr>
          <w:rFonts w:ascii="Times New Roman" w:hAnsi="Times New Roman"/>
          <w:sz w:val="24"/>
          <w:szCs w:val="24"/>
        </w:rPr>
      </w:pPr>
      <w:r w:rsidRPr="0015154B">
        <w:rPr>
          <w:rFonts w:ascii="Times New Roman" w:hAnsi="Times New Roman"/>
          <w:b/>
          <w:color w:val="002060"/>
          <w:sz w:val="24"/>
          <w:szCs w:val="24"/>
        </w:rPr>
        <w:t>3.līmeni</w:t>
      </w:r>
      <w:r w:rsidR="006D741D" w:rsidRPr="0015154B">
        <w:rPr>
          <w:rFonts w:ascii="Times New Roman" w:hAnsi="Times New Roman"/>
          <w:sz w:val="24"/>
          <w:szCs w:val="24"/>
        </w:rPr>
        <w:t xml:space="preserve"> -</w:t>
      </w:r>
      <w:r w:rsidRPr="0015154B">
        <w:rPr>
          <w:rFonts w:ascii="Times New Roman" w:hAnsi="Times New Roman"/>
          <w:sz w:val="24"/>
          <w:szCs w:val="24"/>
        </w:rPr>
        <w:t xml:space="preserve"> privātā brīvprātīgā pensiju shēma.</w:t>
      </w:r>
    </w:p>
    <w:p w14:paraId="11AE62D1" w14:textId="5B8841CF" w:rsidR="005739AB" w:rsidRPr="002F5278" w:rsidRDefault="00E70933" w:rsidP="002B00E3">
      <w:pPr>
        <w:autoSpaceDE w:val="0"/>
        <w:autoSpaceDN w:val="0"/>
        <w:adjustRightInd w:val="0"/>
        <w:spacing w:before="120" w:after="0" w:line="240" w:lineRule="auto"/>
        <w:ind w:firstLine="720"/>
        <w:jc w:val="both"/>
        <w:rPr>
          <w:rFonts w:ascii="Times New Roman" w:hAnsi="Times New Roman" w:cs="Times New Roman"/>
          <w:sz w:val="24"/>
          <w:szCs w:val="24"/>
        </w:rPr>
      </w:pPr>
      <w:r w:rsidRPr="004A6572">
        <w:rPr>
          <w:rFonts w:ascii="Times New Roman" w:hAnsi="Times New Roman" w:cs="Times New Roman"/>
          <w:noProof/>
          <w:sz w:val="24"/>
          <w:szCs w:val="24"/>
        </w:rPr>
        <mc:AlternateContent>
          <mc:Choice Requires="wpg">
            <w:drawing>
              <wp:anchor distT="45720" distB="45720" distL="182880" distR="182880" simplePos="0" relativeHeight="251673600" behindDoc="0" locked="0" layoutInCell="1" allowOverlap="1" wp14:anchorId="2EEAC800" wp14:editId="0948937F">
                <wp:simplePos x="0" y="0"/>
                <wp:positionH relativeFrom="margin">
                  <wp:posOffset>2872740</wp:posOffset>
                </wp:positionH>
                <wp:positionV relativeFrom="margin">
                  <wp:posOffset>3456940</wp:posOffset>
                </wp:positionV>
                <wp:extent cx="2654300" cy="1133475"/>
                <wp:effectExtent l="0" t="0" r="0" b="9525"/>
                <wp:wrapSquare wrapText="bothSides"/>
                <wp:docPr id="192" name="Group 192"/>
                <wp:cNvGraphicFramePr/>
                <a:graphic xmlns:a="http://schemas.openxmlformats.org/drawingml/2006/main">
                  <a:graphicData uri="http://schemas.microsoft.com/office/word/2010/wordprocessingGroup">
                    <wpg:wgp>
                      <wpg:cNvGrpSpPr/>
                      <wpg:grpSpPr>
                        <a:xfrm>
                          <a:off x="0" y="0"/>
                          <a:ext cx="2654300" cy="1133475"/>
                          <a:chOff x="-14753" y="0"/>
                          <a:chExt cx="3582201" cy="1267928"/>
                        </a:xfrm>
                      </wpg:grpSpPr>
                      <wps:wsp>
                        <wps:cNvPr id="193" name="Rectangle 193"/>
                        <wps:cNvSpPr/>
                        <wps:spPr>
                          <a:xfrm>
                            <a:off x="0" y="0"/>
                            <a:ext cx="3567448" cy="9584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F35C3" w14:textId="77777777" w:rsidR="00D67CF6" w:rsidRDefault="00D67CF6" w:rsidP="009D13E7">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Text Box 194"/>
                        <wps:cNvSpPr txBox="1"/>
                        <wps:spPr>
                          <a:xfrm>
                            <a:off x="-14753" y="100797"/>
                            <a:ext cx="3567447" cy="11671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E4392" w14:textId="312608E3" w:rsidR="00D67CF6" w:rsidRPr="009B51DF" w:rsidRDefault="00D67CF6" w:rsidP="009D13E7">
                              <w:pPr>
                                <w:rPr>
                                  <w:caps/>
                                  <w:color w:val="549E39" w:themeColor="accent1"/>
                                  <w:sz w:val="24"/>
                                  <w:szCs w:val="24"/>
                                </w:rPr>
                              </w:pPr>
                              <w:r>
                                <w:rPr>
                                  <w:rFonts w:ascii="Times New Roman" w:hAnsi="Times New Roman" w:cs="Times New Roman"/>
                                  <w:color w:val="002060"/>
                                  <w:sz w:val="24"/>
                                  <w:szCs w:val="24"/>
                                </w:rPr>
                                <w:t>V</w:t>
                              </w:r>
                              <w:r w:rsidRPr="009B51DF">
                                <w:rPr>
                                  <w:rFonts w:ascii="Times New Roman" w:hAnsi="Times New Roman" w:cs="Times New Roman"/>
                                  <w:color w:val="002060"/>
                                  <w:sz w:val="24"/>
                                  <w:szCs w:val="24"/>
                                </w:rPr>
                                <w:t>ecuma pensijas aizvietojuma līmenim jāsasniedz 40% no 1.pensiju līmeņa</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EAC800" id="Group 192" o:spid="_x0000_s1029" style="position:absolute;left:0;text-align:left;margin-left:226.2pt;margin-top:272.2pt;width:209pt;height:89.25pt;z-index:251673600;mso-wrap-distance-left:14.4pt;mso-wrap-distance-top:3.6pt;mso-wrap-distance-right:14.4pt;mso-wrap-distance-bottom:3.6pt;mso-position-horizontal-relative:margin;mso-position-vertical-relative:margin;mso-width-relative:margin;mso-height-relative:margin" coordorigin="-147" coordsize="35822,1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">
                <v:rect id="Rectangle 193" o:spid="_x0000_s1030" style="position:absolute;width:35674;height: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" fillcolor="#549e39 [3204]" stroked="f" strokeweight="1pt">
                  <v:textbox>
                    <w:txbxContent>
                      <w:p w14:paraId="226F35C3" w14:textId="77777777" w:rsidR="00D67CF6" w:rsidRDefault="00D67CF6" w:rsidP="009D13E7">
                        <w:pPr>
                          <w:jc w:val="center"/>
                          <w:rPr>
                            <w:rFonts w:asciiTheme="majorHAnsi" w:eastAsiaTheme="majorEastAsia" w:hAnsiTheme="majorHAnsi" w:cstheme="majorBidi"/>
                            <w:color w:val="FFFFFF" w:themeColor="background1"/>
                            <w:sz w:val="24"/>
                            <w:szCs w:val="28"/>
                          </w:rPr>
                        </w:pPr>
                      </w:p>
                    </w:txbxContent>
                  </v:textbox>
                </v:rect>
                <v:shape id="Text Box 194" o:spid="_x0000_s1031" type="#_x0000_t202" style="position:absolute;left:-147;top:1007;width:35673;height:1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" filled="f" stroked="f" strokeweight=".5pt">
                  <v:textbox inset=",7.2pt,,0">
                    <w:txbxContent>
                      <w:p w14:paraId="1F6E4392" w14:textId="312608E3" w:rsidR="00D67CF6" w:rsidRPr="009B51DF" w:rsidRDefault="00D67CF6" w:rsidP="009D13E7">
                        <w:pPr>
                          <w:rPr>
                            <w:caps/>
                            <w:color w:val="549E39" w:themeColor="accent1"/>
                            <w:sz w:val="24"/>
                            <w:szCs w:val="24"/>
                          </w:rPr>
                        </w:pPr>
                        <w:r>
                          <w:rPr>
                            <w:rFonts w:ascii="Times New Roman" w:hAnsi="Times New Roman" w:cs="Times New Roman"/>
                            <w:color w:val="002060"/>
                            <w:sz w:val="24"/>
                            <w:szCs w:val="24"/>
                          </w:rPr>
                          <w:t>V</w:t>
                        </w:r>
                        <w:r w:rsidRPr="009B51DF">
                          <w:rPr>
                            <w:rFonts w:ascii="Times New Roman" w:hAnsi="Times New Roman" w:cs="Times New Roman"/>
                            <w:color w:val="002060"/>
                            <w:sz w:val="24"/>
                            <w:szCs w:val="24"/>
                          </w:rPr>
                          <w:t>ecuma pensijas aizvietojuma līmenim jāsasniedz 40% no 1.pensiju līmeņa</w:t>
                        </w:r>
                      </w:p>
                    </w:txbxContent>
                  </v:textbox>
                </v:shape>
                <w10:wrap type="square" anchorx="margin" anchory="margin"/>
              </v:group>
            </w:pict>
          </mc:Fallback>
        </mc:AlternateContent>
      </w:r>
      <w:r w:rsidR="00FA4491" w:rsidRPr="004A6572">
        <w:rPr>
          <w:rFonts w:ascii="Times New Roman" w:hAnsi="Times New Roman" w:cs="Times New Roman"/>
          <w:noProof/>
          <w:sz w:val="24"/>
          <w:szCs w:val="24"/>
        </w:rPr>
        <mc:AlternateContent>
          <mc:Choice Requires="wpg">
            <w:drawing>
              <wp:anchor distT="45720" distB="45720" distL="182880" distR="182880" simplePos="0" relativeHeight="251671552" behindDoc="0" locked="0" layoutInCell="1" allowOverlap="1" wp14:anchorId="03C7B6E6" wp14:editId="6F902E83">
                <wp:simplePos x="0" y="0"/>
                <wp:positionH relativeFrom="margin">
                  <wp:posOffset>62865</wp:posOffset>
                </wp:positionH>
                <wp:positionV relativeFrom="margin">
                  <wp:posOffset>3466465</wp:posOffset>
                </wp:positionV>
                <wp:extent cx="2653030" cy="1190625"/>
                <wp:effectExtent l="0" t="0" r="0" b="9525"/>
                <wp:wrapTopAndBottom/>
                <wp:docPr id="54" name="Group 54"/>
                <wp:cNvGraphicFramePr/>
                <a:graphic xmlns:a="http://schemas.openxmlformats.org/drawingml/2006/main">
                  <a:graphicData uri="http://schemas.microsoft.com/office/word/2010/wordprocessingGroup">
                    <wpg:wgp>
                      <wpg:cNvGrpSpPr/>
                      <wpg:grpSpPr>
                        <a:xfrm>
                          <a:off x="0" y="0"/>
                          <a:ext cx="2653030" cy="1190625"/>
                          <a:chOff x="-14753" y="0"/>
                          <a:chExt cx="3582201" cy="1267928"/>
                        </a:xfrm>
                      </wpg:grpSpPr>
                      <wps:wsp>
                        <wps:cNvPr id="55" name="Rectangle 55"/>
                        <wps:cNvSpPr/>
                        <wps:spPr>
                          <a:xfrm>
                            <a:off x="0" y="0"/>
                            <a:ext cx="3567448" cy="9584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B1A630" w14:textId="77777777" w:rsidR="00D67CF6" w:rsidRDefault="00D67CF6">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14753" y="100797"/>
                            <a:ext cx="3567447" cy="11671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1E463" w14:textId="2C96523D" w:rsidR="00D67CF6" w:rsidRPr="009B51DF" w:rsidRDefault="00D67CF6">
                              <w:pPr>
                                <w:rPr>
                                  <w:caps/>
                                  <w:color w:val="549E39" w:themeColor="accent1"/>
                                  <w:sz w:val="24"/>
                                  <w:szCs w:val="24"/>
                                </w:rPr>
                              </w:pPr>
                              <w:r>
                                <w:rPr>
                                  <w:rFonts w:ascii="Times New Roman" w:hAnsi="Times New Roman" w:cs="Times New Roman"/>
                                  <w:color w:val="002060"/>
                                  <w:sz w:val="24"/>
                                  <w:szCs w:val="24"/>
                                </w:rPr>
                                <w:t>M</w:t>
                              </w:r>
                              <w:r w:rsidRPr="009B51DF">
                                <w:rPr>
                                  <w:rFonts w:ascii="Times New Roman" w:hAnsi="Times New Roman" w:cs="Times New Roman"/>
                                  <w:color w:val="002060"/>
                                  <w:sz w:val="24"/>
                                  <w:szCs w:val="24"/>
                                </w:rPr>
                                <w:t>inimālās pensijas apjomam jāsasniedz 20% no vidējās bruto darba samaksas valstī, ja algas pieaugums valstī pārsniedz cenu pieaugumu</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C7B6E6" id="Group 54" o:spid="_x0000_s1032" style="position:absolute;left:0;text-align:left;margin-left:4.95pt;margin-top:272.95pt;width:208.9pt;height:93.75pt;z-index:251671552;mso-wrap-distance-left:14.4pt;mso-wrap-distance-top:3.6pt;mso-wrap-distance-right:14.4pt;mso-wrap-distance-bottom:3.6pt;mso-position-horizontal-relative:margin;mso-position-vertical-relative:margin;mso-width-relative:margin;mso-height-relative:margin" coordorigin="-147" coordsize="35822,1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">
                <v:rect id="Rectangle 55" o:spid="_x0000_s1033" style="position:absolute;width:35674;height: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" fillcolor="#549e39 [3204]" stroked="f" strokeweight="1pt">
                  <v:textbox>
                    <w:txbxContent>
                      <w:p w14:paraId="4BB1A630" w14:textId="77777777" w:rsidR="00D67CF6" w:rsidRDefault="00D67CF6">
                        <w:pPr>
                          <w:jc w:val="center"/>
                          <w:rPr>
                            <w:rFonts w:asciiTheme="majorHAnsi" w:eastAsiaTheme="majorEastAsia" w:hAnsiTheme="majorHAnsi" w:cstheme="majorBidi"/>
                            <w:color w:val="FFFFFF" w:themeColor="background1"/>
                            <w:sz w:val="24"/>
                            <w:szCs w:val="28"/>
                          </w:rPr>
                        </w:pPr>
                      </w:p>
                    </w:txbxContent>
                  </v:textbox>
                </v:rect>
                <v:shape id="Text Box 56" o:spid="_x0000_s1034" type="#_x0000_t202" style="position:absolute;left:-147;top:1007;width:35673;height:1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" filled="f" stroked="f" strokeweight=".5pt">
                  <v:textbox inset=",7.2pt,,0">
                    <w:txbxContent>
                      <w:p w14:paraId="5B91E463" w14:textId="2C96523D" w:rsidR="00D67CF6" w:rsidRPr="009B51DF" w:rsidRDefault="00D67CF6">
                        <w:pPr>
                          <w:rPr>
                            <w:caps/>
                            <w:color w:val="549E39" w:themeColor="accent1"/>
                            <w:sz w:val="24"/>
                            <w:szCs w:val="24"/>
                          </w:rPr>
                        </w:pPr>
                        <w:r>
                          <w:rPr>
                            <w:rFonts w:ascii="Times New Roman" w:hAnsi="Times New Roman" w:cs="Times New Roman"/>
                            <w:color w:val="002060"/>
                            <w:sz w:val="24"/>
                            <w:szCs w:val="24"/>
                          </w:rPr>
                          <w:t>M</w:t>
                        </w:r>
                        <w:r w:rsidRPr="009B51DF">
                          <w:rPr>
                            <w:rFonts w:ascii="Times New Roman" w:hAnsi="Times New Roman" w:cs="Times New Roman"/>
                            <w:color w:val="002060"/>
                            <w:sz w:val="24"/>
                            <w:szCs w:val="24"/>
                          </w:rPr>
                          <w:t>inimālās pensijas apjomam jāsasniedz 20% no vidējās bruto darba samaksas valstī, ja algas pieaugums valstī pārsniedz cenu pieaugumu</w:t>
                        </w:r>
                      </w:p>
                    </w:txbxContent>
                  </v:textbox>
                </v:shape>
                <w10:wrap type="topAndBottom" anchorx="margin" anchory="margin"/>
              </v:group>
            </w:pict>
          </mc:Fallback>
        </mc:AlternateContent>
      </w:r>
      <w:r w:rsidR="005739AB" w:rsidRPr="007157D3">
        <w:rPr>
          <w:rFonts w:ascii="Times New Roman" w:hAnsi="Times New Roman" w:cs="Times New Roman"/>
          <w:sz w:val="24"/>
          <w:szCs w:val="24"/>
        </w:rPr>
        <w:t>Politikas mērķi attiecībā uz pensijas vecuma iedzīvotāju ienākumu atvietojuma līmeni un adekvātumu tika definēti Pensiju reformas koncepcijā, proti:</w:t>
      </w:r>
    </w:p>
    <w:p w14:paraId="60D530B8" w14:textId="77777777" w:rsidR="0063380C" w:rsidRDefault="005739AB" w:rsidP="001D529A">
      <w:pPr>
        <w:autoSpaceDE w:val="0"/>
        <w:autoSpaceDN w:val="0"/>
        <w:adjustRightInd w:val="0"/>
        <w:spacing w:before="120" w:after="0" w:line="240" w:lineRule="auto"/>
        <w:ind w:firstLine="720"/>
        <w:jc w:val="both"/>
        <w:rPr>
          <w:rFonts w:ascii="Times New Roman" w:eastAsia="Times New Roman,Italic" w:hAnsi="Times New Roman" w:cs="Times New Roman"/>
          <w:iCs/>
          <w:sz w:val="24"/>
          <w:szCs w:val="24"/>
        </w:rPr>
      </w:pPr>
      <w:r w:rsidRPr="007157D3">
        <w:rPr>
          <w:rFonts w:ascii="Times New Roman" w:hAnsi="Times New Roman" w:cs="Times New Roman"/>
          <w:sz w:val="24"/>
          <w:szCs w:val="24"/>
        </w:rPr>
        <w:t xml:space="preserve">Kā norādīts Valsts kontroles ziņojumā, valstī nav iespējams pilnā apmērā realizēt Pensiju 1.līmeņa mērķi - </w:t>
      </w:r>
      <w:r w:rsidRPr="002F5278">
        <w:rPr>
          <w:rFonts w:ascii="Times New Roman" w:eastAsia="Times New Roman,Italic" w:hAnsi="Times New Roman" w:cs="Times New Roman"/>
          <w:iCs/>
          <w:sz w:val="24"/>
          <w:szCs w:val="24"/>
        </w:rPr>
        <w:t>no</w:t>
      </w:r>
      <w:r w:rsidRPr="0025422D">
        <w:rPr>
          <w:rFonts w:ascii="Times New Roman" w:eastAsia="Times New Roman,Italic" w:hAnsi="Times New Roman" w:cs="Times New Roman"/>
          <w:iCs/>
          <w:sz w:val="24"/>
          <w:szCs w:val="24"/>
        </w:rPr>
        <w:t>drošināt minimālo ienākumu līmeni pensijas vecuma iedzīvotājiem 20% apmērā no vidējās bruto algas valstī, lai novērstu nabadzību šīs iedzīvotāju grupas vidū, turklāt vērojama arvien lielāka attālināšanās no tā sasniegšanas</w:t>
      </w:r>
      <w:r w:rsidRPr="00A857F2">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39"/>
      </w:r>
      <w:r w:rsidRPr="007157D3">
        <w:rPr>
          <w:rFonts w:ascii="Times New Roman" w:hAnsi="Times New Roman" w:cs="Times New Roman"/>
          <w:sz w:val="24"/>
          <w:szCs w:val="24"/>
        </w:rPr>
        <w:t xml:space="preserve"> </w:t>
      </w:r>
      <w:r w:rsidR="00954682" w:rsidRPr="007157D3">
        <w:rPr>
          <w:rFonts w:ascii="Times New Roman" w:hAnsi="Times New Roman" w:cs="Times New Roman"/>
          <w:sz w:val="24"/>
          <w:szCs w:val="24"/>
        </w:rPr>
        <w:t xml:space="preserve">Izvērtējumā ir atzīts, </w:t>
      </w:r>
      <w:r w:rsidR="00954682" w:rsidRPr="002F5278">
        <w:rPr>
          <w:rFonts w:ascii="Times New Roman" w:eastAsia="Times New Roman,Italic" w:hAnsi="Times New Roman" w:cs="Times New Roman"/>
          <w:iCs/>
          <w:sz w:val="24"/>
          <w:szCs w:val="24"/>
        </w:rPr>
        <w:t>ka pensi</w:t>
      </w:r>
      <w:r w:rsidR="00954682" w:rsidRPr="0025422D">
        <w:rPr>
          <w:rFonts w:ascii="Times New Roman" w:eastAsia="Times New Roman,Italic" w:hAnsi="Times New Roman" w:cs="Times New Roman"/>
          <w:iCs/>
          <w:sz w:val="24"/>
          <w:szCs w:val="24"/>
        </w:rPr>
        <w:t>ju 1.līmenim izvirzītais mērķis ar pašreizējiem un tuvākajā laikā plānotajiem sociālās apdrošināšanas speciālā budžeta ieņēmumiem nav arī sasniedzams. Tomēr uzsāktās reformas nabadzības mazināšanai (MIL koncepcijas īstenošana) rada priekšnoteikumus Pensiju</w:t>
      </w:r>
      <w:r w:rsidR="00954682" w:rsidRPr="00A857F2">
        <w:rPr>
          <w:rFonts w:ascii="Times New Roman" w:eastAsia="Times New Roman,Italic" w:hAnsi="Times New Roman" w:cs="Times New Roman"/>
          <w:iCs/>
          <w:sz w:val="24"/>
          <w:szCs w:val="24"/>
        </w:rPr>
        <w:t xml:space="preserve"> reformas koncepcijā iecerētā mērķa sasniegšanai un, ja tiks pieņemts lēmums minimālo valsts vecuma pensiju pielīdzināt minimālajam ienākumu līmenim, tās apmērs tuvosies 20% no vidējās bruto algas valstī.</w:t>
      </w:r>
      <w:r w:rsidR="00C81187">
        <w:rPr>
          <w:rFonts w:ascii="Times New Roman" w:eastAsia="Times New Roman,Italic" w:hAnsi="Times New Roman" w:cs="Times New Roman"/>
          <w:iCs/>
          <w:sz w:val="24"/>
          <w:szCs w:val="24"/>
        </w:rPr>
        <w:t xml:space="preserve"> </w:t>
      </w:r>
    </w:p>
    <w:p w14:paraId="5678CEFE" w14:textId="01B0B3D6" w:rsidR="00954682" w:rsidRPr="00A857F2" w:rsidRDefault="0063380C" w:rsidP="001D529A">
      <w:pPr>
        <w:autoSpaceDE w:val="0"/>
        <w:autoSpaceDN w:val="0"/>
        <w:adjustRightInd w:val="0"/>
        <w:spacing w:before="120" w:after="0" w:line="240" w:lineRule="auto"/>
        <w:ind w:firstLine="720"/>
        <w:jc w:val="both"/>
        <w:rPr>
          <w:rFonts w:ascii="Times New Roman" w:eastAsia="Times New Roman,Italic" w:hAnsi="Times New Roman" w:cs="Times New Roman"/>
          <w:iCs/>
          <w:sz w:val="24"/>
          <w:szCs w:val="24"/>
        </w:rPr>
      </w:pPr>
      <w:r>
        <w:rPr>
          <w:rFonts w:ascii="Times New Roman" w:eastAsia="Times New Roman,Italic" w:hAnsi="Times New Roman" w:cs="Times New Roman"/>
          <w:iCs/>
          <w:sz w:val="24"/>
          <w:szCs w:val="24"/>
        </w:rPr>
        <w:t xml:space="preserve">Pensiju adekvātums ir jāvērtē arī Eiropas Sociālās hartas kontekstā, proti, saskaņā ar </w:t>
      </w:r>
      <w:r w:rsidRPr="0063380C">
        <w:rPr>
          <w:rFonts w:ascii="Times New Roman" w:eastAsia="Times New Roman,Italic" w:hAnsi="Times New Roman" w:cs="Times New Roman"/>
          <w:iCs/>
          <w:sz w:val="24"/>
          <w:szCs w:val="24"/>
        </w:rPr>
        <w:t>Hartas 12.panta 1.punktu sociālās drošības sistēmai jāspēj personai garantēt efektīvas tiesības saņemt sociālo nodrošinājumu</w:t>
      </w:r>
      <w:r>
        <w:rPr>
          <w:rFonts w:ascii="Times New Roman" w:eastAsia="Times New Roman,Italic" w:hAnsi="Times New Roman" w:cs="Times New Roman"/>
          <w:iCs/>
          <w:sz w:val="24"/>
          <w:szCs w:val="24"/>
        </w:rPr>
        <w:t xml:space="preserve"> un saņemt adekvātu</w:t>
      </w:r>
      <w:r w:rsidRPr="0063380C">
        <w:rPr>
          <w:rFonts w:ascii="Times New Roman" w:eastAsia="Times New Roman,Italic" w:hAnsi="Times New Roman" w:cs="Times New Roman"/>
          <w:iCs/>
          <w:sz w:val="24"/>
          <w:szCs w:val="24"/>
        </w:rPr>
        <w:t xml:space="preserve"> sociāl</w:t>
      </w:r>
      <w:r>
        <w:rPr>
          <w:rFonts w:ascii="Times New Roman" w:eastAsia="Times New Roman,Italic" w:hAnsi="Times New Roman" w:cs="Times New Roman"/>
          <w:iCs/>
          <w:sz w:val="24"/>
          <w:szCs w:val="24"/>
        </w:rPr>
        <w:t>o</w:t>
      </w:r>
      <w:r w:rsidRPr="0063380C">
        <w:rPr>
          <w:rFonts w:ascii="Times New Roman" w:eastAsia="Times New Roman,Italic" w:hAnsi="Times New Roman" w:cs="Times New Roman"/>
          <w:iCs/>
          <w:sz w:val="24"/>
          <w:szCs w:val="24"/>
        </w:rPr>
        <w:t xml:space="preserve"> nodrošinājum</w:t>
      </w:r>
      <w:r>
        <w:rPr>
          <w:rFonts w:ascii="Times New Roman" w:eastAsia="Times New Roman,Italic" w:hAnsi="Times New Roman" w:cs="Times New Roman"/>
          <w:iCs/>
          <w:sz w:val="24"/>
          <w:szCs w:val="24"/>
        </w:rPr>
        <w:t>u</w:t>
      </w:r>
      <w:r w:rsidRPr="0063380C">
        <w:rPr>
          <w:rFonts w:ascii="Times New Roman" w:eastAsia="Times New Roman,Italic" w:hAnsi="Times New Roman" w:cs="Times New Roman"/>
          <w:iCs/>
          <w:sz w:val="24"/>
          <w:szCs w:val="24"/>
        </w:rPr>
        <w:t xml:space="preserve">. Eiropas Sociālo tiesību komiteja ir norādījusi, ka minimālajam sociālā nodrošinājuma apmēram, ja tas ir ienākumus aizstājošs, jebkurā gadījumā ir jābūt vismaz 50 % no ienākumu mediānas uz vienu ekvivalento patērētāju, bet, ja tas ir zem 40 % no šīs mediānas, tad tas automātiski rada neatbilstību </w:t>
      </w:r>
      <w:r>
        <w:rPr>
          <w:rFonts w:ascii="Times New Roman" w:eastAsia="Times New Roman,Italic" w:hAnsi="Times New Roman" w:cs="Times New Roman"/>
          <w:iCs/>
          <w:sz w:val="24"/>
          <w:szCs w:val="24"/>
        </w:rPr>
        <w:t>h</w:t>
      </w:r>
      <w:r w:rsidRPr="0063380C">
        <w:rPr>
          <w:rFonts w:ascii="Times New Roman" w:eastAsia="Times New Roman,Italic" w:hAnsi="Times New Roman" w:cs="Times New Roman"/>
          <w:iCs/>
          <w:sz w:val="24"/>
          <w:szCs w:val="24"/>
        </w:rPr>
        <w:t xml:space="preserve">artas 12.panta 1.punktam. Ņemot vērā to, ka Latvijas valsts ir atzinusi sev par </w:t>
      </w:r>
      <w:r w:rsidRPr="0063380C">
        <w:rPr>
          <w:rFonts w:ascii="Times New Roman" w:eastAsia="Times New Roman,Italic" w:hAnsi="Times New Roman" w:cs="Times New Roman"/>
          <w:iCs/>
          <w:sz w:val="24"/>
          <w:szCs w:val="24"/>
        </w:rPr>
        <w:lastRenderedPageBreak/>
        <w:t>saistošu Hartas 12.panta 1.punktu, tad</w:t>
      </w:r>
      <w:r w:rsidR="00E807D6">
        <w:rPr>
          <w:rFonts w:ascii="Times New Roman" w:eastAsia="Times New Roman,Italic" w:hAnsi="Times New Roman" w:cs="Times New Roman"/>
          <w:iCs/>
          <w:sz w:val="24"/>
          <w:szCs w:val="24"/>
        </w:rPr>
        <w:t xml:space="preserve"> pensiju adekvātuma palielināšanā ir jāvirzās uz šī aizvietojuma līmeņa nodrošināšanu</w:t>
      </w:r>
      <w:r w:rsidRPr="0063380C">
        <w:rPr>
          <w:rFonts w:ascii="Times New Roman" w:eastAsia="Times New Roman,Italic" w:hAnsi="Times New Roman" w:cs="Times New Roman"/>
          <w:iCs/>
          <w:sz w:val="24"/>
          <w:szCs w:val="24"/>
        </w:rPr>
        <w:t>.</w:t>
      </w:r>
    </w:p>
    <w:p w14:paraId="7DAC666E" w14:textId="574F6F14" w:rsidR="00200837" w:rsidRPr="0015154B" w:rsidRDefault="00200837" w:rsidP="009B51DF">
      <w:pPr>
        <w:autoSpaceDE w:val="0"/>
        <w:autoSpaceDN w:val="0"/>
        <w:adjustRightInd w:val="0"/>
        <w:spacing w:before="120" w:after="0" w:line="240" w:lineRule="auto"/>
        <w:ind w:firstLine="720"/>
        <w:jc w:val="both"/>
        <w:rPr>
          <w:rFonts w:ascii="Times New Roman" w:hAnsi="Times New Roman" w:cs="Times New Roman"/>
          <w:sz w:val="24"/>
          <w:szCs w:val="24"/>
        </w:rPr>
      </w:pPr>
      <w:r w:rsidRPr="009703E6">
        <w:rPr>
          <w:rFonts w:ascii="Times New Roman" w:hAnsi="Times New Roman" w:cs="Times New Roman"/>
          <w:sz w:val="24"/>
          <w:szCs w:val="24"/>
        </w:rPr>
        <w:t xml:space="preserve">Latvijā ieviestais regulējums nodrošina </w:t>
      </w:r>
      <w:r w:rsidR="00D861A9" w:rsidRPr="009703E6">
        <w:rPr>
          <w:rFonts w:ascii="Times New Roman" w:hAnsi="Times New Roman" w:cs="Times New Roman"/>
          <w:sz w:val="24"/>
          <w:szCs w:val="24"/>
        </w:rPr>
        <w:t>notei</w:t>
      </w:r>
      <w:r w:rsidR="00D861A9" w:rsidRPr="0015154B">
        <w:rPr>
          <w:rFonts w:ascii="Times New Roman" w:hAnsi="Times New Roman" w:cs="Times New Roman"/>
          <w:sz w:val="24"/>
          <w:szCs w:val="24"/>
        </w:rPr>
        <w:t xml:space="preserve">ktu </w:t>
      </w:r>
      <w:r w:rsidRPr="0015154B">
        <w:rPr>
          <w:rFonts w:ascii="Times New Roman" w:hAnsi="Times New Roman" w:cs="Times New Roman"/>
          <w:b/>
          <w:sz w:val="24"/>
          <w:szCs w:val="24"/>
        </w:rPr>
        <w:t>ienākumu garantēšanu pensionēšanās vecumu sasniegušām personām</w:t>
      </w:r>
      <w:r w:rsidRPr="0015154B">
        <w:rPr>
          <w:rFonts w:ascii="Times New Roman" w:hAnsi="Times New Roman" w:cs="Times New Roman"/>
          <w:sz w:val="24"/>
          <w:szCs w:val="24"/>
        </w:rPr>
        <w:t>:</w:t>
      </w:r>
    </w:p>
    <w:p w14:paraId="59E28D9C" w14:textId="04B2715E" w:rsidR="00200837" w:rsidRPr="007157D3" w:rsidRDefault="00200837" w:rsidP="009D13E7">
      <w:pPr>
        <w:pStyle w:val="ListParagraph"/>
        <w:pBdr>
          <w:top w:val="single" w:sz="18" w:space="1" w:color="549E39" w:themeColor="accent1"/>
          <w:bottom w:val="single" w:sz="18" w:space="1" w:color="549E39" w:themeColor="accent1"/>
        </w:pBdr>
        <w:autoSpaceDE w:val="0"/>
        <w:autoSpaceDN w:val="0"/>
        <w:adjustRightInd w:val="0"/>
        <w:spacing w:before="120" w:after="0" w:line="240" w:lineRule="auto"/>
        <w:jc w:val="both"/>
        <w:rPr>
          <w:rFonts w:ascii="Times New Roman" w:hAnsi="Times New Roman" w:cs="Times New Roman"/>
          <w:sz w:val="24"/>
          <w:szCs w:val="24"/>
        </w:rPr>
      </w:pPr>
      <w:r w:rsidRPr="0015154B">
        <w:rPr>
          <w:rFonts w:ascii="Times New Roman" w:hAnsi="Times New Roman" w:cs="Times New Roman"/>
          <w:b/>
          <w:color w:val="002060"/>
          <w:sz w:val="28"/>
          <w:szCs w:val="28"/>
        </w:rPr>
        <w:t>pirmkārt</w:t>
      </w:r>
      <w:r w:rsidRPr="0015154B">
        <w:rPr>
          <w:rFonts w:ascii="Times New Roman" w:hAnsi="Times New Roman" w:cs="Times New Roman"/>
          <w:sz w:val="24"/>
          <w:szCs w:val="24"/>
        </w:rPr>
        <w:t>, definējot minimālo pensijas apmēru. Personām, kurām piešķirta valsts vecuma pensija, pensijas apmērs nedrīkst būt mazāks par minimālās vecuma pensijas aprēķina bāzi, kurai atkarībā no personas uzkrātā apdrošināšanas stāža (pilnos gados) tiek piemērots koeficients</w:t>
      </w:r>
      <w:r w:rsidR="00D861A9" w:rsidRPr="0015154B">
        <w:rPr>
          <w:rFonts w:ascii="Times New Roman" w:hAnsi="Times New Roman" w:cs="Times New Roman"/>
          <w:sz w:val="24"/>
          <w:szCs w:val="24"/>
        </w:rPr>
        <w:t xml:space="preserve"> (</w:t>
      </w:r>
      <w:r w:rsidR="00D861A9" w:rsidRPr="0015154B">
        <w:rPr>
          <w:rFonts w:ascii="Times New Roman" w:hAnsi="Times New Roman" w:cs="Times New Roman"/>
          <w:sz w:val="24"/>
          <w:szCs w:val="24"/>
          <w:highlight w:val="yellow"/>
        </w:rPr>
        <w:t>skat</w:t>
      </w:r>
      <w:r w:rsidR="009D3D01" w:rsidRPr="0015154B">
        <w:rPr>
          <w:rFonts w:ascii="Times New Roman" w:hAnsi="Times New Roman" w:cs="Times New Roman"/>
          <w:sz w:val="24"/>
          <w:szCs w:val="24"/>
          <w:highlight w:val="yellow"/>
        </w:rPr>
        <w:t xml:space="preserve">. </w:t>
      </w:r>
      <w:r w:rsidR="00DC4A98" w:rsidRPr="0015154B">
        <w:rPr>
          <w:rFonts w:ascii="Times New Roman" w:hAnsi="Times New Roman" w:cs="Times New Roman"/>
          <w:sz w:val="24"/>
          <w:szCs w:val="24"/>
          <w:highlight w:val="yellow"/>
        </w:rPr>
        <w:t>3.pielikuma 1</w:t>
      </w:r>
      <w:r w:rsidR="009D3D01" w:rsidRPr="0015154B">
        <w:rPr>
          <w:rFonts w:ascii="Times New Roman" w:hAnsi="Times New Roman" w:cs="Times New Roman"/>
          <w:sz w:val="24"/>
          <w:szCs w:val="24"/>
          <w:highlight w:val="yellow"/>
        </w:rPr>
        <w:t>.</w:t>
      </w:r>
      <w:r w:rsidR="00D861A9" w:rsidRPr="0015154B">
        <w:rPr>
          <w:rFonts w:ascii="Times New Roman" w:hAnsi="Times New Roman" w:cs="Times New Roman"/>
          <w:sz w:val="24"/>
          <w:szCs w:val="24"/>
          <w:highlight w:val="yellow"/>
        </w:rPr>
        <w:t>tabulu</w:t>
      </w:r>
      <w:r w:rsidR="00D861A9" w:rsidRPr="0015154B">
        <w:rPr>
          <w:rFonts w:ascii="Times New Roman" w:hAnsi="Times New Roman" w:cs="Times New Roman"/>
          <w:sz w:val="24"/>
          <w:szCs w:val="24"/>
        </w:rPr>
        <w:t>)</w:t>
      </w:r>
      <w:r w:rsidRPr="0015154B">
        <w:rPr>
          <w:rFonts w:ascii="Times New Roman" w:hAnsi="Times New Roman" w:cs="Times New Roman"/>
          <w:sz w:val="24"/>
          <w:szCs w:val="24"/>
        </w:rPr>
        <w:t xml:space="preserve">. Tādējādi saskaņā ar regulējumu mazākais iespējamais valsts vecuma pensijas minimālais apmērs personām ar apdrošināšanas stāžu no 10 līdz 20 gadiem ir 70,43 </w:t>
      </w:r>
      <w:r w:rsidR="00C1460D" w:rsidRPr="0015154B">
        <w:rPr>
          <w:rFonts w:ascii="Times New Roman" w:hAnsi="Times New Roman" w:cs="Times New Roman"/>
          <w:iCs/>
          <w:sz w:val="24"/>
          <w:szCs w:val="24"/>
        </w:rPr>
        <w:t>eiro</w:t>
      </w:r>
      <w:r w:rsidR="001122E4" w:rsidRPr="0015154B">
        <w:rPr>
          <w:rFonts w:ascii="Times New Roman" w:hAnsi="Times New Roman" w:cs="Times New Roman"/>
          <w:iCs/>
          <w:sz w:val="24"/>
          <w:szCs w:val="24"/>
        </w:rPr>
        <w:t xml:space="preserve"> 2020. gadā</w:t>
      </w:r>
      <w:r w:rsidRPr="0015154B">
        <w:rPr>
          <w:rFonts w:ascii="Times New Roman" w:hAnsi="Times New Roman" w:cs="Times New Roman"/>
          <w:sz w:val="24"/>
          <w:szCs w:val="24"/>
        </w:rPr>
        <w:t xml:space="preserve">, bet lielākais personām ar 41 un vairāk gadu apdrošināšanas stāžu ir 108,85 </w:t>
      </w:r>
      <w:r w:rsidR="00C1460D" w:rsidRPr="0015154B">
        <w:rPr>
          <w:rFonts w:ascii="Times New Roman" w:hAnsi="Times New Roman" w:cs="Times New Roman"/>
          <w:iCs/>
          <w:sz w:val="24"/>
          <w:szCs w:val="24"/>
        </w:rPr>
        <w:t>eiro</w:t>
      </w:r>
      <w:r w:rsidR="00905D36" w:rsidRPr="0015154B">
        <w:rPr>
          <w:rFonts w:ascii="Times New Roman" w:hAnsi="Times New Roman" w:cs="Times New Roman"/>
          <w:i/>
          <w:iCs/>
          <w:sz w:val="24"/>
          <w:szCs w:val="24"/>
        </w:rPr>
        <w:t xml:space="preserve"> </w:t>
      </w:r>
      <w:r w:rsidR="00905D36" w:rsidRPr="0015154B">
        <w:rPr>
          <w:rFonts w:ascii="Times New Roman" w:hAnsi="Times New Roman" w:cs="Times New Roman"/>
          <w:iCs/>
          <w:sz w:val="24"/>
          <w:szCs w:val="24"/>
        </w:rPr>
        <w:t xml:space="preserve">(personām ar invaliditāti kopš bērnības – 181,42 </w:t>
      </w:r>
      <w:r w:rsidR="00C1460D" w:rsidRPr="0015154B">
        <w:rPr>
          <w:rFonts w:ascii="Times New Roman" w:hAnsi="Times New Roman" w:cs="Times New Roman"/>
          <w:iCs/>
          <w:sz w:val="24"/>
          <w:szCs w:val="24"/>
        </w:rPr>
        <w:t>eiro</w:t>
      </w:r>
      <w:r w:rsidR="00905D36" w:rsidRPr="0015154B">
        <w:rPr>
          <w:rFonts w:ascii="Times New Roman" w:hAnsi="Times New Roman" w:cs="Times New Roman"/>
          <w:iCs/>
          <w:sz w:val="24"/>
          <w:szCs w:val="24"/>
        </w:rPr>
        <w:t xml:space="preserve">). Līdz 2020.gadam minimālā vecuma pensija bija piesaistīta valsts sociālā nodrošinājuma pabalstam un tā apmērs nebija pārskatīts kopš 2006.gada, bet personām ar invaliditāti no bērnības – kopš 2009.gada. No 2020.gada minimālā vecuma pensija tiek noteikta, par pamatu ņemot aprēķina bāzi 80 </w:t>
      </w:r>
      <w:r w:rsidR="00824E31" w:rsidRPr="0015154B">
        <w:rPr>
          <w:rFonts w:ascii="Times New Roman" w:hAnsi="Times New Roman" w:cs="Times New Roman"/>
          <w:iCs/>
          <w:sz w:val="24"/>
          <w:szCs w:val="24"/>
        </w:rPr>
        <w:t>eiro</w:t>
      </w:r>
      <w:r w:rsidR="00905D36" w:rsidRPr="0015154B">
        <w:rPr>
          <w:rFonts w:ascii="Times New Roman" w:hAnsi="Times New Roman" w:cs="Times New Roman"/>
          <w:iCs/>
          <w:sz w:val="24"/>
          <w:szCs w:val="24"/>
        </w:rPr>
        <w:t xml:space="preserve"> (iepriekš 64,03 </w:t>
      </w:r>
      <w:r w:rsidR="00824E31" w:rsidRPr="0015154B">
        <w:rPr>
          <w:rFonts w:ascii="Times New Roman" w:hAnsi="Times New Roman" w:cs="Times New Roman"/>
          <w:iCs/>
          <w:sz w:val="24"/>
          <w:szCs w:val="24"/>
        </w:rPr>
        <w:t>eiro</w:t>
      </w:r>
      <w:r w:rsidR="00905D36" w:rsidRPr="0015154B">
        <w:rPr>
          <w:rFonts w:ascii="Times New Roman" w:hAnsi="Times New Roman" w:cs="Times New Roman"/>
          <w:iCs/>
          <w:sz w:val="24"/>
          <w:szCs w:val="24"/>
        </w:rPr>
        <w:t xml:space="preserve">), personām ar invaliditāti no bērnības – 122,69 </w:t>
      </w:r>
      <w:r w:rsidR="00C1460D" w:rsidRPr="0015154B">
        <w:rPr>
          <w:rFonts w:ascii="Times New Roman" w:hAnsi="Times New Roman" w:cs="Times New Roman"/>
          <w:iCs/>
          <w:sz w:val="24"/>
          <w:szCs w:val="24"/>
        </w:rPr>
        <w:t>eiro</w:t>
      </w:r>
      <w:r w:rsidR="00905D36" w:rsidRPr="0015154B">
        <w:rPr>
          <w:rFonts w:ascii="Times New Roman" w:hAnsi="Times New Roman" w:cs="Times New Roman"/>
          <w:iCs/>
          <w:sz w:val="24"/>
          <w:szCs w:val="24"/>
        </w:rPr>
        <w:t xml:space="preserve"> (iepriekš 106,72 </w:t>
      </w:r>
      <w:r w:rsidR="00C1460D" w:rsidRPr="0015154B">
        <w:rPr>
          <w:rFonts w:ascii="Times New Roman" w:hAnsi="Times New Roman" w:cs="Times New Roman"/>
          <w:iCs/>
          <w:sz w:val="24"/>
          <w:szCs w:val="24"/>
        </w:rPr>
        <w:t>eiro</w:t>
      </w:r>
      <w:r w:rsidR="00905D36" w:rsidRPr="0015154B">
        <w:rPr>
          <w:rFonts w:ascii="Times New Roman" w:hAnsi="Times New Roman" w:cs="Times New Roman"/>
          <w:iCs/>
          <w:sz w:val="24"/>
          <w:szCs w:val="24"/>
        </w:rPr>
        <w:t>), kurai  piemēro atbilstoši personas apdrošināšanas stāžam noteiktus koeficientus</w:t>
      </w:r>
      <w:r w:rsidR="00DC4A98" w:rsidRPr="0015154B">
        <w:rPr>
          <w:rFonts w:ascii="Times New Roman" w:hAnsi="Times New Roman" w:cs="Times New Roman"/>
          <w:iCs/>
          <w:sz w:val="24"/>
          <w:szCs w:val="24"/>
        </w:rPr>
        <w:t xml:space="preserve"> (</w:t>
      </w:r>
      <w:r w:rsidR="00DC4A98" w:rsidRPr="0015154B">
        <w:rPr>
          <w:rFonts w:ascii="Times New Roman" w:hAnsi="Times New Roman" w:cs="Times New Roman"/>
          <w:iCs/>
          <w:sz w:val="24"/>
          <w:szCs w:val="24"/>
          <w:highlight w:val="yellow"/>
        </w:rPr>
        <w:t>skat. 3.pielikuma 2.tabulu</w:t>
      </w:r>
      <w:r w:rsidR="00DC4A98" w:rsidRPr="007157D3">
        <w:rPr>
          <w:rFonts w:ascii="Times New Roman" w:hAnsi="Times New Roman" w:cs="Times New Roman"/>
          <w:iCs/>
          <w:sz w:val="24"/>
          <w:szCs w:val="24"/>
        </w:rPr>
        <w:t>)</w:t>
      </w:r>
      <w:r w:rsidR="00335298">
        <w:rPr>
          <w:rFonts w:ascii="Times New Roman" w:hAnsi="Times New Roman" w:cs="Times New Roman"/>
          <w:iCs/>
          <w:sz w:val="24"/>
          <w:szCs w:val="24"/>
        </w:rPr>
        <w:t>;</w:t>
      </w:r>
    </w:p>
    <w:p w14:paraId="088A2458" w14:textId="698A5949" w:rsidR="00200837" w:rsidRPr="00A857F2" w:rsidRDefault="00200837" w:rsidP="009D13E7">
      <w:pPr>
        <w:pStyle w:val="ListParagraph"/>
        <w:pBdr>
          <w:bottom w:val="single" w:sz="18" w:space="1" w:color="549E39" w:themeColor="accent1"/>
        </w:pBdr>
        <w:autoSpaceDE w:val="0"/>
        <w:autoSpaceDN w:val="0"/>
        <w:adjustRightInd w:val="0"/>
        <w:spacing w:before="120" w:after="0" w:line="240" w:lineRule="auto"/>
        <w:contextualSpacing w:val="0"/>
        <w:jc w:val="both"/>
        <w:rPr>
          <w:rFonts w:ascii="Times New Roman" w:hAnsi="Times New Roman" w:cs="Times New Roman"/>
          <w:sz w:val="24"/>
          <w:szCs w:val="24"/>
        </w:rPr>
      </w:pPr>
      <w:r w:rsidRPr="002F5278">
        <w:rPr>
          <w:rFonts w:ascii="Times New Roman" w:hAnsi="Times New Roman" w:cs="Times New Roman"/>
          <w:b/>
          <w:color w:val="002060"/>
          <w:sz w:val="28"/>
          <w:szCs w:val="28"/>
        </w:rPr>
        <w:t>otrkārt</w:t>
      </w:r>
      <w:r w:rsidRPr="0025422D">
        <w:rPr>
          <w:rFonts w:ascii="Times New Roman" w:hAnsi="Times New Roman" w:cs="Times New Roman"/>
          <w:sz w:val="24"/>
          <w:szCs w:val="24"/>
        </w:rPr>
        <w:t>, paredzot valsts materiālo atbalstu personām, kurām nav tiesību uz vecuma pensijas saņemšanu (</w:t>
      </w:r>
      <w:r w:rsidRPr="00A857F2">
        <w:rPr>
          <w:rFonts w:ascii="Times New Roman" w:hAnsi="Times New Roman" w:cs="Times New Roman"/>
          <w:sz w:val="24"/>
          <w:szCs w:val="24"/>
        </w:rPr>
        <w:t xml:space="preserve">valsts sociālā nodrošinājuma pabalsts (turpmāk – VSNP)). No 2017.gada VSNP piešķir, sasniedzot valstī noteikto pensionēšanās vecumu (iepriekš  - piecus gadus pēc pensionēšanās vecuma sasniegšanas). </w:t>
      </w:r>
    </w:p>
    <w:p w14:paraId="5007D3A6" w14:textId="77777777" w:rsidR="001122E4" w:rsidRPr="009703E6" w:rsidRDefault="001122E4" w:rsidP="009B51DF">
      <w:pPr>
        <w:pStyle w:val="NormalWeb"/>
        <w:spacing w:before="120" w:beforeAutospacing="0" w:after="0" w:afterAutospacing="0"/>
        <w:ind w:firstLine="709"/>
        <w:contextualSpacing/>
        <w:jc w:val="both"/>
        <w:rPr>
          <w:rFonts w:ascii="Times New Roman" w:hAnsi="Times New Roman"/>
          <w:sz w:val="24"/>
          <w:szCs w:val="24"/>
        </w:rPr>
      </w:pPr>
    </w:p>
    <w:p w14:paraId="165ECB0A" w14:textId="6A78DFD7" w:rsidR="00905D36" w:rsidRPr="0015154B" w:rsidRDefault="00335298" w:rsidP="009B51DF">
      <w:pPr>
        <w:pStyle w:val="NormalWeb"/>
        <w:spacing w:before="120" w:beforeAutospacing="0" w:after="0" w:afterAutospacing="0"/>
        <w:ind w:firstLine="709"/>
        <w:contextualSpacing/>
        <w:jc w:val="both"/>
        <w:rPr>
          <w:rFonts w:ascii="Times New Roman" w:hAnsi="Times New Roman"/>
          <w:sz w:val="24"/>
          <w:szCs w:val="24"/>
        </w:rPr>
      </w:pPr>
      <w:r>
        <w:rPr>
          <w:rFonts w:ascii="Times New Roman" w:hAnsi="Times New Roman"/>
          <w:sz w:val="24"/>
          <w:szCs w:val="24"/>
        </w:rPr>
        <w:t>Valsts sociālās apdrošināšanas aģentūras (turpmāk – VSAA)</w:t>
      </w:r>
      <w:r w:rsidR="00905D36" w:rsidRPr="009703E6">
        <w:rPr>
          <w:rFonts w:ascii="Times New Roman" w:hAnsi="Times New Roman"/>
          <w:sz w:val="24"/>
          <w:szCs w:val="24"/>
        </w:rPr>
        <w:t xml:space="preserve"> dati liecina, ka minimālās vecuma pensijas īp</w:t>
      </w:r>
      <w:r w:rsidR="00905D36" w:rsidRPr="0015154B">
        <w:rPr>
          <w:rFonts w:ascii="Times New Roman" w:hAnsi="Times New Roman"/>
          <w:sz w:val="24"/>
          <w:szCs w:val="24"/>
        </w:rPr>
        <w:t>at</w:t>
      </w:r>
      <w:r w:rsidR="007F77C5" w:rsidRPr="0015154B">
        <w:rPr>
          <w:rFonts w:ascii="Times New Roman" w:hAnsi="Times New Roman"/>
          <w:sz w:val="24"/>
          <w:szCs w:val="24"/>
        </w:rPr>
        <w:t>sv</w:t>
      </w:r>
      <w:r w:rsidR="00905D36" w:rsidRPr="0015154B">
        <w:rPr>
          <w:rFonts w:ascii="Times New Roman" w:hAnsi="Times New Roman"/>
          <w:sz w:val="24"/>
          <w:szCs w:val="24"/>
        </w:rPr>
        <w:t>ars samazinās un 2019.gadā tas bija 9,9% no jaunpiešķirtajām vecuma pensijām (</w:t>
      </w:r>
      <w:r w:rsidR="00905D36" w:rsidRPr="0015154B">
        <w:rPr>
          <w:rFonts w:ascii="Times New Roman" w:hAnsi="Times New Roman"/>
          <w:sz w:val="24"/>
          <w:szCs w:val="24"/>
          <w:highlight w:val="yellow"/>
        </w:rPr>
        <w:t>skat</w:t>
      </w:r>
      <w:r w:rsidR="00BF7EAC" w:rsidRPr="0015154B">
        <w:rPr>
          <w:rFonts w:ascii="Times New Roman" w:hAnsi="Times New Roman"/>
          <w:sz w:val="24"/>
          <w:szCs w:val="24"/>
          <w:highlight w:val="yellow"/>
        </w:rPr>
        <w:t xml:space="preserve">. </w:t>
      </w:r>
      <w:r w:rsidR="00DC4A98" w:rsidRPr="0015154B">
        <w:rPr>
          <w:rFonts w:ascii="Times New Roman" w:hAnsi="Times New Roman"/>
          <w:sz w:val="24"/>
          <w:szCs w:val="24"/>
          <w:highlight w:val="yellow"/>
        </w:rPr>
        <w:t>7</w:t>
      </w:r>
      <w:r w:rsidR="00BF7EAC" w:rsidRPr="0015154B">
        <w:rPr>
          <w:rFonts w:ascii="Times New Roman" w:hAnsi="Times New Roman"/>
          <w:sz w:val="24"/>
          <w:szCs w:val="24"/>
          <w:highlight w:val="yellow"/>
        </w:rPr>
        <w:t>.</w:t>
      </w:r>
      <w:r w:rsidR="00905D36" w:rsidRPr="0015154B">
        <w:rPr>
          <w:rFonts w:ascii="Times New Roman" w:hAnsi="Times New Roman"/>
          <w:sz w:val="24"/>
          <w:szCs w:val="24"/>
          <w:highlight w:val="yellow"/>
        </w:rPr>
        <w:t>tabulu</w:t>
      </w:r>
      <w:r w:rsidR="00905D36" w:rsidRPr="0015154B">
        <w:rPr>
          <w:rFonts w:ascii="Times New Roman" w:hAnsi="Times New Roman"/>
          <w:sz w:val="24"/>
          <w:szCs w:val="24"/>
        </w:rPr>
        <w:t xml:space="preserve">). </w:t>
      </w:r>
    </w:p>
    <w:p w14:paraId="49AF537D" w14:textId="77777777" w:rsidR="009D13E7" w:rsidRPr="0015154B" w:rsidRDefault="009D13E7" w:rsidP="00905D36">
      <w:pPr>
        <w:pStyle w:val="NormalWeb"/>
        <w:spacing w:before="0" w:beforeAutospacing="0" w:after="0" w:afterAutospacing="0"/>
        <w:ind w:firstLine="709"/>
        <w:contextualSpacing/>
        <w:jc w:val="both"/>
        <w:rPr>
          <w:rFonts w:ascii="Times New Roman" w:hAnsi="Times New Roman"/>
          <w:sz w:val="24"/>
          <w:szCs w:val="24"/>
        </w:rPr>
      </w:pPr>
    </w:p>
    <w:p w14:paraId="72DD5EBE" w14:textId="4CA26E46" w:rsidR="00905D36" w:rsidRPr="0015154B" w:rsidRDefault="00DC4A98" w:rsidP="00905D36">
      <w:pPr>
        <w:pStyle w:val="NormalWeb"/>
        <w:spacing w:before="0" w:beforeAutospacing="0" w:after="0" w:afterAutospacing="0"/>
        <w:contextualSpacing/>
        <w:jc w:val="both"/>
        <w:rPr>
          <w:rFonts w:ascii="Times New Roman" w:hAnsi="Times New Roman"/>
          <w:sz w:val="24"/>
          <w:szCs w:val="24"/>
        </w:rPr>
      </w:pPr>
      <w:r w:rsidRPr="0015154B">
        <w:rPr>
          <w:rFonts w:ascii="Times New Roman" w:hAnsi="Times New Roman"/>
          <w:sz w:val="24"/>
          <w:szCs w:val="24"/>
        </w:rPr>
        <w:t>7</w:t>
      </w:r>
      <w:r w:rsidR="00BF7EAC" w:rsidRPr="0015154B">
        <w:rPr>
          <w:rFonts w:ascii="Times New Roman" w:hAnsi="Times New Roman"/>
          <w:sz w:val="24"/>
          <w:szCs w:val="24"/>
        </w:rPr>
        <w:t>.</w:t>
      </w:r>
      <w:r w:rsidR="00905D36" w:rsidRPr="0015154B">
        <w:rPr>
          <w:rFonts w:ascii="Times New Roman" w:hAnsi="Times New Roman"/>
          <w:sz w:val="24"/>
          <w:szCs w:val="24"/>
        </w:rPr>
        <w:t>tabula</w:t>
      </w:r>
    </w:p>
    <w:p w14:paraId="5FD8B6AF" w14:textId="681EF659" w:rsidR="00905D36" w:rsidRPr="0015154B" w:rsidRDefault="00905D36" w:rsidP="00BF7EAC">
      <w:pPr>
        <w:pStyle w:val="NormalWeb"/>
        <w:spacing w:before="0" w:beforeAutospacing="0" w:after="0" w:afterAutospacing="0"/>
        <w:contextualSpacing/>
        <w:jc w:val="center"/>
        <w:rPr>
          <w:rFonts w:ascii="Times New Roman" w:hAnsi="Times New Roman"/>
          <w:b/>
          <w:color w:val="002060"/>
          <w:sz w:val="24"/>
          <w:szCs w:val="24"/>
        </w:rPr>
      </w:pPr>
      <w:r w:rsidRPr="0015154B">
        <w:rPr>
          <w:rFonts w:ascii="Times New Roman" w:hAnsi="Times New Roman"/>
          <w:b/>
          <w:color w:val="002060"/>
          <w:sz w:val="24"/>
          <w:szCs w:val="24"/>
        </w:rPr>
        <w:t>Attiecīgajā gadā jaunpiešķirtās minimālās vecuma pensijas saņēmēju skaits</w:t>
      </w:r>
    </w:p>
    <w:p w14:paraId="7178B53A" w14:textId="77777777" w:rsidR="00BF7EAC" w:rsidRPr="0015154B" w:rsidRDefault="00BF7EAC" w:rsidP="00905D36">
      <w:pPr>
        <w:pStyle w:val="NormalWeb"/>
        <w:spacing w:before="0" w:beforeAutospacing="0" w:after="0" w:afterAutospacing="0"/>
        <w:contextualSpacing/>
        <w:jc w:val="both"/>
        <w:rPr>
          <w:rFonts w:ascii="Times New Roman" w:hAnsi="Times New Roman"/>
          <w:sz w:val="24"/>
          <w:szCs w:val="24"/>
        </w:rPr>
      </w:pPr>
    </w:p>
    <w:tbl>
      <w:tblPr>
        <w:tblStyle w:val="VKTabula"/>
        <w:tblW w:w="8642" w:type="dxa"/>
        <w:tblLook w:val="04A0" w:firstRow="1" w:lastRow="0" w:firstColumn="1" w:lastColumn="0" w:noHBand="0" w:noVBand="1"/>
      </w:tblPr>
      <w:tblGrid>
        <w:gridCol w:w="2405"/>
        <w:gridCol w:w="992"/>
        <w:gridCol w:w="1134"/>
        <w:gridCol w:w="993"/>
        <w:gridCol w:w="992"/>
        <w:gridCol w:w="992"/>
        <w:gridCol w:w="1134"/>
      </w:tblGrid>
      <w:tr w:rsidR="00375BD0" w:rsidRPr="0015154B" w14:paraId="2C72955F" w14:textId="77777777" w:rsidTr="00375BD0">
        <w:trPr>
          <w:cnfStyle w:val="100000000000" w:firstRow="1" w:lastRow="0" w:firstColumn="0" w:lastColumn="0" w:oddVBand="0" w:evenVBand="0" w:oddHBand="0" w:evenHBand="0" w:firstRowFirstColumn="0" w:firstRowLastColumn="0" w:lastRowFirstColumn="0" w:lastRowLastColumn="0"/>
        </w:trPr>
        <w:tc>
          <w:tcPr>
            <w:tcW w:w="2405" w:type="dxa"/>
          </w:tcPr>
          <w:p w14:paraId="17E533BD" w14:textId="77777777" w:rsidR="00905D36" w:rsidRPr="0015154B" w:rsidRDefault="00905D36" w:rsidP="00905D36">
            <w:pPr>
              <w:pStyle w:val="NormalWeb"/>
              <w:spacing w:before="0" w:beforeAutospacing="0" w:after="0" w:afterAutospacing="0"/>
              <w:contextualSpacing/>
              <w:jc w:val="both"/>
              <w:rPr>
                <w:rFonts w:ascii="Times New Roman" w:hAnsi="Times New Roman"/>
                <w:color w:val="002060"/>
                <w:sz w:val="24"/>
                <w:szCs w:val="24"/>
              </w:rPr>
            </w:pPr>
          </w:p>
        </w:tc>
        <w:tc>
          <w:tcPr>
            <w:tcW w:w="992" w:type="dxa"/>
          </w:tcPr>
          <w:p w14:paraId="4EFE9D2C" w14:textId="77777777" w:rsidR="00905D36" w:rsidRPr="0015154B" w:rsidRDefault="00905D36" w:rsidP="00905D36">
            <w:pPr>
              <w:pStyle w:val="NormalWeb"/>
              <w:spacing w:before="0" w:beforeAutospacing="0" w:after="0" w:afterAutospacing="0"/>
              <w:contextualSpacing/>
              <w:jc w:val="center"/>
              <w:rPr>
                <w:rFonts w:ascii="Times New Roman" w:hAnsi="Times New Roman"/>
                <w:color w:val="002060"/>
                <w:sz w:val="24"/>
                <w:szCs w:val="24"/>
              </w:rPr>
            </w:pPr>
            <w:r w:rsidRPr="0015154B">
              <w:rPr>
                <w:rFonts w:ascii="Times New Roman" w:hAnsi="Times New Roman"/>
                <w:color w:val="002060"/>
                <w:sz w:val="24"/>
                <w:szCs w:val="24"/>
              </w:rPr>
              <w:t>2014</w:t>
            </w:r>
          </w:p>
        </w:tc>
        <w:tc>
          <w:tcPr>
            <w:tcW w:w="1134" w:type="dxa"/>
          </w:tcPr>
          <w:p w14:paraId="18E06DB7" w14:textId="77777777" w:rsidR="00905D36" w:rsidRPr="0015154B" w:rsidRDefault="00905D36" w:rsidP="00905D36">
            <w:pPr>
              <w:pStyle w:val="NormalWeb"/>
              <w:spacing w:before="0" w:beforeAutospacing="0" w:after="0" w:afterAutospacing="0"/>
              <w:contextualSpacing/>
              <w:jc w:val="center"/>
              <w:rPr>
                <w:rFonts w:ascii="Times New Roman" w:hAnsi="Times New Roman"/>
                <w:color w:val="002060"/>
                <w:sz w:val="24"/>
                <w:szCs w:val="24"/>
              </w:rPr>
            </w:pPr>
            <w:r w:rsidRPr="0015154B">
              <w:rPr>
                <w:rFonts w:ascii="Times New Roman" w:hAnsi="Times New Roman"/>
                <w:color w:val="002060"/>
                <w:sz w:val="24"/>
                <w:szCs w:val="24"/>
              </w:rPr>
              <w:t>2015</w:t>
            </w:r>
          </w:p>
        </w:tc>
        <w:tc>
          <w:tcPr>
            <w:tcW w:w="993" w:type="dxa"/>
          </w:tcPr>
          <w:p w14:paraId="74DDB8F4" w14:textId="77777777" w:rsidR="00905D36" w:rsidRPr="0015154B" w:rsidRDefault="00905D36" w:rsidP="00905D36">
            <w:pPr>
              <w:pStyle w:val="NormalWeb"/>
              <w:spacing w:before="0" w:beforeAutospacing="0" w:after="0" w:afterAutospacing="0"/>
              <w:contextualSpacing/>
              <w:jc w:val="center"/>
              <w:rPr>
                <w:rFonts w:ascii="Times New Roman" w:hAnsi="Times New Roman"/>
                <w:color w:val="002060"/>
                <w:sz w:val="24"/>
                <w:szCs w:val="24"/>
              </w:rPr>
            </w:pPr>
            <w:r w:rsidRPr="0015154B">
              <w:rPr>
                <w:rFonts w:ascii="Times New Roman" w:hAnsi="Times New Roman"/>
                <w:color w:val="002060"/>
                <w:sz w:val="24"/>
                <w:szCs w:val="24"/>
              </w:rPr>
              <w:t>2016</w:t>
            </w:r>
          </w:p>
        </w:tc>
        <w:tc>
          <w:tcPr>
            <w:tcW w:w="992" w:type="dxa"/>
          </w:tcPr>
          <w:p w14:paraId="790D60AC" w14:textId="77777777" w:rsidR="00905D36" w:rsidRPr="0015154B" w:rsidRDefault="00905D36" w:rsidP="00905D36">
            <w:pPr>
              <w:pStyle w:val="NormalWeb"/>
              <w:spacing w:before="0" w:beforeAutospacing="0" w:after="0" w:afterAutospacing="0"/>
              <w:contextualSpacing/>
              <w:jc w:val="center"/>
              <w:rPr>
                <w:rFonts w:ascii="Times New Roman" w:hAnsi="Times New Roman"/>
                <w:color w:val="002060"/>
                <w:sz w:val="24"/>
                <w:szCs w:val="24"/>
              </w:rPr>
            </w:pPr>
            <w:r w:rsidRPr="0015154B">
              <w:rPr>
                <w:rFonts w:ascii="Times New Roman" w:hAnsi="Times New Roman"/>
                <w:color w:val="002060"/>
                <w:sz w:val="24"/>
                <w:szCs w:val="24"/>
              </w:rPr>
              <w:t>2017</w:t>
            </w:r>
          </w:p>
        </w:tc>
        <w:tc>
          <w:tcPr>
            <w:tcW w:w="992" w:type="dxa"/>
          </w:tcPr>
          <w:p w14:paraId="1142A664" w14:textId="77777777" w:rsidR="00905D36" w:rsidRPr="0015154B" w:rsidRDefault="00905D36" w:rsidP="00905D36">
            <w:pPr>
              <w:pStyle w:val="NormalWeb"/>
              <w:spacing w:before="0" w:beforeAutospacing="0" w:after="0" w:afterAutospacing="0"/>
              <w:contextualSpacing/>
              <w:jc w:val="center"/>
              <w:rPr>
                <w:rFonts w:ascii="Times New Roman" w:hAnsi="Times New Roman"/>
                <w:color w:val="002060"/>
                <w:sz w:val="24"/>
                <w:szCs w:val="24"/>
              </w:rPr>
            </w:pPr>
            <w:r w:rsidRPr="0015154B">
              <w:rPr>
                <w:rFonts w:ascii="Times New Roman" w:hAnsi="Times New Roman"/>
                <w:color w:val="002060"/>
                <w:sz w:val="24"/>
                <w:szCs w:val="24"/>
              </w:rPr>
              <w:t>2018</w:t>
            </w:r>
          </w:p>
        </w:tc>
        <w:tc>
          <w:tcPr>
            <w:tcW w:w="1134" w:type="dxa"/>
          </w:tcPr>
          <w:p w14:paraId="44F60034" w14:textId="77777777" w:rsidR="00905D36" w:rsidRPr="0015154B" w:rsidRDefault="00905D36" w:rsidP="00905D36">
            <w:pPr>
              <w:pStyle w:val="NormalWeb"/>
              <w:spacing w:before="0" w:beforeAutospacing="0" w:after="0" w:afterAutospacing="0"/>
              <w:contextualSpacing/>
              <w:jc w:val="center"/>
              <w:rPr>
                <w:rFonts w:ascii="Times New Roman" w:hAnsi="Times New Roman"/>
                <w:color w:val="002060"/>
                <w:sz w:val="24"/>
                <w:szCs w:val="24"/>
              </w:rPr>
            </w:pPr>
            <w:r w:rsidRPr="0015154B">
              <w:rPr>
                <w:rFonts w:ascii="Times New Roman" w:hAnsi="Times New Roman"/>
                <w:color w:val="002060"/>
                <w:sz w:val="24"/>
                <w:szCs w:val="24"/>
              </w:rPr>
              <w:t>2019</w:t>
            </w:r>
          </w:p>
        </w:tc>
      </w:tr>
      <w:tr w:rsidR="00905D36" w:rsidRPr="0015154B" w14:paraId="04C1217B" w14:textId="77777777" w:rsidTr="00375BD0">
        <w:trPr>
          <w:cnfStyle w:val="000000100000" w:firstRow="0" w:lastRow="0" w:firstColumn="0" w:lastColumn="0" w:oddVBand="0" w:evenVBand="0" w:oddHBand="1" w:evenHBand="0" w:firstRowFirstColumn="0" w:firstRowLastColumn="0" w:lastRowFirstColumn="0" w:lastRowLastColumn="0"/>
        </w:trPr>
        <w:tc>
          <w:tcPr>
            <w:tcW w:w="2405" w:type="dxa"/>
          </w:tcPr>
          <w:p w14:paraId="42D9261E" w14:textId="77777777" w:rsidR="00905D36" w:rsidRPr="0015154B" w:rsidRDefault="00905D36" w:rsidP="00905D36">
            <w:pPr>
              <w:pStyle w:val="NormalWeb"/>
              <w:spacing w:before="0" w:beforeAutospacing="0" w:after="0" w:afterAutospacing="0"/>
              <w:contextualSpacing/>
              <w:jc w:val="both"/>
              <w:rPr>
                <w:rFonts w:ascii="Times New Roman" w:hAnsi="Times New Roman"/>
                <w:sz w:val="22"/>
                <w:szCs w:val="22"/>
              </w:rPr>
            </w:pPr>
            <w:r w:rsidRPr="0015154B">
              <w:rPr>
                <w:rFonts w:ascii="Times New Roman" w:hAnsi="Times New Roman"/>
                <w:sz w:val="22"/>
                <w:szCs w:val="22"/>
              </w:rPr>
              <w:t>skaits</w:t>
            </w:r>
          </w:p>
        </w:tc>
        <w:tc>
          <w:tcPr>
            <w:tcW w:w="992" w:type="dxa"/>
          </w:tcPr>
          <w:p w14:paraId="1F98271D"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sz w:val="22"/>
                <w:szCs w:val="22"/>
              </w:rPr>
              <w:t>2 439</w:t>
            </w:r>
          </w:p>
        </w:tc>
        <w:tc>
          <w:tcPr>
            <w:tcW w:w="1134" w:type="dxa"/>
          </w:tcPr>
          <w:p w14:paraId="2B2151B0"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sz w:val="22"/>
                <w:szCs w:val="22"/>
              </w:rPr>
              <w:t>1 851</w:t>
            </w:r>
          </w:p>
        </w:tc>
        <w:tc>
          <w:tcPr>
            <w:tcW w:w="993" w:type="dxa"/>
          </w:tcPr>
          <w:p w14:paraId="384791B9"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sz w:val="22"/>
                <w:szCs w:val="22"/>
              </w:rPr>
              <w:t>1 687</w:t>
            </w:r>
          </w:p>
        </w:tc>
        <w:tc>
          <w:tcPr>
            <w:tcW w:w="992" w:type="dxa"/>
          </w:tcPr>
          <w:p w14:paraId="2CAE364F"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sz w:val="22"/>
                <w:szCs w:val="22"/>
              </w:rPr>
              <w:t>2 095</w:t>
            </w:r>
          </w:p>
        </w:tc>
        <w:tc>
          <w:tcPr>
            <w:tcW w:w="992" w:type="dxa"/>
          </w:tcPr>
          <w:p w14:paraId="32662ED8"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sz w:val="22"/>
                <w:szCs w:val="22"/>
              </w:rPr>
              <w:t>2 207</w:t>
            </w:r>
          </w:p>
        </w:tc>
        <w:tc>
          <w:tcPr>
            <w:tcW w:w="1134" w:type="dxa"/>
          </w:tcPr>
          <w:p w14:paraId="151FEC83"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sz w:val="22"/>
                <w:szCs w:val="22"/>
              </w:rPr>
              <w:t>1 916</w:t>
            </w:r>
          </w:p>
        </w:tc>
      </w:tr>
      <w:tr w:rsidR="00905D36" w:rsidRPr="0015154B" w14:paraId="5C975DA4" w14:textId="77777777" w:rsidTr="00375BD0">
        <w:trPr>
          <w:cnfStyle w:val="000000010000" w:firstRow="0" w:lastRow="0" w:firstColumn="0" w:lastColumn="0" w:oddVBand="0" w:evenVBand="0" w:oddHBand="0" w:evenHBand="1" w:firstRowFirstColumn="0" w:firstRowLastColumn="0" w:lastRowFirstColumn="0" w:lastRowLastColumn="0"/>
        </w:trPr>
        <w:tc>
          <w:tcPr>
            <w:tcW w:w="2405" w:type="dxa"/>
          </w:tcPr>
          <w:p w14:paraId="002E0E88" w14:textId="77777777" w:rsidR="00905D36" w:rsidRPr="0015154B" w:rsidRDefault="00905D36" w:rsidP="00905D36">
            <w:pPr>
              <w:pStyle w:val="NormalWeb"/>
              <w:spacing w:before="0" w:beforeAutospacing="0" w:after="0" w:afterAutospacing="0"/>
              <w:contextualSpacing/>
              <w:jc w:val="both"/>
              <w:rPr>
                <w:rFonts w:ascii="Times New Roman" w:hAnsi="Times New Roman"/>
                <w:sz w:val="22"/>
                <w:szCs w:val="22"/>
              </w:rPr>
            </w:pPr>
            <w:r w:rsidRPr="0015154B">
              <w:rPr>
                <w:rFonts w:ascii="Times New Roman" w:hAnsi="Times New Roman"/>
                <w:sz w:val="22"/>
                <w:szCs w:val="22"/>
              </w:rPr>
              <w:t>% no jaunpiešķirtajām vecuma pensijām</w:t>
            </w:r>
          </w:p>
        </w:tc>
        <w:tc>
          <w:tcPr>
            <w:tcW w:w="992" w:type="dxa"/>
          </w:tcPr>
          <w:p w14:paraId="01F01648"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i/>
                <w:iCs/>
                <w:sz w:val="22"/>
                <w:szCs w:val="22"/>
              </w:rPr>
              <w:t>13.6%</w:t>
            </w:r>
          </w:p>
        </w:tc>
        <w:tc>
          <w:tcPr>
            <w:tcW w:w="1134" w:type="dxa"/>
          </w:tcPr>
          <w:p w14:paraId="72937556"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i/>
                <w:iCs/>
                <w:sz w:val="22"/>
                <w:szCs w:val="22"/>
              </w:rPr>
              <w:t>10.9%</w:t>
            </w:r>
          </w:p>
        </w:tc>
        <w:tc>
          <w:tcPr>
            <w:tcW w:w="993" w:type="dxa"/>
          </w:tcPr>
          <w:p w14:paraId="1E0960C4"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i/>
                <w:iCs/>
                <w:sz w:val="22"/>
                <w:szCs w:val="22"/>
              </w:rPr>
              <w:t>10.1%</w:t>
            </w:r>
          </w:p>
        </w:tc>
        <w:tc>
          <w:tcPr>
            <w:tcW w:w="992" w:type="dxa"/>
          </w:tcPr>
          <w:p w14:paraId="68D1EE7B"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i/>
                <w:iCs/>
                <w:sz w:val="22"/>
                <w:szCs w:val="22"/>
              </w:rPr>
              <w:t>11.3%</w:t>
            </w:r>
          </w:p>
        </w:tc>
        <w:tc>
          <w:tcPr>
            <w:tcW w:w="992" w:type="dxa"/>
          </w:tcPr>
          <w:p w14:paraId="58B6D620"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i/>
                <w:iCs/>
                <w:sz w:val="22"/>
                <w:szCs w:val="22"/>
              </w:rPr>
              <w:t>11.6%</w:t>
            </w:r>
          </w:p>
        </w:tc>
        <w:tc>
          <w:tcPr>
            <w:tcW w:w="1134" w:type="dxa"/>
          </w:tcPr>
          <w:p w14:paraId="7941639C" w14:textId="77777777" w:rsidR="00905D36" w:rsidRPr="0015154B" w:rsidRDefault="00905D36" w:rsidP="00905D36">
            <w:pPr>
              <w:pStyle w:val="NormalWeb"/>
              <w:spacing w:before="0" w:beforeAutospacing="0" w:after="0" w:afterAutospacing="0"/>
              <w:contextualSpacing/>
              <w:jc w:val="center"/>
              <w:rPr>
                <w:rFonts w:ascii="Times New Roman" w:hAnsi="Times New Roman"/>
                <w:sz w:val="22"/>
                <w:szCs w:val="22"/>
              </w:rPr>
            </w:pPr>
            <w:r w:rsidRPr="0015154B">
              <w:rPr>
                <w:rFonts w:ascii="Times New Roman" w:hAnsi="Times New Roman"/>
                <w:i/>
                <w:iCs/>
                <w:sz w:val="22"/>
                <w:szCs w:val="22"/>
              </w:rPr>
              <w:t>9.9%</w:t>
            </w:r>
          </w:p>
        </w:tc>
      </w:tr>
    </w:tbl>
    <w:p w14:paraId="4D5D1296" w14:textId="77777777" w:rsidR="00905D36" w:rsidRPr="0015154B" w:rsidRDefault="00905D36" w:rsidP="00905D36">
      <w:pPr>
        <w:pStyle w:val="NormalWeb"/>
        <w:spacing w:before="0" w:beforeAutospacing="0" w:after="0" w:afterAutospacing="0"/>
        <w:contextualSpacing/>
        <w:jc w:val="both"/>
        <w:rPr>
          <w:rFonts w:ascii="Times New Roman" w:hAnsi="Times New Roman"/>
          <w:sz w:val="20"/>
          <w:szCs w:val="20"/>
        </w:rPr>
      </w:pPr>
      <w:r w:rsidRPr="0015154B">
        <w:rPr>
          <w:rFonts w:ascii="Times New Roman" w:hAnsi="Times New Roman"/>
          <w:sz w:val="20"/>
          <w:szCs w:val="20"/>
        </w:rPr>
        <w:t>Datu avots: VSAA</w:t>
      </w:r>
    </w:p>
    <w:p w14:paraId="0B6156C3" w14:textId="61952F44" w:rsidR="00A80085" w:rsidRPr="0015154B" w:rsidRDefault="00121815" w:rsidP="009D13E7">
      <w:pPr>
        <w:spacing w:before="120" w:after="0" w:line="240" w:lineRule="auto"/>
        <w:ind w:firstLine="720"/>
        <w:jc w:val="both"/>
        <w:rPr>
          <w:rFonts w:ascii="Times New Roman" w:hAnsi="Times New Roman" w:cs="Times New Roman"/>
          <w:sz w:val="24"/>
          <w:szCs w:val="24"/>
          <w:highlight w:val="yellow"/>
        </w:rPr>
      </w:pPr>
      <w:r w:rsidRPr="0015154B">
        <w:rPr>
          <w:rFonts w:ascii="Times New Roman" w:hAnsi="Times New Roman" w:cs="Times New Roman"/>
          <w:sz w:val="24"/>
          <w:szCs w:val="24"/>
        </w:rPr>
        <w:t xml:space="preserve">VSNP pensijas vecumu sasniegušām personām, kas garantē minimālu ienākumu atvietojumu, ja personai nav tiesību saņemt valsts vecuma pensiju vai apdrošināšanas atlīdzību, nav pārskatīts kopš 2006.gada </w:t>
      </w:r>
      <w:r w:rsidR="00F65CC0" w:rsidRPr="0015154B">
        <w:rPr>
          <w:rFonts w:ascii="Times New Roman" w:hAnsi="Times New Roman" w:cs="Times New Roman"/>
          <w:sz w:val="24"/>
          <w:szCs w:val="24"/>
        </w:rPr>
        <w:t xml:space="preserve">un tā apmērs ir 64,03 </w:t>
      </w:r>
      <w:r w:rsidR="00824E31" w:rsidRPr="0015154B">
        <w:rPr>
          <w:rFonts w:ascii="Times New Roman" w:hAnsi="Times New Roman" w:cs="Times New Roman"/>
          <w:sz w:val="24"/>
          <w:szCs w:val="24"/>
        </w:rPr>
        <w:t>eiro</w:t>
      </w:r>
      <w:r w:rsidR="001122E4" w:rsidRPr="0015154B">
        <w:rPr>
          <w:rFonts w:ascii="Times New Roman" w:hAnsi="Times New Roman" w:cs="Times New Roman"/>
          <w:sz w:val="24"/>
          <w:szCs w:val="24"/>
        </w:rPr>
        <w:t xml:space="preserve"> 2020. gadā</w:t>
      </w:r>
      <w:r w:rsidR="00F65CC0" w:rsidRPr="0015154B">
        <w:rPr>
          <w:rFonts w:ascii="Times New Roman" w:hAnsi="Times New Roman" w:cs="Times New Roman"/>
          <w:sz w:val="24"/>
          <w:szCs w:val="24"/>
        </w:rPr>
        <w:t xml:space="preserve"> </w:t>
      </w:r>
      <w:r w:rsidRPr="0015154B">
        <w:rPr>
          <w:rFonts w:ascii="Times New Roman" w:hAnsi="Times New Roman" w:cs="Times New Roman"/>
          <w:sz w:val="24"/>
          <w:szCs w:val="24"/>
        </w:rPr>
        <w:t>(</w:t>
      </w:r>
      <w:r w:rsidRPr="0015154B">
        <w:rPr>
          <w:rFonts w:ascii="Times New Roman" w:hAnsi="Times New Roman" w:cs="Times New Roman"/>
          <w:sz w:val="24"/>
          <w:szCs w:val="24"/>
          <w:highlight w:val="yellow"/>
        </w:rPr>
        <w:t xml:space="preserve">skat. </w:t>
      </w:r>
      <w:r w:rsidR="00FB11A6" w:rsidRPr="0015154B">
        <w:rPr>
          <w:rFonts w:ascii="Times New Roman" w:hAnsi="Times New Roman" w:cs="Times New Roman"/>
          <w:sz w:val="24"/>
          <w:szCs w:val="24"/>
          <w:highlight w:val="yellow"/>
        </w:rPr>
        <w:t>4</w:t>
      </w:r>
      <w:r w:rsidR="00BF7EAC" w:rsidRPr="0015154B">
        <w:rPr>
          <w:rFonts w:ascii="Times New Roman" w:hAnsi="Times New Roman" w:cs="Times New Roman"/>
          <w:sz w:val="24"/>
          <w:szCs w:val="24"/>
          <w:highlight w:val="yellow"/>
        </w:rPr>
        <w:t>.</w:t>
      </w:r>
      <w:r w:rsidR="001122E4" w:rsidRPr="0015154B">
        <w:rPr>
          <w:rFonts w:ascii="Times New Roman" w:hAnsi="Times New Roman" w:cs="Times New Roman"/>
          <w:sz w:val="24"/>
          <w:szCs w:val="24"/>
          <w:highlight w:val="yellow"/>
        </w:rPr>
        <w:t>p</w:t>
      </w:r>
      <w:r w:rsidRPr="0015154B">
        <w:rPr>
          <w:rFonts w:ascii="Times New Roman" w:hAnsi="Times New Roman" w:cs="Times New Roman"/>
          <w:sz w:val="24"/>
          <w:szCs w:val="24"/>
          <w:highlight w:val="yellow"/>
        </w:rPr>
        <w:t>ielikumu</w:t>
      </w:r>
      <w:r w:rsidRPr="0015154B">
        <w:rPr>
          <w:rFonts w:ascii="Times New Roman" w:hAnsi="Times New Roman" w:cs="Times New Roman"/>
          <w:sz w:val="24"/>
          <w:szCs w:val="24"/>
        </w:rPr>
        <w:t>).</w:t>
      </w:r>
      <w:r w:rsidR="00631417" w:rsidRPr="0015154B">
        <w:rPr>
          <w:rFonts w:ascii="Times New Roman" w:hAnsi="Times New Roman" w:cs="Times New Roman"/>
          <w:sz w:val="24"/>
          <w:szCs w:val="24"/>
        </w:rPr>
        <w:t xml:space="preserve"> </w:t>
      </w:r>
      <w:r w:rsidR="00BF7EAC" w:rsidRPr="0015154B">
        <w:rPr>
          <w:rFonts w:ascii="Times New Roman" w:eastAsia="Times New Roman" w:hAnsi="Times New Roman" w:cs="Times New Roman"/>
          <w:sz w:val="24"/>
          <w:szCs w:val="24"/>
        </w:rPr>
        <w:t xml:space="preserve">Pēc VSAA datiem 2019.gada decembrī 1693 personu bija piešķirts </w:t>
      </w:r>
      <w:r w:rsidR="00BF7EAC" w:rsidRPr="0015154B">
        <w:rPr>
          <w:rFonts w:ascii="Times New Roman" w:hAnsi="Times New Roman" w:cs="Times New Roman"/>
          <w:sz w:val="24"/>
          <w:szCs w:val="24"/>
        </w:rPr>
        <w:t>VSNP pensijas vecumu sasniegušām personām</w:t>
      </w:r>
      <w:r w:rsidR="00BF7EAC" w:rsidRPr="0015154B">
        <w:rPr>
          <w:rFonts w:ascii="Times New Roman" w:eastAsia="Times New Roman" w:hAnsi="Times New Roman" w:cs="Times New Roman"/>
          <w:sz w:val="24"/>
          <w:szCs w:val="24"/>
        </w:rPr>
        <w:t>.</w:t>
      </w:r>
    </w:p>
    <w:p w14:paraId="0376A863" w14:textId="347A4502" w:rsidR="00F65CC0" w:rsidRPr="0015154B" w:rsidRDefault="00F65CC0" w:rsidP="009D13E7">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Gados vecāko cilvēku augstais nabadzības risks un zemais ienākumu adekvātums, īpaši minimālo pensiju saņēmējiem, vairākkārt ir uzsvērts kā viens no Latvijas sociālās politikas </w:t>
      </w:r>
      <w:r w:rsidRPr="0015154B">
        <w:rPr>
          <w:rFonts w:ascii="Times New Roman" w:hAnsi="Times New Roman" w:cs="Times New Roman"/>
          <w:sz w:val="24"/>
          <w:szCs w:val="24"/>
        </w:rPr>
        <w:lastRenderedPageBreak/>
        <w:t>galvenajiem izaicinājumiem un aktuāli risināmajām problēmām (</w:t>
      </w:r>
      <w:r w:rsidRPr="0015154B">
        <w:rPr>
          <w:rFonts w:ascii="Times New Roman" w:hAnsi="Times New Roman" w:cs="Times New Roman"/>
          <w:sz w:val="24"/>
          <w:szCs w:val="24"/>
          <w:highlight w:val="yellow"/>
        </w:rPr>
        <w:t xml:space="preserve">skat. 3.pielikuma </w:t>
      </w:r>
      <w:r w:rsidR="00DC4A98" w:rsidRPr="0015154B">
        <w:rPr>
          <w:rFonts w:ascii="Times New Roman" w:hAnsi="Times New Roman" w:cs="Times New Roman"/>
          <w:sz w:val="24"/>
          <w:szCs w:val="24"/>
          <w:highlight w:val="yellow"/>
        </w:rPr>
        <w:t>3</w:t>
      </w:r>
      <w:r w:rsidRPr="0015154B">
        <w:rPr>
          <w:rFonts w:ascii="Times New Roman" w:hAnsi="Times New Roman" w:cs="Times New Roman"/>
          <w:sz w:val="24"/>
          <w:szCs w:val="24"/>
          <w:highlight w:val="yellow"/>
        </w:rPr>
        <w:t>.tabulu</w:t>
      </w:r>
      <w:r w:rsidRPr="0015154B">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40"/>
      </w:r>
      <w:r w:rsidRPr="007157D3">
        <w:rPr>
          <w:rFonts w:ascii="Times New Roman" w:hAnsi="Times New Roman" w:cs="Times New Roman"/>
          <w:sz w:val="24"/>
          <w:szCs w:val="24"/>
        </w:rPr>
        <w:t xml:space="preserve">  </w:t>
      </w:r>
      <w:r w:rsidR="00C95000" w:rsidRPr="007157D3">
        <w:rPr>
          <w:rFonts w:ascii="Times New Roman" w:hAnsi="Times New Roman" w:cs="Times New Roman"/>
          <w:sz w:val="24"/>
          <w:szCs w:val="24"/>
        </w:rPr>
        <w:t xml:space="preserve">Vairāk </w:t>
      </w:r>
      <w:r w:rsidR="001122E4" w:rsidRPr="007157D3">
        <w:rPr>
          <w:rFonts w:ascii="Times New Roman" w:hAnsi="Times New Roman" w:cs="Times New Roman"/>
          <w:sz w:val="24"/>
          <w:szCs w:val="24"/>
        </w:rPr>
        <w:t>ne</w:t>
      </w:r>
      <w:r w:rsidR="00C95000" w:rsidRPr="002F5278">
        <w:rPr>
          <w:rFonts w:ascii="Times New Roman" w:hAnsi="Times New Roman" w:cs="Times New Roman"/>
          <w:sz w:val="24"/>
          <w:szCs w:val="24"/>
        </w:rPr>
        <w:t>kā pusei vecuma pensijas saņēmēju p</w:t>
      </w:r>
      <w:r w:rsidR="00C95000" w:rsidRPr="0025422D">
        <w:rPr>
          <w:rFonts w:ascii="Times New Roman" w:hAnsi="Times New Roman" w:cs="Times New Roman"/>
          <w:sz w:val="24"/>
          <w:szCs w:val="24"/>
        </w:rPr>
        <w:t xml:space="preserve">iešķirtās pensijas apmērs nepārsniedz 350 </w:t>
      </w:r>
      <w:r w:rsidR="00824E31" w:rsidRPr="00A857F2">
        <w:rPr>
          <w:rFonts w:ascii="Times New Roman" w:hAnsi="Times New Roman" w:cs="Times New Roman"/>
          <w:sz w:val="24"/>
          <w:szCs w:val="24"/>
        </w:rPr>
        <w:t>eiro</w:t>
      </w:r>
      <w:r w:rsidR="00C95000" w:rsidRPr="009703E6">
        <w:rPr>
          <w:rFonts w:ascii="Times New Roman" w:hAnsi="Times New Roman" w:cs="Times New Roman"/>
          <w:sz w:val="24"/>
          <w:szCs w:val="24"/>
        </w:rPr>
        <w:t xml:space="preserve"> mēnesī. </w:t>
      </w:r>
      <w:r w:rsidR="00C95000" w:rsidRPr="009703E6">
        <w:rPr>
          <w:rFonts w:ascii="Times New Roman" w:hAnsi="Times New Roman"/>
          <w:sz w:val="24"/>
          <w:szCs w:val="24"/>
        </w:rPr>
        <w:t xml:space="preserve">Mazo pensiju saņēmēju ar apmēru līdz 250 </w:t>
      </w:r>
      <w:r w:rsidR="00824E31" w:rsidRPr="0015154B">
        <w:rPr>
          <w:rFonts w:ascii="Times New Roman" w:hAnsi="Times New Roman"/>
          <w:sz w:val="24"/>
          <w:szCs w:val="24"/>
        </w:rPr>
        <w:t>eiro</w:t>
      </w:r>
      <w:r w:rsidR="00C95000" w:rsidRPr="0015154B">
        <w:rPr>
          <w:rFonts w:ascii="Times New Roman" w:hAnsi="Times New Roman"/>
          <w:sz w:val="24"/>
          <w:szCs w:val="24"/>
        </w:rPr>
        <w:t xml:space="preserve"> (ar piemaksu) īpatsvars ik gadu jūtami samazinās – ja 2017.gadā tie bija 33% no kopskaita, tad 2019.gadā – 16%</w:t>
      </w:r>
      <w:r w:rsidR="00FB11A6" w:rsidRPr="0015154B">
        <w:rPr>
          <w:rFonts w:ascii="Times New Roman" w:hAnsi="Times New Roman"/>
          <w:sz w:val="24"/>
          <w:szCs w:val="24"/>
        </w:rPr>
        <w:t xml:space="preserve"> (</w:t>
      </w:r>
      <w:r w:rsidR="00FB11A6" w:rsidRPr="0015154B">
        <w:rPr>
          <w:rFonts w:ascii="Times New Roman" w:hAnsi="Times New Roman"/>
          <w:sz w:val="24"/>
          <w:szCs w:val="24"/>
          <w:highlight w:val="yellow"/>
        </w:rPr>
        <w:t>skat. 9.attēlu</w:t>
      </w:r>
      <w:r w:rsidR="00FB11A6" w:rsidRPr="0015154B">
        <w:rPr>
          <w:rFonts w:ascii="Times New Roman" w:hAnsi="Times New Roman"/>
          <w:sz w:val="24"/>
          <w:szCs w:val="24"/>
        </w:rPr>
        <w:t>)</w:t>
      </w:r>
      <w:r w:rsidR="00463085" w:rsidRPr="0015154B">
        <w:rPr>
          <w:rFonts w:ascii="Times New Roman" w:hAnsi="Times New Roman"/>
          <w:sz w:val="24"/>
          <w:szCs w:val="24"/>
        </w:rPr>
        <w:t>.</w:t>
      </w:r>
    </w:p>
    <w:p w14:paraId="2ADA2061" w14:textId="77777777" w:rsidR="00C95000" w:rsidRPr="0015154B" w:rsidRDefault="00C95000" w:rsidP="00C95000">
      <w:pPr>
        <w:autoSpaceDE w:val="0"/>
        <w:autoSpaceDN w:val="0"/>
        <w:adjustRightInd w:val="0"/>
        <w:spacing w:after="0" w:line="240" w:lineRule="auto"/>
        <w:rPr>
          <w:rFonts w:ascii="Times New Roman" w:hAnsi="Times New Roman" w:cs="Times New Roman"/>
          <w:sz w:val="24"/>
          <w:szCs w:val="24"/>
          <w:highlight w:val="yellow"/>
        </w:rPr>
      </w:pPr>
    </w:p>
    <w:p w14:paraId="5BBF82E6" w14:textId="7281B26F" w:rsidR="00C95000" w:rsidRPr="0015154B" w:rsidRDefault="00FB11A6" w:rsidP="00C95000">
      <w:pPr>
        <w:autoSpaceDE w:val="0"/>
        <w:autoSpaceDN w:val="0"/>
        <w:adjustRightInd w:val="0"/>
        <w:spacing w:after="0" w:line="240" w:lineRule="auto"/>
        <w:rPr>
          <w:rFonts w:ascii="Times New Roman" w:hAnsi="Times New Roman" w:cs="Times New Roman"/>
          <w:sz w:val="24"/>
          <w:szCs w:val="24"/>
        </w:rPr>
      </w:pPr>
      <w:r w:rsidRPr="0015154B">
        <w:rPr>
          <w:rFonts w:ascii="Times New Roman" w:hAnsi="Times New Roman" w:cs="Times New Roman"/>
          <w:sz w:val="24"/>
          <w:szCs w:val="24"/>
        </w:rPr>
        <w:t>9.</w:t>
      </w:r>
      <w:r w:rsidR="00C95000" w:rsidRPr="0015154B">
        <w:rPr>
          <w:rFonts w:ascii="Times New Roman" w:hAnsi="Times New Roman" w:cs="Times New Roman"/>
          <w:sz w:val="24"/>
          <w:szCs w:val="24"/>
        </w:rPr>
        <w:t xml:space="preserve">attēls </w:t>
      </w:r>
    </w:p>
    <w:p w14:paraId="28D132F0" w14:textId="0498725E" w:rsidR="00C95000" w:rsidRPr="0015154B" w:rsidRDefault="00C95000" w:rsidP="00F65CC0">
      <w:pPr>
        <w:autoSpaceDE w:val="0"/>
        <w:autoSpaceDN w:val="0"/>
        <w:adjustRightInd w:val="0"/>
        <w:spacing w:after="0" w:line="240" w:lineRule="auto"/>
        <w:ind w:firstLine="720"/>
        <w:jc w:val="both"/>
        <w:rPr>
          <w:rFonts w:ascii="Times New Roman" w:hAnsi="Times New Roman" w:cs="Times New Roman"/>
          <w:sz w:val="24"/>
          <w:szCs w:val="24"/>
        </w:rPr>
      </w:pPr>
    </w:p>
    <w:p w14:paraId="6BD2F11F" w14:textId="04900911" w:rsidR="00C95000" w:rsidRPr="007157D3" w:rsidRDefault="00FB11A6" w:rsidP="00A703F7">
      <w:pPr>
        <w:autoSpaceDE w:val="0"/>
        <w:autoSpaceDN w:val="0"/>
        <w:adjustRightInd w:val="0"/>
        <w:spacing w:after="0" w:line="240" w:lineRule="auto"/>
        <w:ind w:firstLine="720"/>
        <w:jc w:val="both"/>
        <w:rPr>
          <w:rFonts w:ascii="Times New Roman" w:hAnsi="Times New Roman" w:cs="Times New Roman"/>
          <w:sz w:val="24"/>
          <w:szCs w:val="24"/>
        </w:rPr>
      </w:pPr>
      <w:r w:rsidRPr="004A6572">
        <w:rPr>
          <w:noProof/>
          <w:lang w:eastAsia="lv-LV"/>
        </w:rPr>
        <w:drawing>
          <wp:inline distT="0" distB="0" distL="0" distR="0" wp14:anchorId="24B87AD7" wp14:editId="78AE9BB1">
            <wp:extent cx="5173835" cy="2604304"/>
            <wp:effectExtent l="0" t="0" r="8255" b="5715"/>
            <wp:docPr id="3" name="Chart 3">
              <a:extLst xmlns:a="http://schemas.openxmlformats.org/drawingml/2006/main">
                <a:ext uri="{FF2B5EF4-FFF2-40B4-BE49-F238E27FC236}">
                  <a16:creationId xmlns:a16="http://schemas.microsoft.com/office/drawing/2014/main" id="{C55C79DD-CA27-4C6F-A0EC-B54732CDD3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580457F" w14:textId="77777777" w:rsidR="00335298" w:rsidRDefault="00335298" w:rsidP="00200837">
      <w:pPr>
        <w:autoSpaceDE w:val="0"/>
        <w:autoSpaceDN w:val="0"/>
        <w:adjustRightInd w:val="0"/>
        <w:spacing w:after="0" w:line="240" w:lineRule="auto"/>
        <w:jc w:val="both"/>
        <w:rPr>
          <w:rFonts w:ascii="Times New Roman" w:hAnsi="Times New Roman" w:cs="Times New Roman"/>
          <w:sz w:val="20"/>
          <w:szCs w:val="20"/>
        </w:rPr>
      </w:pPr>
    </w:p>
    <w:p w14:paraId="58B1BD0A" w14:textId="54463C33" w:rsidR="00200837" w:rsidRPr="00335298" w:rsidRDefault="00335298" w:rsidP="00200837">
      <w:pPr>
        <w:autoSpaceDE w:val="0"/>
        <w:autoSpaceDN w:val="0"/>
        <w:adjustRightInd w:val="0"/>
        <w:spacing w:after="0" w:line="240" w:lineRule="auto"/>
        <w:jc w:val="both"/>
        <w:rPr>
          <w:rFonts w:ascii="Times New Roman" w:hAnsi="Times New Roman" w:cs="Times New Roman"/>
          <w:sz w:val="20"/>
          <w:szCs w:val="20"/>
        </w:rPr>
      </w:pPr>
      <w:r w:rsidRPr="00335298">
        <w:rPr>
          <w:rFonts w:ascii="Times New Roman" w:hAnsi="Times New Roman" w:cs="Times New Roman"/>
          <w:sz w:val="20"/>
          <w:szCs w:val="20"/>
        </w:rPr>
        <w:t xml:space="preserve">Datu avots: </w:t>
      </w:r>
      <w:r>
        <w:rPr>
          <w:rFonts w:ascii="Times New Roman" w:hAnsi="Times New Roman" w:cs="Times New Roman"/>
          <w:sz w:val="20"/>
          <w:szCs w:val="20"/>
        </w:rPr>
        <w:t>VSAA</w:t>
      </w:r>
    </w:p>
    <w:p w14:paraId="4D75B009" w14:textId="4CB3CF22" w:rsidR="005869BF" w:rsidRPr="0015154B" w:rsidRDefault="005869BF" w:rsidP="00971EEA">
      <w:pPr>
        <w:spacing w:before="120" w:after="0" w:line="240" w:lineRule="auto"/>
        <w:ind w:firstLine="720"/>
        <w:jc w:val="both"/>
        <w:rPr>
          <w:rFonts w:ascii="Times New Roman" w:hAnsi="Times New Roman" w:cs="Times New Roman"/>
          <w:color w:val="000000"/>
          <w:sz w:val="24"/>
          <w:szCs w:val="24"/>
        </w:rPr>
      </w:pPr>
      <w:r w:rsidRPr="0025422D">
        <w:rPr>
          <w:rFonts w:ascii="Times New Roman" w:hAnsi="Times New Roman" w:cs="Times New Roman"/>
          <w:color w:val="000000"/>
          <w:sz w:val="24"/>
          <w:szCs w:val="24"/>
        </w:rPr>
        <w:t xml:space="preserve">Nodrošinot </w:t>
      </w:r>
      <w:r w:rsidRPr="00A857F2">
        <w:rPr>
          <w:rFonts w:ascii="Times New Roman" w:hAnsi="Times New Roman" w:cs="Times New Roman"/>
          <w:color w:val="000000"/>
          <w:sz w:val="24"/>
          <w:szCs w:val="24"/>
        </w:rPr>
        <w:t xml:space="preserve">pensiju sistēmas finanšu ilgtspēju, </w:t>
      </w:r>
      <w:r w:rsidR="00C03EA7" w:rsidRPr="009703E6">
        <w:rPr>
          <w:rFonts w:ascii="Times New Roman" w:hAnsi="Times New Roman" w:cs="Times New Roman"/>
          <w:color w:val="000000"/>
          <w:sz w:val="24"/>
          <w:szCs w:val="24"/>
        </w:rPr>
        <w:t>ne</w:t>
      </w:r>
      <w:r w:rsidRPr="009703E6">
        <w:rPr>
          <w:rFonts w:ascii="Times New Roman" w:hAnsi="Times New Roman" w:cs="Times New Roman"/>
          <w:color w:val="000000"/>
          <w:sz w:val="24"/>
          <w:szCs w:val="24"/>
        </w:rPr>
        <w:t xml:space="preserve"> vienmēr tiek nodrošināta</w:t>
      </w:r>
      <w:r w:rsidR="00C03EA7" w:rsidRPr="0015154B">
        <w:rPr>
          <w:rFonts w:ascii="Times New Roman" w:hAnsi="Times New Roman" w:cs="Times New Roman"/>
          <w:color w:val="000000"/>
          <w:sz w:val="24"/>
          <w:szCs w:val="24"/>
        </w:rPr>
        <w:t xml:space="preserve"> arī</w:t>
      </w:r>
      <w:r w:rsidRPr="0015154B">
        <w:rPr>
          <w:rFonts w:ascii="Times New Roman" w:hAnsi="Times New Roman" w:cs="Times New Roman"/>
          <w:color w:val="000000"/>
          <w:sz w:val="24"/>
          <w:szCs w:val="24"/>
        </w:rPr>
        <w:t xml:space="preserve"> tās sociālā ilgtspēja, kas pašlaik ir galvenais LV pensiju sistēmas izaicinājums. Pensiju apmēri un to atvietojums (adekvātums) gan šobrīd, gan arī prognozējot ilgtermiņam, atpaliek no OECD un ES valstu vidējā rādītāja. Par pensiju zemo atvietojumu problēmu un iespējamajām sekām, ko nākotnē vēl vairāk ietekmēs lielais mazo apdrošināšanas iemaksu veicēju īpatsvars (1/3 maksā no </w:t>
      </w:r>
      <w:r w:rsidR="00C03EA7" w:rsidRPr="0015154B">
        <w:rPr>
          <w:rFonts w:ascii="Times New Roman" w:hAnsi="Times New Roman" w:cs="Times New Roman"/>
          <w:color w:val="000000"/>
          <w:sz w:val="24"/>
          <w:szCs w:val="24"/>
        </w:rPr>
        <w:t>ienākumiem</w:t>
      </w:r>
      <w:r w:rsidRPr="0015154B">
        <w:rPr>
          <w:rFonts w:ascii="Times New Roman" w:hAnsi="Times New Roman" w:cs="Times New Roman"/>
          <w:color w:val="000000"/>
          <w:sz w:val="24"/>
          <w:szCs w:val="24"/>
        </w:rPr>
        <w:t>, kas ir mazāk</w:t>
      </w:r>
      <w:r w:rsidR="00C03EA7" w:rsidRPr="0015154B">
        <w:rPr>
          <w:rFonts w:ascii="Times New Roman" w:hAnsi="Times New Roman" w:cs="Times New Roman"/>
          <w:color w:val="000000"/>
          <w:sz w:val="24"/>
          <w:szCs w:val="24"/>
        </w:rPr>
        <w:t>i</w:t>
      </w:r>
      <w:r w:rsidRPr="0015154B">
        <w:rPr>
          <w:rFonts w:ascii="Times New Roman" w:hAnsi="Times New Roman" w:cs="Times New Roman"/>
          <w:color w:val="000000"/>
          <w:sz w:val="24"/>
          <w:szCs w:val="24"/>
        </w:rPr>
        <w:t xml:space="preserve"> par minimālo algu), kā jau vairākkārt norāda savos ziņojumos arī EK un OECD.</w:t>
      </w:r>
      <w:r w:rsidR="00180664" w:rsidRPr="0015154B">
        <w:rPr>
          <w:rFonts w:ascii="Times New Roman" w:hAnsi="Times New Roman" w:cs="Times New Roman"/>
          <w:color w:val="000000"/>
          <w:sz w:val="24"/>
          <w:szCs w:val="24"/>
        </w:rPr>
        <w:t xml:space="preserve"> </w:t>
      </w:r>
    </w:p>
    <w:p w14:paraId="1EDEE567" w14:textId="2A25013B" w:rsidR="00C32C9F" w:rsidRDefault="00C32C9F" w:rsidP="00C32C9F">
      <w:pPr>
        <w:pStyle w:val="mt-translation"/>
        <w:shd w:val="clear" w:color="auto" w:fill="FFFFFF" w:themeFill="background1"/>
        <w:spacing w:before="120" w:beforeAutospacing="0" w:after="0" w:afterAutospacing="0"/>
        <w:ind w:firstLine="709"/>
        <w:jc w:val="both"/>
        <w:rPr>
          <w:rStyle w:val="word"/>
          <w:rFonts w:eastAsiaTheme="majorEastAsia"/>
          <w:color w:val="222222"/>
          <w:spacing w:val="3"/>
        </w:rPr>
      </w:pPr>
      <w:r w:rsidRPr="0015154B">
        <w:rPr>
          <w:rStyle w:val="word"/>
          <w:rFonts w:eastAsiaTheme="majorEastAsia"/>
          <w:color w:val="222222"/>
          <w:spacing w:val="3"/>
        </w:rPr>
        <w:t>2019.gada nogalē EK Ekonomikas</w:t>
      </w:r>
      <w:r w:rsidRPr="0015154B">
        <w:rPr>
          <w:rStyle w:val="phrase"/>
          <w:rFonts w:eastAsiaTheme="majorEastAsia"/>
          <w:color w:val="222222"/>
          <w:spacing w:val="3"/>
        </w:rPr>
        <w:t xml:space="preserve"> </w:t>
      </w:r>
      <w:r w:rsidRPr="0015154B">
        <w:rPr>
          <w:rStyle w:val="word"/>
          <w:rFonts w:eastAsiaTheme="majorEastAsia"/>
          <w:color w:val="222222"/>
          <w:spacing w:val="3"/>
        </w:rPr>
        <w:t>politikas</w:t>
      </w:r>
      <w:r w:rsidRPr="0015154B">
        <w:rPr>
          <w:rStyle w:val="phrase"/>
          <w:rFonts w:eastAsiaTheme="majorEastAsia"/>
          <w:color w:val="222222"/>
          <w:spacing w:val="3"/>
        </w:rPr>
        <w:t xml:space="preserve"> </w:t>
      </w:r>
      <w:r w:rsidRPr="0015154B">
        <w:rPr>
          <w:rStyle w:val="word"/>
          <w:rFonts w:eastAsiaTheme="majorEastAsia"/>
          <w:color w:val="222222"/>
          <w:spacing w:val="3"/>
        </w:rPr>
        <w:t>komiteja</w:t>
      </w:r>
      <w:r w:rsidR="00335298">
        <w:rPr>
          <w:rStyle w:val="word"/>
          <w:rFonts w:eastAsiaTheme="majorEastAsia"/>
          <w:color w:val="222222"/>
          <w:spacing w:val="3"/>
        </w:rPr>
        <w:t xml:space="preserve"> </w:t>
      </w:r>
      <w:r w:rsidRPr="0015154B">
        <w:rPr>
          <w:rStyle w:val="word"/>
          <w:rFonts w:eastAsiaTheme="majorEastAsia"/>
          <w:color w:val="222222"/>
          <w:spacing w:val="3"/>
        </w:rPr>
        <w:t>(EPK)</w:t>
      </w:r>
      <w:r w:rsidRPr="0015154B">
        <w:rPr>
          <w:rStyle w:val="phrase"/>
          <w:rFonts w:eastAsiaTheme="majorEastAsia"/>
          <w:color w:val="222222"/>
          <w:spacing w:val="3"/>
        </w:rPr>
        <w:t xml:space="preserve"> </w:t>
      </w:r>
      <w:r w:rsidRPr="0015154B">
        <w:rPr>
          <w:rStyle w:val="word"/>
          <w:rFonts w:eastAsiaTheme="majorEastAsia"/>
          <w:color w:val="222222"/>
          <w:spacing w:val="3"/>
        </w:rPr>
        <w:t>un</w:t>
      </w:r>
      <w:r w:rsidRPr="0015154B">
        <w:rPr>
          <w:rStyle w:val="phrase"/>
          <w:rFonts w:eastAsiaTheme="majorEastAsia"/>
          <w:color w:val="222222"/>
          <w:spacing w:val="3"/>
        </w:rPr>
        <w:t xml:space="preserve"> </w:t>
      </w:r>
      <w:r w:rsidRPr="0015154B">
        <w:rPr>
          <w:rStyle w:val="word"/>
          <w:rFonts w:eastAsiaTheme="majorEastAsia"/>
          <w:color w:val="222222"/>
          <w:spacing w:val="3"/>
        </w:rPr>
        <w:t>Sociālās</w:t>
      </w:r>
      <w:r w:rsidRPr="0015154B">
        <w:rPr>
          <w:rStyle w:val="phrase"/>
          <w:rFonts w:eastAsiaTheme="majorEastAsia"/>
          <w:color w:val="222222"/>
          <w:spacing w:val="3"/>
        </w:rPr>
        <w:t xml:space="preserve"> </w:t>
      </w:r>
      <w:r w:rsidRPr="0015154B">
        <w:rPr>
          <w:rStyle w:val="word"/>
          <w:rFonts w:eastAsiaTheme="majorEastAsia"/>
          <w:color w:val="222222"/>
          <w:spacing w:val="3"/>
        </w:rPr>
        <w:t>aizsardzības</w:t>
      </w:r>
      <w:r w:rsidRPr="0015154B">
        <w:rPr>
          <w:rStyle w:val="phrase"/>
          <w:rFonts w:eastAsiaTheme="majorEastAsia"/>
          <w:color w:val="222222"/>
          <w:spacing w:val="3"/>
        </w:rPr>
        <w:t xml:space="preserve"> </w:t>
      </w:r>
      <w:r w:rsidRPr="0015154B">
        <w:rPr>
          <w:rStyle w:val="word"/>
          <w:rFonts w:eastAsiaTheme="majorEastAsia"/>
          <w:color w:val="222222"/>
          <w:spacing w:val="3"/>
        </w:rPr>
        <w:t>komiteja (SAK) izstrādāja vienotu ziņojumu par pensiju ilgtspēju un adekvātumu</w:t>
      </w:r>
      <w:r w:rsidR="00335298">
        <w:rPr>
          <w:rStyle w:val="word"/>
          <w:rFonts w:eastAsiaTheme="majorEastAsia"/>
          <w:color w:val="222222"/>
          <w:spacing w:val="3"/>
        </w:rPr>
        <w:t>.</w:t>
      </w:r>
      <w:r w:rsidRPr="007157D3">
        <w:rPr>
          <w:rStyle w:val="FootnoteReference"/>
          <w:color w:val="222222"/>
          <w:spacing w:val="3"/>
        </w:rPr>
        <w:footnoteReference w:id="41"/>
      </w:r>
      <w:r w:rsidR="00335298">
        <w:rPr>
          <w:rStyle w:val="word"/>
          <w:rFonts w:eastAsiaTheme="majorEastAsia"/>
          <w:color w:val="222222"/>
          <w:spacing w:val="3"/>
        </w:rPr>
        <w:t xml:space="preserve"> </w:t>
      </w:r>
      <w:r w:rsidRPr="007157D3">
        <w:rPr>
          <w:rStyle w:val="word"/>
          <w:rFonts w:eastAsiaTheme="majorEastAsia"/>
          <w:color w:val="222222"/>
          <w:spacing w:val="3"/>
        </w:rPr>
        <w:t>Ziņojumā ir analizēta ES dalībvalstu politika</w:t>
      </w:r>
      <w:r w:rsidRPr="002F5278">
        <w:rPr>
          <w:rStyle w:val="word"/>
          <w:rFonts w:eastAsiaTheme="majorEastAsia"/>
          <w:color w:val="222222"/>
          <w:spacing w:val="3"/>
        </w:rPr>
        <w:t xml:space="preserve">, mēģinot </w:t>
      </w:r>
      <w:r w:rsidRPr="0025422D">
        <w:rPr>
          <w:rStyle w:val="word"/>
          <w:rFonts w:eastAsiaTheme="majorEastAsia"/>
          <w:color w:val="222222"/>
          <w:spacing w:val="3"/>
        </w:rPr>
        <w:t>mazināt iedzīvotāju novecošanās ietekmi uz pensiju sistēmām. Pēdējā</w:t>
      </w:r>
      <w:r w:rsidRPr="00A857F2">
        <w:rPr>
          <w:rStyle w:val="phrase"/>
          <w:rFonts w:eastAsiaTheme="majorEastAsia"/>
          <w:color w:val="222222"/>
          <w:spacing w:val="3"/>
        </w:rPr>
        <w:t xml:space="preserve"> </w:t>
      </w:r>
      <w:r w:rsidRPr="009703E6">
        <w:rPr>
          <w:rStyle w:val="word"/>
          <w:rFonts w:eastAsiaTheme="majorEastAsia"/>
          <w:color w:val="222222"/>
          <w:spacing w:val="3"/>
        </w:rPr>
        <w:t>desmitgadē visās ES valstīs veiktas pensiju reformas, kuru uzmanības</w:t>
      </w:r>
      <w:r w:rsidRPr="009703E6">
        <w:rPr>
          <w:rStyle w:val="phrase"/>
          <w:rFonts w:eastAsiaTheme="majorEastAsia"/>
          <w:color w:val="222222"/>
          <w:spacing w:val="3"/>
        </w:rPr>
        <w:t xml:space="preserve"> </w:t>
      </w:r>
      <w:r w:rsidRPr="0015154B">
        <w:rPr>
          <w:rStyle w:val="word"/>
          <w:rFonts w:eastAsiaTheme="majorEastAsia"/>
          <w:color w:val="222222"/>
          <w:spacing w:val="3"/>
        </w:rPr>
        <w:t>centrā</w:t>
      </w:r>
      <w:r w:rsidRPr="0015154B">
        <w:rPr>
          <w:rStyle w:val="phrase"/>
          <w:rFonts w:eastAsiaTheme="majorEastAsia"/>
          <w:color w:val="222222"/>
          <w:spacing w:val="3"/>
        </w:rPr>
        <w:t xml:space="preserve"> </w:t>
      </w:r>
      <w:r w:rsidRPr="0015154B">
        <w:rPr>
          <w:rStyle w:val="word"/>
          <w:rFonts w:eastAsiaTheme="majorEastAsia"/>
          <w:color w:val="222222"/>
          <w:spacing w:val="3"/>
        </w:rPr>
        <w:t>ir</w:t>
      </w:r>
      <w:r w:rsidRPr="0015154B">
        <w:rPr>
          <w:rStyle w:val="phrase"/>
          <w:rFonts w:eastAsiaTheme="majorEastAsia"/>
          <w:color w:val="222222"/>
          <w:spacing w:val="3"/>
        </w:rPr>
        <w:t xml:space="preserve"> </w:t>
      </w:r>
      <w:r w:rsidRPr="0015154B">
        <w:rPr>
          <w:rStyle w:val="word"/>
          <w:rFonts w:eastAsiaTheme="majorEastAsia"/>
          <w:color w:val="222222"/>
          <w:spacing w:val="3"/>
        </w:rPr>
        <w:t>valsts</w:t>
      </w:r>
      <w:r w:rsidRPr="0015154B">
        <w:rPr>
          <w:rStyle w:val="phrase"/>
          <w:rFonts w:eastAsiaTheme="majorEastAsia"/>
          <w:color w:val="222222"/>
          <w:spacing w:val="3"/>
        </w:rPr>
        <w:t xml:space="preserve"> </w:t>
      </w:r>
      <w:r w:rsidRPr="0015154B">
        <w:rPr>
          <w:rStyle w:val="word"/>
          <w:rFonts w:eastAsiaTheme="majorEastAsia"/>
          <w:color w:val="222222"/>
          <w:spacing w:val="3"/>
        </w:rPr>
        <w:t>pensiju</w:t>
      </w:r>
      <w:r w:rsidRPr="0015154B">
        <w:rPr>
          <w:rStyle w:val="phrase"/>
          <w:rFonts w:eastAsiaTheme="majorEastAsia"/>
          <w:color w:val="222222"/>
          <w:spacing w:val="3"/>
        </w:rPr>
        <w:t xml:space="preserve"> </w:t>
      </w:r>
      <w:r w:rsidRPr="0015154B">
        <w:rPr>
          <w:rStyle w:val="word"/>
          <w:rFonts w:eastAsiaTheme="majorEastAsia"/>
          <w:color w:val="222222"/>
          <w:spacing w:val="3"/>
        </w:rPr>
        <w:t>fiskālās</w:t>
      </w:r>
      <w:r w:rsidRPr="0015154B">
        <w:rPr>
          <w:rStyle w:val="phrase"/>
          <w:rFonts w:eastAsiaTheme="majorEastAsia"/>
          <w:color w:val="222222"/>
          <w:spacing w:val="3"/>
        </w:rPr>
        <w:t xml:space="preserve"> </w:t>
      </w:r>
      <w:r w:rsidRPr="0015154B">
        <w:rPr>
          <w:rStyle w:val="word"/>
          <w:rFonts w:eastAsiaTheme="majorEastAsia"/>
          <w:color w:val="222222"/>
          <w:spacing w:val="3"/>
        </w:rPr>
        <w:t xml:space="preserve">ilgtspējas uzlabošana. </w:t>
      </w:r>
      <w:r w:rsidRPr="0015154B">
        <w:rPr>
          <w:rStyle w:val="phrase"/>
          <w:rFonts w:eastAsiaTheme="majorEastAsia"/>
          <w:color w:val="222222"/>
          <w:spacing w:val="3"/>
        </w:rPr>
        <w:t>Visizplatītākā pieeja ir p</w:t>
      </w:r>
      <w:r w:rsidRPr="0015154B">
        <w:rPr>
          <w:rStyle w:val="word"/>
          <w:rFonts w:eastAsiaTheme="majorEastAsia"/>
          <w:color w:val="222222"/>
          <w:spacing w:val="3"/>
        </w:rPr>
        <w:t>ensionēšanās</w:t>
      </w:r>
      <w:r w:rsidRPr="0015154B">
        <w:rPr>
          <w:rStyle w:val="phrase"/>
          <w:rFonts w:eastAsiaTheme="majorEastAsia"/>
          <w:color w:val="222222"/>
          <w:spacing w:val="3"/>
        </w:rPr>
        <w:t xml:space="preserve"> </w:t>
      </w:r>
      <w:r w:rsidRPr="0015154B">
        <w:rPr>
          <w:rStyle w:val="word"/>
          <w:rFonts w:eastAsiaTheme="majorEastAsia"/>
          <w:color w:val="222222"/>
          <w:spacing w:val="3"/>
        </w:rPr>
        <w:t>vecuma</w:t>
      </w:r>
      <w:r w:rsidRPr="0015154B">
        <w:rPr>
          <w:rStyle w:val="phrase"/>
          <w:rFonts w:eastAsiaTheme="majorEastAsia"/>
          <w:color w:val="222222"/>
          <w:spacing w:val="3"/>
        </w:rPr>
        <w:t xml:space="preserve"> </w:t>
      </w:r>
      <w:r w:rsidRPr="0015154B">
        <w:rPr>
          <w:rStyle w:val="word"/>
          <w:rFonts w:eastAsiaTheme="majorEastAsia"/>
          <w:color w:val="222222"/>
          <w:spacing w:val="3"/>
        </w:rPr>
        <w:t xml:space="preserve">paaugstināšana </w:t>
      </w:r>
      <w:r w:rsidRPr="0015154B">
        <w:rPr>
          <w:rStyle w:val="word"/>
          <w:rFonts w:eastAsiaTheme="majorEastAsia"/>
          <w:color w:val="222222"/>
          <w:spacing w:val="3"/>
          <w:highlight w:val="yellow"/>
        </w:rPr>
        <w:t xml:space="preserve">(skat. </w:t>
      </w:r>
      <w:r w:rsidR="00F81B3E">
        <w:rPr>
          <w:rStyle w:val="word"/>
          <w:rFonts w:eastAsiaTheme="majorEastAsia"/>
          <w:color w:val="222222"/>
          <w:spacing w:val="3"/>
          <w:highlight w:val="yellow"/>
        </w:rPr>
        <w:t>10.</w:t>
      </w:r>
      <w:r w:rsidRPr="0015154B">
        <w:rPr>
          <w:rStyle w:val="word"/>
          <w:rFonts w:eastAsiaTheme="majorEastAsia"/>
          <w:color w:val="222222"/>
          <w:spacing w:val="3"/>
          <w:highlight w:val="yellow"/>
        </w:rPr>
        <w:t>attēlu</w:t>
      </w:r>
      <w:r w:rsidRPr="0015154B">
        <w:rPr>
          <w:rStyle w:val="word"/>
          <w:rFonts w:eastAsiaTheme="majorEastAsia"/>
          <w:color w:val="222222"/>
          <w:spacing w:val="3"/>
        </w:rPr>
        <w:t>). Nesenās</w:t>
      </w:r>
      <w:r w:rsidRPr="0015154B">
        <w:rPr>
          <w:rStyle w:val="phrase"/>
          <w:rFonts w:eastAsiaTheme="majorEastAsia"/>
          <w:color w:val="222222"/>
          <w:spacing w:val="3"/>
        </w:rPr>
        <w:t xml:space="preserve"> </w:t>
      </w:r>
      <w:r w:rsidRPr="0015154B">
        <w:rPr>
          <w:rStyle w:val="word"/>
          <w:rFonts w:eastAsiaTheme="majorEastAsia"/>
          <w:color w:val="222222"/>
          <w:spacing w:val="3"/>
        </w:rPr>
        <w:t>reformas</w:t>
      </w:r>
      <w:r w:rsidRPr="0015154B">
        <w:rPr>
          <w:rStyle w:val="phrase"/>
          <w:rFonts w:eastAsiaTheme="majorEastAsia"/>
          <w:color w:val="222222"/>
          <w:spacing w:val="3"/>
        </w:rPr>
        <w:t xml:space="preserve"> </w:t>
      </w:r>
      <w:r w:rsidRPr="0015154B">
        <w:rPr>
          <w:rStyle w:val="word"/>
          <w:rFonts w:eastAsiaTheme="majorEastAsia"/>
          <w:color w:val="222222"/>
          <w:spacing w:val="3"/>
        </w:rPr>
        <w:t>arī</w:t>
      </w:r>
      <w:r w:rsidRPr="0015154B">
        <w:rPr>
          <w:rStyle w:val="phrase"/>
          <w:rFonts w:eastAsiaTheme="majorEastAsia"/>
          <w:color w:val="222222"/>
          <w:spacing w:val="3"/>
        </w:rPr>
        <w:t xml:space="preserve"> </w:t>
      </w:r>
      <w:r w:rsidRPr="0015154B">
        <w:rPr>
          <w:rStyle w:val="word"/>
          <w:rFonts w:eastAsiaTheme="majorEastAsia"/>
          <w:color w:val="222222"/>
          <w:spacing w:val="3"/>
        </w:rPr>
        <w:t>norāda</w:t>
      </w:r>
      <w:r w:rsidRPr="0015154B">
        <w:rPr>
          <w:rStyle w:val="phrase"/>
          <w:rFonts w:eastAsiaTheme="majorEastAsia"/>
          <w:color w:val="222222"/>
          <w:spacing w:val="3"/>
        </w:rPr>
        <w:t xml:space="preserve"> </w:t>
      </w:r>
      <w:r w:rsidRPr="0015154B">
        <w:rPr>
          <w:rStyle w:val="word"/>
          <w:rFonts w:eastAsiaTheme="majorEastAsia"/>
          <w:color w:val="222222"/>
          <w:spacing w:val="3"/>
        </w:rPr>
        <w:t>uz</w:t>
      </w:r>
      <w:r w:rsidRPr="0015154B">
        <w:rPr>
          <w:rStyle w:val="phrase"/>
          <w:rFonts w:eastAsiaTheme="majorEastAsia"/>
          <w:color w:val="222222"/>
          <w:spacing w:val="3"/>
        </w:rPr>
        <w:t xml:space="preserve"> </w:t>
      </w:r>
      <w:r w:rsidRPr="0015154B">
        <w:rPr>
          <w:rStyle w:val="word"/>
          <w:rFonts w:eastAsiaTheme="majorEastAsia"/>
          <w:color w:val="222222"/>
          <w:spacing w:val="3"/>
        </w:rPr>
        <w:t>tendenci</w:t>
      </w:r>
      <w:r w:rsidRPr="0015154B">
        <w:rPr>
          <w:rStyle w:val="phrase"/>
          <w:rFonts w:eastAsiaTheme="majorEastAsia"/>
          <w:color w:val="222222"/>
          <w:spacing w:val="3"/>
        </w:rPr>
        <w:t xml:space="preserve"> </w:t>
      </w:r>
      <w:r w:rsidRPr="0015154B">
        <w:rPr>
          <w:rStyle w:val="word"/>
          <w:rFonts w:eastAsiaTheme="majorEastAsia"/>
          <w:color w:val="222222"/>
          <w:spacing w:val="3"/>
        </w:rPr>
        <w:t>pakāpeniski</w:t>
      </w:r>
      <w:r w:rsidRPr="0015154B">
        <w:rPr>
          <w:rStyle w:val="phrase"/>
          <w:rFonts w:eastAsiaTheme="majorEastAsia"/>
          <w:color w:val="222222"/>
          <w:spacing w:val="3"/>
        </w:rPr>
        <w:t xml:space="preserve"> </w:t>
      </w:r>
      <w:r w:rsidRPr="0015154B">
        <w:rPr>
          <w:rStyle w:val="word"/>
          <w:rFonts w:eastAsiaTheme="majorEastAsia"/>
          <w:color w:val="222222"/>
          <w:spacing w:val="3"/>
        </w:rPr>
        <w:t>atcelt pensijas,</w:t>
      </w:r>
      <w:r w:rsidRPr="0015154B">
        <w:rPr>
          <w:rStyle w:val="phrase"/>
          <w:rFonts w:eastAsiaTheme="majorEastAsia"/>
          <w:color w:val="222222"/>
          <w:spacing w:val="3"/>
        </w:rPr>
        <w:t xml:space="preserve"> </w:t>
      </w:r>
      <w:r w:rsidRPr="0015154B">
        <w:rPr>
          <w:rStyle w:val="word"/>
          <w:rFonts w:eastAsiaTheme="majorEastAsia"/>
          <w:color w:val="222222"/>
          <w:spacing w:val="3"/>
        </w:rPr>
        <w:t>kas</w:t>
      </w:r>
      <w:r w:rsidRPr="0015154B">
        <w:rPr>
          <w:rStyle w:val="phrase"/>
          <w:rFonts w:eastAsiaTheme="majorEastAsia"/>
          <w:color w:val="222222"/>
          <w:spacing w:val="3"/>
        </w:rPr>
        <w:t xml:space="preserve"> </w:t>
      </w:r>
      <w:r w:rsidRPr="0015154B">
        <w:rPr>
          <w:rStyle w:val="word"/>
          <w:rFonts w:eastAsiaTheme="majorEastAsia"/>
          <w:color w:val="222222"/>
          <w:spacing w:val="3"/>
        </w:rPr>
        <w:t>piešķir</w:t>
      </w:r>
      <w:r w:rsidRPr="0015154B">
        <w:rPr>
          <w:rStyle w:val="phrase"/>
          <w:rFonts w:eastAsiaTheme="majorEastAsia"/>
          <w:color w:val="222222"/>
          <w:spacing w:val="3"/>
        </w:rPr>
        <w:t xml:space="preserve"> </w:t>
      </w:r>
      <w:r w:rsidRPr="0015154B">
        <w:rPr>
          <w:rStyle w:val="word"/>
          <w:rFonts w:eastAsiaTheme="majorEastAsia"/>
          <w:color w:val="222222"/>
          <w:spacing w:val="3"/>
        </w:rPr>
        <w:t>priekšrocības, piemēram, izdienas pensijas dažādām iedzīvotāju grupām. Dažas</w:t>
      </w:r>
      <w:r w:rsidRPr="0015154B">
        <w:rPr>
          <w:rStyle w:val="phrase"/>
          <w:rFonts w:eastAsiaTheme="majorEastAsia"/>
          <w:color w:val="222222"/>
          <w:spacing w:val="3"/>
        </w:rPr>
        <w:t xml:space="preserve"> </w:t>
      </w:r>
      <w:r w:rsidRPr="0015154B">
        <w:rPr>
          <w:rStyle w:val="word"/>
          <w:rFonts w:eastAsiaTheme="majorEastAsia"/>
          <w:color w:val="222222"/>
          <w:spacing w:val="3"/>
        </w:rPr>
        <w:t>reformas</w:t>
      </w:r>
      <w:r w:rsidRPr="0015154B">
        <w:rPr>
          <w:rStyle w:val="phrase"/>
          <w:rFonts w:eastAsiaTheme="majorEastAsia"/>
          <w:color w:val="222222"/>
          <w:spacing w:val="3"/>
        </w:rPr>
        <w:t xml:space="preserve"> </w:t>
      </w:r>
      <w:r w:rsidRPr="0015154B">
        <w:rPr>
          <w:rStyle w:val="word"/>
          <w:rFonts w:eastAsiaTheme="majorEastAsia"/>
          <w:color w:val="222222"/>
          <w:spacing w:val="3"/>
        </w:rPr>
        <w:t>pievērsās</w:t>
      </w:r>
      <w:r w:rsidRPr="0015154B">
        <w:rPr>
          <w:rStyle w:val="phrase"/>
          <w:rFonts w:eastAsiaTheme="majorEastAsia"/>
          <w:color w:val="222222"/>
          <w:spacing w:val="3"/>
        </w:rPr>
        <w:t xml:space="preserve"> </w:t>
      </w:r>
      <w:r w:rsidRPr="0015154B">
        <w:rPr>
          <w:rStyle w:val="word"/>
          <w:rFonts w:eastAsiaTheme="majorEastAsia"/>
          <w:color w:val="222222"/>
          <w:spacing w:val="3"/>
        </w:rPr>
        <w:t>arī</w:t>
      </w:r>
      <w:r w:rsidRPr="0015154B">
        <w:rPr>
          <w:rStyle w:val="phrase"/>
          <w:rFonts w:eastAsiaTheme="majorEastAsia"/>
          <w:color w:val="222222"/>
          <w:spacing w:val="3"/>
        </w:rPr>
        <w:t xml:space="preserve"> </w:t>
      </w:r>
      <w:r w:rsidRPr="0015154B">
        <w:rPr>
          <w:rStyle w:val="word"/>
          <w:rFonts w:eastAsiaTheme="majorEastAsia"/>
          <w:color w:val="222222"/>
          <w:spacing w:val="3"/>
        </w:rPr>
        <w:t>papildu</w:t>
      </w:r>
      <w:r w:rsidRPr="0015154B">
        <w:rPr>
          <w:rStyle w:val="phrase"/>
          <w:rFonts w:eastAsiaTheme="majorEastAsia"/>
          <w:color w:val="222222"/>
          <w:spacing w:val="3"/>
        </w:rPr>
        <w:t xml:space="preserve"> </w:t>
      </w:r>
      <w:r w:rsidRPr="0015154B">
        <w:rPr>
          <w:rStyle w:val="word"/>
          <w:rFonts w:eastAsiaTheme="majorEastAsia"/>
          <w:color w:val="222222"/>
          <w:spacing w:val="3"/>
        </w:rPr>
        <w:t>vai</w:t>
      </w:r>
      <w:r w:rsidRPr="0015154B">
        <w:rPr>
          <w:rStyle w:val="phrase"/>
          <w:rFonts w:eastAsiaTheme="majorEastAsia"/>
          <w:color w:val="222222"/>
          <w:spacing w:val="3"/>
        </w:rPr>
        <w:t xml:space="preserve"> </w:t>
      </w:r>
      <w:r w:rsidRPr="0015154B">
        <w:rPr>
          <w:rStyle w:val="word"/>
          <w:rFonts w:eastAsiaTheme="majorEastAsia"/>
          <w:color w:val="222222"/>
          <w:spacing w:val="3"/>
        </w:rPr>
        <w:t>privāto</w:t>
      </w:r>
      <w:r w:rsidRPr="0015154B">
        <w:rPr>
          <w:rStyle w:val="phrase"/>
          <w:rFonts w:eastAsiaTheme="majorEastAsia"/>
          <w:color w:val="222222"/>
          <w:spacing w:val="3"/>
        </w:rPr>
        <w:t xml:space="preserve"> </w:t>
      </w:r>
      <w:r w:rsidRPr="0015154B">
        <w:rPr>
          <w:rStyle w:val="word"/>
          <w:rFonts w:eastAsiaTheme="majorEastAsia"/>
          <w:color w:val="222222"/>
          <w:spacing w:val="3"/>
        </w:rPr>
        <w:t>pensiju</w:t>
      </w:r>
      <w:r w:rsidRPr="0015154B">
        <w:rPr>
          <w:rStyle w:val="phrase"/>
          <w:rFonts w:eastAsiaTheme="majorEastAsia"/>
          <w:color w:val="222222"/>
          <w:spacing w:val="3"/>
        </w:rPr>
        <w:t xml:space="preserve"> </w:t>
      </w:r>
      <w:r w:rsidRPr="0015154B">
        <w:rPr>
          <w:rStyle w:val="word"/>
          <w:rFonts w:eastAsiaTheme="majorEastAsia"/>
          <w:color w:val="222222"/>
          <w:spacing w:val="3"/>
        </w:rPr>
        <w:t>lomai vecumdienu</w:t>
      </w:r>
      <w:r w:rsidRPr="0015154B">
        <w:rPr>
          <w:rStyle w:val="phrase"/>
          <w:rFonts w:eastAsiaTheme="majorEastAsia"/>
          <w:color w:val="222222"/>
          <w:spacing w:val="3"/>
        </w:rPr>
        <w:t xml:space="preserve"> </w:t>
      </w:r>
      <w:r w:rsidRPr="0015154B">
        <w:rPr>
          <w:rStyle w:val="word"/>
          <w:rFonts w:eastAsiaTheme="majorEastAsia"/>
          <w:color w:val="222222"/>
          <w:spacing w:val="3"/>
        </w:rPr>
        <w:t>ienākumos.</w:t>
      </w:r>
      <w:r w:rsidR="003445B4">
        <w:rPr>
          <w:rStyle w:val="word"/>
          <w:rFonts w:eastAsiaTheme="majorEastAsia"/>
          <w:color w:val="222222"/>
          <w:spacing w:val="3"/>
        </w:rPr>
        <w:t xml:space="preserve"> </w:t>
      </w:r>
      <w:r w:rsidR="003445B4" w:rsidRPr="002F5278">
        <w:rPr>
          <w:rStyle w:val="word"/>
          <w:rFonts w:eastAsiaTheme="majorEastAsia"/>
          <w:color w:val="222222"/>
          <w:spacing w:val="3"/>
        </w:rPr>
        <w:t>Reformu</w:t>
      </w:r>
      <w:r w:rsidR="003445B4" w:rsidRPr="0025422D">
        <w:rPr>
          <w:rStyle w:val="phrase"/>
          <w:rFonts w:eastAsiaTheme="majorEastAsia"/>
          <w:color w:val="222222"/>
          <w:spacing w:val="3"/>
        </w:rPr>
        <w:t xml:space="preserve"> </w:t>
      </w:r>
      <w:r w:rsidR="003445B4" w:rsidRPr="00A857F2">
        <w:rPr>
          <w:rStyle w:val="word"/>
          <w:rFonts w:eastAsiaTheme="majorEastAsia"/>
          <w:color w:val="222222"/>
          <w:spacing w:val="3"/>
        </w:rPr>
        <w:t>rezultātā</w:t>
      </w:r>
      <w:r w:rsidR="003445B4" w:rsidRPr="009703E6">
        <w:rPr>
          <w:rStyle w:val="phrase"/>
          <w:rFonts w:eastAsiaTheme="majorEastAsia"/>
          <w:color w:val="222222"/>
          <w:spacing w:val="3"/>
        </w:rPr>
        <w:t xml:space="preserve"> </w:t>
      </w:r>
      <w:r w:rsidR="003445B4" w:rsidRPr="009703E6">
        <w:rPr>
          <w:rStyle w:val="word"/>
          <w:rFonts w:eastAsiaTheme="majorEastAsia"/>
          <w:color w:val="222222"/>
          <w:spacing w:val="3"/>
        </w:rPr>
        <w:t>2070.gadā</w:t>
      </w:r>
      <w:r w:rsidR="003445B4" w:rsidRPr="0015154B">
        <w:rPr>
          <w:rStyle w:val="phrase"/>
          <w:rFonts w:eastAsiaTheme="majorEastAsia"/>
          <w:color w:val="222222"/>
          <w:spacing w:val="3"/>
        </w:rPr>
        <w:t xml:space="preserve"> </w:t>
      </w:r>
      <w:r w:rsidR="003445B4" w:rsidRPr="0015154B">
        <w:rPr>
          <w:rStyle w:val="word"/>
          <w:rFonts w:eastAsiaTheme="majorEastAsia"/>
          <w:color w:val="222222"/>
          <w:spacing w:val="3"/>
        </w:rPr>
        <w:t>sagaidāms,</w:t>
      </w:r>
      <w:r w:rsidR="003445B4" w:rsidRPr="0015154B">
        <w:rPr>
          <w:rStyle w:val="phrase"/>
          <w:rFonts w:eastAsiaTheme="majorEastAsia"/>
          <w:color w:val="222222"/>
          <w:spacing w:val="3"/>
        </w:rPr>
        <w:t xml:space="preserve"> </w:t>
      </w:r>
      <w:r w:rsidR="003445B4" w:rsidRPr="0015154B">
        <w:rPr>
          <w:rStyle w:val="word"/>
          <w:rFonts w:eastAsiaTheme="majorEastAsia"/>
          <w:color w:val="222222"/>
          <w:spacing w:val="3"/>
        </w:rPr>
        <w:t>ka</w:t>
      </w:r>
      <w:r w:rsidR="003445B4" w:rsidRPr="0015154B">
        <w:rPr>
          <w:rStyle w:val="phrase"/>
          <w:rFonts w:eastAsiaTheme="majorEastAsia"/>
          <w:color w:val="222222"/>
          <w:spacing w:val="3"/>
        </w:rPr>
        <w:t xml:space="preserve"> </w:t>
      </w:r>
      <w:r w:rsidR="003445B4" w:rsidRPr="0015154B">
        <w:rPr>
          <w:rStyle w:val="word"/>
          <w:rFonts w:eastAsiaTheme="majorEastAsia"/>
          <w:color w:val="222222"/>
          <w:spacing w:val="3"/>
        </w:rPr>
        <w:t>pensiju izdevumi</w:t>
      </w:r>
      <w:r w:rsidR="003445B4" w:rsidRPr="0015154B">
        <w:rPr>
          <w:rStyle w:val="phrase"/>
          <w:rFonts w:eastAsiaTheme="majorEastAsia"/>
          <w:color w:val="222222"/>
          <w:spacing w:val="3"/>
        </w:rPr>
        <w:t xml:space="preserve"> </w:t>
      </w:r>
      <w:r w:rsidR="003445B4" w:rsidRPr="0015154B">
        <w:rPr>
          <w:rStyle w:val="word"/>
          <w:rFonts w:eastAsiaTheme="majorEastAsia"/>
          <w:color w:val="222222"/>
          <w:spacing w:val="3"/>
        </w:rPr>
        <w:lastRenderedPageBreak/>
        <w:t>attiecībā</w:t>
      </w:r>
      <w:r w:rsidR="003445B4" w:rsidRPr="0015154B">
        <w:rPr>
          <w:rStyle w:val="phrase"/>
          <w:rFonts w:eastAsiaTheme="majorEastAsia"/>
          <w:color w:val="222222"/>
          <w:spacing w:val="3"/>
        </w:rPr>
        <w:t xml:space="preserve"> </w:t>
      </w:r>
      <w:r w:rsidR="003445B4" w:rsidRPr="0015154B">
        <w:rPr>
          <w:rStyle w:val="word"/>
          <w:rFonts w:eastAsiaTheme="majorEastAsia"/>
          <w:color w:val="222222"/>
          <w:spacing w:val="3"/>
        </w:rPr>
        <w:t>pret</w:t>
      </w:r>
      <w:r w:rsidR="003445B4" w:rsidRPr="0015154B">
        <w:rPr>
          <w:rStyle w:val="phrase"/>
          <w:rFonts w:eastAsiaTheme="majorEastAsia"/>
          <w:color w:val="222222"/>
          <w:spacing w:val="3"/>
        </w:rPr>
        <w:t xml:space="preserve"> </w:t>
      </w:r>
      <w:r w:rsidR="003445B4" w:rsidRPr="0015154B">
        <w:rPr>
          <w:rStyle w:val="word"/>
          <w:rFonts w:eastAsiaTheme="majorEastAsia"/>
          <w:color w:val="222222"/>
          <w:spacing w:val="3"/>
        </w:rPr>
        <w:t>IKP būs aptuveni tādā pašā līmenī kā 2016.gadā, taču situācij</w:t>
      </w:r>
      <w:r w:rsidR="003445B4">
        <w:rPr>
          <w:rStyle w:val="word"/>
          <w:rFonts w:eastAsiaTheme="majorEastAsia"/>
          <w:color w:val="222222"/>
          <w:spacing w:val="3"/>
        </w:rPr>
        <w:t>a</w:t>
      </w:r>
      <w:r w:rsidR="003445B4" w:rsidRPr="0015154B">
        <w:rPr>
          <w:rStyle w:val="word"/>
          <w:rFonts w:eastAsiaTheme="majorEastAsia"/>
          <w:color w:val="222222"/>
          <w:spacing w:val="3"/>
        </w:rPr>
        <w:t xml:space="preserve"> katrā dalībvalstī kopumā atšķirsies.</w:t>
      </w:r>
    </w:p>
    <w:p w14:paraId="22684C9C" w14:textId="77777777" w:rsidR="00F81B3E" w:rsidRPr="0015154B" w:rsidRDefault="00F81B3E" w:rsidP="00C32C9F">
      <w:pPr>
        <w:pStyle w:val="mt-translation"/>
        <w:shd w:val="clear" w:color="auto" w:fill="FFFFFF" w:themeFill="background1"/>
        <w:spacing w:before="120" w:beforeAutospacing="0" w:after="0" w:afterAutospacing="0"/>
        <w:ind w:firstLine="709"/>
        <w:jc w:val="both"/>
        <w:rPr>
          <w:rStyle w:val="word"/>
          <w:rFonts w:eastAsiaTheme="majorEastAsia"/>
          <w:color w:val="222222"/>
          <w:spacing w:val="3"/>
        </w:rPr>
      </w:pPr>
    </w:p>
    <w:p w14:paraId="681368A6" w14:textId="22CB24CF" w:rsidR="00C32C9F" w:rsidRPr="0015154B" w:rsidRDefault="00F81B3E" w:rsidP="00C32C9F">
      <w:pPr>
        <w:pStyle w:val="mt-translation"/>
        <w:shd w:val="clear" w:color="auto" w:fill="FFFFFF" w:themeFill="background1"/>
        <w:spacing w:before="120" w:beforeAutospacing="0" w:after="0" w:afterAutospacing="0"/>
        <w:jc w:val="both"/>
        <w:rPr>
          <w:rStyle w:val="word"/>
          <w:rFonts w:eastAsiaTheme="majorEastAsia"/>
          <w:color w:val="222222"/>
          <w:spacing w:val="3"/>
        </w:rPr>
      </w:pPr>
      <w:r w:rsidRPr="00F30926">
        <w:rPr>
          <w:rStyle w:val="word"/>
          <w:rFonts w:eastAsiaTheme="majorEastAsia"/>
          <w:color w:val="222222"/>
          <w:spacing w:val="3"/>
        </w:rPr>
        <w:t>10.</w:t>
      </w:r>
      <w:r w:rsidR="00C32C9F" w:rsidRPr="00F30926">
        <w:rPr>
          <w:rStyle w:val="word"/>
          <w:rFonts w:eastAsiaTheme="majorEastAsia"/>
          <w:color w:val="222222"/>
          <w:spacing w:val="3"/>
        </w:rPr>
        <w:t>attēls</w:t>
      </w:r>
    </w:p>
    <w:p w14:paraId="4BA2860A" w14:textId="77777777" w:rsidR="00C32C9F" w:rsidRPr="007157D3" w:rsidRDefault="00C32C9F" w:rsidP="00C32C9F">
      <w:pPr>
        <w:pStyle w:val="mt-translation"/>
        <w:shd w:val="clear" w:color="auto" w:fill="FFFFFF" w:themeFill="background1"/>
        <w:spacing w:before="120" w:beforeAutospacing="0" w:after="0" w:afterAutospacing="0"/>
        <w:jc w:val="both"/>
        <w:rPr>
          <w:rStyle w:val="word"/>
          <w:rFonts w:eastAsiaTheme="majorEastAsia"/>
          <w:color w:val="222222"/>
          <w:spacing w:val="3"/>
        </w:rPr>
      </w:pPr>
      <w:r w:rsidRPr="004A6572">
        <w:rPr>
          <w:noProof/>
        </w:rPr>
        <w:drawing>
          <wp:inline distT="0" distB="0" distL="0" distR="0" wp14:anchorId="494D3478" wp14:editId="0954A41A">
            <wp:extent cx="4657725" cy="2997200"/>
            <wp:effectExtent l="0" t="0" r="0" b="0"/>
            <wp:docPr id="61" name="Chart 61">
              <a:extLst xmlns:a="http://schemas.openxmlformats.org/drawingml/2006/main">
                <a:ext uri="{FF2B5EF4-FFF2-40B4-BE49-F238E27FC236}">
                  <a16:creationId xmlns:a16="http://schemas.microsoft.com/office/drawing/2014/main" id="{7F46B78A-10EC-456E-BD15-E8BCCB32C6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5FA929" w14:textId="034B1070" w:rsidR="00F81B3E" w:rsidRPr="00F81B3E" w:rsidRDefault="00F81B3E" w:rsidP="00F81B3E">
      <w:pPr>
        <w:pStyle w:val="mt-translation"/>
        <w:shd w:val="clear" w:color="auto" w:fill="FFFFFF" w:themeFill="background1"/>
        <w:spacing w:before="120" w:beforeAutospacing="0" w:after="0" w:afterAutospacing="0"/>
        <w:jc w:val="both"/>
        <w:rPr>
          <w:rStyle w:val="word"/>
          <w:rFonts w:eastAsiaTheme="majorEastAsia"/>
          <w:color w:val="222222"/>
          <w:spacing w:val="3"/>
          <w:sz w:val="20"/>
          <w:szCs w:val="20"/>
        </w:rPr>
      </w:pPr>
      <w:r w:rsidRPr="00F81B3E">
        <w:rPr>
          <w:rStyle w:val="word"/>
          <w:rFonts w:eastAsiaTheme="majorEastAsia"/>
          <w:color w:val="222222"/>
          <w:spacing w:val="3"/>
          <w:sz w:val="20"/>
          <w:szCs w:val="20"/>
        </w:rPr>
        <w:t>Datu avots: E</w:t>
      </w:r>
      <w:r>
        <w:rPr>
          <w:rStyle w:val="word"/>
          <w:rFonts w:eastAsiaTheme="majorEastAsia"/>
          <w:color w:val="222222"/>
          <w:spacing w:val="3"/>
          <w:sz w:val="20"/>
          <w:szCs w:val="20"/>
        </w:rPr>
        <w:t>PK, SAK</w:t>
      </w:r>
    </w:p>
    <w:p w14:paraId="34FD1064" w14:textId="3E96F6A4" w:rsidR="00C32C9F" w:rsidRPr="0015154B" w:rsidRDefault="00C32C9F" w:rsidP="00C32C9F">
      <w:pPr>
        <w:pStyle w:val="mt-translation"/>
        <w:shd w:val="clear" w:color="auto" w:fill="FFFFFF" w:themeFill="background1"/>
        <w:spacing w:before="120" w:beforeAutospacing="0" w:after="0" w:afterAutospacing="0"/>
        <w:ind w:firstLine="709"/>
        <w:jc w:val="both"/>
        <w:rPr>
          <w:rStyle w:val="word"/>
          <w:rFonts w:eastAsiaTheme="majorEastAsia"/>
          <w:color w:val="222222"/>
          <w:spacing w:val="3"/>
        </w:rPr>
      </w:pPr>
    </w:p>
    <w:p w14:paraId="7205F8DD" w14:textId="7E3EA999" w:rsidR="00C32C9F" w:rsidRPr="0015154B" w:rsidRDefault="00C32C9F" w:rsidP="00C32C9F">
      <w:pPr>
        <w:pStyle w:val="mt-translation"/>
        <w:shd w:val="clear" w:color="auto" w:fill="FFFFFF" w:themeFill="background1"/>
        <w:spacing w:before="120" w:beforeAutospacing="0" w:after="0" w:afterAutospacing="0"/>
        <w:ind w:firstLine="709"/>
        <w:jc w:val="both"/>
        <w:rPr>
          <w:color w:val="222222"/>
          <w:spacing w:val="3"/>
        </w:rPr>
      </w:pPr>
      <w:r w:rsidRPr="0015154B">
        <w:rPr>
          <w:rStyle w:val="word"/>
          <w:rFonts w:eastAsiaTheme="majorEastAsia"/>
          <w:color w:val="222222"/>
          <w:spacing w:val="3"/>
        </w:rPr>
        <w:t>Ziņojum</w:t>
      </w:r>
      <w:r w:rsidR="003445B4">
        <w:rPr>
          <w:rStyle w:val="word"/>
          <w:rFonts w:eastAsiaTheme="majorEastAsia"/>
          <w:color w:val="222222"/>
          <w:spacing w:val="3"/>
        </w:rPr>
        <w:t>ā</w:t>
      </w:r>
      <w:r w:rsidRPr="0015154B">
        <w:rPr>
          <w:rStyle w:val="word"/>
          <w:rFonts w:eastAsiaTheme="majorEastAsia"/>
          <w:color w:val="222222"/>
          <w:spacing w:val="3"/>
        </w:rPr>
        <w:t xml:space="preserve"> secināts, ka</w:t>
      </w:r>
      <w:r w:rsidRPr="0015154B">
        <w:rPr>
          <w:rStyle w:val="phrase"/>
          <w:rFonts w:eastAsiaTheme="majorEastAsia"/>
          <w:color w:val="222222"/>
          <w:spacing w:val="3"/>
        </w:rPr>
        <w:t xml:space="preserve"> </w:t>
      </w:r>
      <w:r w:rsidRPr="0015154B">
        <w:rPr>
          <w:rStyle w:val="word"/>
          <w:rFonts w:eastAsiaTheme="majorEastAsia"/>
          <w:color w:val="222222"/>
          <w:spacing w:val="3"/>
        </w:rPr>
        <w:t>lielākajā</w:t>
      </w:r>
      <w:r w:rsidRPr="0015154B">
        <w:rPr>
          <w:rStyle w:val="phrase"/>
          <w:rFonts w:eastAsiaTheme="majorEastAsia"/>
          <w:color w:val="222222"/>
          <w:spacing w:val="3"/>
        </w:rPr>
        <w:t xml:space="preserve"> </w:t>
      </w:r>
      <w:r w:rsidRPr="0015154B">
        <w:rPr>
          <w:rStyle w:val="word"/>
          <w:rFonts w:eastAsiaTheme="majorEastAsia"/>
          <w:color w:val="222222"/>
          <w:spacing w:val="3"/>
        </w:rPr>
        <w:t>daļā</w:t>
      </w:r>
      <w:r w:rsidRPr="0015154B">
        <w:rPr>
          <w:rStyle w:val="phrase"/>
          <w:rFonts w:eastAsiaTheme="majorEastAsia"/>
          <w:color w:val="222222"/>
          <w:spacing w:val="3"/>
        </w:rPr>
        <w:t xml:space="preserve"> </w:t>
      </w:r>
      <w:r w:rsidRPr="0015154B">
        <w:rPr>
          <w:rStyle w:val="word"/>
          <w:rFonts w:eastAsiaTheme="majorEastAsia"/>
          <w:color w:val="222222"/>
          <w:spacing w:val="3"/>
        </w:rPr>
        <w:t>valstu</w:t>
      </w:r>
      <w:r w:rsidRPr="0015154B">
        <w:rPr>
          <w:rStyle w:val="phrase"/>
          <w:rFonts w:eastAsiaTheme="majorEastAsia"/>
          <w:color w:val="222222"/>
          <w:spacing w:val="3"/>
        </w:rPr>
        <w:t xml:space="preserve"> </w:t>
      </w:r>
      <w:r w:rsidRPr="0015154B">
        <w:rPr>
          <w:rStyle w:val="word"/>
          <w:rFonts w:eastAsiaTheme="majorEastAsia"/>
          <w:color w:val="222222"/>
          <w:spacing w:val="3"/>
        </w:rPr>
        <w:t>valsts</w:t>
      </w:r>
      <w:r w:rsidRPr="0015154B">
        <w:rPr>
          <w:rStyle w:val="phrase"/>
          <w:rFonts w:eastAsiaTheme="majorEastAsia"/>
          <w:color w:val="222222"/>
          <w:spacing w:val="3"/>
        </w:rPr>
        <w:t xml:space="preserve"> </w:t>
      </w:r>
      <w:r w:rsidRPr="0015154B">
        <w:rPr>
          <w:rStyle w:val="word"/>
          <w:rFonts w:eastAsiaTheme="majorEastAsia"/>
          <w:color w:val="222222"/>
          <w:spacing w:val="3"/>
        </w:rPr>
        <w:t>izdevumu</w:t>
      </w:r>
      <w:r w:rsidRPr="0015154B">
        <w:rPr>
          <w:rStyle w:val="phrase"/>
          <w:rFonts w:eastAsiaTheme="majorEastAsia"/>
          <w:color w:val="222222"/>
          <w:spacing w:val="3"/>
        </w:rPr>
        <w:t xml:space="preserve"> </w:t>
      </w:r>
      <w:r w:rsidRPr="0015154B">
        <w:rPr>
          <w:rStyle w:val="word"/>
          <w:rFonts w:eastAsiaTheme="majorEastAsia"/>
          <w:color w:val="222222"/>
          <w:spacing w:val="3"/>
        </w:rPr>
        <w:t xml:space="preserve">pieaugums </w:t>
      </w:r>
      <w:r w:rsidRPr="0015154B">
        <w:rPr>
          <w:rStyle w:val="phrase"/>
          <w:rFonts w:eastAsiaTheme="majorEastAsia"/>
          <w:color w:val="222222"/>
          <w:spacing w:val="3"/>
        </w:rPr>
        <w:t xml:space="preserve">pensiju nodrošināšanai </w:t>
      </w:r>
      <w:r w:rsidRPr="0015154B">
        <w:rPr>
          <w:rStyle w:val="word"/>
          <w:rFonts w:eastAsiaTheme="majorEastAsia"/>
          <w:color w:val="222222"/>
          <w:spacing w:val="3"/>
        </w:rPr>
        <w:t xml:space="preserve">korelē ar lielāku pensijas atvietojumu, </w:t>
      </w:r>
      <w:r w:rsidR="001C656E">
        <w:rPr>
          <w:rStyle w:val="word"/>
          <w:rFonts w:eastAsiaTheme="majorEastAsia"/>
          <w:color w:val="222222"/>
          <w:spacing w:val="3"/>
        </w:rPr>
        <w:t>taču pastāv arī izņēmumi</w:t>
      </w:r>
      <w:r w:rsidRPr="0015154B">
        <w:rPr>
          <w:rStyle w:val="word"/>
          <w:rFonts w:eastAsiaTheme="majorEastAsia"/>
          <w:color w:val="222222"/>
          <w:spacing w:val="3"/>
        </w:rPr>
        <w:t>.</w:t>
      </w:r>
      <w:r w:rsidRPr="0015154B">
        <w:rPr>
          <w:color w:val="222222"/>
          <w:spacing w:val="3"/>
        </w:rPr>
        <w:t xml:space="preserve"> Piemēram, Beļģijā un Vācijā ir paredzams, ka pensiju atvietojums būs salīdzinoši augsts, bet arī kopējie izdevumi būs ļoti augsti (</w:t>
      </w:r>
      <w:r w:rsidRPr="0015154B">
        <w:rPr>
          <w:color w:val="222222"/>
          <w:spacing w:val="3"/>
          <w:highlight w:val="yellow"/>
        </w:rPr>
        <w:t>skat</w:t>
      </w:r>
      <w:r w:rsidR="001C656E">
        <w:rPr>
          <w:color w:val="222222"/>
          <w:spacing w:val="3"/>
          <w:highlight w:val="yellow"/>
        </w:rPr>
        <w:t>. 11.</w:t>
      </w:r>
      <w:r w:rsidRPr="0015154B">
        <w:rPr>
          <w:color w:val="222222"/>
          <w:spacing w:val="3"/>
          <w:highlight w:val="yellow"/>
        </w:rPr>
        <w:t>attēlu</w:t>
      </w:r>
      <w:r w:rsidRPr="0015154B">
        <w:rPr>
          <w:color w:val="222222"/>
          <w:spacing w:val="3"/>
        </w:rPr>
        <w:t>). Slovēnijā būs augstāki izdevumi, bet salīdzinoši zems atvietojums. Savukārt Luksemburgā atvietojums būs zems, bet kopējie izdevumi augsti. Turpretī Horvātija būs gan zemi kopējie izdevumi, gan arī zemas pensijas. Salīdzinoši veiksmīga situācija ir prognozēta Igaunijā un Dānijā, jo šīm valstīm tiek prognozēts samērā labs pensijas apmērs, vienlaikus nodrošinot zemus kopējos pensiju sistēmas izdevumus. Latvijā prognozēts, ka, neieviešot turpmākas izmaiņas pensiju politikā, nākotnē kopējie izdevumi būs augsti, taču pensijas apmērs zems.</w:t>
      </w:r>
      <w:r w:rsidR="00DB10CB">
        <w:rPr>
          <w:rStyle w:val="FootnoteReference"/>
          <w:color w:val="222222"/>
          <w:spacing w:val="3"/>
        </w:rPr>
        <w:footnoteReference w:id="42"/>
      </w:r>
    </w:p>
    <w:p w14:paraId="62E2E8EB" w14:textId="19062735" w:rsidR="00EE3A9C" w:rsidRDefault="00EE3A9C" w:rsidP="00EE3A9C">
      <w:pPr>
        <w:widowControl w:val="0"/>
        <w:spacing w:before="120" w:after="0" w:line="240" w:lineRule="auto"/>
        <w:ind w:firstLine="720"/>
        <w:jc w:val="both"/>
        <w:rPr>
          <w:rFonts w:ascii="Times New Roman" w:hAnsi="Times New Roman" w:cs="Times New Roman"/>
          <w:sz w:val="24"/>
          <w:szCs w:val="24"/>
        </w:rPr>
      </w:pPr>
      <w:r w:rsidRPr="0025422D">
        <w:rPr>
          <w:rFonts w:ascii="Times New Roman" w:hAnsi="Times New Roman" w:cs="Times New Roman"/>
          <w:color w:val="000000"/>
          <w:sz w:val="24"/>
          <w:szCs w:val="24"/>
        </w:rPr>
        <w:t>Kopējais vecuma pensijas atvietojuma līmenis Latvijā laika periodā kopš 2014.gada ir svārstījies ap 45%, kas ir viens no zemākajiem rādītājiem ES. Lai gan vecuma pens</w:t>
      </w:r>
      <w:r w:rsidRPr="00A857F2">
        <w:rPr>
          <w:rFonts w:ascii="Times New Roman" w:hAnsi="Times New Roman" w:cs="Times New Roman"/>
          <w:color w:val="000000"/>
          <w:sz w:val="24"/>
          <w:szCs w:val="24"/>
        </w:rPr>
        <w:t xml:space="preserve">ijas teorētiskā atvietojuma līmenis Latvijā ir salīdzinoši augsts – 59,1% bruto (79,1% neto), tomēr arī tam ilgtermiņā ir tendence samazināties. </w:t>
      </w:r>
      <w:r w:rsidRPr="00A857F2">
        <w:rPr>
          <w:rFonts w:ascii="Times New Roman" w:hAnsi="Times New Roman" w:cs="Times New Roman"/>
          <w:sz w:val="24"/>
          <w:szCs w:val="24"/>
        </w:rPr>
        <w:t xml:space="preserve">Kā viens no pensiju adekvātuma paaugstināšanas instrumentiem lielākajā </w:t>
      </w:r>
      <w:r w:rsidRPr="009703E6">
        <w:rPr>
          <w:rFonts w:ascii="Times New Roman" w:hAnsi="Times New Roman" w:cs="Times New Roman"/>
          <w:sz w:val="24"/>
          <w:szCs w:val="24"/>
        </w:rPr>
        <w:t>daļā ES dalībvalstu tiek piemērots</w:t>
      </w:r>
      <w:r w:rsidRPr="0015154B">
        <w:rPr>
          <w:rFonts w:ascii="Times New Roman" w:hAnsi="Times New Roman" w:cs="Times New Roman"/>
          <w:sz w:val="24"/>
          <w:szCs w:val="24"/>
        </w:rPr>
        <w:t xml:space="preserve"> </w:t>
      </w:r>
      <w:r w:rsidRPr="0015154B">
        <w:rPr>
          <w:rFonts w:ascii="Times New Roman" w:hAnsi="Times New Roman" w:cs="Times New Roman"/>
          <w:b/>
          <w:sz w:val="24"/>
          <w:szCs w:val="24"/>
        </w:rPr>
        <w:t>pensiju indeksācijas</w:t>
      </w:r>
      <w:r w:rsidRPr="0015154B">
        <w:rPr>
          <w:rFonts w:ascii="Times New Roman" w:hAnsi="Times New Roman" w:cs="Times New Roman"/>
          <w:sz w:val="24"/>
          <w:szCs w:val="24"/>
        </w:rPr>
        <w:t xml:space="preserve"> mehānisms. Latvijā valsts pensiju indeksācija notiek reizi gadā - 1.oktobrī. </w:t>
      </w:r>
      <w:r w:rsidRPr="0015154B">
        <w:rPr>
          <w:rFonts w:ascii="Times New Roman" w:eastAsia="Calibri" w:hAnsi="Times New Roman" w:cs="Times New Roman"/>
          <w:sz w:val="24"/>
          <w:szCs w:val="24"/>
        </w:rPr>
        <w:t xml:space="preserve">Pensiju indeksācijas mērķis ir nodrošināt piešķirto pensiju aizsardzību pret pirktspējas krišanos un panākt to vērtības nezaudēšanu. Tas tiek darīts, lai cilvēkiem iepriekš piešķirtās pensijas būtu salāgojamas ar esošo inflāciju un reālo dzīves līmeni. </w:t>
      </w:r>
      <w:r>
        <w:rPr>
          <w:rFonts w:ascii="Times New Roman" w:hAnsi="Times New Roman" w:cs="Times New Roman"/>
          <w:sz w:val="24"/>
          <w:szCs w:val="24"/>
        </w:rPr>
        <w:br w:type="page"/>
      </w:r>
    </w:p>
    <w:p w14:paraId="6365E97F" w14:textId="23BE9EE8" w:rsidR="001D529A" w:rsidRPr="0015154B" w:rsidRDefault="001C656E" w:rsidP="001D529A">
      <w:pPr>
        <w:autoSpaceDE w:val="0"/>
        <w:autoSpaceDN w:val="0"/>
        <w:adjustRightInd w:val="0"/>
        <w:spacing w:after="0" w:line="240" w:lineRule="auto"/>
        <w:rPr>
          <w:rFonts w:ascii="Times New Roman" w:hAnsi="Times New Roman" w:cs="Times New Roman"/>
          <w:sz w:val="24"/>
          <w:szCs w:val="24"/>
        </w:rPr>
      </w:pPr>
      <w:r w:rsidRPr="00F30926">
        <w:rPr>
          <w:rFonts w:ascii="Times New Roman" w:hAnsi="Times New Roman" w:cs="Times New Roman"/>
          <w:sz w:val="24"/>
          <w:szCs w:val="24"/>
        </w:rPr>
        <w:lastRenderedPageBreak/>
        <w:t>11</w:t>
      </w:r>
      <w:r w:rsidR="001D529A" w:rsidRPr="00F30926">
        <w:rPr>
          <w:rFonts w:ascii="Times New Roman" w:hAnsi="Times New Roman" w:cs="Times New Roman"/>
          <w:sz w:val="24"/>
          <w:szCs w:val="24"/>
        </w:rPr>
        <w:t>.attēls</w:t>
      </w:r>
    </w:p>
    <w:p w14:paraId="782BAF49" w14:textId="692CC913" w:rsidR="001D529A" w:rsidRPr="0015154B" w:rsidRDefault="0012166F" w:rsidP="001D529A">
      <w:pPr>
        <w:autoSpaceDE w:val="0"/>
        <w:autoSpaceDN w:val="0"/>
        <w:adjustRightInd w:val="0"/>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Pensiju izdevumi un teorētiskais atvietojuma līmenis (2016-2056)</w:t>
      </w:r>
    </w:p>
    <w:p w14:paraId="762ABFFB" w14:textId="7ABC2D66" w:rsidR="0012166F" w:rsidRPr="007157D3" w:rsidRDefault="0012166F" w:rsidP="001D529A">
      <w:pPr>
        <w:autoSpaceDE w:val="0"/>
        <w:autoSpaceDN w:val="0"/>
        <w:adjustRightInd w:val="0"/>
        <w:spacing w:after="0" w:line="240" w:lineRule="auto"/>
        <w:jc w:val="center"/>
        <w:rPr>
          <w:rFonts w:ascii="Times New Roman" w:hAnsi="Times New Roman" w:cs="Times New Roman"/>
          <w:b/>
          <w:color w:val="002060"/>
          <w:sz w:val="24"/>
          <w:szCs w:val="24"/>
        </w:rPr>
      </w:pPr>
      <w:r w:rsidRPr="004A6572">
        <w:rPr>
          <w:rFonts w:ascii="Times New Roman" w:hAnsi="Times New Roman" w:cs="Times New Roman"/>
          <w:noProof/>
          <w:lang w:eastAsia="en-GB"/>
        </w:rPr>
        <mc:AlternateContent>
          <mc:Choice Requires="wpg">
            <w:drawing>
              <wp:anchor distT="0" distB="0" distL="114300" distR="114300" simplePos="0" relativeHeight="251680768" behindDoc="0" locked="0" layoutInCell="1" allowOverlap="1" wp14:anchorId="66B51A37" wp14:editId="79D422F2">
                <wp:simplePos x="0" y="0"/>
                <wp:positionH relativeFrom="column">
                  <wp:posOffset>373382</wp:posOffset>
                </wp:positionH>
                <wp:positionV relativeFrom="paragraph">
                  <wp:posOffset>165931</wp:posOffset>
                </wp:positionV>
                <wp:extent cx="3106273" cy="2362005"/>
                <wp:effectExtent l="0" t="0" r="0" b="635"/>
                <wp:wrapNone/>
                <wp:docPr id="60" name="Group 60"/>
                <wp:cNvGraphicFramePr/>
                <a:graphic xmlns:a="http://schemas.openxmlformats.org/drawingml/2006/main">
                  <a:graphicData uri="http://schemas.microsoft.com/office/word/2010/wordprocessingGroup">
                    <wpg:wgp>
                      <wpg:cNvGrpSpPr/>
                      <wpg:grpSpPr>
                        <a:xfrm>
                          <a:off x="0" y="0"/>
                          <a:ext cx="3106273" cy="2362005"/>
                          <a:chOff x="0" y="0"/>
                          <a:chExt cx="3106273" cy="2362005"/>
                        </a:xfrm>
                      </wpg:grpSpPr>
                      <wps:wsp>
                        <wps:cNvPr id="217" name="Text Box 2"/>
                        <wps:cNvSpPr txBox="1">
                          <a:spLocks noChangeArrowheads="1"/>
                        </wps:cNvSpPr>
                        <wps:spPr bwMode="auto">
                          <a:xfrm>
                            <a:off x="749934" y="76542"/>
                            <a:ext cx="2302510" cy="274955"/>
                          </a:xfrm>
                          <a:prstGeom prst="rect">
                            <a:avLst/>
                          </a:prstGeom>
                          <a:solidFill>
                            <a:srgbClr val="FFFFFF"/>
                          </a:solidFill>
                          <a:ln w="9525">
                            <a:noFill/>
                            <a:miter lim="800000"/>
                            <a:headEnd/>
                            <a:tailEnd/>
                          </a:ln>
                        </wps:spPr>
                        <wps:txbx>
                          <w:txbxContent>
                            <w:p w14:paraId="186D26C7" w14:textId="5F4B8727" w:rsidR="00D67CF6" w:rsidRDefault="00D67CF6" w:rsidP="001D529A">
                              <w:pPr>
                                <w:jc w:val="center"/>
                              </w:pPr>
                              <w:r>
                                <w:t>Pensiju izmaiņas 2016-2056</w:t>
                              </w:r>
                            </w:p>
                          </w:txbxContent>
                        </wps:txbx>
                        <wps:bodyPr rot="0" vert="horz" wrap="square" lIns="91440" tIns="45720" rIns="91440" bIns="45720" anchor="t" anchorCtr="0">
                          <a:noAutofit/>
                        </wps:bodyPr>
                      </wps:wsp>
                      <wps:wsp>
                        <wps:cNvPr id="57" name="Text Box 2"/>
                        <wps:cNvSpPr txBox="1">
                          <a:spLocks noChangeArrowheads="1"/>
                        </wps:cNvSpPr>
                        <wps:spPr bwMode="auto">
                          <a:xfrm>
                            <a:off x="790965" y="2128081"/>
                            <a:ext cx="2315308" cy="233924"/>
                          </a:xfrm>
                          <a:prstGeom prst="rect">
                            <a:avLst/>
                          </a:prstGeom>
                          <a:solidFill>
                            <a:srgbClr val="FFFFFF"/>
                          </a:solidFill>
                          <a:ln w="9525">
                            <a:noFill/>
                            <a:miter lim="800000"/>
                            <a:headEnd/>
                            <a:tailEnd/>
                          </a:ln>
                        </wps:spPr>
                        <wps:txbx>
                          <w:txbxContent>
                            <w:p w14:paraId="0BD2F3C1" w14:textId="407C0AAC" w:rsidR="00D67CF6" w:rsidRPr="001D529A" w:rsidRDefault="00D67CF6" w:rsidP="001D529A">
                              <w:pPr>
                                <w:jc w:val="center"/>
                                <w:rPr>
                                  <w:sz w:val="18"/>
                                  <w:szCs w:val="18"/>
                                </w:rPr>
                              </w:pPr>
                              <w:r w:rsidRPr="001D529A">
                                <w:rPr>
                                  <w:sz w:val="18"/>
                                  <w:szCs w:val="18"/>
                                </w:rPr>
                                <w:t>Pensiju izdevumi</w:t>
                              </w:r>
                            </w:p>
                          </w:txbxContent>
                        </wps:txbx>
                        <wps:bodyPr rot="0" vert="horz" wrap="square" lIns="91440" tIns="45720" rIns="91440" bIns="45720" anchor="t" anchorCtr="0">
                          <a:noAutofit/>
                        </wps:bodyPr>
                      </wps:wsp>
                      <wps:wsp>
                        <wps:cNvPr id="58" name="Text Box 2"/>
                        <wps:cNvSpPr txBox="1">
                          <a:spLocks noChangeArrowheads="1"/>
                        </wps:cNvSpPr>
                        <wps:spPr bwMode="auto">
                          <a:xfrm rot="16200000">
                            <a:off x="-976289" y="976289"/>
                            <a:ext cx="2169112" cy="216534"/>
                          </a:xfrm>
                          <a:prstGeom prst="rect">
                            <a:avLst/>
                          </a:prstGeom>
                          <a:solidFill>
                            <a:srgbClr val="FFFFFF"/>
                          </a:solidFill>
                          <a:ln w="9525">
                            <a:noFill/>
                            <a:miter lim="800000"/>
                            <a:headEnd/>
                            <a:tailEnd/>
                          </a:ln>
                        </wps:spPr>
                        <wps:txbx>
                          <w:txbxContent>
                            <w:p w14:paraId="6B54C093" w14:textId="02D36768" w:rsidR="00D67CF6" w:rsidRPr="001D529A" w:rsidRDefault="00D67CF6" w:rsidP="001D529A">
                              <w:pPr>
                                <w:jc w:val="center"/>
                                <w:rPr>
                                  <w:sz w:val="18"/>
                                  <w:szCs w:val="18"/>
                                </w:rPr>
                              </w:pPr>
                              <w:r>
                                <w:rPr>
                                  <w:sz w:val="18"/>
                                  <w:szCs w:val="18"/>
                                </w:rPr>
                                <w:t>Vidējais teorētiskais atvietojuma līmenis</w:t>
                              </w:r>
                            </w:p>
                          </w:txbxContent>
                        </wps:txbx>
                        <wps:bodyPr rot="0" vert="horz" wrap="square" lIns="91440" tIns="45720" rIns="91440" bIns="45720" anchor="t" anchorCtr="0">
                          <a:noAutofit/>
                        </wps:bodyPr>
                      </wps:wsp>
                    </wpg:wgp>
                  </a:graphicData>
                </a:graphic>
              </wp:anchor>
            </w:drawing>
          </mc:Choice>
          <mc:Fallback>
            <w:pict>
              <v:group w14:anchorId="66B51A37" id="Group 60" o:spid="_x0000_s1035" style="position:absolute;left:0;text-align:left;margin-left:29.4pt;margin-top:13.05pt;width:244.6pt;height:186pt;z-index:251680768" coordsize="31062,2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">
                <v:shape id="Text Box 2" o:spid="_x0000_s1036" type="#_x0000_t202" style="position:absolute;left:7499;top:765;width:23025;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86D26C7" w14:textId="5F4B8727" w:rsidR="00D67CF6" w:rsidRDefault="00D67CF6" w:rsidP="001D529A">
                        <w:pPr>
                          <w:jc w:val="center"/>
                        </w:pPr>
                        <w:r>
                          <w:t>Pensiju izmaiņas 2016-2056</w:t>
                        </w:r>
                      </w:p>
                    </w:txbxContent>
                  </v:textbox>
                </v:shape>
                <v:shape id="Text Box 2" o:spid="_x0000_s1037" type="#_x0000_t202" style="position:absolute;left:7909;top:21280;width:23153;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0BD2F3C1" w14:textId="407C0AAC" w:rsidR="00D67CF6" w:rsidRPr="001D529A" w:rsidRDefault="00D67CF6" w:rsidP="001D529A">
                        <w:pPr>
                          <w:jc w:val="center"/>
                          <w:rPr>
                            <w:sz w:val="18"/>
                            <w:szCs w:val="18"/>
                          </w:rPr>
                        </w:pPr>
                        <w:r w:rsidRPr="001D529A">
                          <w:rPr>
                            <w:sz w:val="18"/>
                            <w:szCs w:val="18"/>
                          </w:rPr>
                          <w:t>Pensiju izdevumi</w:t>
                        </w:r>
                      </w:p>
                    </w:txbxContent>
                  </v:textbox>
                </v:shape>
                <v:shape id="Text Box 2" o:spid="_x0000_s1038" type="#_x0000_t202" style="position:absolute;left:-9763;top:9763;width:21691;height:21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" stroked="f">
                  <v:textbox>
                    <w:txbxContent>
                      <w:p w14:paraId="6B54C093" w14:textId="02D36768" w:rsidR="00D67CF6" w:rsidRPr="001D529A" w:rsidRDefault="00D67CF6" w:rsidP="001D529A">
                        <w:pPr>
                          <w:jc w:val="center"/>
                          <w:rPr>
                            <w:sz w:val="18"/>
                            <w:szCs w:val="18"/>
                          </w:rPr>
                        </w:pPr>
                        <w:r>
                          <w:rPr>
                            <w:sz w:val="18"/>
                            <w:szCs w:val="18"/>
                          </w:rPr>
                          <w:t>Vidējais teorētiskais atvietojuma līmenis</w:t>
                        </w:r>
                      </w:p>
                    </w:txbxContent>
                  </v:textbox>
                </v:shape>
              </v:group>
            </w:pict>
          </mc:Fallback>
        </mc:AlternateContent>
      </w:r>
    </w:p>
    <w:p w14:paraId="7246C868" w14:textId="06FEDEF6" w:rsidR="001D529A" w:rsidRPr="007157D3" w:rsidRDefault="001D529A" w:rsidP="00971EEA">
      <w:pPr>
        <w:spacing w:before="120" w:after="0" w:line="240" w:lineRule="auto"/>
        <w:ind w:firstLine="720"/>
        <w:jc w:val="both"/>
        <w:rPr>
          <w:rFonts w:ascii="Times New Roman" w:hAnsi="Times New Roman" w:cs="Times New Roman"/>
          <w:color w:val="000000"/>
          <w:sz w:val="24"/>
          <w:szCs w:val="24"/>
        </w:rPr>
      </w:pPr>
      <w:r w:rsidRPr="004A6572">
        <w:rPr>
          <w:rFonts w:ascii="Times New Roman" w:hAnsi="Times New Roman" w:cs="Times New Roman"/>
          <w:noProof/>
          <w:lang w:eastAsia="en-GB"/>
        </w:rPr>
        <w:drawing>
          <wp:inline distT="0" distB="0" distL="0" distR="0" wp14:anchorId="507539AC" wp14:editId="61F28EA2">
            <wp:extent cx="3647861" cy="219275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347" cy="2198461"/>
                    </a:xfrm>
                    <a:prstGeom prst="rect">
                      <a:avLst/>
                    </a:prstGeom>
                    <a:noFill/>
                  </pic:spPr>
                </pic:pic>
              </a:graphicData>
            </a:graphic>
          </wp:inline>
        </w:drawing>
      </w:r>
    </w:p>
    <w:p w14:paraId="5777D8F4" w14:textId="667DD47D" w:rsidR="001C656E" w:rsidRPr="001C656E" w:rsidRDefault="001C656E" w:rsidP="001C656E">
      <w:pPr>
        <w:widowControl w:val="0"/>
        <w:spacing w:before="120" w:after="0" w:line="240" w:lineRule="auto"/>
        <w:jc w:val="both"/>
        <w:rPr>
          <w:rFonts w:ascii="Times New Roman" w:hAnsi="Times New Roman" w:cs="Times New Roman"/>
          <w:color w:val="000000"/>
          <w:sz w:val="20"/>
          <w:szCs w:val="20"/>
        </w:rPr>
      </w:pPr>
      <w:r w:rsidRPr="001C656E">
        <w:rPr>
          <w:rFonts w:ascii="Times New Roman" w:hAnsi="Times New Roman" w:cs="Times New Roman"/>
          <w:color w:val="000000"/>
          <w:sz w:val="20"/>
          <w:szCs w:val="20"/>
        </w:rPr>
        <w:t>Datu avots, EPK, SAK</w:t>
      </w:r>
    </w:p>
    <w:p w14:paraId="63F2A922" w14:textId="4C1B6170" w:rsidR="006B16FE" w:rsidRPr="0015154B" w:rsidRDefault="00B97641" w:rsidP="00971EE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Pensiju indeksāciju ES dalībvalstīs balsta vai nu uz patēriņa cenu indeksu, vai vidējā atalgojuma izmaiņām, vai arī abu šo faktoru kombināciju</w:t>
      </w:r>
      <w:r w:rsidR="00096B3C" w:rsidRPr="0015154B">
        <w:rPr>
          <w:rFonts w:ascii="Times New Roman" w:hAnsi="Times New Roman" w:cs="Times New Roman"/>
          <w:sz w:val="24"/>
          <w:szCs w:val="24"/>
        </w:rPr>
        <w:t xml:space="preserve">. </w:t>
      </w:r>
      <w:r w:rsidR="00BE73AF" w:rsidRPr="0015154B">
        <w:rPr>
          <w:rFonts w:ascii="Times New Roman" w:hAnsi="Times New Roman" w:cs="Times New Roman"/>
          <w:sz w:val="24"/>
          <w:szCs w:val="24"/>
        </w:rPr>
        <w:t xml:space="preserve">Indeksācija atbilstīgi faktiskajām patēriņa cenu izmaiņām nodrošina pastāvīgu pirktspēju, saņemot pensiju, </w:t>
      </w:r>
      <w:r w:rsidRPr="0015154B">
        <w:rPr>
          <w:rFonts w:ascii="Times New Roman" w:hAnsi="Times New Roman" w:cs="Times New Roman"/>
          <w:sz w:val="24"/>
          <w:szCs w:val="24"/>
        </w:rPr>
        <w:t xml:space="preserve">un lielāku ilgtspēju, </w:t>
      </w:r>
      <w:r w:rsidR="00BE73AF" w:rsidRPr="0015154B">
        <w:rPr>
          <w:rFonts w:ascii="Times New Roman" w:hAnsi="Times New Roman" w:cs="Times New Roman"/>
          <w:sz w:val="24"/>
          <w:szCs w:val="24"/>
        </w:rPr>
        <w:t>savukārt pensiju indeksācijas sasaiste arī ar iemaksu algu summas reālajām izmaiņām valstī nodrošina arī reālu tās pieaugumu</w:t>
      </w:r>
      <w:r w:rsidRPr="0015154B">
        <w:rPr>
          <w:rFonts w:ascii="Times New Roman" w:hAnsi="Times New Roman" w:cs="Times New Roman"/>
          <w:sz w:val="24"/>
          <w:szCs w:val="24"/>
        </w:rPr>
        <w:t xml:space="preserve"> un paaugstina pensijas adekvātumu</w:t>
      </w:r>
      <w:r w:rsidR="00BE73AF" w:rsidRPr="0015154B">
        <w:rPr>
          <w:rFonts w:ascii="Times New Roman" w:hAnsi="Times New Roman" w:cs="Times New Roman"/>
          <w:sz w:val="24"/>
          <w:szCs w:val="24"/>
        </w:rPr>
        <w:t>. Tā kā relatīvā nabadzības robeža ir saistīta ar iedzīvotāju ienākumiem, indeksācija ar koeficientu, kas ir zemāks nekā algu pieauguma koeficients, parasti palielina risku relatīvajai nabadzībai pensijas vecumā.</w:t>
      </w:r>
      <w:r w:rsidR="002374CA" w:rsidRPr="0015154B">
        <w:rPr>
          <w:rFonts w:ascii="Times New Roman" w:hAnsi="Times New Roman" w:cs="Times New Roman"/>
          <w:sz w:val="24"/>
          <w:szCs w:val="24"/>
        </w:rPr>
        <w:t xml:space="preserve"> </w:t>
      </w:r>
      <w:r w:rsidR="00980919" w:rsidRPr="0015154B">
        <w:rPr>
          <w:rFonts w:ascii="Times New Roman" w:hAnsi="Times New Roman" w:cs="Times New Roman"/>
          <w:sz w:val="24"/>
          <w:szCs w:val="24"/>
        </w:rPr>
        <w:t>Latvijā pensiju indeksācijas sasaiste ar vidējās apdrošināšanas iemaksu algas pieaugumu</w:t>
      </w:r>
      <w:r w:rsidR="00DD7F96" w:rsidRPr="0015154B">
        <w:rPr>
          <w:rFonts w:ascii="Times New Roman" w:hAnsi="Times New Roman" w:cs="Times New Roman"/>
          <w:sz w:val="24"/>
          <w:szCs w:val="24"/>
        </w:rPr>
        <w:t xml:space="preserve"> </w:t>
      </w:r>
      <w:r w:rsidR="00980919" w:rsidRPr="0015154B">
        <w:rPr>
          <w:rFonts w:ascii="Times New Roman" w:hAnsi="Times New Roman" w:cs="Times New Roman"/>
          <w:sz w:val="24"/>
          <w:szCs w:val="24"/>
        </w:rPr>
        <w:t xml:space="preserve">ir nodrošināta kopš 2015.gada, regulāri pārskatot un palielinot procentuālo īpatsvaru. </w:t>
      </w:r>
      <w:r w:rsidR="00DD7F96" w:rsidRPr="0015154B">
        <w:rPr>
          <w:rFonts w:ascii="Times New Roman" w:hAnsi="Times New Roman" w:cs="Times New Roman"/>
          <w:sz w:val="24"/>
          <w:szCs w:val="24"/>
        </w:rPr>
        <w:t xml:space="preserve">Vispārējā kārtībā pensijas pārskata, tām piemērojot indeksu, ko veido faktiskais patēriņa cenu indekss un 50% no apdrošināšanas iemaksu algu summas reālā pieauguma procentiem. </w:t>
      </w:r>
      <w:r w:rsidR="00096B3C" w:rsidRPr="0015154B">
        <w:rPr>
          <w:rFonts w:ascii="Times New Roman" w:hAnsi="Times New Roman" w:cs="Times New Roman"/>
          <w:sz w:val="24"/>
          <w:szCs w:val="24"/>
        </w:rPr>
        <w:t>Lai palielin</w:t>
      </w:r>
      <w:r w:rsidR="006B16FE" w:rsidRPr="0015154B">
        <w:rPr>
          <w:rFonts w:ascii="Times New Roman" w:hAnsi="Times New Roman" w:cs="Times New Roman"/>
          <w:sz w:val="24"/>
          <w:szCs w:val="24"/>
        </w:rPr>
        <w:t>ā</w:t>
      </w:r>
      <w:r w:rsidR="00096B3C" w:rsidRPr="0015154B">
        <w:rPr>
          <w:rFonts w:ascii="Times New Roman" w:hAnsi="Times New Roman" w:cs="Times New Roman"/>
          <w:sz w:val="24"/>
          <w:szCs w:val="24"/>
        </w:rPr>
        <w:t>tu pensiju adekvātumu</w:t>
      </w:r>
      <w:r w:rsidR="006B16FE" w:rsidRPr="0015154B">
        <w:rPr>
          <w:rFonts w:ascii="Times New Roman" w:hAnsi="Times New Roman" w:cs="Times New Roman"/>
          <w:sz w:val="24"/>
          <w:szCs w:val="24"/>
        </w:rPr>
        <w:t>, pēdējos gados veiktās izmaiņas pensiju indeksācijas nosacījumos</w:t>
      </w:r>
      <w:r w:rsidR="001C656E">
        <w:rPr>
          <w:rFonts w:ascii="Times New Roman" w:hAnsi="Times New Roman" w:cs="Times New Roman"/>
          <w:sz w:val="24"/>
          <w:szCs w:val="24"/>
        </w:rPr>
        <w:t>:</w:t>
      </w:r>
    </w:p>
    <w:p w14:paraId="288E62B7" w14:textId="77777777" w:rsidR="00357862" w:rsidRPr="0015154B" w:rsidRDefault="00357862" w:rsidP="00971EEA">
      <w:pPr>
        <w:spacing w:before="120" w:after="0" w:line="240" w:lineRule="auto"/>
        <w:ind w:firstLine="720"/>
        <w:jc w:val="both"/>
        <w:rPr>
          <w:rFonts w:ascii="Times New Roman" w:hAnsi="Times New Roman" w:cs="Times New Roman"/>
          <w:sz w:val="24"/>
          <w:szCs w:val="24"/>
        </w:rPr>
      </w:pPr>
    </w:p>
    <w:tbl>
      <w:tblPr>
        <w:tblStyle w:val="TableGrid"/>
        <w:tblW w:w="8080" w:type="dxa"/>
        <w:tblInd w:w="567" w:type="dxa"/>
        <w:tblBorders>
          <w:top w:val="single" w:sz="12" w:space="0" w:color="002060"/>
          <w:left w:val="none" w:sz="0" w:space="0" w:color="auto"/>
          <w:bottom w:val="single" w:sz="12" w:space="0" w:color="002060"/>
          <w:right w:val="none" w:sz="0" w:space="0" w:color="auto"/>
          <w:insideH w:val="single" w:sz="12" w:space="0" w:color="002060"/>
          <w:insideV w:val="single" w:sz="8" w:space="0" w:color="002060"/>
        </w:tblBorders>
        <w:tblLook w:val="04A0" w:firstRow="1" w:lastRow="0" w:firstColumn="1" w:lastColumn="0" w:noHBand="0" w:noVBand="1"/>
      </w:tblPr>
      <w:tblGrid>
        <w:gridCol w:w="8080"/>
      </w:tblGrid>
      <w:tr w:rsidR="00357862" w:rsidRPr="0015154B" w14:paraId="5E3A96BE" w14:textId="77777777" w:rsidTr="00185448">
        <w:tc>
          <w:tcPr>
            <w:tcW w:w="8080" w:type="dxa"/>
          </w:tcPr>
          <w:p w14:paraId="3C2E7B3D" w14:textId="6791C922" w:rsidR="00357862" w:rsidRPr="0015154B" w:rsidRDefault="00185448" w:rsidP="00357862">
            <w:pPr>
              <w:spacing w:before="120" w:after="120"/>
              <w:jc w:val="both"/>
              <w:rPr>
                <w:rFonts w:ascii="Times New Roman" w:hAnsi="Times New Roman" w:cs="Times New Roman"/>
                <w:sz w:val="24"/>
                <w:szCs w:val="24"/>
              </w:rPr>
            </w:pPr>
            <w:r w:rsidRPr="0015154B">
              <w:rPr>
                <w:rFonts w:ascii="Times New Roman" w:hAnsi="Times New Roman" w:cs="Times New Roman"/>
                <w:sz w:val="24"/>
                <w:szCs w:val="24"/>
              </w:rPr>
              <w:t xml:space="preserve">Palielināta </w:t>
            </w:r>
            <w:r w:rsidR="00357862" w:rsidRPr="0015154B">
              <w:rPr>
                <w:rFonts w:ascii="Times New Roman" w:hAnsi="Times New Roman" w:cs="Times New Roman"/>
                <w:sz w:val="24"/>
                <w:szCs w:val="24"/>
              </w:rPr>
              <w:t>valsts sociālās apdrošināšanas vidējās iemaksu algas pieauguma ietekme, īpaši pensionāriem ar lielāku darba stāžu – pensiju indeksācijā piemēro 60% no apdrošināšanas iemaksu algu summas reālā pieauguma procentiem, ja apdrošināšanas stāžs ir no 30 - 39 gadiem (kā arī pensijām, kas piešķirtas par darbu kaitīgos un smagos vai sevišķi kaitīgos un smagos darba apstākļos), 70% - ja apdrošināšanas stāžs ir no 40 līdz 44 gadiem, 80% - ja apdrošināšanas stāžs ir 45 un vairāk gadu;</w:t>
            </w:r>
          </w:p>
        </w:tc>
      </w:tr>
      <w:tr w:rsidR="00357862" w:rsidRPr="0015154B" w14:paraId="46EE8859" w14:textId="77777777" w:rsidTr="00185448">
        <w:tc>
          <w:tcPr>
            <w:tcW w:w="8080" w:type="dxa"/>
          </w:tcPr>
          <w:p w14:paraId="08B5F116" w14:textId="03E667C6" w:rsidR="00357862" w:rsidRPr="0015154B" w:rsidRDefault="00185448" w:rsidP="00357862">
            <w:pPr>
              <w:spacing w:before="120" w:after="120"/>
              <w:jc w:val="both"/>
              <w:rPr>
                <w:rFonts w:ascii="Times New Roman" w:hAnsi="Times New Roman" w:cs="Times New Roman"/>
                <w:sz w:val="24"/>
                <w:szCs w:val="24"/>
              </w:rPr>
            </w:pPr>
            <w:r w:rsidRPr="0015154B">
              <w:rPr>
                <w:rFonts w:ascii="Times New Roman" w:hAnsi="Times New Roman"/>
                <w:sz w:val="24"/>
                <w:szCs w:val="24"/>
              </w:rPr>
              <w:t>K</w:t>
            </w:r>
            <w:r w:rsidR="00357862" w:rsidRPr="0015154B">
              <w:rPr>
                <w:rFonts w:ascii="Times New Roman" w:hAnsi="Times New Roman"/>
                <w:sz w:val="24"/>
                <w:szCs w:val="24"/>
              </w:rPr>
              <w:t xml:space="preserve">opš 2019.gada </w:t>
            </w:r>
            <w:r w:rsidR="00357862" w:rsidRPr="0015154B">
              <w:rPr>
                <w:rFonts w:ascii="Times New Roman" w:hAnsi="Times New Roman" w:cs="Times New Roman"/>
                <w:sz w:val="24"/>
                <w:szCs w:val="24"/>
              </w:rPr>
              <w:t>indeksācij</w:t>
            </w:r>
            <w:r w:rsidRPr="0015154B">
              <w:rPr>
                <w:rFonts w:ascii="Times New Roman" w:hAnsi="Times New Roman" w:cs="Times New Roman"/>
                <w:sz w:val="24"/>
                <w:szCs w:val="24"/>
              </w:rPr>
              <w:t>u</w:t>
            </w:r>
            <w:r w:rsidR="00357862" w:rsidRPr="0015154B">
              <w:rPr>
                <w:rFonts w:ascii="Times New Roman" w:hAnsi="Times New Roman" w:cs="Times New Roman"/>
                <w:sz w:val="24"/>
                <w:szCs w:val="24"/>
              </w:rPr>
              <w:t xml:space="preserve"> piemēro arī piemaksām pie </w:t>
            </w:r>
            <w:r w:rsidR="00357862" w:rsidRPr="0015154B">
              <w:rPr>
                <w:rFonts w:ascii="Times New Roman" w:hAnsi="Times New Roman"/>
                <w:sz w:val="24"/>
                <w:szCs w:val="24"/>
              </w:rPr>
              <w:t>vecuma un invaliditātes pensijām, nosakot jaunu apmēru katram apdrošināšanas stāža gadam līdz 1995.gada 31.decembrim. Ikgadējā pensiju indeksācijā piemaksas apmēru pārskata, piemērojot faktisko patēriņa cenu indeksu un 50% no apdrošināšanas iemaksu algu summas reālā pieauguma procentiem. Piemaksas saņēmēju skaits – 78% no visiem vecuma un 45% no visiem invaliditātes pensiju saņēmējiem</w:t>
            </w:r>
            <w:r w:rsidR="00357862" w:rsidRPr="0015154B">
              <w:rPr>
                <w:rFonts w:ascii="Times New Roman" w:hAnsi="Times New Roman" w:cs="Times New Roman"/>
                <w:sz w:val="24"/>
                <w:szCs w:val="24"/>
              </w:rPr>
              <w:t>.</w:t>
            </w:r>
          </w:p>
        </w:tc>
      </w:tr>
    </w:tbl>
    <w:p w14:paraId="316C16F5" w14:textId="77777777" w:rsidR="001C656E" w:rsidRDefault="001C656E" w:rsidP="00357862">
      <w:pPr>
        <w:spacing w:before="120" w:after="0" w:line="240" w:lineRule="auto"/>
        <w:ind w:firstLine="720"/>
        <w:jc w:val="both"/>
        <w:rPr>
          <w:rFonts w:ascii="Times New Roman" w:hAnsi="Times New Roman" w:cs="Times New Roman"/>
          <w:sz w:val="24"/>
          <w:szCs w:val="24"/>
        </w:rPr>
      </w:pPr>
    </w:p>
    <w:p w14:paraId="546B43BD" w14:textId="5175DB54" w:rsidR="00096B3C" w:rsidRPr="0015154B" w:rsidRDefault="00905D36" w:rsidP="00357862">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Pensiju indeksācijas rezultātā vidējais pensijas apmēr</w:t>
      </w:r>
      <w:r w:rsidR="00C03EA7" w:rsidRPr="0015154B">
        <w:rPr>
          <w:rFonts w:ascii="Times New Roman" w:hAnsi="Times New Roman" w:cs="Times New Roman"/>
          <w:sz w:val="24"/>
          <w:szCs w:val="24"/>
        </w:rPr>
        <w:t>s</w:t>
      </w:r>
      <w:r w:rsidRPr="0015154B">
        <w:rPr>
          <w:rFonts w:ascii="Times New Roman" w:hAnsi="Times New Roman" w:cs="Times New Roman"/>
          <w:sz w:val="24"/>
          <w:szCs w:val="24"/>
        </w:rPr>
        <w:t xml:space="preserve"> 2014.gadā pieauga par 2,74%, 2015.gadā par 1,58%, 2016.gadā par 1,86%, 2017.gadā par 4,39%,  2018.gadā par 5,09%</w:t>
      </w:r>
      <w:r w:rsidR="00276397" w:rsidRPr="0015154B">
        <w:rPr>
          <w:rFonts w:ascii="Times New Roman" w:hAnsi="Times New Roman" w:cs="Times New Roman"/>
          <w:sz w:val="24"/>
          <w:szCs w:val="24"/>
        </w:rPr>
        <w:t xml:space="preserve"> </w:t>
      </w:r>
      <w:r w:rsidRPr="0015154B">
        <w:rPr>
          <w:rFonts w:ascii="Times New Roman" w:hAnsi="Times New Roman" w:cs="Times New Roman"/>
          <w:sz w:val="24"/>
          <w:szCs w:val="24"/>
        </w:rPr>
        <w:t>-</w:t>
      </w:r>
      <w:r w:rsidR="00276397" w:rsidRPr="0015154B">
        <w:rPr>
          <w:rFonts w:ascii="Times New Roman" w:hAnsi="Times New Roman" w:cs="Times New Roman"/>
          <w:sz w:val="24"/>
          <w:szCs w:val="24"/>
        </w:rPr>
        <w:t xml:space="preserve"> </w:t>
      </w:r>
      <w:r w:rsidRPr="0015154B">
        <w:rPr>
          <w:rFonts w:ascii="Times New Roman" w:hAnsi="Times New Roman" w:cs="Times New Roman"/>
          <w:sz w:val="24"/>
          <w:szCs w:val="24"/>
        </w:rPr>
        <w:t>7,20% un 2019.gadā par 7,19%</w:t>
      </w:r>
      <w:r w:rsidR="00276397" w:rsidRPr="0015154B">
        <w:rPr>
          <w:rFonts w:ascii="Times New Roman" w:hAnsi="Times New Roman" w:cs="Times New Roman"/>
          <w:sz w:val="24"/>
          <w:szCs w:val="24"/>
        </w:rPr>
        <w:t xml:space="preserve"> </w:t>
      </w:r>
      <w:r w:rsidRPr="0015154B">
        <w:rPr>
          <w:rFonts w:ascii="Times New Roman" w:hAnsi="Times New Roman" w:cs="Times New Roman"/>
          <w:sz w:val="24"/>
          <w:szCs w:val="24"/>
        </w:rPr>
        <w:t>-</w:t>
      </w:r>
      <w:r w:rsidR="00276397" w:rsidRPr="0015154B">
        <w:rPr>
          <w:rFonts w:ascii="Times New Roman" w:hAnsi="Times New Roman" w:cs="Times New Roman"/>
          <w:sz w:val="24"/>
          <w:szCs w:val="24"/>
        </w:rPr>
        <w:t xml:space="preserve"> </w:t>
      </w:r>
      <w:r w:rsidRPr="0015154B">
        <w:rPr>
          <w:rFonts w:ascii="Times New Roman" w:hAnsi="Times New Roman" w:cs="Times New Roman"/>
          <w:sz w:val="24"/>
          <w:szCs w:val="24"/>
        </w:rPr>
        <w:t>9,77%, skarot aptuveni 530 tūkst. pensionāru</w:t>
      </w:r>
      <w:r w:rsidR="00004DC4" w:rsidRPr="0015154B">
        <w:rPr>
          <w:rFonts w:ascii="Times New Roman" w:hAnsi="Times New Roman" w:cs="Times New Roman"/>
          <w:sz w:val="24"/>
          <w:szCs w:val="24"/>
        </w:rPr>
        <w:t>.</w:t>
      </w:r>
      <w:bookmarkStart w:id="16" w:name="pn21"/>
      <w:bookmarkStart w:id="17" w:name="p-609073"/>
      <w:bookmarkEnd w:id="16"/>
      <w:bookmarkEnd w:id="17"/>
      <w:r w:rsidR="00276397" w:rsidRPr="0015154B">
        <w:rPr>
          <w:rFonts w:ascii="Times New Roman" w:hAnsi="Times New Roman" w:cs="Times New Roman"/>
          <w:sz w:val="24"/>
          <w:szCs w:val="24"/>
        </w:rPr>
        <w:t xml:space="preserve"> </w:t>
      </w:r>
      <w:r w:rsidR="00276397" w:rsidRPr="0015154B">
        <w:rPr>
          <w:rFonts w:ascii="Times New Roman" w:hAnsi="Times New Roman"/>
          <w:sz w:val="24"/>
          <w:szCs w:val="24"/>
        </w:rPr>
        <w:t>La</w:t>
      </w:r>
      <w:r w:rsidR="00DD7F96" w:rsidRPr="0015154B">
        <w:rPr>
          <w:rFonts w:ascii="Times New Roman" w:hAnsi="Times New Roman"/>
          <w:sz w:val="24"/>
          <w:szCs w:val="24"/>
        </w:rPr>
        <w:t xml:space="preserve">i nodrošinātu </w:t>
      </w:r>
      <w:r w:rsidR="00DD7F96" w:rsidRPr="0015154B">
        <w:rPr>
          <w:rFonts w:ascii="Times New Roman" w:hAnsi="Times New Roman"/>
          <w:sz w:val="24"/>
          <w:szCs w:val="24"/>
        </w:rPr>
        <w:lastRenderedPageBreak/>
        <w:t>lielāku pensiju adekvātumu un pensiju apmēra pieaugumu, kas būtu līdzvērtīgs atalgojuma pieaugumam valstī,  vidējā termiņā nepieciešams v</w:t>
      </w:r>
      <w:r w:rsidR="00096B3C" w:rsidRPr="0015154B">
        <w:rPr>
          <w:rFonts w:ascii="Times New Roman" w:hAnsi="Times New Roman"/>
          <w:sz w:val="24"/>
          <w:szCs w:val="24"/>
        </w:rPr>
        <w:t>irzīties uz pensiju pārskatīšanu, ņemot vērā 100</w:t>
      </w:r>
      <w:r w:rsidR="00DD7F96" w:rsidRPr="0015154B">
        <w:rPr>
          <w:rFonts w:ascii="Times New Roman" w:hAnsi="Times New Roman"/>
          <w:sz w:val="24"/>
          <w:szCs w:val="24"/>
        </w:rPr>
        <w:t>%</w:t>
      </w:r>
      <w:r w:rsidR="00096B3C" w:rsidRPr="0015154B">
        <w:rPr>
          <w:rFonts w:ascii="Times New Roman" w:hAnsi="Times New Roman"/>
          <w:sz w:val="24"/>
          <w:szCs w:val="24"/>
        </w:rPr>
        <w:t xml:space="preserve"> no apdrošināšanas iemaksu algu summas reālā pieauguma procentiem.</w:t>
      </w:r>
    </w:p>
    <w:p w14:paraId="1F755233" w14:textId="77777777" w:rsidR="004B3F74" w:rsidRPr="0015154B" w:rsidRDefault="00D33E47" w:rsidP="00357862">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Latvijā</w:t>
      </w:r>
      <w:r w:rsidR="00372F61" w:rsidRPr="0015154B">
        <w:rPr>
          <w:rFonts w:ascii="Times New Roman" w:hAnsi="Times New Roman" w:cs="Times New Roman"/>
          <w:sz w:val="24"/>
          <w:szCs w:val="24"/>
        </w:rPr>
        <w:t>,</w:t>
      </w:r>
      <w:r w:rsidRPr="0015154B">
        <w:rPr>
          <w:rFonts w:ascii="Times New Roman" w:hAnsi="Times New Roman" w:cs="Times New Roman"/>
          <w:sz w:val="24"/>
          <w:szCs w:val="24"/>
        </w:rPr>
        <w:t xml:space="preserve"> sākotnēji kā pagaidu instruments</w:t>
      </w:r>
      <w:r w:rsidR="00372F61" w:rsidRPr="0015154B">
        <w:rPr>
          <w:rFonts w:ascii="Times New Roman" w:hAnsi="Times New Roman" w:cs="Times New Roman"/>
          <w:sz w:val="24"/>
          <w:szCs w:val="24"/>
        </w:rPr>
        <w:t>,</w:t>
      </w:r>
      <w:r w:rsidRPr="0015154B">
        <w:rPr>
          <w:rFonts w:ascii="Times New Roman" w:hAnsi="Times New Roman" w:cs="Times New Roman"/>
          <w:sz w:val="24"/>
          <w:szCs w:val="24"/>
        </w:rPr>
        <w:t xml:space="preserve"> pensiju adekvātuma palielināšanai 2006.gadā tika ieviesta </w:t>
      </w:r>
      <w:r w:rsidRPr="0015154B">
        <w:rPr>
          <w:rFonts w:ascii="Times New Roman" w:hAnsi="Times New Roman" w:cs="Times New Roman"/>
          <w:b/>
          <w:sz w:val="24"/>
          <w:szCs w:val="24"/>
        </w:rPr>
        <w:t xml:space="preserve">piemaksa </w:t>
      </w:r>
      <w:r w:rsidR="00096B3C" w:rsidRPr="0015154B">
        <w:rPr>
          <w:rFonts w:ascii="Times New Roman" w:eastAsia="Times New Roman" w:hAnsi="Times New Roman" w:cs="Times New Roman"/>
          <w:b/>
          <w:sz w:val="24"/>
          <w:szCs w:val="24"/>
          <w:lang w:eastAsia="lv-LV"/>
        </w:rPr>
        <w:t>vecuma un invaliditātes pensijas saņēmējiem</w:t>
      </w:r>
      <w:r w:rsidR="00096B3C" w:rsidRPr="0015154B">
        <w:rPr>
          <w:rFonts w:ascii="Times New Roman" w:eastAsia="Times New Roman" w:hAnsi="Times New Roman" w:cs="Times New Roman"/>
          <w:sz w:val="24"/>
          <w:szCs w:val="24"/>
          <w:lang w:eastAsia="lv-LV"/>
        </w:rPr>
        <w:t xml:space="preserve"> par apdrošināšanas stāžu, kas uzkrāts līdz 1995.gada 31.decembrim un ņemts vērā, piešķirot (pārrēķinot) pensiju</w:t>
      </w:r>
      <w:r w:rsidR="00372F61" w:rsidRPr="0015154B">
        <w:rPr>
          <w:rFonts w:ascii="Times New Roman" w:eastAsia="Times New Roman" w:hAnsi="Times New Roman" w:cs="Times New Roman"/>
          <w:sz w:val="24"/>
          <w:szCs w:val="24"/>
          <w:lang w:eastAsia="lv-LV"/>
        </w:rPr>
        <w:t xml:space="preserve">. </w:t>
      </w:r>
      <w:r w:rsidR="00372F61" w:rsidRPr="0015154B">
        <w:rPr>
          <w:rFonts w:ascii="Times New Roman" w:hAnsi="Times New Roman" w:cs="Times New Roman"/>
          <w:sz w:val="24"/>
          <w:szCs w:val="24"/>
        </w:rPr>
        <w:t>Piemaksas ieviešanas mērķis b</w:t>
      </w:r>
      <w:r w:rsidR="004B3F74" w:rsidRPr="0015154B">
        <w:rPr>
          <w:rFonts w:ascii="Times New Roman" w:hAnsi="Times New Roman" w:cs="Times New Roman"/>
          <w:sz w:val="24"/>
          <w:szCs w:val="24"/>
        </w:rPr>
        <w:t>i</w:t>
      </w:r>
      <w:r w:rsidR="00372F61" w:rsidRPr="0015154B">
        <w:rPr>
          <w:rFonts w:ascii="Times New Roman" w:hAnsi="Times New Roman" w:cs="Times New Roman"/>
          <w:sz w:val="24"/>
          <w:szCs w:val="24"/>
        </w:rPr>
        <w:t xml:space="preserve">ja uzlabot materiālo nodrošinājumu pensionāriem ar nelielām pensijām un lielu apdrošināšanas stāžu. To piešķiršana bija paredzēta uz laiku līdz 2010.gadam, tomēr šo termiņu pagarināja </w:t>
      </w:r>
      <w:r w:rsidR="00372F61" w:rsidRPr="0015154B">
        <w:rPr>
          <w:rFonts w:ascii="Times New Roman" w:eastAsia="Times New Roman" w:hAnsi="Times New Roman" w:cs="Times New Roman"/>
          <w:sz w:val="24"/>
          <w:szCs w:val="24"/>
          <w:lang w:eastAsia="lv-LV"/>
        </w:rPr>
        <w:t xml:space="preserve">līdz 2011.gada 31.decembrim </w:t>
      </w:r>
      <w:r w:rsidR="00372F61" w:rsidRPr="0015154B">
        <w:rPr>
          <w:rFonts w:ascii="Times New Roman" w:hAnsi="Times New Roman" w:cs="Times New Roman"/>
          <w:sz w:val="24"/>
          <w:szCs w:val="24"/>
        </w:rPr>
        <w:t xml:space="preserve">un piemaksu sāka piešķirt bez ierobežojumiem pie visām vecuma un invaliditātes pensijām, radot papildu slogu valsts budžetam. </w:t>
      </w:r>
      <w:r w:rsidR="00372F61" w:rsidRPr="0015154B">
        <w:rPr>
          <w:rFonts w:ascii="Times New Roman" w:eastAsia="Times New Roman" w:hAnsi="Times New Roman" w:cs="Times New Roman"/>
          <w:sz w:val="24"/>
          <w:szCs w:val="24"/>
          <w:lang w:eastAsia="lv-LV"/>
        </w:rPr>
        <w:t>Tādējādi</w:t>
      </w:r>
      <w:r w:rsidR="00096B3C" w:rsidRPr="0015154B">
        <w:rPr>
          <w:rFonts w:ascii="Times New Roman" w:eastAsia="Times New Roman" w:hAnsi="Times New Roman" w:cs="Times New Roman"/>
          <w:sz w:val="24"/>
          <w:szCs w:val="24"/>
          <w:lang w:eastAsia="lv-LV"/>
        </w:rPr>
        <w:t xml:space="preserve"> a</w:t>
      </w:r>
      <w:r w:rsidR="00096B3C" w:rsidRPr="0015154B">
        <w:rPr>
          <w:rFonts w:ascii="Times New Roman" w:hAnsi="Times New Roman" w:cs="Times New Roman"/>
          <w:sz w:val="24"/>
          <w:szCs w:val="24"/>
        </w:rPr>
        <w:t xml:space="preserve">r 2012.gada 1.janvāri piemaksas pie pensijas par nostrādātajiem gadiem </w:t>
      </w:r>
      <w:bookmarkStart w:id="18" w:name="_Hlk47347073"/>
      <w:r w:rsidR="00096B3C" w:rsidRPr="0015154B">
        <w:rPr>
          <w:rFonts w:ascii="Times New Roman" w:hAnsi="Times New Roman" w:cs="Times New Roman"/>
          <w:sz w:val="24"/>
          <w:szCs w:val="24"/>
        </w:rPr>
        <w:t xml:space="preserve">līdz 1995.gada 31.decembrim </w:t>
      </w:r>
      <w:bookmarkEnd w:id="18"/>
      <w:r w:rsidR="00096B3C" w:rsidRPr="0015154B">
        <w:rPr>
          <w:rFonts w:ascii="Times New Roman" w:hAnsi="Times New Roman" w:cs="Times New Roman"/>
          <w:sz w:val="24"/>
          <w:szCs w:val="24"/>
        </w:rPr>
        <w:t xml:space="preserve">no jauna vairs nepiešķir, taču turpina izmaksāt iepriekš piešķirtās piemaksas. Piemaksu pie pensijas pēc 2012.gada nosaka tikai tajos gadījumos, kad vecuma pensiju piešķir invaliditātes pensijas vietā un jau iepriekš (līdz 2012.gadam) pie invaliditātes pensijas bija piešķirta piemaksa. Šādā gadījumā piemaksu pie vecuma pensijas izmaksā uz noteikto invaliditātes laiku. </w:t>
      </w:r>
    </w:p>
    <w:p w14:paraId="0B8234B8" w14:textId="0B0EACFD" w:rsidR="00096B3C" w:rsidRPr="0015154B" w:rsidRDefault="004B3F74" w:rsidP="00357862">
      <w:pPr>
        <w:spacing w:before="120" w:after="0" w:line="240" w:lineRule="auto"/>
        <w:ind w:firstLine="720"/>
        <w:jc w:val="both"/>
        <w:rPr>
          <w:rFonts w:ascii="Times New Roman" w:hAnsi="Times New Roman"/>
          <w:sz w:val="24"/>
          <w:szCs w:val="24"/>
        </w:rPr>
      </w:pPr>
      <w:r w:rsidRPr="0015154B">
        <w:rPr>
          <w:rFonts w:ascii="Times New Roman" w:hAnsi="Times New Roman" w:cs="Times New Roman"/>
          <w:sz w:val="24"/>
          <w:szCs w:val="24"/>
        </w:rPr>
        <w:t>2019.gadā VSAA uzskaitē bija 342,8 tūkst. vecuma pensiju un 31,7 tūkst. invaliditātes pensiju saņēmēji, kuriem tika izmaksāta arī piemaksa pie pensijas. Savukārt 108,7 tūkst. vecuma un 44,4 tūkst. invaliditātes pensiju saņēmēju piemaksa pie pensijas nav piešķirta, lai arī viņiem ir apdrošināšanas stāžs līdz 1995.gada 31.decembrim.</w:t>
      </w:r>
      <w:r w:rsidR="00276397" w:rsidRPr="0015154B">
        <w:rPr>
          <w:rFonts w:ascii="Times New Roman" w:hAnsi="Times New Roman" w:cs="Times New Roman"/>
          <w:sz w:val="24"/>
          <w:szCs w:val="24"/>
        </w:rPr>
        <w:t xml:space="preserve"> </w:t>
      </w:r>
      <w:r w:rsidR="00372F61" w:rsidRPr="0015154B">
        <w:rPr>
          <w:rFonts w:ascii="Times New Roman" w:hAnsi="Times New Roman"/>
          <w:sz w:val="24"/>
          <w:szCs w:val="24"/>
        </w:rPr>
        <w:t>Lai novērstu nevienlīdzīgu attieksmi</w:t>
      </w:r>
      <w:r w:rsidR="00096B3C" w:rsidRPr="0015154B">
        <w:rPr>
          <w:rFonts w:ascii="Times New Roman" w:hAnsi="Times New Roman"/>
          <w:sz w:val="24"/>
          <w:szCs w:val="24"/>
        </w:rPr>
        <w:t xml:space="preserve"> </w:t>
      </w:r>
      <w:bookmarkStart w:id="19" w:name="_Hlk47098932"/>
      <w:r w:rsidR="00372F61" w:rsidRPr="0015154B">
        <w:rPr>
          <w:rFonts w:ascii="Times New Roman" w:hAnsi="Times New Roman"/>
          <w:sz w:val="24"/>
          <w:szCs w:val="24"/>
        </w:rPr>
        <w:t>pret vecuma un invaliditātes pensiju saņēmējiem, ir jānodrošina p</w:t>
      </w:r>
      <w:r w:rsidR="00096B3C" w:rsidRPr="0015154B">
        <w:rPr>
          <w:rFonts w:ascii="Times New Roman" w:hAnsi="Times New Roman"/>
          <w:sz w:val="24"/>
          <w:szCs w:val="24"/>
        </w:rPr>
        <w:t xml:space="preserve">iemaksas pie pensijas piešķiršanas atjaunošana </w:t>
      </w:r>
      <w:bookmarkEnd w:id="19"/>
      <w:r w:rsidR="00096B3C" w:rsidRPr="0015154B">
        <w:rPr>
          <w:rFonts w:ascii="Times New Roman" w:hAnsi="Times New Roman"/>
          <w:sz w:val="24"/>
          <w:szCs w:val="24"/>
        </w:rPr>
        <w:t xml:space="preserve">tām personām, kurām vecuma vai invaliditātes pensija piešķirta pēc 2012.gada 1.janvāra. </w:t>
      </w:r>
    </w:p>
    <w:p w14:paraId="4D0F278C" w14:textId="7A0997F1" w:rsidR="00665087" w:rsidRPr="0015154B" w:rsidRDefault="00665087" w:rsidP="004E5C4B">
      <w:pPr>
        <w:spacing w:before="120" w:after="0" w:line="240" w:lineRule="auto"/>
        <w:ind w:firstLine="720"/>
        <w:jc w:val="both"/>
        <w:rPr>
          <w:rFonts w:ascii="Times New Roman" w:eastAsia="Times New Roman" w:hAnsi="Times New Roman" w:cs="Times New Roman"/>
          <w:bCs/>
          <w:sz w:val="24"/>
          <w:szCs w:val="24"/>
          <w:lang w:eastAsia="lv-LV"/>
        </w:rPr>
      </w:pPr>
      <w:r w:rsidRPr="0015154B">
        <w:rPr>
          <w:rFonts w:ascii="Times New Roman" w:eastAsia="Times New Roman" w:hAnsi="Times New Roman" w:cs="Times New Roman"/>
          <w:bCs/>
          <w:sz w:val="24"/>
          <w:szCs w:val="24"/>
          <w:lang w:eastAsia="lv-LV"/>
        </w:rPr>
        <w:t xml:space="preserve">EK stratēģiskajos dokumentos dzimumu līdztiesības jomā sieviešu nabadzības mazināšana primāri tiek skatīta kontekstā ar sieviešu un vīriešu darba samaksas un ieņēmumu atšķirību mazināšanu, kā arī vienlīdzīgām iespējām darba tirgū. Kā papildus risināmais jautājums dalībvalstīm tiek izcelta nepieciešamība savlaicīgi reaģēt uz cēloņiem, kas ietekmē </w:t>
      </w:r>
      <w:r w:rsidRPr="001C656E">
        <w:rPr>
          <w:rFonts w:ascii="Times New Roman" w:eastAsia="Times New Roman" w:hAnsi="Times New Roman" w:cs="Times New Roman"/>
          <w:b/>
          <w:bCs/>
          <w:sz w:val="24"/>
          <w:szCs w:val="24"/>
          <w:lang w:eastAsia="lv-LV"/>
        </w:rPr>
        <w:t>atšķirību veidošanos vīriešu un sieviešu pensijās</w:t>
      </w:r>
      <w:r w:rsidRPr="0015154B">
        <w:rPr>
          <w:rFonts w:ascii="Times New Roman" w:eastAsia="Times New Roman" w:hAnsi="Times New Roman" w:cs="Times New Roman"/>
          <w:bCs/>
          <w:sz w:val="24"/>
          <w:szCs w:val="24"/>
          <w:lang w:eastAsia="lv-LV"/>
        </w:rPr>
        <w:t>, tādā veidā palielinot nabadzības risku, īpaši vecumdienās.</w:t>
      </w:r>
      <w:r w:rsidRPr="0015154B">
        <w:rPr>
          <w:rFonts w:ascii="Times New Roman" w:hAnsi="Times New Roman" w:cs="Times New Roman"/>
          <w:sz w:val="24"/>
          <w:szCs w:val="24"/>
        </w:rPr>
        <w:t xml:space="preserve"> EP secinājumos „</w:t>
      </w:r>
      <w:r w:rsidRPr="0015154B">
        <w:rPr>
          <w:rFonts w:ascii="Times New Roman" w:hAnsi="Times New Roman" w:cs="Times New Roman"/>
          <w:iCs/>
          <w:sz w:val="24"/>
          <w:szCs w:val="24"/>
        </w:rPr>
        <w:t>Sievietes un nabadzība</w:t>
      </w:r>
      <w:r w:rsidRPr="001C656E">
        <w:rPr>
          <w:rFonts w:ascii="Times New Roman" w:hAnsi="Times New Roman" w:cs="Times New Roman"/>
          <w:iCs/>
          <w:sz w:val="24"/>
          <w:szCs w:val="24"/>
        </w:rPr>
        <w:t>”</w:t>
      </w:r>
      <w:r w:rsidRPr="001C656E">
        <w:rPr>
          <w:rStyle w:val="FootnoteReference"/>
          <w:rFonts w:ascii="Times New Roman" w:hAnsi="Times New Roman" w:cs="Times New Roman"/>
          <w:iCs/>
          <w:sz w:val="24"/>
        </w:rPr>
        <w:footnoteReference w:id="43"/>
      </w:r>
      <w:r w:rsidRPr="001C656E">
        <w:rPr>
          <w:rFonts w:ascii="Times New Roman" w:hAnsi="Times New Roman" w:cs="Times New Roman"/>
          <w:iCs/>
          <w:sz w:val="24"/>
          <w:szCs w:val="24"/>
        </w:rPr>
        <w:t xml:space="preserve"> ir uzsvērts, ka</w:t>
      </w:r>
      <w:r w:rsidRPr="007157D3">
        <w:rPr>
          <w:rFonts w:ascii="Times New Roman" w:hAnsi="Times New Roman" w:cs="Times New Roman"/>
          <w:iCs/>
          <w:sz w:val="24"/>
          <w:szCs w:val="24"/>
        </w:rPr>
        <w:t xml:space="preserve"> korelācija starp dzimumu un nabadzību nav vērtējama un analizējama kā vienkārši atšķirības starp dzimumiem noteiktos nabadzības radītājos. </w:t>
      </w:r>
      <w:r w:rsidRPr="002F5278">
        <w:rPr>
          <w:rFonts w:ascii="Times New Roman" w:hAnsi="Times New Roman" w:cs="Times New Roman"/>
          <w:iCs/>
          <w:sz w:val="24"/>
          <w:szCs w:val="24"/>
        </w:rPr>
        <w:t>Secinājumos ES dalībvalstis tiek aicinātas integrēt vīriešu un sieviešu vienlīdzīgu iespēju un tiesību principu visos uz nabadzības un sociāl</w:t>
      </w:r>
      <w:r w:rsidRPr="0025422D">
        <w:rPr>
          <w:rFonts w:ascii="Times New Roman" w:hAnsi="Times New Roman" w:cs="Times New Roman"/>
          <w:iCs/>
          <w:sz w:val="24"/>
          <w:szCs w:val="24"/>
        </w:rPr>
        <w:t>ās atstumtības mazināšanu vērstajos politikas pasākumos (nodrošinot sinerģiju ar pārējām politikas jomām), kā arī pasākumos, kas mazina vai ietekmē pensiju atšķirības nākotnē, un nodrošina adekvātu sociālo aizsardzību sievietēm nabadzības situācijā.</w:t>
      </w:r>
      <w:r w:rsidRPr="00A857F2">
        <w:rPr>
          <w:rFonts w:ascii="Times New Roman" w:eastAsia="Times New Roman" w:hAnsi="Times New Roman" w:cs="Times New Roman"/>
          <w:bCs/>
          <w:sz w:val="24"/>
          <w:szCs w:val="24"/>
          <w:lang w:eastAsia="lv-LV"/>
        </w:rPr>
        <w:t xml:space="preserve"> </w:t>
      </w:r>
      <w:r w:rsidRPr="009703E6">
        <w:rPr>
          <w:rFonts w:ascii="Times New Roman" w:eastAsia="Times New Roman" w:hAnsi="Times New Roman" w:cs="Times New Roman"/>
          <w:bCs/>
          <w:sz w:val="24"/>
          <w:szCs w:val="24"/>
          <w:lang w:eastAsia="lv-LV"/>
        </w:rPr>
        <w:t>Latvijas prezidentūras ES Padomē izstrādātajos Padomes secinājumos „Vienlīdzīgas ienākumu gūšanas iespējas sievietēm un vīriešiem – sieviešu un vīriešu pensiju atšķirības novēršana” (apstiprināti 2015.gada 18.jūnijā) dalībvalstis tiek aicinātas izstrādāt visaptverošus pasākumus, ar ko novērš visus dažādos sieviešu un vīriešu pensiju atšķirības cēloņus.</w:t>
      </w:r>
    </w:p>
    <w:p w14:paraId="56FE2284" w14:textId="7E90F87D" w:rsidR="00665087" w:rsidRPr="007157D3" w:rsidRDefault="00665087" w:rsidP="001C656E">
      <w:pPr>
        <w:spacing w:before="120" w:after="0" w:line="240" w:lineRule="auto"/>
        <w:ind w:firstLine="720"/>
        <w:jc w:val="both"/>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 xml:space="preserve">Sieviešu un vīriešu darba samaksas atšķirības, līdzdalības darba tirgū atšķirības, aprūpes pienākumu sadalījums ir iemeslu kopums, kas nosaka atšķirības arī sieviešu un vīriešu pensiju apmēros. Ne tikai bērnu, bet arī citu ģimenes locekļu aprūpes pienākumi sieviešu darba mūžu joprojām ietekmē vairāk nekā vīriešu darba mūžu. Tāpēc sievietes - biežāk nekā vīrieši - saskaras ar profesionālās darbības pārtraukumiem, viņu karjeras un ienākumu izaugsmes iespējas ir ierobežotākas un viņas, vairāk nekā vīrieši, strādā nepilnas slodzes darbu. </w:t>
      </w:r>
      <w:r w:rsidR="007157D3" w:rsidRPr="0015154B">
        <w:rPr>
          <w:rFonts w:ascii="Times New Roman" w:eastAsia="Times New Roman" w:hAnsi="Times New Roman" w:cs="Times New Roman"/>
          <w:iCs/>
          <w:sz w:val="24"/>
          <w:szCs w:val="24"/>
          <w:lang w:eastAsia="lv-LV"/>
        </w:rPr>
        <w:t>Jāņem arī vērā, ka sievietes visbiežāk izmanto bērna kopšanas atvaļinājumu, kura laikā apdrošināšanas iemaksas tiek veiktas nevis no pilna pabalsta apmēra, bet gan tikai no 171 e</w:t>
      </w:r>
      <w:r w:rsidR="001C656E">
        <w:rPr>
          <w:rFonts w:ascii="Times New Roman" w:eastAsia="Times New Roman" w:hAnsi="Times New Roman" w:cs="Times New Roman"/>
          <w:iCs/>
          <w:sz w:val="24"/>
          <w:szCs w:val="24"/>
          <w:lang w:eastAsia="lv-LV"/>
        </w:rPr>
        <w:t>i</w:t>
      </w:r>
      <w:r w:rsidR="007157D3" w:rsidRPr="0015154B">
        <w:rPr>
          <w:rFonts w:ascii="Times New Roman" w:eastAsia="Times New Roman" w:hAnsi="Times New Roman" w:cs="Times New Roman"/>
          <w:iCs/>
          <w:sz w:val="24"/>
          <w:szCs w:val="24"/>
          <w:lang w:eastAsia="lv-LV"/>
        </w:rPr>
        <w:t xml:space="preserve">ro, kas kopumā ietekmē nākotnes pensijas vai īstermiņa pabalstu apmērus. </w:t>
      </w:r>
      <w:r w:rsidRPr="0015154B">
        <w:rPr>
          <w:rFonts w:ascii="Times New Roman" w:eastAsia="Times New Roman" w:hAnsi="Times New Roman" w:cs="Times New Roman"/>
          <w:iCs/>
          <w:sz w:val="24"/>
          <w:szCs w:val="24"/>
          <w:lang w:eastAsia="lv-LV"/>
        </w:rPr>
        <w:t xml:space="preserve">2016.gadā pensiju atšķirība starp </w:t>
      </w:r>
      <w:r w:rsidRPr="0015154B">
        <w:rPr>
          <w:rFonts w:ascii="Times New Roman" w:eastAsia="Times New Roman" w:hAnsi="Times New Roman" w:cs="Times New Roman"/>
          <w:iCs/>
          <w:sz w:val="24"/>
          <w:szCs w:val="24"/>
          <w:lang w:eastAsia="lv-LV"/>
        </w:rPr>
        <w:lastRenderedPageBreak/>
        <w:t>sievietēm un vīriešiem veidoja 1</w:t>
      </w:r>
      <w:r w:rsidR="007157D3">
        <w:rPr>
          <w:rFonts w:ascii="Times New Roman" w:eastAsia="Times New Roman" w:hAnsi="Times New Roman" w:cs="Times New Roman"/>
          <w:iCs/>
          <w:sz w:val="24"/>
          <w:szCs w:val="24"/>
          <w:lang w:eastAsia="lv-LV"/>
        </w:rPr>
        <w:t>6,8</w:t>
      </w:r>
      <w:r w:rsidRPr="007157D3">
        <w:rPr>
          <w:rFonts w:ascii="Times New Roman" w:eastAsia="Times New Roman" w:hAnsi="Times New Roman" w:cs="Times New Roman"/>
          <w:iCs/>
          <w:sz w:val="24"/>
          <w:szCs w:val="24"/>
          <w:lang w:eastAsia="lv-LV"/>
        </w:rPr>
        <w:t xml:space="preserve">%, </w:t>
      </w:r>
      <w:r w:rsidR="007157D3">
        <w:rPr>
          <w:rFonts w:ascii="Times New Roman" w:eastAsia="Times New Roman" w:hAnsi="Times New Roman" w:cs="Times New Roman"/>
          <w:iCs/>
          <w:sz w:val="24"/>
          <w:szCs w:val="24"/>
          <w:lang w:eastAsia="lv-LV"/>
        </w:rPr>
        <w:t>savukārt 2018.gadā</w:t>
      </w:r>
      <w:r w:rsidRPr="007157D3">
        <w:rPr>
          <w:rFonts w:ascii="Times New Roman" w:eastAsia="Times New Roman" w:hAnsi="Times New Roman" w:cs="Times New Roman"/>
          <w:iCs/>
          <w:sz w:val="24"/>
          <w:szCs w:val="24"/>
          <w:lang w:eastAsia="lv-LV"/>
        </w:rPr>
        <w:t xml:space="preserve"> –1</w:t>
      </w:r>
      <w:r w:rsidR="007157D3">
        <w:rPr>
          <w:rFonts w:ascii="Times New Roman" w:eastAsia="Times New Roman" w:hAnsi="Times New Roman" w:cs="Times New Roman"/>
          <w:iCs/>
          <w:sz w:val="24"/>
          <w:szCs w:val="24"/>
          <w:lang w:eastAsia="lv-LV"/>
        </w:rPr>
        <w:t>4,8</w:t>
      </w:r>
      <w:r w:rsidRPr="007157D3">
        <w:rPr>
          <w:rFonts w:ascii="Times New Roman" w:eastAsia="Times New Roman" w:hAnsi="Times New Roman" w:cs="Times New Roman"/>
          <w:iCs/>
          <w:sz w:val="24"/>
          <w:szCs w:val="24"/>
          <w:lang w:eastAsia="lv-LV"/>
        </w:rPr>
        <w:t>%.</w:t>
      </w:r>
      <w:r w:rsidRPr="007157D3">
        <w:rPr>
          <w:rFonts w:ascii="Times New Roman" w:eastAsia="Times New Roman" w:hAnsi="Times New Roman" w:cs="Times New Roman"/>
          <w:iCs/>
          <w:sz w:val="24"/>
          <w:szCs w:val="24"/>
          <w:vertAlign w:val="superscript"/>
          <w:lang w:eastAsia="lv-LV"/>
        </w:rPr>
        <w:footnoteReference w:id="44"/>
      </w:r>
      <w:r w:rsidRPr="007157D3">
        <w:rPr>
          <w:rFonts w:ascii="Times New Roman" w:eastAsia="Times New Roman" w:hAnsi="Times New Roman" w:cs="Times New Roman"/>
          <w:iCs/>
          <w:sz w:val="24"/>
          <w:szCs w:val="24"/>
          <w:lang w:eastAsia="lv-LV"/>
        </w:rPr>
        <w:t xml:space="preserve"> Vienlaikus jānorāda, ka jaunpiešķirto vecuma pensiju apmēri, kā liecina pēdējo gadu dati, starp dzimumiem </w:t>
      </w:r>
      <w:r w:rsidR="005A4E0A">
        <w:rPr>
          <w:rFonts w:ascii="Times New Roman" w:eastAsia="Times New Roman" w:hAnsi="Times New Roman" w:cs="Times New Roman"/>
          <w:iCs/>
          <w:sz w:val="24"/>
          <w:szCs w:val="24"/>
          <w:lang w:eastAsia="lv-LV"/>
        </w:rPr>
        <w:t>palielinās</w:t>
      </w:r>
      <w:r w:rsidRPr="007157D3">
        <w:rPr>
          <w:rFonts w:ascii="Times New Roman" w:eastAsia="Times New Roman" w:hAnsi="Times New Roman" w:cs="Times New Roman"/>
          <w:iCs/>
          <w:sz w:val="24"/>
          <w:szCs w:val="24"/>
          <w:lang w:eastAsia="lv-LV"/>
        </w:rPr>
        <w:t>.</w:t>
      </w:r>
      <w:r w:rsidR="005A4E0A">
        <w:rPr>
          <w:rFonts w:ascii="Times New Roman" w:eastAsia="Times New Roman" w:hAnsi="Times New Roman" w:cs="Times New Roman"/>
          <w:iCs/>
          <w:sz w:val="24"/>
          <w:szCs w:val="24"/>
          <w:lang w:eastAsia="lv-LV"/>
        </w:rPr>
        <w:t xml:space="preserve"> Ja 2014.gadā jaunpieškirto vecuma pensiju apmēru atšķirība starp sievietēm un vīriešiem bija ļoti neliela – 0,63% (278,23 eiro sievietēm un 279,99 eiro vīriešiem), tad 2019.gadā tā bija pieaugusi līdz 6,85% (391,00 eiro sievietēm un 417,77 eiro vīriešiem). </w:t>
      </w:r>
      <w:r w:rsidRPr="007157D3">
        <w:rPr>
          <w:rFonts w:ascii="Times New Roman" w:eastAsia="Times New Roman" w:hAnsi="Times New Roman" w:cs="Times New Roman"/>
          <w:iCs/>
          <w:sz w:val="24"/>
          <w:szCs w:val="24"/>
          <w:lang w:eastAsia="lv-LV"/>
        </w:rPr>
        <w:t>Apzinoties nepieciešamību domāt par pensiju pietiekamības jautājumu, tiek strādāts  pie dažādām iniciatīvām, kuras palielinātu pensijas apmēru un varētu potenciāli mazināt nabadzības riska atšķirības starp vīrieši</w:t>
      </w:r>
      <w:r w:rsidR="001C656E">
        <w:rPr>
          <w:rFonts w:ascii="Times New Roman" w:eastAsia="Times New Roman" w:hAnsi="Times New Roman" w:cs="Times New Roman"/>
          <w:iCs/>
          <w:sz w:val="24"/>
          <w:szCs w:val="24"/>
          <w:lang w:eastAsia="lv-LV"/>
        </w:rPr>
        <w:t>e</w:t>
      </w:r>
      <w:r w:rsidRPr="007157D3">
        <w:rPr>
          <w:rFonts w:ascii="Times New Roman" w:eastAsia="Times New Roman" w:hAnsi="Times New Roman" w:cs="Times New Roman"/>
          <w:iCs/>
          <w:sz w:val="24"/>
          <w:szCs w:val="24"/>
          <w:lang w:eastAsia="lv-LV"/>
        </w:rPr>
        <w:t>m un sievietēm vecumdienās</w:t>
      </w:r>
      <w:r w:rsidR="007157D3">
        <w:rPr>
          <w:rFonts w:ascii="Times New Roman" w:eastAsia="Times New Roman" w:hAnsi="Times New Roman" w:cs="Times New Roman"/>
          <w:iCs/>
          <w:sz w:val="24"/>
          <w:szCs w:val="24"/>
          <w:lang w:eastAsia="lv-LV"/>
        </w:rPr>
        <w:t>, tostarp darba un ģimenes dzīves līdzsvarošanas pasākumiem</w:t>
      </w:r>
      <w:r w:rsidRPr="007157D3">
        <w:rPr>
          <w:rFonts w:ascii="Times New Roman" w:eastAsia="Times New Roman" w:hAnsi="Times New Roman" w:cs="Times New Roman"/>
          <w:iCs/>
          <w:sz w:val="24"/>
          <w:szCs w:val="24"/>
          <w:lang w:eastAsia="lv-LV"/>
        </w:rPr>
        <w:t>.</w:t>
      </w:r>
    </w:p>
    <w:p w14:paraId="5D1703EA" w14:textId="6E7EFB1E" w:rsidR="00665087" w:rsidRPr="0025422D" w:rsidRDefault="00665087" w:rsidP="00665087">
      <w:pPr>
        <w:spacing w:before="120" w:after="0" w:line="240" w:lineRule="auto"/>
        <w:ind w:firstLine="720"/>
        <w:jc w:val="both"/>
        <w:rPr>
          <w:rFonts w:ascii="Times New Roman" w:hAnsi="Times New Roman" w:cs="Times New Roman"/>
          <w:sz w:val="24"/>
          <w:szCs w:val="24"/>
        </w:rPr>
      </w:pPr>
      <w:r w:rsidRPr="007157D3">
        <w:rPr>
          <w:rFonts w:ascii="Times New Roman" w:hAnsi="Times New Roman"/>
          <w:sz w:val="24"/>
          <w:szCs w:val="24"/>
        </w:rPr>
        <w:t>Tā kā materiālā nodrošinājuma un nabadzības mazināšanas jautājumi primāri skatāmi kontekstā ar darba tirgus, nodarbinātī</w:t>
      </w:r>
      <w:r w:rsidRPr="002F5278">
        <w:rPr>
          <w:rFonts w:ascii="Times New Roman" w:hAnsi="Times New Roman"/>
          <w:sz w:val="24"/>
          <w:szCs w:val="24"/>
        </w:rPr>
        <w:t>bas un ekonomiskās neatkarības aspektiem un to ietekmi uz personas dzīves un ienākumu līmeni, šajā nodaļā kā izaicinājumi ir skatāmi 3.1.un 3.2. nodaļā identificētie izaicinājumi.</w:t>
      </w:r>
    </w:p>
    <w:p w14:paraId="1EA0B7B0" w14:textId="114C82AF" w:rsidR="000C55D6" w:rsidRPr="00A857F2" w:rsidRDefault="000C55D6" w:rsidP="000C55D6">
      <w:pPr>
        <w:suppressAutoHyphens/>
        <w:autoSpaceDE w:val="0"/>
        <w:autoSpaceDN w:val="0"/>
        <w:spacing w:after="0" w:line="240" w:lineRule="auto"/>
        <w:jc w:val="both"/>
        <w:textAlignment w:val="baseline"/>
        <w:rPr>
          <w:rFonts w:ascii="Times New Roman" w:hAnsi="Times New Roman" w:cs="Times New Roman"/>
          <w:sz w:val="24"/>
          <w:szCs w:val="24"/>
        </w:rPr>
      </w:pPr>
    </w:p>
    <w:p w14:paraId="688BC6CE" w14:textId="65C51F78" w:rsidR="006B1B19" w:rsidRPr="009703E6" w:rsidRDefault="006B1B19" w:rsidP="00DA5144">
      <w:pPr>
        <w:pStyle w:val="Heading2"/>
      </w:pPr>
      <w:bookmarkStart w:id="20" w:name="_Toc55316066"/>
      <w:r w:rsidRPr="009703E6">
        <w:t>Speciālie nodokļu režīmi</w:t>
      </w:r>
      <w:bookmarkEnd w:id="20"/>
    </w:p>
    <w:p w14:paraId="647ABB15" w14:textId="00474D89" w:rsidR="00FB6FFD" w:rsidRPr="0015154B" w:rsidRDefault="006B1B19" w:rsidP="00357862">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Tā kā valsts sociālās apdrošināšanas maksājumi</w:t>
      </w:r>
      <w:r w:rsidR="00460D8E" w:rsidRPr="0015154B">
        <w:rPr>
          <w:rFonts w:ascii="Times New Roman" w:hAnsi="Times New Roman" w:cs="Times New Roman"/>
          <w:sz w:val="24"/>
          <w:szCs w:val="24"/>
        </w:rPr>
        <w:t xml:space="preserve"> (pensijas</w:t>
      </w:r>
      <w:r w:rsidR="004376AA" w:rsidRPr="0015154B">
        <w:rPr>
          <w:rFonts w:ascii="Times New Roman" w:hAnsi="Times New Roman" w:cs="Times New Roman"/>
          <w:sz w:val="24"/>
          <w:szCs w:val="24"/>
        </w:rPr>
        <w:t xml:space="preserve"> un atlīdzības</w:t>
      </w:r>
      <w:r w:rsidR="00460D8E" w:rsidRPr="0015154B">
        <w:rPr>
          <w:rFonts w:ascii="Times New Roman" w:hAnsi="Times New Roman" w:cs="Times New Roman"/>
          <w:sz w:val="24"/>
          <w:szCs w:val="24"/>
        </w:rPr>
        <w:t>, valsts sociālās apdrošināšanas pabalsti)</w:t>
      </w:r>
      <w:r w:rsidRPr="0015154B">
        <w:rPr>
          <w:rFonts w:ascii="Times New Roman" w:hAnsi="Times New Roman" w:cs="Times New Roman"/>
          <w:sz w:val="24"/>
          <w:szCs w:val="24"/>
        </w:rPr>
        <w:t xml:space="preserve"> ir tieši atkarīgi no</w:t>
      </w:r>
      <w:r w:rsidR="00460D8E" w:rsidRPr="0015154B">
        <w:rPr>
          <w:rFonts w:ascii="Times New Roman" w:hAnsi="Times New Roman" w:cs="Times New Roman"/>
          <w:sz w:val="24"/>
          <w:szCs w:val="24"/>
        </w:rPr>
        <w:t xml:space="preserve"> personas veiktajām iemaksām</w:t>
      </w:r>
      <w:r w:rsidR="004376AA" w:rsidRPr="0015154B">
        <w:rPr>
          <w:rFonts w:ascii="Times New Roman" w:hAnsi="Times New Roman" w:cs="Times New Roman"/>
          <w:sz w:val="24"/>
          <w:szCs w:val="24"/>
        </w:rPr>
        <w:t xml:space="preserve"> un to apmēra</w:t>
      </w:r>
      <w:r w:rsidR="00460D8E" w:rsidRPr="0015154B">
        <w:rPr>
          <w:rFonts w:ascii="Times New Roman" w:hAnsi="Times New Roman" w:cs="Times New Roman"/>
          <w:sz w:val="24"/>
          <w:szCs w:val="24"/>
        </w:rPr>
        <w:t xml:space="preserve">, </w:t>
      </w:r>
      <w:r w:rsidR="004376AA" w:rsidRPr="0015154B">
        <w:rPr>
          <w:rFonts w:ascii="Times New Roman" w:hAnsi="Times New Roman" w:cs="Times New Roman"/>
          <w:sz w:val="24"/>
          <w:szCs w:val="24"/>
        </w:rPr>
        <w:t xml:space="preserve">būtiska nozīme atbalsta adekvātuma nodrošināšanā </w:t>
      </w:r>
      <w:r w:rsidR="00A54374" w:rsidRPr="0015154B">
        <w:rPr>
          <w:rFonts w:ascii="Times New Roman" w:hAnsi="Times New Roman" w:cs="Times New Roman"/>
          <w:sz w:val="24"/>
          <w:szCs w:val="24"/>
        </w:rPr>
        <w:t xml:space="preserve">kā īstermiņā, tā vidējā un ilgtermiņā ir tam, kādam nodokļu režīmam ir pakļauta persona un kāds ir iemaksu veikšana objekts. </w:t>
      </w:r>
      <w:r w:rsidR="00256C94" w:rsidRPr="0015154B">
        <w:rPr>
          <w:rFonts w:ascii="Times New Roman" w:hAnsi="Times New Roman" w:cs="Times New Roman"/>
          <w:sz w:val="24"/>
          <w:szCs w:val="24"/>
        </w:rPr>
        <w:t>Lai gan Latvijā lielāko obligāti sociāli apdrošināto personu īpatsvaru veido darba ņēmēji, par kuriem valsts sociālās apdrošināšanas obligātās iemaksas (turpmāk – VSAOI) tiek veiktas vispārējā kārtībā (86%) un kuri tiek apdrošināti pret visiem riskiem, joprojām relatīvi liels ir to iemaksu veicēju īpatsvars, kas nevar saņemt atbalstu visu sociālo risku iestāšanās gadījumā</w:t>
      </w:r>
      <w:r w:rsidR="00F94FB3" w:rsidRPr="0015154B">
        <w:rPr>
          <w:rFonts w:ascii="Times New Roman" w:hAnsi="Times New Roman" w:cs="Times New Roman"/>
          <w:sz w:val="24"/>
          <w:szCs w:val="24"/>
        </w:rPr>
        <w:t>.</w:t>
      </w:r>
      <w:r w:rsidR="00256C94" w:rsidRPr="0015154B">
        <w:rPr>
          <w:rFonts w:ascii="Times New Roman" w:hAnsi="Times New Roman" w:cs="Times New Roman"/>
          <w:sz w:val="24"/>
          <w:szCs w:val="24"/>
        </w:rPr>
        <w:t xml:space="preserve"> </w:t>
      </w:r>
    </w:p>
    <w:p w14:paraId="445FAA34" w14:textId="5655246C" w:rsidR="0034630B" w:rsidRPr="0015154B" w:rsidRDefault="00F94FB3" w:rsidP="00357862">
      <w:pPr>
        <w:pStyle w:val="NoSpacing"/>
        <w:spacing w:before="120"/>
        <w:ind w:firstLine="720"/>
        <w:jc w:val="both"/>
        <w:rPr>
          <w:rFonts w:ascii="Times New Roman" w:hAnsi="Times New Roman" w:cs="Times New Roman"/>
          <w:sz w:val="24"/>
          <w:szCs w:val="24"/>
          <w:lang w:eastAsia="lv-LV"/>
        </w:rPr>
      </w:pPr>
      <w:r w:rsidRPr="0015154B">
        <w:rPr>
          <w:rFonts w:ascii="Times New Roman" w:hAnsi="Times New Roman" w:cs="Times New Roman"/>
          <w:b/>
          <w:color w:val="002060"/>
          <w:sz w:val="24"/>
          <w:szCs w:val="24"/>
        </w:rPr>
        <w:t xml:space="preserve">Persona, kas </w:t>
      </w:r>
      <w:r w:rsidRPr="0015154B">
        <w:rPr>
          <w:rFonts w:ascii="Times New Roman" w:hAnsi="Times New Roman" w:cs="Times New Roman"/>
          <w:b/>
          <w:color w:val="002060"/>
          <w:sz w:val="24"/>
          <w:szCs w:val="24"/>
          <w:shd w:val="clear" w:color="auto" w:fill="FFFFFF"/>
        </w:rPr>
        <w:t>maksā sezonas laukstrādnieku ienākuma nodokli</w:t>
      </w:r>
      <w:r w:rsidRPr="0015154B">
        <w:rPr>
          <w:rFonts w:ascii="Times New Roman" w:hAnsi="Times New Roman" w:cs="Times New Roman"/>
          <w:sz w:val="24"/>
          <w:szCs w:val="24"/>
          <w:shd w:val="clear" w:color="auto" w:fill="FFFFFF"/>
        </w:rPr>
        <w:t>, ir pakļauta tikai pensiju apdrošināšanai, tāpat viņai ir tiesības brīvprātīgi pievienoties pensiju apdrošināšanai.</w:t>
      </w:r>
      <w:r w:rsidR="00F13923" w:rsidRPr="0015154B">
        <w:rPr>
          <w:rFonts w:ascii="Times New Roman" w:hAnsi="Times New Roman" w:cs="Times New Roman"/>
          <w:sz w:val="24"/>
          <w:szCs w:val="24"/>
          <w:shd w:val="clear" w:color="auto" w:fill="FFFFFF"/>
        </w:rPr>
        <w:t xml:space="preserve"> Taču VSAOI par šo personu tiek veiktas, </w:t>
      </w:r>
      <w:r w:rsidR="00F13923" w:rsidRPr="0015154B">
        <w:rPr>
          <w:rFonts w:ascii="Times New Roman" w:hAnsi="Times New Roman" w:cs="Times New Roman"/>
          <w:sz w:val="24"/>
          <w:szCs w:val="24"/>
        </w:rPr>
        <w:t>ja tās gūtie ienākumi kalendārajā mēnesī pārsniedz 70 </w:t>
      </w:r>
      <w:r w:rsidR="00824E31" w:rsidRPr="0015154B">
        <w:rPr>
          <w:rFonts w:ascii="Times New Roman" w:hAnsi="Times New Roman" w:cs="Times New Roman"/>
          <w:iCs/>
          <w:sz w:val="24"/>
          <w:szCs w:val="24"/>
        </w:rPr>
        <w:t>eiro</w:t>
      </w:r>
      <w:r w:rsidR="00F13923" w:rsidRPr="0015154B">
        <w:rPr>
          <w:rFonts w:ascii="Times New Roman" w:hAnsi="Times New Roman" w:cs="Times New Roman"/>
          <w:i/>
          <w:iCs/>
          <w:sz w:val="24"/>
          <w:szCs w:val="24"/>
        </w:rPr>
        <w:t>.</w:t>
      </w:r>
      <w:r w:rsidR="00F13923" w:rsidRPr="0015154B">
        <w:rPr>
          <w:rFonts w:ascii="Times New Roman" w:hAnsi="Times New Roman" w:cs="Times New Roman"/>
          <w:sz w:val="24"/>
          <w:szCs w:val="24"/>
          <w:lang w:eastAsia="lv-LV"/>
        </w:rPr>
        <w:t xml:space="preserve"> </w:t>
      </w:r>
      <w:r w:rsidR="0034630B" w:rsidRPr="0015154B">
        <w:rPr>
          <w:rFonts w:ascii="Times New Roman" w:hAnsi="Times New Roman" w:cs="Times New Roman"/>
          <w:sz w:val="24"/>
          <w:szCs w:val="24"/>
          <w:shd w:val="clear" w:color="auto" w:fill="FFFFFF"/>
        </w:rPr>
        <w:t xml:space="preserve">2019.gadā sociāli apdrošināto </w:t>
      </w:r>
      <w:r w:rsidR="0034630B" w:rsidRPr="0015154B">
        <w:rPr>
          <w:rFonts w:ascii="Times New Roman" w:hAnsi="Times New Roman" w:cs="Times New Roman"/>
          <w:sz w:val="24"/>
          <w:szCs w:val="24"/>
          <w:lang w:eastAsia="lv-LV"/>
        </w:rPr>
        <w:t xml:space="preserve">sezonas laukstrādnieku ienākuma nodokļa maksātāju skaits bija 2063 personas un vidējais VSAOI objekts bija 150,20 </w:t>
      </w:r>
      <w:r w:rsidR="00824E31" w:rsidRPr="0015154B">
        <w:rPr>
          <w:rFonts w:ascii="Times New Roman" w:hAnsi="Times New Roman" w:cs="Times New Roman"/>
          <w:sz w:val="24"/>
          <w:szCs w:val="24"/>
          <w:lang w:eastAsia="lv-LV"/>
        </w:rPr>
        <w:t>eiro</w:t>
      </w:r>
      <w:r w:rsidR="0034630B" w:rsidRPr="0015154B">
        <w:rPr>
          <w:rFonts w:ascii="Times New Roman" w:hAnsi="Times New Roman" w:cs="Times New Roman"/>
          <w:sz w:val="24"/>
          <w:szCs w:val="24"/>
          <w:lang w:eastAsia="lv-LV"/>
        </w:rPr>
        <w:t xml:space="preserve"> mēnesī.</w:t>
      </w:r>
    </w:p>
    <w:p w14:paraId="3DD9C2DF" w14:textId="44D89005" w:rsidR="00F13923" w:rsidRPr="007157D3" w:rsidRDefault="00F13923" w:rsidP="00357862">
      <w:pPr>
        <w:pStyle w:val="NoSpacing"/>
        <w:spacing w:before="120"/>
        <w:ind w:firstLine="720"/>
        <w:jc w:val="both"/>
        <w:rPr>
          <w:rFonts w:ascii="Times New Roman" w:hAnsi="Times New Roman" w:cs="Times New Roman"/>
          <w:sz w:val="24"/>
          <w:szCs w:val="24"/>
          <w:lang w:eastAsia="lv-LV"/>
        </w:rPr>
      </w:pPr>
      <w:r w:rsidRPr="0015154B">
        <w:rPr>
          <w:rFonts w:ascii="Times New Roman" w:hAnsi="Times New Roman" w:cs="Times New Roman"/>
          <w:sz w:val="24"/>
          <w:szCs w:val="24"/>
          <w:lang w:eastAsia="lv-LV"/>
        </w:rPr>
        <w:t>2018.gadā veiktais pirmais sezonas laukstrādnieku ienākuma nodokļa režīma izvērtējums</w:t>
      </w:r>
      <w:r w:rsidRPr="007157D3">
        <w:rPr>
          <w:rStyle w:val="FootnoteReference"/>
          <w:rFonts w:ascii="Times New Roman" w:hAnsi="Times New Roman" w:cs="Times New Roman"/>
          <w:sz w:val="24"/>
          <w:szCs w:val="24"/>
          <w:lang w:eastAsia="lv-LV"/>
        </w:rPr>
        <w:footnoteReference w:id="45"/>
      </w:r>
      <w:r w:rsidRPr="007157D3">
        <w:rPr>
          <w:rFonts w:ascii="Times New Roman" w:hAnsi="Times New Roman" w:cs="Times New Roman"/>
          <w:sz w:val="24"/>
          <w:szCs w:val="24"/>
          <w:lang w:eastAsia="lv-LV"/>
        </w:rPr>
        <w:t xml:space="preserve"> atklāja, ka minētais režīms izvirzītos mērķus sasniedz tikai daļēji, jo</w:t>
      </w:r>
      <w:r w:rsidR="0034630B" w:rsidRPr="007157D3">
        <w:rPr>
          <w:rFonts w:ascii="Times New Roman" w:hAnsi="Times New Roman" w:cs="Times New Roman"/>
          <w:sz w:val="24"/>
          <w:szCs w:val="24"/>
          <w:lang w:eastAsia="lv-LV"/>
        </w:rPr>
        <w:t xml:space="preserve"> </w:t>
      </w:r>
      <w:r w:rsidRPr="007157D3">
        <w:rPr>
          <w:rFonts w:ascii="Times New Roman" w:hAnsi="Times New Roman" w:cs="Times New Roman"/>
          <w:sz w:val="24"/>
          <w:szCs w:val="24"/>
        </w:rPr>
        <w:t xml:space="preserve">sezonas laukstrādnieku ienākuma palielinājums, kāds tas bija novērojams </w:t>
      </w:r>
      <w:r w:rsidRPr="007157D3">
        <w:rPr>
          <w:rFonts w:ascii="Times New Roman" w:eastAsia="Times New Roman" w:hAnsi="Times New Roman" w:cs="Times New Roman"/>
          <w:sz w:val="24"/>
          <w:szCs w:val="24"/>
          <w:lang w:eastAsia="lv-LV"/>
        </w:rPr>
        <w:t>laika periodā no 2015.gada līdz 2017.gadam</w:t>
      </w:r>
      <w:r w:rsidRPr="007157D3">
        <w:rPr>
          <w:rFonts w:ascii="Times New Roman" w:hAnsi="Times New Roman" w:cs="Times New Roman"/>
          <w:sz w:val="24"/>
          <w:szCs w:val="24"/>
        </w:rPr>
        <w:t>, negarantēs iespēju sezonas laukstrādniekiem, kas saņem tikai sezonas laukstrādnieku ienākumu, saņemt vecuma pensiju</w:t>
      </w:r>
      <w:r w:rsidR="0034630B" w:rsidRPr="002F5278">
        <w:rPr>
          <w:rFonts w:ascii="Times New Roman" w:hAnsi="Times New Roman" w:cs="Times New Roman"/>
          <w:sz w:val="24"/>
          <w:szCs w:val="24"/>
        </w:rPr>
        <w:t>. A</w:t>
      </w:r>
      <w:r w:rsidRPr="0025422D">
        <w:rPr>
          <w:rFonts w:ascii="Times New Roman" w:hAnsi="Times New Roman" w:cs="Times New Roman"/>
          <w:sz w:val="24"/>
          <w:szCs w:val="24"/>
        </w:rPr>
        <w:t xml:space="preserve">pdrošināto sezonas laukstrādnieku </w:t>
      </w:r>
      <w:r w:rsidR="0034630B" w:rsidRPr="00A857F2">
        <w:rPr>
          <w:rFonts w:ascii="Times New Roman" w:hAnsi="Times New Roman" w:cs="Times New Roman"/>
          <w:sz w:val="24"/>
          <w:szCs w:val="24"/>
        </w:rPr>
        <w:t>VSAOI</w:t>
      </w:r>
      <w:r w:rsidRPr="009703E6">
        <w:rPr>
          <w:rFonts w:ascii="Times New Roman" w:hAnsi="Times New Roman" w:cs="Times New Roman"/>
          <w:sz w:val="24"/>
          <w:szCs w:val="24"/>
        </w:rPr>
        <w:t xml:space="preserve"> objekts 14%</w:t>
      </w:r>
      <w:r w:rsidR="0034630B" w:rsidRPr="009703E6">
        <w:rPr>
          <w:rFonts w:ascii="Times New Roman" w:hAnsi="Times New Roman" w:cs="Times New Roman"/>
          <w:sz w:val="24"/>
          <w:szCs w:val="24"/>
        </w:rPr>
        <w:t xml:space="preserve"> gadījumu</w:t>
      </w:r>
      <w:r w:rsidRPr="0015154B">
        <w:rPr>
          <w:rFonts w:ascii="Times New Roman" w:hAnsi="Times New Roman" w:cs="Times New Roman"/>
          <w:sz w:val="24"/>
          <w:szCs w:val="24"/>
        </w:rPr>
        <w:t xml:space="preserve"> </w:t>
      </w:r>
      <w:r w:rsidR="0034630B" w:rsidRPr="0015154B">
        <w:rPr>
          <w:rFonts w:ascii="Times New Roman" w:hAnsi="Times New Roman" w:cs="Times New Roman"/>
          <w:sz w:val="24"/>
          <w:szCs w:val="24"/>
        </w:rPr>
        <w:t xml:space="preserve">bija </w:t>
      </w:r>
      <w:r w:rsidRPr="0015154B">
        <w:rPr>
          <w:rFonts w:ascii="Times New Roman" w:hAnsi="Times New Roman" w:cs="Times New Roman"/>
          <w:sz w:val="24"/>
          <w:szCs w:val="24"/>
        </w:rPr>
        <w:t xml:space="preserve">no vidējās darba samaksas valstī </w:t>
      </w:r>
      <w:r w:rsidR="0034630B" w:rsidRPr="0015154B">
        <w:rPr>
          <w:rFonts w:ascii="Times New Roman" w:hAnsi="Times New Roman" w:cs="Times New Roman"/>
          <w:sz w:val="24"/>
          <w:szCs w:val="24"/>
        </w:rPr>
        <w:t>un</w:t>
      </w:r>
      <w:r w:rsidRPr="0015154B">
        <w:rPr>
          <w:rFonts w:ascii="Times New Roman" w:hAnsi="Times New Roman" w:cs="Times New Roman"/>
          <w:sz w:val="24"/>
          <w:szCs w:val="24"/>
        </w:rPr>
        <w:t xml:space="preserve"> 33%</w:t>
      </w:r>
      <w:r w:rsidR="0034630B" w:rsidRPr="0015154B">
        <w:rPr>
          <w:rFonts w:ascii="Times New Roman" w:hAnsi="Times New Roman" w:cs="Times New Roman"/>
          <w:sz w:val="24"/>
          <w:szCs w:val="24"/>
        </w:rPr>
        <w:t xml:space="preserve"> gadījumu -</w:t>
      </w:r>
      <w:r w:rsidRPr="0015154B">
        <w:rPr>
          <w:rFonts w:ascii="Times New Roman" w:hAnsi="Times New Roman" w:cs="Times New Roman"/>
          <w:sz w:val="24"/>
          <w:szCs w:val="24"/>
        </w:rPr>
        <w:t xml:space="preserve"> no valstī noteiktās minimālās mēneša darba algas. </w:t>
      </w:r>
      <w:r w:rsidR="0034630B" w:rsidRPr="0015154B">
        <w:rPr>
          <w:rFonts w:ascii="Times New Roman" w:hAnsi="Times New Roman" w:cs="Times New Roman"/>
          <w:sz w:val="24"/>
          <w:szCs w:val="24"/>
        </w:rPr>
        <w:t>Tāpēc</w:t>
      </w:r>
      <w:r w:rsidRPr="0015154B">
        <w:rPr>
          <w:rFonts w:ascii="Times New Roman" w:hAnsi="Times New Roman" w:cs="Times New Roman"/>
          <w:sz w:val="24"/>
          <w:szCs w:val="24"/>
        </w:rPr>
        <w:t xml:space="preserve">, ja personai </w:t>
      </w:r>
      <w:r w:rsidR="0034630B" w:rsidRPr="0015154B">
        <w:rPr>
          <w:rFonts w:ascii="Times New Roman" w:hAnsi="Times New Roman" w:cs="Times New Roman"/>
          <w:sz w:val="24"/>
          <w:szCs w:val="24"/>
        </w:rPr>
        <w:t>VSAOI</w:t>
      </w:r>
      <w:r w:rsidRPr="0015154B">
        <w:rPr>
          <w:rFonts w:ascii="Times New Roman" w:hAnsi="Times New Roman" w:cs="Times New Roman"/>
          <w:sz w:val="24"/>
          <w:szCs w:val="24"/>
        </w:rPr>
        <w:t xml:space="preserve"> objekts veidosies tikai no sezonas laukstrādnieku ienākuma nodokļa, tad </w:t>
      </w:r>
      <w:r w:rsidRPr="0015154B">
        <w:rPr>
          <w:rFonts w:ascii="Times New Roman" w:hAnsi="Times New Roman" w:cs="Times New Roman"/>
          <w:sz w:val="24"/>
          <w:szCs w:val="24"/>
          <w:lang w:eastAsia="lv-LV"/>
        </w:rPr>
        <w:t>iemaksas nav pietiekamas, lai nodrošinātu uzkrājumu minimālās vecuma pensijas apmēram</w:t>
      </w:r>
      <w:r w:rsidR="0034630B" w:rsidRPr="0015154B">
        <w:rPr>
          <w:rFonts w:ascii="Times New Roman" w:hAnsi="Times New Roman" w:cs="Times New Roman"/>
          <w:sz w:val="24"/>
          <w:szCs w:val="24"/>
          <w:lang w:eastAsia="lv-LV"/>
        </w:rPr>
        <w:t xml:space="preserve">, tāpat arī </w:t>
      </w:r>
      <w:r w:rsidRPr="0015154B">
        <w:rPr>
          <w:rFonts w:ascii="Times New Roman" w:hAnsi="Times New Roman" w:cs="Times New Roman"/>
          <w:sz w:val="24"/>
          <w:szCs w:val="24"/>
          <w:lang w:eastAsia="lv-LV"/>
        </w:rPr>
        <w:t xml:space="preserve">persona, veicot tikai sezonas laukstrādnieku ienākuma nodokli, </w:t>
      </w:r>
      <w:r w:rsidR="0034630B" w:rsidRPr="0015154B">
        <w:rPr>
          <w:rFonts w:ascii="Times New Roman" w:hAnsi="Times New Roman" w:cs="Times New Roman"/>
          <w:sz w:val="24"/>
          <w:szCs w:val="24"/>
          <w:lang w:eastAsia="lv-LV"/>
        </w:rPr>
        <w:t>pie esošā nodarbinātības perioda ierobežojuma nevar savākt</w:t>
      </w:r>
      <w:r w:rsidRPr="0015154B">
        <w:rPr>
          <w:rFonts w:ascii="Times New Roman" w:hAnsi="Times New Roman" w:cs="Times New Roman"/>
          <w:sz w:val="24"/>
          <w:szCs w:val="24"/>
          <w:lang w:eastAsia="lv-LV"/>
        </w:rPr>
        <w:t xml:space="preserve"> nepieciešamo minimālo apdrošināšanas stāžu, kas dod tiesības uz vecuma pensiju. </w:t>
      </w:r>
      <w:r w:rsidR="0034630B" w:rsidRPr="0015154B">
        <w:rPr>
          <w:rFonts w:ascii="Times New Roman" w:hAnsi="Times New Roman" w:cs="Times New Roman"/>
          <w:sz w:val="24"/>
          <w:szCs w:val="24"/>
          <w:lang w:eastAsia="lv-LV"/>
        </w:rPr>
        <w:t xml:space="preserve">Ņemot vērā iepriekš minētos izvērtējuma rezultātus, nav plānota </w:t>
      </w:r>
      <w:r w:rsidRPr="0015154B">
        <w:rPr>
          <w:rFonts w:ascii="Times New Roman" w:hAnsi="Times New Roman" w:cs="Times New Roman"/>
          <w:sz w:val="24"/>
          <w:szCs w:val="24"/>
          <w:lang w:eastAsia="lv-LV"/>
        </w:rPr>
        <w:t>sezonas laukstrādnieku ienākuma nodokļa režīma paplašināšan</w:t>
      </w:r>
      <w:r w:rsidR="00C03EA7" w:rsidRPr="0015154B">
        <w:rPr>
          <w:rFonts w:ascii="Times New Roman" w:hAnsi="Times New Roman" w:cs="Times New Roman"/>
          <w:sz w:val="24"/>
          <w:szCs w:val="24"/>
          <w:lang w:eastAsia="lv-LV"/>
        </w:rPr>
        <w:t>a</w:t>
      </w:r>
      <w:r w:rsidRPr="0015154B">
        <w:rPr>
          <w:rFonts w:ascii="Times New Roman" w:hAnsi="Times New Roman" w:cs="Times New Roman"/>
          <w:sz w:val="24"/>
          <w:szCs w:val="24"/>
          <w:lang w:eastAsia="lv-LV"/>
        </w:rPr>
        <w:t xml:space="preserve"> vai tajā ietverto kritēriju palielināšan</w:t>
      </w:r>
      <w:r w:rsidR="00C03EA7" w:rsidRPr="0015154B">
        <w:rPr>
          <w:rFonts w:ascii="Times New Roman" w:hAnsi="Times New Roman" w:cs="Times New Roman"/>
          <w:sz w:val="24"/>
          <w:szCs w:val="24"/>
          <w:lang w:eastAsia="lv-LV"/>
        </w:rPr>
        <w:t>a</w:t>
      </w:r>
      <w:r w:rsidRPr="0015154B">
        <w:rPr>
          <w:rFonts w:ascii="Times New Roman" w:hAnsi="Times New Roman" w:cs="Times New Roman"/>
          <w:sz w:val="24"/>
          <w:szCs w:val="24"/>
          <w:lang w:eastAsia="lv-LV"/>
        </w:rPr>
        <w:t xml:space="preserve"> attiecībā uz maksimālo ienākumu vai nodarbinātības dienu skaitu.</w:t>
      </w:r>
    </w:p>
    <w:p w14:paraId="21CCFE33" w14:textId="4C4CF21A" w:rsidR="007A5013" w:rsidRPr="0015154B" w:rsidRDefault="00E05D9A" w:rsidP="00357862">
      <w:pPr>
        <w:autoSpaceDE w:val="0"/>
        <w:autoSpaceDN w:val="0"/>
        <w:adjustRightInd w:val="0"/>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b/>
          <w:color w:val="002060"/>
          <w:sz w:val="24"/>
          <w:szCs w:val="24"/>
          <w:lang w:eastAsia="lv-LV"/>
        </w:rPr>
        <w:t>Mikrouzņēmumu</w:t>
      </w:r>
      <w:r w:rsidRPr="007157D3">
        <w:rPr>
          <w:rFonts w:ascii="Times New Roman" w:hAnsi="Times New Roman" w:cs="Times New Roman"/>
          <w:sz w:val="24"/>
          <w:szCs w:val="24"/>
          <w:lang w:eastAsia="lv-LV"/>
        </w:rPr>
        <w:t xml:space="preserve"> nodoklis tika izveidots 2010.gadā, lai ekonomiskās krīzes </w:t>
      </w:r>
      <w:r w:rsidRPr="00425C73">
        <w:rPr>
          <w:rFonts w:ascii="Times New Roman" w:hAnsi="Times New Roman" w:cs="Times New Roman"/>
          <w:sz w:val="24"/>
          <w:szCs w:val="24"/>
          <w:lang w:eastAsia="lv-LV"/>
        </w:rPr>
        <w:t xml:space="preserve">periodā </w:t>
      </w:r>
      <w:r w:rsidR="007B114B" w:rsidRPr="002F5278">
        <w:rPr>
          <w:rFonts w:ascii="Times New Roman" w:hAnsi="Times New Roman" w:cs="Times New Roman"/>
          <w:sz w:val="24"/>
          <w:szCs w:val="24"/>
          <w:lang w:eastAsia="lv-LV"/>
        </w:rPr>
        <w:t>atvieglotu uzņēmējdarbības uzsākšanu un mazinātu</w:t>
      </w:r>
      <w:r w:rsidRPr="0025422D">
        <w:rPr>
          <w:rFonts w:ascii="Times New Roman" w:hAnsi="Times New Roman" w:cs="Times New Roman"/>
          <w:sz w:val="24"/>
          <w:szCs w:val="24"/>
          <w:lang w:eastAsia="lv-LV"/>
        </w:rPr>
        <w:t xml:space="preserve"> bezdarba pieaugumu.</w:t>
      </w:r>
      <w:r w:rsidR="007B114B" w:rsidRPr="00A857F2">
        <w:rPr>
          <w:rFonts w:ascii="Times New Roman" w:hAnsi="Times New Roman" w:cs="Times New Roman"/>
          <w:sz w:val="24"/>
          <w:szCs w:val="24"/>
          <w:lang w:eastAsia="lv-LV"/>
        </w:rPr>
        <w:t xml:space="preserve"> Pēc ekonomiskās situācijas stabilizēšanās La</w:t>
      </w:r>
      <w:r w:rsidR="007B114B" w:rsidRPr="009703E6">
        <w:rPr>
          <w:rFonts w:ascii="Times New Roman" w:hAnsi="Times New Roman" w:cs="Times New Roman"/>
          <w:sz w:val="24"/>
          <w:szCs w:val="24"/>
          <w:lang w:eastAsia="lv-LV"/>
        </w:rPr>
        <w:t xml:space="preserve">tvijā vairākkārt ir aktualizēts jautājums par šāda nodokļu </w:t>
      </w:r>
      <w:r w:rsidR="007B114B" w:rsidRPr="009703E6">
        <w:rPr>
          <w:rFonts w:ascii="Times New Roman" w:hAnsi="Times New Roman" w:cs="Times New Roman"/>
          <w:sz w:val="24"/>
          <w:szCs w:val="24"/>
          <w:lang w:eastAsia="lv-LV"/>
        </w:rPr>
        <w:lastRenderedPageBreak/>
        <w:t>maksāšanas režīma nepieciešamību, īpaši kontekstā ar mikrouzņēmumos nodarbināto personu sociālo aizsardzību.</w:t>
      </w:r>
      <w:r w:rsidRPr="009703E6">
        <w:rPr>
          <w:rFonts w:ascii="Times New Roman" w:hAnsi="Times New Roman" w:cs="Times New Roman"/>
          <w:sz w:val="24"/>
          <w:szCs w:val="24"/>
          <w:lang w:eastAsia="lv-LV"/>
        </w:rPr>
        <w:t xml:space="preserve"> </w:t>
      </w:r>
      <w:r w:rsidR="007B114B" w:rsidRPr="0015154B">
        <w:rPr>
          <w:rFonts w:ascii="Times New Roman" w:hAnsi="Times New Roman" w:cs="Times New Roman"/>
          <w:sz w:val="24"/>
          <w:szCs w:val="24"/>
        </w:rPr>
        <w:t xml:space="preserve">Pēdējos gados ir veiktas būtiskas izmaiņas </w:t>
      </w:r>
      <w:r w:rsidR="007B114B" w:rsidRPr="0015154B">
        <w:rPr>
          <w:rFonts w:ascii="Times New Roman" w:hAnsi="Times New Roman" w:cs="Times New Roman"/>
          <w:i/>
          <w:iCs/>
          <w:sz w:val="24"/>
          <w:szCs w:val="24"/>
        </w:rPr>
        <w:t>Mikrouzņēmumu nodokļa likumā</w:t>
      </w:r>
      <w:r w:rsidR="007B114B" w:rsidRPr="0015154B">
        <w:rPr>
          <w:rFonts w:ascii="Times New Roman" w:hAnsi="Times New Roman" w:cs="Times New Roman"/>
          <w:sz w:val="24"/>
          <w:szCs w:val="24"/>
        </w:rPr>
        <w:t xml:space="preserve">, lai palielinātu mikrouzņēmumā strādājošo sociālo aizsardzību, kā arī sekmētu šo uzņēmumu iekļaušanos vispārējā nodokļu režīmā. No 2018.gada maksimālais mikrouzņēmumu gada apgrozījums var būt 40 000 </w:t>
      </w:r>
      <w:r w:rsidR="00824E31" w:rsidRPr="0015154B">
        <w:rPr>
          <w:rFonts w:ascii="Times New Roman" w:hAnsi="Times New Roman" w:cs="Times New Roman"/>
          <w:sz w:val="24"/>
          <w:szCs w:val="24"/>
        </w:rPr>
        <w:t>eiro</w:t>
      </w:r>
      <w:r w:rsidR="007B114B" w:rsidRPr="0015154B">
        <w:rPr>
          <w:rFonts w:ascii="Times New Roman" w:hAnsi="Times New Roman" w:cs="Times New Roman"/>
          <w:sz w:val="24"/>
          <w:szCs w:val="24"/>
        </w:rPr>
        <w:t xml:space="preserve">. Savukārt tie nodokļu maksātāji, kuru apgrozījums 2018. vai 2019. gadā ir lielāks par 40 000 </w:t>
      </w:r>
      <w:r w:rsidR="00824E31" w:rsidRPr="0015154B">
        <w:rPr>
          <w:rFonts w:ascii="Times New Roman" w:hAnsi="Times New Roman" w:cs="Times New Roman"/>
          <w:sz w:val="24"/>
          <w:szCs w:val="24"/>
        </w:rPr>
        <w:t>eiro</w:t>
      </w:r>
      <w:r w:rsidR="007B114B" w:rsidRPr="0015154B">
        <w:rPr>
          <w:rFonts w:ascii="Times New Roman" w:hAnsi="Times New Roman" w:cs="Times New Roman"/>
          <w:sz w:val="24"/>
          <w:szCs w:val="24"/>
        </w:rPr>
        <w:t xml:space="preserve">, taču nepārsniedz 52 000 </w:t>
      </w:r>
      <w:r w:rsidR="00824E31" w:rsidRPr="0015154B">
        <w:rPr>
          <w:rFonts w:ascii="Times New Roman" w:hAnsi="Times New Roman" w:cs="Times New Roman"/>
          <w:sz w:val="24"/>
          <w:szCs w:val="24"/>
        </w:rPr>
        <w:t>eiro</w:t>
      </w:r>
      <w:r w:rsidR="007B114B" w:rsidRPr="0015154B">
        <w:rPr>
          <w:rFonts w:ascii="Times New Roman" w:hAnsi="Times New Roman" w:cs="Times New Roman"/>
          <w:sz w:val="24"/>
          <w:szCs w:val="24"/>
        </w:rPr>
        <w:t xml:space="preserve">, ir tiesīgi nepiemērot 20% MUN likmi apgrozījuma ierobežojuma pārsniegumam virs 40 000 eiro, ja to apgrozījums 2017. gadā vai 2016. gadā pārsniedza 40 000 eiro. Lai uzņēmums varētu saglabāt mikrouzņēmumu nodokļa maksātāja statusu, tajā strādājošie darbinieki drīkst būt tikai viena mikrouzņēmuma darbinieki. Ja uzņēmumā strādājošais darbinieks vienlaikus tiks nodarbināts arī citos mikrouzņēmumos, tad šiem mikrouzņēmumiem papildus 15% mikrouzņēmumu nodokļa likmei jāpieskaita divi procentpunkti par katru šādu darbinieku. Savukārt no 2020.gada šāds uzņēmums zaudē mikrouzņēmumu nodokļa maksātāja statusu un tam būs jāizvēlas cits nodokļu nomaksas režīms. </w:t>
      </w:r>
      <w:r w:rsidR="007B114B" w:rsidRPr="0015154B">
        <w:rPr>
          <w:rFonts w:ascii="Times New Roman" w:eastAsia="Times New Roman" w:hAnsi="Times New Roman" w:cs="Times New Roman"/>
          <w:sz w:val="24"/>
          <w:szCs w:val="24"/>
        </w:rPr>
        <w:t>No 2018.gada no mikrouzņēmumu nodokļa 80%</w:t>
      </w:r>
      <w:r w:rsidR="007B114B" w:rsidRPr="007157D3">
        <w:rPr>
          <w:rStyle w:val="FootnoteReference"/>
          <w:rFonts w:ascii="Times New Roman" w:hAnsi="Times New Roman" w:cs="Times New Roman"/>
          <w:sz w:val="24"/>
          <w:szCs w:val="24"/>
        </w:rPr>
        <w:footnoteReference w:id="46"/>
      </w:r>
      <w:r w:rsidR="007B114B" w:rsidRPr="007157D3">
        <w:rPr>
          <w:rFonts w:ascii="Times New Roman" w:eastAsia="Times New Roman" w:hAnsi="Times New Roman" w:cs="Times New Roman"/>
          <w:sz w:val="24"/>
          <w:szCs w:val="24"/>
        </w:rPr>
        <w:t xml:space="preserve"> tiek novirzīti valsts sociālās apdrošināšanas obligātajām iemaksām</w:t>
      </w:r>
      <w:r w:rsidR="00BD6A7B" w:rsidRPr="007157D3">
        <w:rPr>
          <w:rFonts w:ascii="Times New Roman" w:hAnsi="Times New Roman" w:cs="Times New Roman"/>
          <w:sz w:val="24"/>
          <w:szCs w:val="24"/>
          <w:lang w:eastAsia="lv-LV"/>
        </w:rPr>
        <w:t xml:space="preserve">. </w:t>
      </w:r>
      <w:r w:rsidR="00FB6FFD" w:rsidRPr="007157D3">
        <w:rPr>
          <w:rFonts w:ascii="Times New Roman" w:hAnsi="Times New Roman" w:cs="Times New Roman"/>
          <w:sz w:val="24"/>
          <w:szCs w:val="24"/>
          <w:shd w:val="clear" w:color="auto" w:fill="FFFFFF"/>
        </w:rPr>
        <w:t xml:space="preserve">Maksimālais ienākums mikrouzņēmuma darbiniekam nevar pārsniegt 720 </w:t>
      </w:r>
      <w:r w:rsidR="00824E31" w:rsidRPr="002F5278">
        <w:rPr>
          <w:rFonts w:ascii="Times New Roman" w:hAnsi="Times New Roman" w:cs="Times New Roman"/>
          <w:sz w:val="24"/>
          <w:szCs w:val="24"/>
          <w:shd w:val="clear" w:color="auto" w:fill="FFFFFF"/>
        </w:rPr>
        <w:t>eiro</w:t>
      </w:r>
      <w:r w:rsidR="00FB6FFD" w:rsidRPr="0025422D">
        <w:rPr>
          <w:rFonts w:ascii="Times New Roman" w:hAnsi="Times New Roman" w:cs="Times New Roman"/>
          <w:sz w:val="24"/>
          <w:szCs w:val="24"/>
          <w:shd w:val="clear" w:color="auto" w:fill="FFFFFF"/>
        </w:rPr>
        <w:t xml:space="preserve"> mēnesī. Mikrouzņēmuma darbinieks var brīvprātīgi pievienoties valsts sociālajai apdrošināšanai. </w:t>
      </w:r>
      <w:r w:rsidR="00FB6FFD" w:rsidRPr="00A857F2">
        <w:rPr>
          <w:rFonts w:ascii="Times New Roman" w:hAnsi="Times New Roman" w:cs="Times New Roman"/>
          <w:sz w:val="24"/>
          <w:szCs w:val="24"/>
        </w:rPr>
        <w:t>Mikrouzņēmumu darbinieku iema</w:t>
      </w:r>
      <w:r w:rsidR="00FB6FFD" w:rsidRPr="009703E6">
        <w:rPr>
          <w:rFonts w:ascii="Times New Roman" w:hAnsi="Times New Roman" w:cs="Times New Roman"/>
          <w:sz w:val="24"/>
          <w:szCs w:val="24"/>
        </w:rPr>
        <w:t xml:space="preserve">ksu objekts 2019.gadā vidēji mēnesī ir ap 50% no valstī noteiktās minimālās darba algas. </w:t>
      </w:r>
      <w:r w:rsidR="00FB6FFD" w:rsidRPr="009703E6">
        <w:rPr>
          <w:rFonts w:ascii="Times New Roman" w:hAnsi="Times New Roman" w:cs="Times New Roman"/>
          <w:sz w:val="24"/>
          <w:szCs w:val="24"/>
          <w:lang w:eastAsia="lv-LV"/>
        </w:rPr>
        <w:t>Tādējādi mikrouzņēmumu darbinieku veiktās iemaksas nav pietiekamas, lai nodrošinātu uzkrājumu minimālās vecuma pensijas apmēram, un nodokļu maksātājiem, kuri maksā iem</w:t>
      </w:r>
      <w:r w:rsidR="00FB6FFD" w:rsidRPr="0015154B">
        <w:rPr>
          <w:rFonts w:ascii="Times New Roman" w:hAnsi="Times New Roman" w:cs="Times New Roman"/>
          <w:sz w:val="24"/>
          <w:szCs w:val="24"/>
          <w:lang w:eastAsia="lv-LV"/>
        </w:rPr>
        <w:t xml:space="preserve">aksas vispārējā kārtībā, būs faktiski jāuztur mikrouzņēmumu darbinieki, tiem sasniedzot pensijas vecumu. </w:t>
      </w:r>
      <w:r w:rsidR="00FB6FFD" w:rsidRPr="0015154B">
        <w:rPr>
          <w:rFonts w:ascii="Times New Roman" w:hAnsi="Times New Roman" w:cs="Times New Roman"/>
          <w:sz w:val="24"/>
          <w:szCs w:val="24"/>
          <w:shd w:val="clear" w:color="auto" w:fill="FFFFFF"/>
        </w:rPr>
        <w:t xml:space="preserve">2019.gadā mikrouzņēmumu darbinieku </w:t>
      </w:r>
      <w:r w:rsidR="00FB6FFD" w:rsidRPr="0015154B">
        <w:rPr>
          <w:rFonts w:ascii="Times New Roman" w:hAnsi="Times New Roman" w:cs="Times New Roman"/>
          <w:sz w:val="24"/>
          <w:szCs w:val="24"/>
          <w:lang w:eastAsia="lv-LV"/>
        </w:rPr>
        <w:t xml:space="preserve">skaits bija 82 287 personas un vidējais VSAOI objekts bija 216,67 </w:t>
      </w:r>
      <w:r w:rsidR="00824E31" w:rsidRPr="0015154B">
        <w:rPr>
          <w:rFonts w:ascii="Times New Roman" w:hAnsi="Times New Roman" w:cs="Times New Roman"/>
          <w:sz w:val="24"/>
          <w:szCs w:val="24"/>
          <w:lang w:eastAsia="lv-LV"/>
        </w:rPr>
        <w:t>eiro</w:t>
      </w:r>
      <w:r w:rsidR="00FB6FFD" w:rsidRPr="0015154B">
        <w:rPr>
          <w:rFonts w:ascii="Times New Roman" w:hAnsi="Times New Roman" w:cs="Times New Roman"/>
          <w:sz w:val="24"/>
          <w:szCs w:val="24"/>
          <w:lang w:eastAsia="lv-LV"/>
        </w:rPr>
        <w:t xml:space="preserve"> mēnesī.</w:t>
      </w:r>
      <w:r w:rsidR="007A5013" w:rsidRPr="0015154B">
        <w:rPr>
          <w:rFonts w:ascii="Times New Roman" w:hAnsi="Times New Roman" w:cs="Times New Roman"/>
          <w:sz w:val="24"/>
          <w:szCs w:val="24"/>
        </w:rPr>
        <w:t xml:space="preserve"> </w:t>
      </w:r>
    </w:p>
    <w:p w14:paraId="104F5DD5" w14:textId="63478545" w:rsidR="00F13923" w:rsidRPr="0015154B" w:rsidRDefault="00037782" w:rsidP="00357862">
      <w:pPr>
        <w:spacing w:before="120" w:after="0" w:line="240" w:lineRule="auto"/>
        <w:ind w:firstLine="720"/>
        <w:jc w:val="both"/>
      </w:pPr>
      <w:r w:rsidRPr="0015154B">
        <w:rPr>
          <w:rFonts w:ascii="Times New Roman" w:hAnsi="Times New Roman" w:cs="Times New Roman"/>
          <w:b/>
          <w:color w:val="002060"/>
          <w:sz w:val="24"/>
          <w:szCs w:val="24"/>
        </w:rPr>
        <w:t>Patentmaksas maksātāji</w:t>
      </w:r>
      <w:r w:rsidRPr="007157D3">
        <w:rPr>
          <w:rStyle w:val="FootnoteReference"/>
          <w:rFonts w:ascii="Times New Roman" w:hAnsi="Times New Roman" w:cs="Times New Roman"/>
          <w:b/>
          <w:sz w:val="24"/>
          <w:szCs w:val="24"/>
        </w:rPr>
        <w:footnoteReference w:id="47"/>
      </w:r>
      <w:r w:rsidRPr="007157D3">
        <w:rPr>
          <w:rFonts w:ascii="Times New Roman" w:hAnsi="Times New Roman" w:cs="Times New Roman"/>
          <w:b/>
          <w:sz w:val="24"/>
          <w:szCs w:val="24"/>
        </w:rPr>
        <w:t xml:space="preserve"> </w:t>
      </w:r>
      <w:r w:rsidRPr="007157D3">
        <w:rPr>
          <w:rFonts w:ascii="Times New Roman" w:hAnsi="Times New Roman" w:cs="Times New Roman"/>
          <w:sz w:val="24"/>
          <w:szCs w:val="24"/>
        </w:rPr>
        <w:t>ir pakļauti tikai pensiju un invaliditātes apdrošināšanai.</w:t>
      </w:r>
      <w:r w:rsidRPr="007157D3">
        <w:rPr>
          <w:rFonts w:ascii="Times New Roman" w:hAnsi="Times New Roman" w:cs="Times New Roman"/>
          <w:b/>
          <w:sz w:val="24"/>
          <w:szCs w:val="24"/>
        </w:rPr>
        <w:t xml:space="preserve"> </w:t>
      </w:r>
      <w:r w:rsidRPr="007157D3">
        <w:rPr>
          <w:rFonts w:ascii="Times New Roman" w:hAnsi="Times New Roman" w:cs="Times New Roman"/>
          <w:sz w:val="24"/>
          <w:szCs w:val="24"/>
        </w:rPr>
        <w:t xml:space="preserve">Patentmaksa ir valsts noteikts vienots fiksēts maksājums, kas ietver iedzīvotāju ienākuma nodokli un valsts sociālās apdrošināšanas obligātās iemaksas par fiziskās personas saimniecisko darbību. Patentmaksas apmēri ir no 50 līdz 100 </w:t>
      </w:r>
      <w:r w:rsidR="00824E31" w:rsidRPr="007157D3">
        <w:rPr>
          <w:rFonts w:ascii="Times New Roman" w:hAnsi="Times New Roman" w:cs="Times New Roman"/>
          <w:sz w:val="24"/>
          <w:szCs w:val="24"/>
        </w:rPr>
        <w:t>eiro</w:t>
      </w:r>
      <w:r w:rsidRPr="007157D3">
        <w:rPr>
          <w:rFonts w:ascii="Times New Roman" w:hAnsi="Times New Roman" w:cs="Times New Roman"/>
          <w:sz w:val="24"/>
          <w:szCs w:val="24"/>
        </w:rPr>
        <w:t xml:space="preserve"> mēnesī, no kuras maksājuma 67 % </w:t>
      </w:r>
      <w:r w:rsidRPr="00425C73">
        <w:rPr>
          <w:rFonts w:ascii="Times New Roman" w:hAnsi="Times New Roman" w:cs="Times New Roman"/>
          <w:sz w:val="24"/>
          <w:szCs w:val="24"/>
        </w:rPr>
        <w:t>tiek ies</w:t>
      </w:r>
      <w:r w:rsidRPr="002F5278">
        <w:rPr>
          <w:rFonts w:ascii="Times New Roman" w:hAnsi="Times New Roman" w:cs="Times New Roman"/>
          <w:sz w:val="24"/>
          <w:szCs w:val="24"/>
        </w:rPr>
        <w:t>kaitīti valsts sociālās apdrošināšanas speciālajā budžetā.</w:t>
      </w:r>
      <w:r w:rsidR="00334CEA" w:rsidRPr="0025422D">
        <w:rPr>
          <w:rFonts w:ascii="Times New Roman" w:hAnsi="Times New Roman" w:cs="Times New Roman"/>
          <w:sz w:val="24"/>
          <w:szCs w:val="24"/>
        </w:rPr>
        <w:t xml:space="preserve"> </w:t>
      </w:r>
      <w:r w:rsidRPr="00A857F2">
        <w:rPr>
          <w:rFonts w:ascii="Times New Roman" w:hAnsi="Times New Roman" w:cs="Times New Roman"/>
          <w:sz w:val="24"/>
          <w:szCs w:val="24"/>
        </w:rPr>
        <w:t xml:space="preserve">Tā kā patentmaksas maksātājiem reģistrētie iemaksu objekti ir mazi (robežās no 41,70 </w:t>
      </w:r>
      <w:r w:rsidR="00824E31" w:rsidRPr="009703E6">
        <w:rPr>
          <w:rFonts w:ascii="Times New Roman" w:hAnsi="Times New Roman" w:cs="Times New Roman"/>
          <w:sz w:val="24"/>
          <w:szCs w:val="24"/>
        </w:rPr>
        <w:t>eiro</w:t>
      </w:r>
      <w:r w:rsidRPr="009703E6">
        <w:rPr>
          <w:rFonts w:ascii="Times New Roman" w:hAnsi="Times New Roman" w:cs="Times New Roman"/>
          <w:sz w:val="24"/>
          <w:szCs w:val="24"/>
        </w:rPr>
        <w:t xml:space="preserve"> līdz 274,70 </w:t>
      </w:r>
      <w:r w:rsidR="00824E31" w:rsidRPr="0015154B">
        <w:rPr>
          <w:rFonts w:ascii="Times New Roman" w:hAnsi="Times New Roman" w:cs="Times New Roman"/>
          <w:sz w:val="24"/>
          <w:szCs w:val="24"/>
        </w:rPr>
        <w:t>eiro</w:t>
      </w:r>
      <w:r w:rsidRPr="0015154B">
        <w:rPr>
          <w:rFonts w:ascii="Times New Roman" w:hAnsi="Times New Roman" w:cs="Times New Roman"/>
          <w:sz w:val="24"/>
          <w:szCs w:val="24"/>
        </w:rPr>
        <w:t xml:space="preserve"> mēnesī atkarībā no patentmaksas lieluma), patentmaksas maksātājs uzkrāj savu apdrošināšanas periodu, taču iemaksu objektu ietekme uz vecuma vai invaliditātes pensijas apmēru ir neliela. 2019.gadā patentmaksātāju skaits bija 4515 personas un vidējais VSAOI objekts bija 165,00 </w:t>
      </w:r>
      <w:r w:rsidR="00824E31" w:rsidRPr="0015154B">
        <w:rPr>
          <w:rFonts w:ascii="Times New Roman" w:hAnsi="Times New Roman" w:cs="Times New Roman"/>
          <w:sz w:val="24"/>
          <w:szCs w:val="24"/>
        </w:rPr>
        <w:t>eiro</w:t>
      </w:r>
      <w:r w:rsidRPr="0015154B">
        <w:rPr>
          <w:rFonts w:ascii="Times New Roman" w:hAnsi="Times New Roman" w:cs="Times New Roman"/>
          <w:sz w:val="24"/>
          <w:szCs w:val="24"/>
        </w:rPr>
        <w:t xml:space="preserve"> mēnesī</w:t>
      </w:r>
      <w:r w:rsidRPr="0015154B">
        <w:t>.</w:t>
      </w:r>
    </w:p>
    <w:p w14:paraId="48713AFE" w14:textId="2407DE26" w:rsidR="008420AA" w:rsidRPr="0015154B" w:rsidRDefault="008420AA" w:rsidP="00357862">
      <w:pPr>
        <w:spacing w:before="120" w:after="0" w:line="240" w:lineRule="auto"/>
        <w:ind w:firstLine="720"/>
        <w:jc w:val="both"/>
        <w:rPr>
          <w:rFonts w:ascii="Times New Roman" w:hAnsi="Times New Roman" w:cs="Times New Roman"/>
          <w:sz w:val="24"/>
          <w:szCs w:val="24"/>
          <w:shd w:val="clear" w:color="auto" w:fill="FFFFFF"/>
        </w:rPr>
      </w:pPr>
      <w:r w:rsidRPr="0015154B">
        <w:rPr>
          <w:rFonts w:ascii="Times New Roman" w:eastAsia="MS PGothic" w:hAnsi="Times New Roman" w:cs="Times New Roman"/>
          <w:b/>
          <w:color w:val="002060"/>
          <w:kern w:val="24"/>
          <w:sz w:val="24"/>
          <w:szCs w:val="24"/>
        </w:rPr>
        <w:t xml:space="preserve">Pašnodarbināto </w:t>
      </w:r>
      <w:r w:rsidRPr="0015154B">
        <w:rPr>
          <w:rFonts w:ascii="Times New Roman" w:eastAsia="MS PGothic" w:hAnsi="Times New Roman" w:cs="Times New Roman"/>
          <w:kern w:val="24"/>
          <w:sz w:val="24"/>
          <w:szCs w:val="24"/>
        </w:rPr>
        <w:t xml:space="preserve">apdrošināšana pret sociālajiem riskiem ir atkarīga no to gūtajiem ienākumiem. </w:t>
      </w:r>
      <w:r w:rsidR="00974813" w:rsidRPr="0015154B">
        <w:rPr>
          <w:rFonts w:ascii="Times New Roman" w:eastAsia="MS PGothic" w:hAnsi="Times New Roman" w:cs="Times New Roman"/>
          <w:kern w:val="24"/>
          <w:sz w:val="24"/>
          <w:szCs w:val="24"/>
        </w:rPr>
        <w:t>Līdz 2018.gadam pašnodarbināta persona veica VSAOI tad, ja viņa ienākumi sasniedza valstī noteikto minimālo darba algu mēnesī. No 2018.gada, j</w:t>
      </w:r>
      <w:r w:rsidRPr="0015154B">
        <w:rPr>
          <w:rFonts w:ascii="Times New Roman" w:eastAsia="MS PGothic" w:hAnsi="Times New Roman" w:cs="Times New Roman"/>
          <w:kern w:val="24"/>
          <w:sz w:val="24"/>
          <w:szCs w:val="24"/>
        </w:rPr>
        <w:t>a pašnodarbinātā ienā</w:t>
      </w:r>
      <w:r w:rsidRPr="0015154B">
        <w:rPr>
          <w:rFonts w:ascii="Times New Roman" w:hAnsi="Times New Roman" w:cs="Times New Roman"/>
          <w:sz w:val="24"/>
          <w:szCs w:val="24"/>
          <w:shd w:val="clear" w:color="auto" w:fill="FFFFFF"/>
        </w:rPr>
        <w:t xml:space="preserve">kums visa kalendāra gada laikā nesasniedz 50 </w:t>
      </w:r>
      <w:r w:rsidR="00824E31" w:rsidRPr="0015154B">
        <w:rPr>
          <w:rFonts w:ascii="Times New Roman" w:hAnsi="Times New Roman" w:cs="Times New Roman"/>
          <w:sz w:val="24"/>
          <w:szCs w:val="24"/>
          <w:shd w:val="clear" w:color="auto" w:fill="FFFFFF"/>
        </w:rPr>
        <w:t>eiro</w:t>
      </w:r>
      <w:r w:rsidRPr="0015154B">
        <w:rPr>
          <w:rFonts w:ascii="Times New Roman" w:hAnsi="Times New Roman" w:cs="Times New Roman"/>
          <w:sz w:val="24"/>
          <w:szCs w:val="24"/>
          <w:shd w:val="clear" w:color="auto" w:fill="FFFFFF"/>
        </w:rPr>
        <w:t xml:space="preserve">, tad VSAOI var neveikt. </w:t>
      </w:r>
      <w:r w:rsidRPr="0015154B">
        <w:rPr>
          <w:rFonts w:ascii="Times New Roman" w:eastAsia="MS PGothic" w:hAnsi="Times New Roman" w:cs="Times New Roman"/>
          <w:kern w:val="24"/>
          <w:sz w:val="24"/>
          <w:szCs w:val="24"/>
        </w:rPr>
        <w:t xml:space="preserve">Ja </w:t>
      </w:r>
      <w:r w:rsidRPr="0015154B">
        <w:rPr>
          <w:rFonts w:ascii="Times New Roman" w:hAnsi="Times New Roman" w:cs="Times New Roman"/>
          <w:sz w:val="24"/>
          <w:szCs w:val="24"/>
          <w:shd w:val="clear" w:color="auto" w:fill="FFFFFF"/>
        </w:rPr>
        <w:t>ienākums mēnesī nesasniedz minimālās algas apmēru, no ienākumiem jāveic VSAOI 5% pensiju apdrošināšanai. Savukārt pašnodarbinātajiem, kuru ienākums mēnesī sasniedz un pārsniedz minimālās algas apmēru, no brīvi izraudzīta objekta, kas nav mazāks par minimālās algas apmēru, jāveic VSAOI un persona ir pakļauta pensiju apdrošināšanai, invaliditātes apdrošināšanai, vecāku apdrošināšanai, maternitātes un slimības apdrošināšanai un veselības apdrošināšanai</w:t>
      </w:r>
      <w:r w:rsidR="004C73FC" w:rsidRPr="0015154B">
        <w:rPr>
          <w:rFonts w:ascii="Times New Roman" w:hAnsi="Times New Roman" w:cs="Times New Roman"/>
          <w:sz w:val="24"/>
          <w:szCs w:val="24"/>
          <w:shd w:val="clear" w:color="auto" w:fill="FFFFFF"/>
        </w:rPr>
        <w:t>, bet nav pakļauta bezdarba un nelaimes gadījumu darbā apdrošināšanai</w:t>
      </w:r>
      <w:r w:rsidRPr="0015154B">
        <w:rPr>
          <w:rFonts w:ascii="Times New Roman" w:hAnsi="Times New Roman" w:cs="Times New Roman"/>
          <w:sz w:val="24"/>
          <w:szCs w:val="24"/>
          <w:shd w:val="clear" w:color="auto" w:fill="FFFFFF"/>
        </w:rPr>
        <w:t>.</w:t>
      </w:r>
    </w:p>
    <w:p w14:paraId="7E548825" w14:textId="4005DF44" w:rsidR="00974813" w:rsidRPr="0015154B" w:rsidRDefault="008420AA" w:rsidP="00357862">
      <w:pPr>
        <w:spacing w:before="120" w:after="0" w:line="240" w:lineRule="auto"/>
        <w:ind w:firstLine="720"/>
        <w:jc w:val="both"/>
        <w:rPr>
          <w:rFonts w:eastAsia="Times New Roman"/>
        </w:rPr>
      </w:pPr>
      <w:r w:rsidRPr="0015154B">
        <w:rPr>
          <w:rFonts w:ascii="Times New Roman" w:eastAsia="MS PGothic" w:hAnsi="Times New Roman" w:cs="Times New Roman"/>
          <w:kern w:val="24"/>
          <w:sz w:val="24"/>
          <w:szCs w:val="24"/>
        </w:rPr>
        <w:t>No 2018.gada 1.janvāra, kopš ieviesa 5% VSAOI likmi pensiju apdrošināšanai pašnodarbinātajam un noteica jaunu objektu, kuram piemēro šo 5% likmi</w:t>
      </w:r>
      <w:r w:rsidR="00974813" w:rsidRPr="0015154B">
        <w:rPr>
          <w:rFonts w:ascii="Times New Roman" w:eastAsia="MS PGothic" w:hAnsi="Times New Roman" w:cs="Times New Roman"/>
          <w:kern w:val="24"/>
          <w:sz w:val="24"/>
          <w:szCs w:val="24"/>
        </w:rPr>
        <w:t xml:space="preserve">, </w:t>
      </w:r>
      <w:r w:rsidRPr="0015154B">
        <w:rPr>
          <w:rFonts w:ascii="Times New Roman" w:eastAsia="MS PGothic" w:hAnsi="Times New Roman" w:cs="Times New Roman"/>
          <w:kern w:val="24"/>
          <w:sz w:val="24"/>
          <w:szCs w:val="24"/>
        </w:rPr>
        <w:t xml:space="preserve"> </w:t>
      </w:r>
      <w:r w:rsidR="00974813" w:rsidRPr="0015154B">
        <w:rPr>
          <w:rFonts w:ascii="Times New Roman" w:eastAsia="MS PGothic" w:hAnsi="Times New Roman" w:cs="Times New Roman"/>
          <w:kern w:val="24"/>
          <w:sz w:val="24"/>
          <w:szCs w:val="24"/>
        </w:rPr>
        <w:t xml:space="preserve">pašnodarbināto, kuri </w:t>
      </w:r>
      <w:r w:rsidR="00974813" w:rsidRPr="0015154B">
        <w:rPr>
          <w:rFonts w:ascii="Times New Roman" w:eastAsia="MS PGothic" w:hAnsi="Times New Roman" w:cs="Times New Roman"/>
          <w:kern w:val="24"/>
          <w:sz w:val="24"/>
          <w:szCs w:val="24"/>
        </w:rPr>
        <w:lastRenderedPageBreak/>
        <w:t>iesnieguši pašnodarbinātā ziņojumu, skaits ir būtiski palielinājies</w:t>
      </w:r>
      <w:r w:rsidRPr="0015154B">
        <w:rPr>
          <w:rFonts w:ascii="Times New Roman" w:eastAsia="MS PGothic" w:hAnsi="Times New Roman" w:cs="Times New Roman"/>
          <w:kern w:val="24"/>
          <w:sz w:val="24"/>
          <w:szCs w:val="24"/>
        </w:rPr>
        <w:t>. 2019</w:t>
      </w:r>
      <w:r w:rsidRPr="0015154B">
        <w:rPr>
          <w:rFonts w:ascii="Times New Roman" w:hAnsi="Times New Roman" w:cs="Times New Roman"/>
          <w:sz w:val="24"/>
          <w:szCs w:val="24"/>
          <w:shd w:val="clear" w:color="auto" w:fill="FFFFFF"/>
        </w:rPr>
        <w:t>.gadā pašnodarbināto</w:t>
      </w:r>
      <w:r w:rsidRPr="0015154B">
        <w:rPr>
          <w:rFonts w:ascii="Times New Roman" w:hAnsi="Times New Roman" w:cs="Times New Roman"/>
          <w:sz w:val="24"/>
          <w:szCs w:val="24"/>
          <w:lang w:eastAsia="lv-LV"/>
        </w:rPr>
        <w:t xml:space="preserve"> skaits bija 70 543 personas un vidējais VSAOI objekts bija 247,68 </w:t>
      </w:r>
      <w:r w:rsidR="00824E31" w:rsidRPr="0015154B">
        <w:rPr>
          <w:rFonts w:ascii="Times New Roman" w:hAnsi="Times New Roman" w:cs="Times New Roman"/>
          <w:sz w:val="24"/>
          <w:szCs w:val="24"/>
          <w:lang w:eastAsia="lv-LV"/>
        </w:rPr>
        <w:t>eiro</w:t>
      </w:r>
      <w:r w:rsidRPr="0015154B">
        <w:rPr>
          <w:rFonts w:ascii="Times New Roman" w:hAnsi="Times New Roman" w:cs="Times New Roman"/>
          <w:sz w:val="24"/>
          <w:szCs w:val="24"/>
          <w:lang w:eastAsia="lv-LV"/>
        </w:rPr>
        <w:t xml:space="preserve"> mēnesī</w:t>
      </w:r>
      <w:r w:rsidR="00974813" w:rsidRPr="0015154B">
        <w:rPr>
          <w:rFonts w:ascii="Times New Roman" w:hAnsi="Times New Roman" w:cs="Times New Roman"/>
          <w:sz w:val="24"/>
          <w:szCs w:val="24"/>
          <w:lang w:eastAsia="lv-LV"/>
        </w:rPr>
        <w:t>.</w:t>
      </w:r>
    </w:p>
    <w:p w14:paraId="292C227C" w14:textId="5DA4A6AB" w:rsidR="008420AA" w:rsidRPr="0015154B" w:rsidRDefault="008D4F9F" w:rsidP="00357862">
      <w:pPr>
        <w:autoSpaceDE w:val="0"/>
        <w:autoSpaceDN w:val="0"/>
        <w:adjustRightInd w:val="0"/>
        <w:spacing w:before="120" w:after="0" w:line="240" w:lineRule="auto"/>
        <w:ind w:firstLine="720"/>
        <w:jc w:val="both"/>
        <w:rPr>
          <w:rFonts w:ascii="Times New Roman" w:eastAsia="MS PGothic" w:hAnsi="Times New Roman" w:cs="Times New Roman"/>
          <w:b/>
          <w:kern w:val="24"/>
          <w:sz w:val="24"/>
          <w:szCs w:val="24"/>
        </w:rPr>
      </w:pPr>
      <w:r w:rsidRPr="0015154B">
        <w:rPr>
          <w:rFonts w:ascii="Times New Roman" w:eastAsia="MS PGothic" w:hAnsi="Times New Roman" w:cs="Times New Roman"/>
          <w:b/>
          <w:color w:val="002060"/>
          <w:kern w:val="24"/>
          <w:sz w:val="24"/>
          <w:szCs w:val="24"/>
        </w:rPr>
        <w:t>A</w:t>
      </w:r>
      <w:r w:rsidR="008420AA" w:rsidRPr="0015154B">
        <w:rPr>
          <w:rFonts w:ascii="Times New Roman" w:eastAsia="MS PGothic" w:hAnsi="Times New Roman" w:cs="Times New Roman"/>
          <w:b/>
          <w:color w:val="002060"/>
          <w:kern w:val="24"/>
          <w:sz w:val="24"/>
          <w:szCs w:val="24"/>
        </w:rPr>
        <w:t>utoratlīdzību saņēmēji</w:t>
      </w:r>
      <w:r w:rsidR="00E967EB" w:rsidRPr="0015154B">
        <w:rPr>
          <w:rFonts w:ascii="Times New Roman" w:eastAsia="MS PGothic" w:hAnsi="Times New Roman" w:cs="Times New Roman"/>
          <w:b/>
          <w:color w:val="002060"/>
          <w:kern w:val="24"/>
          <w:sz w:val="24"/>
          <w:szCs w:val="24"/>
        </w:rPr>
        <w:t xml:space="preserve">em </w:t>
      </w:r>
      <w:r w:rsidR="00E967EB" w:rsidRPr="0015154B">
        <w:rPr>
          <w:rFonts w:ascii="Times New Roman" w:eastAsia="MS PGothic" w:hAnsi="Times New Roman" w:cs="Times New Roman"/>
          <w:kern w:val="24"/>
          <w:sz w:val="24"/>
          <w:szCs w:val="24"/>
        </w:rPr>
        <w:t xml:space="preserve">apdrošināšana pret sociālajiem riskiem ir atkarīga no to gūtajiem ienākumiem, taču </w:t>
      </w:r>
      <w:r w:rsidR="0098484F" w:rsidRPr="0015154B">
        <w:rPr>
          <w:rFonts w:ascii="Times New Roman" w:eastAsia="MS PGothic" w:hAnsi="Times New Roman" w:cs="Times New Roman"/>
          <w:kern w:val="24"/>
          <w:sz w:val="24"/>
          <w:szCs w:val="24"/>
        </w:rPr>
        <w:t xml:space="preserve">papildu </w:t>
      </w:r>
      <w:r w:rsidR="00E967EB" w:rsidRPr="0015154B">
        <w:rPr>
          <w:rFonts w:ascii="Times New Roman" w:eastAsia="MS PGothic" w:hAnsi="Times New Roman" w:cs="Times New Roman"/>
          <w:kern w:val="24"/>
          <w:sz w:val="24"/>
          <w:szCs w:val="24"/>
        </w:rPr>
        <w:t>izņēmumus nosaka piederība noteiktai mērķa grupai</w:t>
      </w:r>
      <w:r w:rsidRPr="0015154B">
        <w:rPr>
          <w:rFonts w:ascii="Times New Roman" w:eastAsia="MS PGothic" w:hAnsi="Times New Roman" w:cs="Times New Roman"/>
          <w:kern w:val="24"/>
          <w:sz w:val="24"/>
          <w:szCs w:val="24"/>
        </w:rPr>
        <w:t xml:space="preserve"> </w:t>
      </w:r>
      <w:r w:rsidR="00DB6104" w:rsidRPr="0015154B">
        <w:rPr>
          <w:rFonts w:ascii="Times New Roman" w:eastAsia="MS PGothic" w:hAnsi="Times New Roman" w:cs="Times New Roman"/>
          <w:kern w:val="24"/>
          <w:sz w:val="24"/>
          <w:szCs w:val="24"/>
        </w:rPr>
        <w:t>vai personas pakļautība citiem nodokļu maksāšanas režī</w:t>
      </w:r>
      <w:r w:rsidR="0098484F" w:rsidRPr="0015154B">
        <w:rPr>
          <w:rFonts w:ascii="Times New Roman" w:eastAsia="MS PGothic" w:hAnsi="Times New Roman" w:cs="Times New Roman"/>
          <w:kern w:val="24"/>
          <w:sz w:val="24"/>
          <w:szCs w:val="24"/>
        </w:rPr>
        <w:t>miem</w:t>
      </w:r>
      <w:r w:rsidR="00E967EB" w:rsidRPr="0015154B">
        <w:rPr>
          <w:rFonts w:ascii="Times New Roman" w:eastAsia="MS PGothic" w:hAnsi="Times New Roman" w:cs="Times New Roman"/>
          <w:kern w:val="24"/>
          <w:sz w:val="24"/>
          <w:szCs w:val="24"/>
        </w:rPr>
        <w:t>.</w:t>
      </w:r>
      <w:r w:rsidR="0098484F" w:rsidRPr="0015154B">
        <w:rPr>
          <w:rFonts w:ascii="Times New Roman" w:eastAsia="MS PGothic" w:hAnsi="Times New Roman" w:cs="Times New Roman"/>
          <w:kern w:val="24"/>
          <w:sz w:val="24"/>
          <w:szCs w:val="24"/>
        </w:rPr>
        <w:t xml:space="preserve"> </w:t>
      </w:r>
      <w:r w:rsidR="00D56854" w:rsidRPr="0015154B">
        <w:rPr>
          <w:rFonts w:ascii="Times New Roman" w:eastAsia="MS PGothic" w:hAnsi="Times New Roman" w:cs="Times New Roman"/>
          <w:kern w:val="24"/>
          <w:sz w:val="24"/>
          <w:szCs w:val="24"/>
        </w:rPr>
        <w:t>No 2018.gada 1.janvāra autoratlīdzības izmaksātājam no saviem līdzekļiem no autoratlīdzības par autoratlīdzības saņēmēju veic 5% VSAOI pensiju apdrošināšanai (5% VSAOI var neveikt par autoratlīdzības saņēmēju, kuram ir piešķirta I vai II grupas invaliditāte, vecuma pensionāru, par autoratlīdzības saņēmēju, kuru pastāvīgā dzīvesvieta nav Latvijas Republikā un autortiesību mantiniekiem un citu autortiesību pārņēmējiem).  Ja autoratlīdzības saņēmējs paralēli ir darba ņēmējs un alga viņam pie viena vai vairākiem darba devējiem kopā sasniedz vai pārsniedz minimālās algas apmēru, tad no autoratlīdzības kā pašnodarbinātajam VSAOI nav jāveic (neatkarīgi no saņemtā autoratlīdzības apmēra). Jāatzīmē, ka iepriekš minētais nosacījums par darba algu attiecas tikai uz algu, no kuras ir veiktas VSAOI, t.i., tas neattiecas uz algu, ko persona saņem mikrouzņēmumā vai uz ienākumu, ko persona gūst sezonas lauksaimniecības darbā. Ja autoratlīdzības saņēmējs paralēli ir darba ņēmējs, bet alga viņam pie viena vai vairākiem darba devējiem kopā nesasniedz minimālās algas apmēru, tad no autoratlīdzības, kas mēnesī sasniedz vai pārsniedz minimālās algas apmēru, ir jāveic VSAOI kā pašnodarbinātajam</w:t>
      </w:r>
      <w:r w:rsidR="00974813" w:rsidRPr="0015154B">
        <w:rPr>
          <w:rFonts w:ascii="Times New Roman" w:eastAsia="MS PGothic" w:hAnsi="Times New Roman" w:cs="Times New Roman"/>
          <w:kern w:val="24"/>
          <w:sz w:val="24"/>
          <w:szCs w:val="24"/>
        </w:rPr>
        <w:t xml:space="preserve">. </w:t>
      </w:r>
      <w:r w:rsidR="008420AA" w:rsidRPr="0015154B">
        <w:rPr>
          <w:rFonts w:ascii="Times New Roman" w:hAnsi="Times New Roman" w:cs="Times New Roman"/>
          <w:sz w:val="24"/>
          <w:szCs w:val="24"/>
          <w:shd w:val="clear" w:color="auto" w:fill="FFFFFF"/>
        </w:rPr>
        <w:t xml:space="preserve">2019.gadā autoratlīdzību saņēmēju </w:t>
      </w:r>
      <w:r w:rsidR="008420AA" w:rsidRPr="0015154B">
        <w:rPr>
          <w:rFonts w:ascii="Times New Roman" w:hAnsi="Times New Roman" w:cs="Times New Roman"/>
          <w:sz w:val="24"/>
          <w:szCs w:val="24"/>
          <w:lang w:eastAsia="lv-LV"/>
        </w:rPr>
        <w:t xml:space="preserve">skaits bija 32 364 personas un vidējais VSAOI objekts bija 138,79 </w:t>
      </w:r>
      <w:r w:rsidR="00824E31" w:rsidRPr="0015154B">
        <w:rPr>
          <w:rFonts w:ascii="Times New Roman" w:hAnsi="Times New Roman" w:cs="Times New Roman"/>
          <w:sz w:val="24"/>
          <w:szCs w:val="24"/>
          <w:lang w:eastAsia="lv-LV"/>
        </w:rPr>
        <w:t>eiro</w:t>
      </w:r>
      <w:r w:rsidR="008420AA" w:rsidRPr="0015154B">
        <w:rPr>
          <w:rFonts w:ascii="Times New Roman" w:hAnsi="Times New Roman" w:cs="Times New Roman"/>
          <w:sz w:val="24"/>
          <w:szCs w:val="24"/>
          <w:lang w:eastAsia="lv-LV"/>
        </w:rPr>
        <w:t xml:space="preserve"> mēnesī.</w:t>
      </w:r>
    </w:p>
    <w:p w14:paraId="3D653993" w14:textId="77B19358" w:rsidR="0098484F" w:rsidRPr="007157D3" w:rsidRDefault="00261DCF" w:rsidP="004230EF">
      <w:pPr>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15154B">
        <w:rPr>
          <w:rFonts w:ascii="Times New Roman" w:eastAsia="Verdana" w:hAnsi="Times New Roman" w:cs="Times New Roman"/>
          <w:kern w:val="24"/>
          <w:sz w:val="24"/>
          <w:szCs w:val="24"/>
          <w:lang w:eastAsia="lv-LV"/>
        </w:rPr>
        <w:t xml:space="preserve">Pašnodarbināto, patentmaksātāju un autoratlīdzību saņēmēju </w:t>
      </w:r>
      <w:r w:rsidRPr="0015154B">
        <w:rPr>
          <w:rFonts w:ascii="Times New Roman" w:eastAsia="Verdana" w:hAnsi="Times New Roman" w:cs="Times New Roman"/>
          <w:b/>
          <w:kern w:val="24"/>
          <w:sz w:val="24"/>
          <w:szCs w:val="24"/>
          <w:lang w:eastAsia="lv-LV"/>
        </w:rPr>
        <w:t>VSAOI veikšanas nosacījumi un zemais iemaksu objekts</w:t>
      </w:r>
      <w:r w:rsidRPr="004A6572">
        <w:rPr>
          <w:rFonts w:ascii="Times New Roman" w:eastAsia="Verdana" w:hAnsi="Times New Roman" w:cs="Times New Roman"/>
          <w:kern w:val="24"/>
          <w:sz w:val="24"/>
          <w:szCs w:val="24"/>
          <w:lang w:eastAsia="lv-LV"/>
        </w:rPr>
        <w:t xml:space="preserve"> ir faktori, kas tieši ietekmē šo personu </w:t>
      </w:r>
      <w:r w:rsidR="0098484F" w:rsidRPr="004A6572">
        <w:rPr>
          <w:rFonts w:ascii="Times New Roman" w:eastAsia="Verdana" w:hAnsi="Times New Roman" w:cs="Times New Roman"/>
          <w:kern w:val="24"/>
          <w:sz w:val="24"/>
          <w:szCs w:val="24"/>
          <w:lang w:eastAsia="lv-LV"/>
        </w:rPr>
        <w:t>s</w:t>
      </w:r>
      <w:r w:rsidR="0098484F" w:rsidRPr="007157D3">
        <w:rPr>
          <w:rFonts w:ascii="Times New Roman" w:eastAsia="Verdana" w:hAnsi="Times New Roman" w:cs="Times New Roman"/>
          <w:kern w:val="24"/>
          <w:sz w:val="24"/>
          <w:szCs w:val="24"/>
          <w:lang w:eastAsia="lv-LV"/>
        </w:rPr>
        <w:t>ociāl</w:t>
      </w:r>
      <w:r w:rsidRPr="007157D3">
        <w:rPr>
          <w:rFonts w:ascii="Times New Roman" w:eastAsia="Verdana" w:hAnsi="Times New Roman" w:cs="Times New Roman"/>
          <w:kern w:val="24"/>
          <w:sz w:val="24"/>
          <w:szCs w:val="24"/>
          <w:lang w:eastAsia="lv-LV"/>
        </w:rPr>
        <w:t>o</w:t>
      </w:r>
      <w:r w:rsidR="0098484F" w:rsidRPr="007157D3">
        <w:rPr>
          <w:rFonts w:ascii="Times New Roman" w:eastAsia="Verdana" w:hAnsi="Times New Roman" w:cs="Times New Roman"/>
          <w:kern w:val="24"/>
          <w:sz w:val="24"/>
          <w:szCs w:val="24"/>
          <w:lang w:eastAsia="lv-LV"/>
        </w:rPr>
        <w:t xml:space="preserve"> nodrošinājum</w:t>
      </w:r>
      <w:r w:rsidRPr="007157D3">
        <w:rPr>
          <w:rFonts w:ascii="Times New Roman" w:eastAsia="Verdana" w:hAnsi="Times New Roman" w:cs="Times New Roman"/>
          <w:kern w:val="24"/>
          <w:sz w:val="24"/>
          <w:szCs w:val="24"/>
          <w:lang w:eastAsia="lv-LV"/>
        </w:rPr>
        <w:t>u</w:t>
      </w:r>
      <w:r w:rsidR="0098484F" w:rsidRPr="007157D3">
        <w:rPr>
          <w:rFonts w:ascii="Times New Roman" w:eastAsia="Verdana" w:hAnsi="Times New Roman" w:cs="Times New Roman"/>
          <w:kern w:val="24"/>
          <w:sz w:val="24"/>
          <w:szCs w:val="24"/>
          <w:lang w:eastAsia="lv-LV"/>
        </w:rPr>
        <w:t xml:space="preserve">. </w:t>
      </w:r>
      <w:r w:rsidRPr="007157D3">
        <w:rPr>
          <w:rFonts w:ascii="Times New Roman" w:eastAsia="Verdana" w:hAnsi="Times New Roman" w:cs="Times New Roman"/>
          <w:kern w:val="24"/>
          <w:sz w:val="24"/>
          <w:szCs w:val="24"/>
          <w:lang w:eastAsia="lv-LV"/>
        </w:rPr>
        <w:t>Līdztekus jānorāda, ka aptuveni</w:t>
      </w:r>
      <w:r w:rsidR="0098484F" w:rsidRPr="007157D3">
        <w:rPr>
          <w:rFonts w:ascii="Times New Roman" w:eastAsia="MS PGothic" w:hAnsi="Times New Roman" w:cs="Times New Roman"/>
          <w:kern w:val="24"/>
          <w:sz w:val="24"/>
          <w:szCs w:val="24"/>
          <w:lang w:eastAsia="lv-LV"/>
        </w:rPr>
        <w:t xml:space="preserve"> 60% no šīm personām paralēli </w:t>
      </w:r>
      <w:r w:rsidRPr="007157D3">
        <w:rPr>
          <w:rFonts w:ascii="Times New Roman" w:eastAsia="MS PGothic" w:hAnsi="Times New Roman" w:cs="Times New Roman"/>
          <w:kern w:val="24"/>
          <w:sz w:val="24"/>
          <w:szCs w:val="24"/>
          <w:lang w:eastAsia="lv-LV"/>
        </w:rPr>
        <w:t xml:space="preserve">ir pakļauti arī citiem nodokļu maksāšanas režīmiem </w:t>
      </w:r>
      <w:r w:rsidR="0098484F" w:rsidRPr="004A6572">
        <w:rPr>
          <w:rFonts w:ascii="Times New Roman" w:eastAsia="MS PGothic" w:hAnsi="Times New Roman" w:cs="Times New Roman"/>
          <w:kern w:val="24"/>
          <w:sz w:val="24"/>
          <w:szCs w:val="24"/>
          <w:lang w:eastAsia="lv-LV"/>
        </w:rPr>
        <w:t xml:space="preserve">kā darba </w:t>
      </w:r>
      <w:r w:rsidR="0098484F" w:rsidRPr="007157D3">
        <w:rPr>
          <w:rFonts w:ascii="Times New Roman" w:eastAsia="MS PGothic" w:hAnsi="Times New Roman" w:cs="Times New Roman"/>
          <w:kern w:val="24"/>
          <w:sz w:val="24"/>
          <w:szCs w:val="24"/>
          <w:lang w:eastAsia="lv-LV"/>
        </w:rPr>
        <w:t>ņ</w:t>
      </w:r>
      <w:r w:rsidR="0098484F" w:rsidRPr="004A6572">
        <w:rPr>
          <w:rFonts w:ascii="Times New Roman" w:eastAsia="MS PGothic" w:hAnsi="Times New Roman" w:cs="Times New Roman"/>
          <w:kern w:val="24"/>
          <w:sz w:val="24"/>
          <w:szCs w:val="24"/>
          <w:lang w:eastAsia="lv-LV"/>
        </w:rPr>
        <w:t>ēmēji vai pašnodarbinātie</w:t>
      </w:r>
      <w:r w:rsidR="0098484F" w:rsidRPr="007157D3">
        <w:rPr>
          <w:rFonts w:ascii="Times New Roman" w:eastAsia="MS PGothic" w:hAnsi="Times New Roman" w:cs="Times New Roman"/>
          <w:kern w:val="24"/>
          <w:sz w:val="24"/>
          <w:szCs w:val="24"/>
          <w:lang w:eastAsia="lv-LV"/>
        </w:rPr>
        <w:t xml:space="preserve">. Līdz ar to ienākums no darbības speciālajos nodokļu režīmos un ienākumu gūšana kā pašnodarbinātajam ir uzskatāma kā papildus ienākums pie pamatdarba. </w:t>
      </w:r>
    </w:p>
    <w:p w14:paraId="3BBA181E" w14:textId="7B843752" w:rsidR="004178E6" w:rsidRPr="002F5278" w:rsidRDefault="004178E6" w:rsidP="004230EF">
      <w:pPr>
        <w:spacing w:before="120" w:after="0" w:line="240" w:lineRule="auto"/>
        <w:ind w:firstLine="709"/>
        <w:jc w:val="both"/>
        <w:rPr>
          <w:rFonts w:ascii="Times New Roman" w:eastAsia="Calibri" w:hAnsi="Times New Roman" w:cs="Times New Roman"/>
          <w:sz w:val="24"/>
          <w:szCs w:val="24"/>
        </w:rPr>
      </w:pPr>
      <w:r w:rsidRPr="002F5278">
        <w:rPr>
          <w:rFonts w:ascii="Times New Roman" w:eastAsia="Calibri" w:hAnsi="Times New Roman" w:cs="Times New Roman"/>
          <w:sz w:val="24"/>
          <w:szCs w:val="24"/>
        </w:rPr>
        <w:t>Satversmes tiesa 2020. gada 10. jūlijā pieņēma spriedumu</w:t>
      </w:r>
      <w:r w:rsidRPr="007157D3">
        <w:rPr>
          <w:rStyle w:val="FootnoteReference"/>
          <w:rFonts w:ascii="Times New Roman" w:eastAsia="Calibri" w:hAnsi="Times New Roman" w:cs="Times New Roman"/>
          <w:sz w:val="24"/>
          <w:szCs w:val="24"/>
        </w:rPr>
        <w:footnoteReference w:id="48"/>
      </w:r>
      <w:r w:rsidRPr="007157D3">
        <w:rPr>
          <w:rFonts w:ascii="Times New Roman" w:eastAsia="Calibri" w:hAnsi="Times New Roman" w:cs="Times New Roman"/>
          <w:sz w:val="24"/>
          <w:szCs w:val="24"/>
        </w:rPr>
        <w:t>, atzīstot, ka personu ar I vai II grupas invaliditāti nepakļaušana invaliditātes apdrošināšanai no 1998.gada 1.janvāra līdz 2002.gada 31.decembrim ir neatbilstošu Latvijas Republikas Satversmes 91. un 109. pantam un spēkā neesoša no tās spēkā stāšanās brīža. Likumā “Par valsts sociālo apdrošināšanu” joprojām ir normas, kas nosaka nodarbinātas personas ar I vai II invaliditātes grupu apdrošināt atsevišķiem veidiem. Piemēram, autoratlīdzības saņēmēji – personas ar I vai II grupas invaliditāti netiek sociāli apdrošināti. Darba devējam nav jāveic obligātās iemaksas 5% no autoratlīdzības. Ņemot vērā Satversmes tiesas spriedumā kon</w:t>
      </w:r>
      <w:r w:rsidRPr="002F5278">
        <w:rPr>
          <w:rFonts w:ascii="Times New Roman" w:eastAsia="Calibri" w:hAnsi="Times New Roman" w:cs="Times New Roman"/>
          <w:sz w:val="24"/>
          <w:szCs w:val="24"/>
        </w:rPr>
        <w:t>statēto, nepieciešams pārskatīt personu ar I un II grupas invaliditāti – autoratlīdzības saņēmēju pakļaušanu sociālajai apdrošināšanai.</w:t>
      </w:r>
    </w:p>
    <w:p w14:paraId="74FFEF10" w14:textId="5AE57942" w:rsidR="005869BF" w:rsidRPr="007157D3" w:rsidRDefault="00BE72E0" w:rsidP="004230EF">
      <w:pPr>
        <w:spacing w:before="120" w:after="0" w:line="240" w:lineRule="auto"/>
        <w:ind w:firstLine="709"/>
        <w:jc w:val="both"/>
        <w:rPr>
          <w:rFonts w:ascii="Times New Roman" w:eastAsia="Calibri" w:hAnsi="Times New Roman" w:cs="Times New Roman"/>
          <w:sz w:val="24"/>
          <w:szCs w:val="24"/>
        </w:rPr>
      </w:pPr>
      <w:r w:rsidRPr="0025422D">
        <w:rPr>
          <w:rFonts w:ascii="Times New Roman" w:eastAsia="Calibri" w:hAnsi="Times New Roman" w:cs="Times New Roman"/>
          <w:sz w:val="24"/>
          <w:szCs w:val="24"/>
        </w:rPr>
        <w:t>Kā norādījusi Valsts Kontrole savā ziņojumā, nodokļu poli</w:t>
      </w:r>
      <w:r w:rsidRPr="00A857F2">
        <w:rPr>
          <w:rFonts w:ascii="Times New Roman" w:eastAsia="Calibri" w:hAnsi="Times New Roman" w:cs="Times New Roman"/>
          <w:sz w:val="24"/>
          <w:szCs w:val="24"/>
        </w:rPr>
        <w:t>tikā paredzētie atviegloti nodokļu režīmi (mikrouzņēmumu nodokļa režīms, pašnodarbinātās personas, autoratlīdzības saņēmēji un patentmaksas maksātāji), kas pieļauj VSAOI par šajos nodokļu režīmos nodarbinātajiem veikt mazākā apmērā vai tikai noteikto</w:t>
      </w:r>
      <w:r w:rsidRPr="009703E6">
        <w:rPr>
          <w:rFonts w:ascii="Times New Roman" w:eastAsia="Calibri" w:hAnsi="Times New Roman" w:cs="Times New Roman"/>
          <w:sz w:val="24"/>
          <w:szCs w:val="24"/>
        </w:rPr>
        <w:t>s gadījumos, darbojas pretēji valsts izvirzītajam mērķim nabadzības mazināšanai un pakļauj šajos režīmos nodarbinātos augstākam nabadzības riskam gan darbnespējas gadījumā, gan sasniedzot pensijas vecumu. Turklāt ir uzsvērts, ka pēdējos gados veiktie pasākumi šajos nodokļu režīmos nodarbināto sociālā nodrošinājuma uzlabošanai nav pietiekami</w:t>
      </w:r>
      <w:r w:rsidR="00C471DC" w:rsidRPr="0015154B">
        <w:rPr>
          <w:rFonts w:ascii="Times New Roman" w:eastAsia="Calibri" w:hAnsi="Times New Roman" w:cs="Times New Roman"/>
          <w:sz w:val="24"/>
          <w:szCs w:val="24"/>
        </w:rPr>
        <w:t>, bet šo personu sociālā nodrošinājuma uzlabošana caur sociālo pabalstu vai sociālās palīdzības sistēmām</w:t>
      </w:r>
      <w:r w:rsidRPr="0015154B">
        <w:rPr>
          <w:rFonts w:ascii="Times New Roman" w:eastAsia="Calibri" w:hAnsi="Times New Roman" w:cs="Times New Roman"/>
          <w:sz w:val="24"/>
          <w:szCs w:val="24"/>
        </w:rPr>
        <w:t xml:space="preserve"> </w:t>
      </w:r>
      <w:r w:rsidR="00C471DC" w:rsidRPr="0015154B">
        <w:rPr>
          <w:rFonts w:ascii="Times New Roman" w:eastAsia="Calibri" w:hAnsi="Times New Roman" w:cs="Times New Roman"/>
          <w:sz w:val="24"/>
          <w:szCs w:val="24"/>
        </w:rPr>
        <w:t>samazinās</w:t>
      </w:r>
      <w:r w:rsidRPr="0015154B">
        <w:rPr>
          <w:rFonts w:ascii="Times New Roman" w:eastAsia="Calibri" w:hAnsi="Times New Roman" w:cs="Times New Roman"/>
          <w:sz w:val="24"/>
          <w:szCs w:val="24"/>
        </w:rPr>
        <w:t xml:space="preserve"> pieejamo atbalstu tām sociālās atstumtības riskam pakļautajām personām, kuru iespējas gūt ienākumus</w:t>
      </w:r>
      <w:r w:rsidR="00C471DC" w:rsidRPr="0015154B">
        <w:rPr>
          <w:rFonts w:ascii="Times New Roman" w:eastAsia="Calibri" w:hAnsi="Times New Roman" w:cs="Times New Roman"/>
          <w:sz w:val="24"/>
          <w:szCs w:val="24"/>
        </w:rPr>
        <w:t xml:space="preserve"> no algota darba,</w:t>
      </w:r>
      <w:r w:rsidRPr="0015154B">
        <w:rPr>
          <w:rFonts w:ascii="Times New Roman" w:eastAsia="Calibri" w:hAnsi="Times New Roman" w:cs="Times New Roman"/>
          <w:sz w:val="24"/>
          <w:szCs w:val="24"/>
        </w:rPr>
        <w:t xml:space="preserve"> ir </w:t>
      </w:r>
      <w:r w:rsidRPr="0015154B">
        <w:rPr>
          <w:rFonts w:ascii="Times New Roman" w:eastAsia="Calibri" w:hAnsi="Times New Roman" w:cs="Times New Roman"/>
          <w:sz w:val="24"/>
          <w:szCs w:val="24"/>
        </w:rPr>
        <w:lastRenderedPageBreak/>
        <w:t>ierobežotas (piemēram, personām ar invaliditāti, senioriem).</w:t>
      </w:r>
      <w:r w:rsidR="00C471DC" w:rsidRPr="007157D3">
        <w:rPr>
          <w:rStyle w:val="FootnoteReference"/>
          <w:rFonts w:ascii="Times New Roman" w:eastAsia="Calibri" w:hAnsi="Times New Roman" w:cs="Times New Roman"/>
          <w:sz w:val="24"/>
          <w:szCs w:val="24"/>
        </w:rPr>
        <w:footnoteReference w:id="49"/>
      </w:r>
      <w:r w:rsidR="005869BF" w:rsidRPr="007157D3">
        <w:rPr>
          <w:rFonts w:ascii="Times New Roman" w:eastAsia="Calibri" w:hAnsi="Times New Roman" w:cs="Times New Roman"/>
          <w:sz w:val="24"/>
          <w:szCs w:val="24"/>
        </w:rPr>
        <w:t xml:space="preserve"> </w:t>
      </w:r>
      <w:r w:rsidR="005869BF" w:rsidRPr="007157D3">
        <w:rPr>
          <w:rFonts w:ascii="Times New Roman" w:hAnsi="Times New Roman" w:cs="Times New Roman"/>
          <w:sz w:val="24"/>
          <w:szCs w:val="24"/>
        </w:rPr>
        <w:t>Maksājot nodokļus atvieglotā režīmā, personas ne tikai neuzkrāj apdrošināšanas stāžu un sociālās apdrošināšanas iemaksas, kas ir priekšnoteikums dažādu sociālo garantiju saņemšanai, bet arī līdzvērtīgi nepiedalās solidaritātes principa īstenošanā, šo slogu noveļot uz pārējiem sistēmas dalībniekiem, jo īpaši vispārējā nodokļu režīmā strādājošiem.</w:t>
      </w:r>
    </w:p>
    <w:p w14:paraId="1D33C54B" w14:textId="6B1EEBC3" w:rsidR="008420AA" w:rsidRPr="007157D3" w:rsidRDefault="00075100" w:rsidP="004230EF">
      <w:pPr>
        <w:spacing w:before="120" w:after="0" w:line="240" w:lineRule="auto"/>
        <w:ind w:firstLine="720"/>
        <w:jc w:val="both"/>
        <w:rPr>
          <w:rFonts w:ascii="Times New Roman" w:hAnsi="Times New Roman" w:cs="Times New Roman"/>
          <w:sz w:val="24"/>
          <w:szCs w:val="24"/>
        </w:rPr>
      </w:pPr>
      <w:r w:rsidRPr="002F5278">
        <w:rPr>
          <w:rFonts w:ascii="Times New Roman" w:eastAsia="Times New Roman" w:hAnsi="Times New Roman" w:cs="Times New Roman"/>
          <w:bCs/>
          <w:sz w:val="24"/>
          <w:szCs w:val="24"/>
          <w:lang w:eastAsia="lv-LV"/>
        </w:rPr>
        <w:t xml:space="preserve">Jaunus izaicinājumus pietiekamas un pieejamas </w:t>
      </w:r>
      <w:r w:rsidRPr="0025422D">
        <w:rPr>
          <w:rFonts w:ascii="Times New Roman" w:eastAsia="Times New Roman" w:hAnsi="Times New Roman" w:cs="Times New Roman"/>
          <w:b/>
          <w:bCs/>
          <w:sz w:val="24"/>
          <w:szCs w:val="24"/>
          <w:lang w:eastAsia="lv-LV"/>
        </w:rPr>
        <w:t>sociālās aizsardzības nodrošināšanā</w:t>
      </w:r>
      <w:r w:rsidRPr="00A857F2">
        <w:rPr>
          <w:rFonts w:ascii="Times New Roman" w:eastAsia="Times New Roman" w:hAnsi="Times New Roman" w:cs="Times New Roman"/>
          <w:bCs/>
          <w:sz w:val="24"/>
          <w:szCs w:val="24"/>
          <w:lang w:eastAsia="lv-LV"/>
        </w:rPr>
        <w:t xml:space="preserve"> rada </w:t>
      </w:r>
      <w:r w:rsidR="006A7A07" w:rsidRPr="009703E6">
        <w:rPr>
          <w:rFonts w:ascii="Times New Roman" w:eastAsia="Times New Roman" w:hAnsi="Times New Roman" w:cs="Times New Roman"/>
          <w:bCs/>
          <w:sz w:val="24"/>
          <w:szCs w:val="24"/>
          <w:lang w:eastAsia="lv-LV"/>
        </w:rPr>
        <w:t xml:space="preserve">arī </w:t>
      </w:r>
      <w:r w:rsidRPr="009703E6">
        <w:rPr>
          <w:rFonts w:ascii="Times New Roman" w:eastAsia="Times New Roman" w:hAnsi="Times New Roman" w:cs="Times New Roman"/>
          <w:bCs/>
          <w:sz w:val="24"/>
          <w:szCs w:val="24"/>
          <w:lang w:eastAsia="lv-LV"/>
        </w:rPr>
        <w:t xml:space="preserve">darba tirgus transformācija, tai skaitā, digitālo risinājumu un to radītās transformācijas iespaidā radušās jaunās ekonomikas sistēmas. Risinājumi </w:t>
      </w:r>
      <w:r w:rsidR="006A7A07" w:rsidRPr="0015154B">
        <w:rPr>
          <w:rFonts w:ascii="Times New Roman" w:eastAsia="Times New Roman" w:hAnsi="Times New Roman" w:cs="Times New Roman"/>
          <w:bCs/>
          <w:sz w:val="24"/>
          <w:szCs w:val="24"/>
          <w:lang w:eastAsia="lv-LV"/>
        </w:rPr>
        <w:t xml:space="preserve">nestandarta </w:t>
      </w:r>
      <w:r w:rsidRPr="0015154B">
        <w:rPr>
          <w:rFonts w:ascii="Times New Roman" w:eastAsia="Times New Roman" w:hAnsi="Times New Roman" w:cs="Times New Roman"/>
          <w:bCs/>
          <w:sz w:val="24"/>
          <w:szCs w:val="24"/>
          <w:lang w:eastAsia="lv-LV"/>
        </w:rPr>
        <w:t xml:space="preserve">nodarbināto sociālās aizsardzības pilnveidošanai ir jāvērtē kontekstā ar </w:t>
      </w:r>
      <w:r w:rsidRPr="004A6572">
        <w:rPr>
          <w:rFonts w:ascii="Times New Roman" w:hAnsi="Times New Roman"/>
          <w:bCs/>
          <w:sz w:val="24"/>
          <w:szCs w:val="24"/>
        </w:rPr>
        <w:t>Padomes 2019.gada 8.novembra ieteikumu par darbinieku un pašnodarbināto personu piekļuvi sociālajai aizsardzībai (2019/C 387/01) (turpmāk- Ieteikums). Padome šajā Ieteikumā aicina ES dalībvalstis nodrošināt pienācīgas sociālās aizsardzības pieejamību visiem darbiniekiem un pašnodarbinātām personām, noteikt minimālos standartus darbinieku un pašnodarbināto personu sociālās aizsardzības jomā (a) bezdarbnieka pabalsti; b) slimības pabalsti un veselības aprūpes pabalsti; c) maternitātes un līdzvērtīgi paternitātes pabalsti; d) invaliditātes pabalsti; e) vecuma pabalsti un apgādnieka zaudējuma pabalsti; f) pabalsti sakarā ar nelaimes gadījumiem darbā un arodslimībām). Dalībvalstīm tiek ieteikts nodrošināt pienācīgas sociālās aizsardzības pieejamību visiem darbiniekiem neatkarīgi no nodarbinātības attiecību veida – obligātā kārtā un pašnodarbinātām personām vismaz brīvprātīgi un attiecīgā gadījumā obligātā kārtā augstāk minētajās jomās.</w:t>
      </w:r>
      <w:r w:rsidRPr="0015154B">
        <w:rPr>
          <w:rFonts w:ascii="Times New Roman" w:eastAsia="Times New Roman" w:hAnsi="Times New Roman" w:cs="Times New Roman"/>
          <w:bCs/>
          <w:sz w:val="24"/>
          <w:szCs w:val="24"/>
          <w:lang w:eastAsia="lv-LV"/>
        </w:rPr>
        <w:t xml:space="preserve"> Eiropas Komisija sadarbībā ar Padomes Sociālās aizsardzības komiteju ir uzsākusi monitoringa ietvara izstrādi Ieteikuma ieviešanas novērtējumam, lai novērtētu ES dalībvalstu progresu sociālās aizsardzības nodrošināšanā visiem nodarbinātajiem Provizoriskais novērtējums</w:t>
      </w:r>
      <w:r w:rsidRPr="007157D3">
        <w:rPr>
          <w:rStyle w:val="FootnoteReference"/>
          <w:bCs/>
          <w:sz w:val="24"/>
          <w:szCs w:val="24"/>
          <w:lang w:eastAsia="lv-LV"/>
        </w:rPr>
        <w:footnoteReference w:id="50"/>
      </w:r>
      <w:r w:rsidRPr="007157D3">
        <w:rPr>
          <w:rFonts w:ascii="Times New Roman" w:eastAsia="Times New Roman" w:hAnsi="Times New Roman" w:cs="Times New Roman"/>
          <w:bCs/>
          <w:sz w:val="24"/>
          <w:szCs w:val="24"/>
          <w:lang w:eastAsia="lv-LV"/>
        </w:rPr>
        <w:t xml:space="preserve"> par nestandarta nodarbinātībā iesaistīto personu un pašnodarbināto personu pieejamību sociālai aizsardzībai liecina, ka Latvijā 2019.gadā aptuveni 2% no visām obligāti sociāli apdrošinātām personām ir ierobežota pieejamība sociālai aizsardzībai (t.i., personas nav apdrošinātas pret visiem sociālās apdrošināšanas riskiem).</w:t>
      </w:r>
    </w:p>
    <w:p w14:paraId="50EC0331" w14:textId="39361C12" w:rsidR="007A5013" w:rsidRPr="0015154B" w:rsidRDefault="00E3404A" w:rsidP="004230EF">
      <w:pPr>
        <w:shd w:val="clear" w:color="auto" w:fill="FFFFFF"/>
        <w:spacing w:before="120" w:after="0" w:line="240" w:lineRule="auto"/>
        <w:ind w:firstLine="720"/>
        <w:jc w:val="both"/>
        <w:rPr>
          <w:rFonts w:ascii="Calibri" w:eastAsia="Times New Roman" w:hAnsi="Calibri" w:cs="Calibri"/>
          <w:color w:val="000000"/>
          <w:spacing w:val="-2"/>
          <w:sz w:val="27"/>
          <w:szCs w:val="27"/>
          <w:lang w:eastAsia="lv-LV"/>
        </w:rPr>
      </w:pPr>
      <w:r w:rsidRPr="002F5278">
        <w:rPr>
          <w:rFonts w:ascii="Times New Roman" w:eastAsia="Times New Roman" w:hAnsi="Times New Roman" w:cs="Times New Roman"/>
          <w:sz w:val="24"/>
          <w:szCs w:val="24"/>
        </w:rPr>
        <w:t xml:space="preserve">VSAA un VID sniegtie statistikas dati viennozīmīgi norāda uz būtisku problēmu sociāli apdrošināto personu sociālajā nodrošinājumā, it īpaši to personu vidū, kuras VSAOI veic no objekta, kas mazāks par minimālo algu </w:t>
      </w:r>
      <w:r w:rsidRPr="0025422D">
        <w:rPr>
          <w:rFonts w:ascii="Times New Roman" w:hAnsi="Times New Roman" w:cs="Times New Roman"/>
          <w:sz w:val="24"/>
          <w:szCs w:val="24"/>
        </w:rPr>
        <w:t xml:space="preserve"> (</w:t>
      </w:r>
      <w:r w:rsidRPr="00A857F2">
        <w:rPr>
          <w:rFonts w:ascii="Times New Roman" w:hAnsi="Times New Roman" w:cs="Times New Roman"/>
          <w:sz w:val="24"/>
          <w:szCs w:val="24"/>
          <w:highlight w:val="yellow"/>
        </w:rPr>
        <w:t>skat</w:t>
      </w:r>
      <w:r w:rsidR="00B34E6E" w:rsidRPr="009703E6">
        <w:rPr>
          <w:rFonts w:ascii="Times New Roman" w:hAnsi="Times New Roman" w:cs="Times New Roman"/>
          <w:sz w:val="24"/>
          <w:szCs w:val="24"/>
          <w:highlight w:val="yellow"/>
        </w:rPr>
        <w:t>. 1</w:t>
      </w:r>
      <w:r w:rsidR="006F2D5D">
        <w:rPr>
          <w:rFonts w:ascii="Times New Roman" w:hAnsi="Times New Roman" w:cs="Times New Roman"/>
          <w:sz w:val="24"/>
          <w:szCs w:val="24"/>
          <w:highlight w:val="yellow"/>
        </w:rPr>
        <w:t>2</w:t>
      </w:r>
      <w:r w:rsidR="00B34E6E" w:rsidRPr="009703E6">
        <w:rPr>
          <w:rFonts w:ascii="Times New Roman" w:hAnsi="Times New Roman" w:cs="Times New Roman"/>
          <w:sz w:val="24"/>
          <w:szCs w:val="24"/>
          <w:highlight w:val="yellow"/>
        </w:rPr>
        <w:t>.</w:t>
      </w:r>
      <w:r w:rsidRPr="0015154B">
        <w:rPr>
          <w:rFonts w:ascii="Times New Roman" w:hAnsi="Times New Roman" w:cs="Times New Roman"/>
          <w:sz w:val="24"/>
          <w:szCs w:val="24"/>
          <w:highlight w:val="yellow"/>
        </w:rPr>
        <w:t>attēlu</w:t>
      </w:r>
      <w:r w:rsidRPr="0015154B">
        <w:rPr>
          <w:rFonts w:ascii="Times New Roman" w:hAnsi="Times New Roman" w:cs="Times New Roman"/>
          <w:sz w:val="24"/>
          <w:szCs w:val="24"/>
        </w:rPr>
        <w:t>).</w:t>
      </w:r>
      <w:r w:rsidRPr="0015154B">
        <w:rPr>
          <w:rFonts w:ascii="Times New Roman" w:eastAsia="Times New Roman" w:hAnsi="Times New Roman" w:cs="Times New Roman"/>
          <w:sz w:val="24"/>
          <w:szCs w:val="24"/>
        </w:rPr>
        <w:t xml:space="preserve"> Iestājoties apdrošināšanas riskam, cilvēks saņem nesamērīgi zemu pensiju vai pabalstu, turklāt liela daļa personu pašas nenodrošina sev pat minimālo vecuma pensiju, t.i., citiem jāpiedalās tās finansēšanā.</w:t>
      </w:r>
      <w:r w:rsidR="003F650C" w:rsidRPr="0015154B">
        <w:rPr>
          <w:rFonts w:ascii="Times New Roman" w:eastAsia="Times New Roman" w:hAnsi="Times New Roman" w:cs="Times New Roman"/>
          <w:sz w:val="24"/>
          <w:szCs w:val="24"/>
        </w:rPr>
        <w:t xml:space="preserve"> </w:t>
      </w:r>
      <w:r w:rsidR="007A5013" w:rsidRPr="0015154B">
        <w:rPr>
          <w:rFonts w:ascii="Times New Roman" w:eastAsia="Times New Roman" w:hAnsi="Times New Roman" w:cs="Times New Roman"/>
          <w:sz w:val="24"/>
          <w:szCs w:val="24"/>
        </w:rPr>
        <w:t>Ņemot vērā zemo sociālo nodrošinājumu sociāli apdrošināto personu vidū, jo īpaši to personu vidū, kuras pašas veic saimniecisko darbību un maksā sociālās apdrošināšanas iemaksas kā pašnodarbinātie, patentmaksātāji, autoratlīdzību saņēmēji, kā arī dažādās nestandarta nodarbinātības formās, paredzams, ka nākotnē aprēķināto pensiju apmērs būs ļoti zems un tādējādi pieaugs valsts garantēto minimālās vecuma pensijas saņēmēju skaits, radot papildu slodzi valsts pensiju speciālā budžetā. Jau šobrīd aptuveni 14% pensionāru saņem valsts garantēto minimālo vecuma pensiju.</w:t>
      </w:r>
    </w:p>
    <w:p w14:paraId="3B736DD6" w14:textId="77777777" w:rsidR="00457AF4" w:rsidRPr="0015154B" w:rsidRDefault="00457AF4" w:rsidP="00C51EEB">
      <w:pPr>
        <w:spacing w:after="0" w:line="240" w:lineRule="auto"/>
        <w:jc w:val="both"/>
        <w:rPr>
          <w:rFonts w:ascii="Times New Roman" w:hAnsi="Times New Roman" w:cs="Times New Roman"/>
          <w:sz w:val="24"/>
          <w:szCs w:val="24"/>
          <w:highlight w:val="yellow"/>
        </w:rPr>
      </w:pPr>
    </w:p>
    <w:p w14:paraId="71E69D26" w14:textId="7E94CB38" w:rsidR="00C51EEB" w:rsidRPr="0015154B" w:rsidRDefault="00B34E6E" w:rsidP="00C51EEB">
      <w:p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lastRenderedPageBreak/>
        <w:t>1</w:t>
      </w:r>
      <w:r w:rsidR="006F2D5D">
        <w:rPr>
          <w:rFonts w:ascii="Times New Roman" w:hAnsi="Times New Roman" w:cs="Times New Roman"/>
          <w:sz w:val="24"/>
          <w:szCs w:val="24"/>
        </w:rPr>
        <w:t>2</w:t>
      </w:r>
      <w:r w:rsidRPr="0015154B">
        <w:rPr>
          <w:rFonts w:ascii="Times New Roman" w:hAnsi="Times New Roman" w:cs="Times New Roman"/>
          <w:sz w:val="24"/>
          <w:szCs w:val="24"/>
        </w:rPr>
        <w:t>.</w:t>
      </w:r>
      <w:r w:rsidR="00C51EEB" w:rsidRPr="0015154B">
        <w:rPr>
          <w:rFonts w:ascii="Times New Roman" w:hAnsi="Times New Roman" w:cs="Times New Roman"/>
          <w:sz w:val="24"/>
          <w:szCs w:val="24"/>
        </w:rPr>
        <w:t>attēls</w:t>
      </w:r>
    </w:p>
    <w:p w14:paraId="3AB00309" w14:textId="7DAA75A0" w:rsidR="00A54374" w:rsidRPr="007157D3" w:rsidRDefault="00A54374" w:rsidP="006B1B19">
      <w:pPr>
        <w:spacing w:after="0" w:line="240" w:lineRule="auto"/>
        <w:ind w:firstLine="720"/>
        <w:jc w:val="both"/>
        <w:rPr>
          <w:rFonts w:ascii="Times New Roman" w:hAnsi="Times New Roman" w:cs="Times New Roman"/>
          <w:sz w:val="24"/>
          <w:szCs w:val="24"/>
        </w:rPr>
      </w:pPr>
      <w:r w:rsidRPr="004A6572">
        <w:rPr>
          <w:rFonts w:ascii="Times New Roman" w:hAnsi="Times New Roman" w:cs="Times New Roman"/>
          <w:noProof/>
          <w:sz w:val="24"/>
          <w:szCs w:val="24"/>
          <w:lang w:eastAsia="lv-LV"/>
        </w:rPr>
        <w:drawing>
          <wp:inline distT="0" distB="0" distL="0" distR="0" wp14:anchorId="0F6F76AF" wp14:editId="49586E4F">
            <wp:extent cx="4999355" cy="3270885"/>
            <wp:effectExtent l="0" t="0" r="0" b="5715"/>
            <wp:docPr id="15" name="Chart 15">
              <a:extLst xmlns:a="http://schemas.openxmlformats.org/drawingml/2006/main">
                <a:ext uri="{FF2B5EF4-FFF2-40B4-BE49-F238E27FC236}">
                  <a16:creationId xmlns:a16="http://schemas.microsoft.com/office/drawing/2014/main" id="{0E23587A-A2E1-4FDA-89CB-1347DEEAD6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1907966" w14:textId="77777777" w:rsidR="00A54374" w:rsidRPr="007157D3" w:rsidRDefault="00A54374" w:rsidP="00A54374">
      <w:pPr>
        <w:spacing w:after="0" w:line="240" w:lineRule="auto"/>
        <w:jc w:val="both"/>
        <w:rPr>
          <w:rFonts w:ascii="Times New Roman" w:hAnsi="Times New Roman" w:cs="Times New Roman"/>
          <w:sz w:val="20"/>
          <w:szCs w:val="20"/>
        </w:rPr>
      </w:pPr>
    </w:p>
    <w:p w14:paraId="3BCDE848" w14:textId="02F44F3D" w:rsidR="00A54374" w:rsidRPr="007157D3" w:rsidRDefault="00A54374" w:rsidP="00A54374">
      <w:pPr>
        <w:spacing w:after="0" w:line="240" w:lineRule="auto"/>
        <w:jc w:val="both"/>
        <w:rPr>
          <w:rFonts w:ascii="Times New Roman" w:hAnsi="Times New Roman" w:cs="Times New Roman"/>
          <w:sz w:val="20"/>
          <w:szCs w:val="20"/>
        </w:rPr>
      </w:pPr>
      <w:r w:rsidRPr="007157D3">
        <w:rPr>
          <w:rFonts w:ascii="Times New Roman" w:hAnsi="Times New Roman" w:cs="Times New Roman"/>
          <w:sz w:val="20"/>
          <w:szCs w:val="20"/>
        </w:rPr>
        <w:t>Datu avots: VSAA</w:t>
      </w:r>
    </w:p>
    <w:p w14:paraId="05646D85" w14:textId="77777777" w:rsidR="00A54374" w:rsidRPr="002F5278" w:rsidRDefault="00A54374" w:rsidP="006B1B19">
      <w:pPr>
        <w:spacing w:after="0" w:line="240" w:lineRule="auto"/>
        <w:ind w:firstLine="720"/>
        <w:jc w:val="both"/>
        <w:rPr>
          <w:rFonts w:ascii="Times New Roman" w:hAnsi="Times New Roman" w:cs="Times New Roman"/>
          <w:sz w:val="24"/>
          <w:szCs w:val="24"/>
        </w:rPr>
      </w:pPr>
    </w:p>
    <w:p w14:paraId="3950C5E4" w14:textId="5C221B1A" w:rsidR="006B1B19" w:rsidRPr="007157D3" w:rsidRDefault="006B1B19" w:rsidP="004230EF">
      <w:pPr>
        <w:spacing w:before="120" w:after="0" w:line="240" w:lineRule="auto"/>
        <w:ind w:firstLine="720"/>
        <w:jc w:val="both"/>
        <w:rPr>
          <w:rFonts w:ascii="Times New Roman" w:eastAsia="MS PGothic" w:hAnsi="Times New Roman" w:cs="Times New Roman"/>
          <w:kern w:val="24"/>
          <w:sz w:val="24"/>
          <w:szCs w:val="24"/>
        </w:rPr>
      </w:pPr>
      <w:r w:rsidRPr="0025422D">
        <w:rPr>
          <w:rFonts w:ascii="Times New Roman" w:hAnsi="Times New Roman" w:cs="Times New Roman"/>
          <w:sz w:val="24"/>
          <w:szCs w:val="24"/>
        </w:rPr>
        <w:t xml:space="preserve">2019.gadā 32,7%  no sociāli apdrošinātām personām VSAOI objekts bija  </w:t>
      </w:r>
      <w:r w:rsidRPr="00A857F2">
        <w:rPr>
          <w:rFonts w:ascii="Times New Roman" w:hAnsi="Times New Roman" w:cs="Times New Roman"/>
          <w:color w:val="000000" w:themeColor="text1"/>
          <w:sz w:val="24"/>
          <w:szCs w:val="24"/>
        </w:rPr>
        <w:t xml:space="preserve">mazāks par </w:t>
      </w:r>
      <w:r w:rsidRPr="009703E6">
        <w:rPr>
          <w:rFonts w:ascii="Times New Roman" w:hAnsi="Times New Roman" w:cs="Times New Roman"/>
          <w:color w:val="000000" w:themeColor="text1"/>
          <w:sz w:val="24"/>
          <w:szCs w:val="24"/>
          <w:shd w:val="clear" w:color="auto" w:fill="FFFFFF"/>
        </w:rPr>
        <w:t>Ministru kabineta noteiktās minimālās mēneša darba algas apmēru</w:t>
      </w:r>
      <w:r w:rsidR="00F94FB3" w:rsidRPr="009703E6">
        <w:rPr>
          <w:rFonts w:ascii="Times New Roman" w:hAnsi="Times New Roman" w:cs="Times New Roman"/>
          <w:color w:val="000000" w:themeColor="text1"/>
          <w:sz w:val="24"/>
          <w:szCs w:val="24"/>
          <w:shd w:val="clear" w:color="auto" w:fill="FFFFFF"/>
        </w:rPr>
        <w:t>.</w:t>
      </w:r>
      <w:r w:rsidR="00F94FB3" w:rsidRPr="007157D3">
        <w:rPr>
          <w:rStyle w:val="FootnoteReference"/>
          <w:rFonts w:ascii="Times New Roman" w:hAnsi="Times New Roman" w:cs="Times New Roman"/>
          <w:color w:val="000000" w:themeColor="text1"/>
          <w:sz w:val="24"/>
          <w:szCs w:val="24"/>
          <w:shd w:val="clear" w:color="auto" w:fill="FFFFFF"/>
        </w:rPr>
        <w:footnoteReference w:id="51"/>
      </w:r>
      <w:r w:rsidRPr="007157D3">
        <w:rPr>
          <w:rFonts w:ascii="Times New Roman" w:hAnsi="Times New Roman" w:cs="Times New Roman"/>
          <w:color w:val="000000" w:themeColor="text1"/>
          <w:sz w:val="24"/>
          <w:szCs w:val="24"/>
          <w:shd w:val="clear" w:color="auto" w:fill="FFFFFF"/>
        </w:rPr>
        <w:t xml:space="preserve"> Savukārt,</w:t>
      </w:r>
      <w:r w:rsidRPr="007157D3">
        <w:rPr>
          <w:rFonts w:ascii="Times New Roman" w:hAnsi="Times New Roman" w:cs="Times New Roman"/>
          <w:color w:val="000000"/>
          <w:spacing w:val="-4"/>
          <w:sz w:val="24"/>
          <w:szCs w:val="24"/>
          <w:lang w:eastAsia="lv-LV"/>
        </w:rPr>
        <w:t xml:space="preserve"> </w:t>
      </w:r>
      <w:r w:rsidRPr="007157D3">
        <w:rPr>
          <w:rFonts w:ascii="Times New Roman" w:eastAsia="MS PGothic" w:hAnsi="Times New Roman" w:cs="Times New Roman"/>
          <w:bCs/>
          <w:kern w:val="24"/>
          <w:sz w:val="24"/>
          <w:szCs w:val="24"/>
        </w:rPr>
        <w:t>49,7%</w:t>
      </w:r>
      <w:r w:rsidRPr="007157D3">
        <w:rPr>
          <w:rFonts w:ascii="Times New Roman" w:eastAsia="MS PGothic" w:hAnsi="Times New Roman" w:cs="Times New Roman"/>
          <w:kern w:val="24"/>
          <w:sz w:val="24"/>
          <w:szCs w:val="24"/>
        </w:rPr>
        <w:t xml:space="preserve"> jeb pie 46,2 tūkst. </w:t>
      </w:r>
      <w:r w:rsidRPr="007157D3">
        <w:rPr>
          <w:rFonts w:ascii="Times New Roman" w:eastAsia="MS PGothic" w:hAnsi="Times New Roman" w:cs="Times New Roman"/>
          <w:bCs/>
          <w:kern w:val="24"/>
          <w:sz w:val="24"/>
          <w:szCs w:val="24"/>
        </w:rPr>
        <w:t xml:space="preserve">darba devēju </w:t>
      </w:r>
      <w:r w:rsidRPr="007157D3">
        <w:rPr>
          <w:rFonts w:ascii="Times New Roman" w:eastAsia="MS PGothic" w:hAnsi="Times New Roman" w:cs="Times New Roman"/>
          <w:kern w:val="24"/>
          <w:sz w:val="24"/>
          <w:szCs w:val="24"/>
        </w:rPr>
        <w:t>vismaz viens darba ņēmējs sešus mēnešus bija saņēmis darba ienākumus mazākus p</w:t>
      </w:r>
      <w:r w:rsidRPr="002F5278">
        <w:rPr>
          <w:rFonts w:ascii="Times New Roman" w:eastAsia="MS PGothic" w:hAnsi="Times New Roman" w:cs="Times New Roman"/>
          <w:kern w:val="24"/>
          <w:sz w:val="24"/>
          <w:szCs w:val="24"/>
        </w:rPr>
        <w:t>ar minimālo mēneša darba algu.</w:t>
      </w:r>
      <w:r w:rsidRPr="002F5278">
        <w:rPr>
          <w:rFonts w:ascii="Times New Roman" w:hAnsi="Times New Roman" w:cs="Times New Roman"/>
          <w:sz w:val="24"/>
          <w:szCs w:val="24"/>
        </w:rPr>
        <w:t xml:space="preserve"> </w:t>
      </w:r>
      <w:r w:rsidRPr="0025422D">
        <w:rPr>
          <w:rFonts w:ascii="Times New Roman" w:eastAsia="MS PGothic" w:hAnsi="Times New Roman" w:cs="Times New Roman"/>
          <w:bCs/>
          <w:kern w:val="24"/>
          <w:sz w:val="24"/>
          <w:szCs w:val="24"/>
        </w:rPr>
        <w:t>14,5</w:t>
      </w:r>
      <w:r w:rsidRPr="00A857F2">
        <w:rPr>
          <w:rFonts w:ascii="Times New Roman" w:eastAsia="MS PGothic" w:hAnsi="Times New Roman" w:cs="Times New Roman"/>
          <w:kern w:val="24"/>
          <w:sz w:val="24"/>
          <w:szCs w:val="24"/>
        </w:rPr>
        <w:t xml:space="preserve">% </w:t>
      </w:r>
      <w:r w:rsidRPr="009703E6">
        <w:rPr>
          <w:rFonts w:ascii="Times New Roman" w:eastAsia="MS PGothic" w:hAnsi="Times New Roman" w:cs="Times New Roman"/>
          <w:bCs/>
          <w:kern w:val="24"/>
          <w:sz w:val="24"/>
          <w:szCs w:val="24"/>
        </w:rPr>
        <w:t>darba ņēmēju</w:t>
      </w:r>
      <w:r w:rsidRPr="009703E6">
        <w:rPr>
          <w:rFonts w:ascii="Times New Roman" w:eastAsia="MS PGothic" w:hAnsi="Times New Roman" w:cs="Times New Roman"/>
          <w:kern w:val="24"/>
          <w:sz w:val="24"/>
          <w:szCs w:val="24"/>
        </w:rPr>
        <w:t>, kas bija darba attiecībās ar šiem darba devējiem, vismaz</w:t>
      </w:r>
      <w:r w:rsidRPr="0015154B">
        <w:rPr>
          <w:rFonts w:ascii="Times New Roman" w:eastAsia="MS PGothic" w:hAnsi="Times New Roman" w:cs="Times New Roman"/>
          <w:bCs/>
          <w:kern w:val="24"/>
          <w:sz w:val="24"/>
          <w:szCs w:val="24"/>
        </w:rPr>
        <w:t xml:space="preserve"> </w:t>
      </w:r>
      <w:r w:rsidRPr="0015154B">
        <w:rPr>
          <w:rFonts w:ascii="Times New Roman" w:eastAsia="MS PGothic" w:hAnsi="Times New Roman" w:cs="Times New Roman"/>
          <w:kern w:val="24"/>
          <w:sz w:val="24"/>
          <w:szCs w:val="24"/>
        </w:rPr>
        <w:t xml:space="preserve">sešus mēnešus saņēmuši darba ienākumus mazākus par minimālo mēneša darba algu. To vidējie darba ienākumi bija 212 </w:t>
      </w:r>
      <w:r w:rsidR="00824E31" w:rsidRPr="0015154B">
        <w:rPr>
          <w:rFonts w:ascii="Times New Roman" w:eastAsia="MS PGothic" w:hAnsi="Times New Roman" w:cs="Times New Roman"/>
          <w:kern w:val="24"/>
          <w:sz w:val="24"/>
          <w:szCs w:val="24"/>
        </w:rPr>
        <w:t>eiro</w:t>
      </w:r>
      <w:r w:rsidRPr="0015154B">
        <w:rPr>
          <w:rFonts w:ascii="Times New Roman" w:eastAsia="MS PGothic" w:hAnsi="Times New Roman" w:cs="Times New Roman"/>
          <w:kern w:val="24"/>
          <w:sz w:val="24"/>
          <w:szCs w:val="24"/>
        </w:rPr>
        <w:t xml:space="preserve"> mēnesī</w:t>
      </w:r>
      <w:r w:rsidR="00F94FB3" w:rsidRPr="0015154B">
        <w:rPr>
          <w:rFonts w:ascii="Times New Roman" w:eastAsia="MS PGothic" w:hAnsi="Times New Roman" w:cs="Times New Roman"/>
          <w:kern w:val="24"/>
          <w:sz w:val="24"/>
          <w:szCs w:val="24"/>
        </w:rPr>
        <w:t>.</w:t>
      </w:r>
      <w:r w:rsidR="00F94FB3" w:rsidRPr="007157D3">
        <w:rPr>
          <w:rStyle w:val="FootnoteReference"/>
          <w:rFonts w:ascii="Times New Roman" w:eastAsia="MS PGothic" w:hAnsi="Times New Roman" w:cs="Times New Roman"/>
          <w:kern w:val="24"/>
          <w:sz w:val="24"/>
          <w:szCs w:val="24"/>
        </w:rPr>
        <w:footnoteReference w:id="52"/>
      </w:r>
    </w:p>
    <w:p w14:paraId="2ED60354" w14:textId="051E448C" w:rsidR="00641DB7" w:rsidRPr="007157D3" w:rsidRDefault="00E569D4" w:rsidP="004230EF">
      <w:pPr>
        <w:spacing w:before="120" w:after="0" w:line="240" w:lineRule="auto"/>
        <w:ind w:firstLine="720"/>
        <w:jc w:val="both"/>
        <w:rPr>
          <w:rFonts w:ascii="Times New Roman" w:eastAsia="Calibri" w:hAnsi="Times New Roman" w:cs="Times New Roman"/>
          <w:color w:val="000000" w:themeColor="text1"/>
          <w:sz w:val="24"/>
          <w:szCs w:val="24"/>
          <w:shd w:val="clear" w:color="auto" w:fill="FFFFFF"/>
        </w:rPr>
      </w:pPr>
      <w:r w:rsidRPr="007157D3">
        <w:rPr>
          <w:rFonts w:ascii="Times New Roman" w:eastAsia="MS PGothic" w:hAnsi="Times New Roman" w:cs="Times New Roman"/>
          <w:kern w:val="24"/>
          <w:sz w:val="24"/>
          <w:szCs w:val="24"/>
        </w:rPr>
        <w:t xml:space="preserve">COVID-19 pandēmijas radītā krīze </w:t>
      </w:r>
      <w:r w:rsidR="000C2825" w:rsidRPr="007157D3">
        <w:rPr>
          <w:rFonts w:ascii="Times New Roman" w:eastAsia="MS PGothic" w:hAnsi="Times New Roman" w:cs="Times New Roman"/>
          <w:kern w:val="24"/>
          <w:sz w:val="24"/>
          <w:szCs w:val="24"/>
        </w:rPr>
        <w:t xml:space="preserve">pastiprināja problēmas, ko rada VSAOI veikšana no zemiem ienākumiem, īpaši speciālajos režīmos nodarbinātām personām, un nepietiekama aizsardzība sociālo risku iestāšanās </w:t>
      </w:r>
      <w:r w:rsidR="000C2825" w:rsidRPr="002F5278">
        <w:rPr>
          <w:rFonts w:ascii="Times New Roman" w:eastAsia="MS PGothic" w:hAnsi="Times New Roman" w:cs="Times New Roman"/>
          <w:kern w:val="24"/>
          <w:sz w:val="24"/>
          <w:szCs w:val="24"/>
        </w:rPr>
        <w:t>gadījumā.</w:t>
      </w:r>
      <w:r w:rsidR="00240175" w:rsidRPr="002F5278">
        <w:rPr>
          <w:rFonts w:ascii="Times New Roman" w:eastAsia="MS PGothic" w:hAnsi="Times New Roman" w:cs="Times New Roman"/>
          <w:kern w:val="24"/>
          <w:sz w:val="24"/>
          <w:szCs w:val="24"/>
        </w:rPr>
        <w:t xml:space="preserve"> </w:t>
      </w:r>
      <w:r w:rsidR="006B1B19" w:rsidRPr="0025422D">
        <w:rPr>
          <w:rFonts w:ascii="Times New Roman" w:eastAsia="Calibri" w:hAnsi="Times New Roman" w:cs="Times New Roman"/>
          <w:bCs/>
          <w:color w:val="000000" w:themeColor="text1"/>
          <w:sz w:val="24"/>
          <w:szCs w:val="24"/>
          <w:shd w:val="clear" w:color="auto" w:fill="FFFFFF"/>
        </w:rPr>
        <w:t xml:space="preserve">Covid-19 </w:t>
      </w:r>
      <w:r w:rsidR="00240175" w:rsidRPr="00A857F2">
        <w:rPr>
          <w:rFonts w:ascii="Times New Roman" w:eastAsia="Calibri" w:hAnsi="Times New Roman" w:cs="Times New Roman"/>
          <w:bCs/>
          <w:color w:val="000000" w:themeColor="text1"/>
          <w:sz w:val="24"/>
          <w:szCs w:val="24"/>
          <w:shd w:val="clear" w:color="auto" w:fill="FFFFFF"/>
        </w:rPr>
        <w:t xml:space="preserve">pandēmijas skartajiem uzņēmumiem un darbiniekiem sniegtā finansiālā atbalsta (dīkstāves pabalsts) analīze parāda, ka </w:t>
      </w:r>
      <w:r w:rsidR="006B1B19" w:rsidRPr="009703E6">
        <w:rPr>
          <w:rFonts w:ascii="Times New Roman" w:eastAsia="Calibri" w:hAnsi="Times New Roman" w:cs="Times New Roman"/>
          <w:bCs/>
          <w:color w:val="000000" w:themeColor="text1"/>
          <w:sz w:val="24"/>
          <w:szCs w:val="24"/>
          <w:shd w:val="clear" w:color="auto" w:fill="FFFFFF"/>
        </w:rPr>
        <w:t xml:space="preserve"> </w:t>
      </w:r>
      <w:r w:rsidR="00240175" w:rsidRPr="009703E6">
        <w:rPr>
          <w:rFonts w:ascii="Times New Roman" w:eastAsia="Calibri" w:hAnsi="Times New Roman" w:cs="Times New Roman"/>
          <w:bCs/>
          <w:color w:val="000000" w:themeColor="text1"/>
          <w:sz w:val="24"/>
          <w:szCs w:val="24"/>
          <w:shd w:val="clear" w:color="auto" w:fill="FFFFFF"/>
        </w:rPr>
        <w:t xml:space="preserve">piešķirtais dīkstāves pabalsta vidējais apmērs </w:t>
      </w:r>
      <w:r w:rsidR="00235290" w:rsidRPr="0015154B">
        <w:rPr>
          <w:rFonts w:ascii="Times New Roman" w:eastAsia="Calibri" w:hAnsi="Times New Roman" w:cs="Times New Roman"/>
          <w:bCs/>
          <w:color w:val="000000" w:themeColor="text1"/>
          <w:sz w:val="24"/>
          <w:szCs w:val="24"/>
          <w:shd w:val="clear" w:color="auto" w:fill="FFFFFF"/>
        </w:rPr>
        <w:t>darbin</w:t>
      </w:r>
      <w:r w:rsidR="00487AAB" w:rsidRPr="0015154B">
        <w:rPr>
          <w:rFonts w:ascii="Times New Roman" w:eastAsia="Calibri" w:hAnsi="Times New Roman" w:cs="Times New Roman"/>
          <w:bCs/>
          <w:color w:val="000000" w:themeColor="text1"/>
          <w:sz w:val="24"/>
          <w:szCs w:val="24"/>
          <w:shd w:val="clear" w:color="auto" w:fill="FFFFFF"/>
        </w:rPr>
        <w:t xml:space="preserve">iekiem </w:t>
      </w:r>
      <w:r w:rsidR="00240175" w:rsidRPr="0015154B">
        <w:rPr>
          <w:rFonts w:ascii="Times New Roman" w:eastAsia="Calibri" w:hAnsi="Times New Roman" w:cs="Times New Roman"/>
          <w:bCs/>
          <w:color w:val="000000" w:themeColor="text1"/>
          <w:sz w:val="24"/>
          <w:szCs w:val="24"/>
          <w:shd w:val="clear" w:color="auto" w:fill="FFFFFF"/>
        </w:rPr>
        <w:t xml:space="preserve">bija </w:t>
      </w:r>
      <w:r w:rsidR="00487AAB" w:rsidRPr="0015154B">
        <w:rPr>
          <w:rFonts w:ascii="Times New Roman" w:eastAsia="Calibri" w:hAnsi="Times New Roman" w:cs="Times New Roman"/>
          <w:bCs/>
          <w:color w:val="000000" w:themeColor="text1"/>
          <w:sz w:val="24"/>
          <w:szCs w:val="24"/>
          <w:shd w:val="clear" w:color="auto" w:fill="FFFFFF"/>
        </w:rPr>
        <w:t>383</w:t>
      </w:r>
      <w:r w:rsidR="00240175" w:rsidRPr="0015154B">
        <w:rPr>
          <w:rFonts w:ascii="Times New Roman" w:eastAsia="Calibri" w:hAnsi="Times New Roman" w:cs="Times New Roman"/>
          <w:bCs/>
          <w:color w:val="000000" w:themeColor="text1"/>
          <w:sz w:val="24"/>
          <w:szCs w:val="24"/>
          <w:shd w:val="clear" w:color="auto" w:fill="FFFFFF"/>
        </w:rPr>
        <w:t xml:space="preserve"> </w:t>
      </w:r>
      <w:r w:rsidR="00824E31" w:rsidRPr="0015154B">
        <w:rPr>
          <w:rFonts w:ascii="Times New Roman" w:eastAsia="Calibri" w:hAnsi="Times New Roman" w:cs="Times New Roman"/>
          <w:bCs/>
          <w:color w:val="000000" w:themeColor="text1"/>
          <w:sz w:val="24"/>
          <w:szCs w:val="24"/>
          <w:shd w:val="clear" w:color="auto" w:fill="FFFFFF"/>
        </w:rPr>
        <w:t>eiro</w:t>
      </w:r>
      <w:r w:rsidR="00487AAB" w:rsidRPr="0015154B">
        <w:rPr>
          <w:rFonts w:ascii="Times New Roman" w:eastAsia="Calibri" w:hAnsi="Times New Roman" w:cs="Times New Roman"/>
          <w:bCs/>
          <w:color w:val="000000" w:themeColor="text1"/>
          <w:sz w:val="24"/>
          <w:szCs w:val="24"/>
          <w:shd w:val="clear" w:color="auto" w:fill="FFFFFF"/>
        </w:rPr>
        <w:t xml:space="preserve">, bet pašnodarbinātām personām – 338 </w:t>
      </w:r>
      <w:r w:rsidR="00824E31" w:rsidRPr="0015154B">
        <w:rPr>
          <w:rFonts w:ascii="Times New Roman" w:eastAsia="Calibri" w:hAnsi="Times New Roman" w:cs="Times New Roman"/>
          <w:bCs/>
          <w:color w:val="000000" w:themeColor="text1"/>
          <w:sz w:val="24"/>
          <w:szCs w:val="24"/>
          <w:shd w:val="clear" w:color="auto" w:fill="FFFFFF"/>
        </w:rPr>
        <w:t>eiro</w:t>
      </w:r>
      <w:r w:rsidR="00487AAB" w:rsidRPr="0015154B">
        <w:rPr>
          <w:rFonts w:ascii="Times New Roman" w:eastAsia="Calibri" w:hAnsi="Times New Roman" w:cs="Times New Roman"/>
          <w:bCs/>
          <w:color w:val="000000" w:themeColor="text1"/>
          <w:sz w:val="24"/>
          <w:szCs w:val="24"/>
          <w:shd w:val="clear" w:color="auto" w:fill="FFFFFF"/>
        </w:rPr>
        <w:t xml:space="preserve">. Apmēram 60% no darba ņēmējiem un 68% pašnodarbināto piešķirtais dīkstāves pabalsts bija mazāks par </w:t>
      </w:r>
      <w:r w:rsidR="00487AAB" w:rsidRPr="0015154B">
        <w:rPr>
          <w:rFonts w:ascii="Times New Roman" w:eastAsia="Calibri" w:hAnsi="Times New Roman" w:cs="Times New Roman"/>
          <w:color w:val="000000" w:themeColor="text1"/>
          <w:sz w:val="24"/>
          <w:szCs w:val="24"/>
          <w:shd w:val="clear" w:color="auto" w:fill="FFFFFF"/>
        </w:rPr>
        <w:t xml:space="preserve">Ministru kabineta noteiktās minimālās mēneša darba algas apmēru, bet maksimāli noteikto dīkstāves pabalsta apmēru 700 </w:t>
      </w:r>
      <w:r w:rsidR="00824E31" w:rsidRPr="0015154B">
        <w:rPr>
          <w:rFonts w:ascii="Times New Roman" w:eastAsia="Calibri" w:hAnsi="Times New Roman" w:cs="Times New Roman"/>
          <w:color w:val="000000" w:themeColor="text1"/>
          <w:sz w:val="24"/>
          <w:szCs w:val="24"/>
          <w:shd w:val="clear" w:color="auto" w:fill="FFFFFF"/>
        </w:rPr>
        <w:t>eiro</w:t>
      </w:r>
      <w:r w:rsidR="00487AAB" w:rsidRPr="0015154B">
        <w:rPr>
          <w:rFonts w:ascii="Times New Roman" w:eastAsia="Calibri" w:hAnsi="Times New Roman" w:cs="Times New Roman"/>
          <w:color w:val="000000" w:themeColor="text1"/>
          <w:sz w:val="24"/>
          <w:szCs w:val="24"/>
          <w:shd w:val="clear" w:color="auto" w:fill="FFFFFF"/>
        </w:rPr>
        <w:t xml:space="preserve"> mēnesī saņēma tikai 16,6% darba ņēmēju un 17,8% pašnodarbināto.</w:t>
      </w:r>
      <w:r w:rsidR="00487AAB" w:rsidRPr="007157D3">
        <w:rPr>
          <w:rStyle w:val="FootnoteReference"/>
          <w:rFonts w:ascii="Times New Roman" w:eastAsia="Calibri" w:hAnsi="Times New Roman" w:cs="Times New Roman"/>
          <w:bCs/>
          <w:color w:val="000000" w:themeColor="text1"/>
          <w:sz w:val="24"/>
          <w:szCs w:val="24"/>
          <w:shd w:val="clear" w:color="auto" w:fill="FFFFFF"/>
        </w:rPr>
        <w:footnoteReference w:id="53"/>
      </w:r>
      <w:r w:rsidR="00487AAB" w:rsidRPr="007157D3">
        <w:rPr>
          <w:rFonts w:ascii="Times New Roman" w:eastAsia="Calibri" w:hAnsi="Times New Roman" w:cs="Times New Roman"/>
          <w:bCs/>
          <w:color w:val="000000" w:themeColor="text1"/>
          <w:sz w:val="24"/>
          <w:szCs w:val="24"/>
          <w:shd w:val="clear" w:color="auto" w:fill="FFFFFF"/>
        </w:rPr>
        <w:t xml:space="preserve"> Turklāt nodokļu parāda esamība, kā arī aprēķināto nodokļu un deklarēto VSAOI ārkārtīgi zemais līmenis, kas nesasniedza atbalsta sniegšanas nosacījumos noteiktos sliekšņus, bija galvenie dīkstāves pabalsta iesniegumu atteikuma iemesli.</w:t>
      </w:r>
      <w:r w:rsidR="00487AAB" w:rsidRPr="007157D3">
        <w:rPr>
          <w:rStyle w:val="FootnoteReference"/>
          <w:rFonts w:ascii="Times New Roman" w:eastAsia="Calibri" w:hAnsi="Times New Roman" w:cs="Times New Roman"/>
          <w:bCs/>
          <w:color w:val="000000" w:themeColor="text1"/>
          <w:sz w:val="24"/>
          <w:szCs w:val="24"/>
          <w:shd w:val="clear" w:color="auto" w:fill="FFFFFF"/>
        </w:rPr>
        <w:footnoteReference w:id="54"/>
      </w:r>
      <w:r w:rsidR="008B7894" w:rsidRPr="007157D3">
        <w:rPr>
          <w:rFonts w:ascii="Times New Roman" w:eastAsia="Calibri" w:hAnsi="Times New Roman" w:cs="Times New Roman"/>
          <w:bCs/>
          <w:color w:val="000000" w:themeColor="text1"/>
          <w:sz w:val="24"/>
          <w:szCs w:val="24"/>
          <w:shd w:val="clear" w:color="auto" w:fill="FFFFFF"/>
        </w:rPr>
        <w:t xml:space="preserve"> Laika posmā no marta līdz jūnijam atteikto dīkstāves pabalsta iesniegumu īpatsvars darba ņēmējiem svārstījās no 9% - 30%, bet pašnodarbinātajiem no 7% - 45%.</w:t>
      </w:r>
    </w:p>
    <w:p w14:paraId="4EB9DF6D" w14:textId="58234EB4" w:rsidR="006B1B19" w:rsidRPr="009703E6" w:rsidRDefault="006B1B19" w:rsidP="004230EF">
      <w:pPr>
        <w:spacing w:before="120" w:after="0" w:line="240" w:lineRule="auto"/>
        <w:ind w:firstLine="709"/>
        <w:jc w:val="both"/>
        <w:rPr>
          <w:rFonts w:ascii="Times New Roman" w:eastAsia="Calibri" w:hAnsi="Times New Roman" w:cs="Times New Roman"/>
          <w:sz w:val="24"/>
          <w:szCs w:val="24"/>
        </w:rPr>
      </w:pPr>
      <w:r w:rsidRPr="002F5278">
        <w:rPr>
          <w:rFonts w:ascii="Times New Roman" w:hAnsi="Times New Roman" w:cs="Times New Roman"/>
          <w:color w:val="000000" w:themeColor="text1"/>
          <w:sz w:val="24"/>
          <w:szCs w:val="24"/>
        </w:rPr>
        <w:t xml:space="preserve">Ņemot vērā </w:t>
      </w:r>
      <w:r w:rsidR="00F74A24" w:rsidRPr="002F5278">
        <w:rPr>
          <w:rFonts w:ascii="Times New Roman" w:hAnsi="Times New Roman" w:cs="Times New Roman"/>
          <w:color w:val="000000" w:themeColor="text1"/>
          <w:sz w:val="24"/>
          <w:szCs w:val="24"/>
        </w:rPr>
        <w:t>identificētās problēmas</w:t>
      </w:r>
      <w:r w:rsidRPr="0025422D">
        <w:rPr>
          <w:rFonts w:ascii="Times New Roman" w:hAnsi="Times New Roman" w:cs="Times New Roman"/>
          <w:color w:val="000000" w:themeColor="text1"/>
          <w:sz w:val="24"/>
          <w:szCs w:val="24"/>
        </w:rPr>
        <w:t>, ir jārod risinājums, lai ieviestu minimālo VSAO</w:t>
      </w:r>
      <w:r w:rsidRPr="00A857F2">
        <w:rPr>
          <w:rFonts w:ascii="Times New Roman" w:hAnsi="Times New Roman" w:cs="Times New Roman"/>
          <w:color w:val="000000" w:themeColor="text1"/>
          <w:sz w:val="24"/>
          <w:szCs w:val="24"/>
        </w:rPr>
        <w:t xml:space="preserve">I objektu. </w:t>
      </w:r>
      <w:r w:rsidRPr="009703E6">
        <w:rPr>
          <w:rFonts w:ascii="Times New Roman" w:eastAsia="Calibri" w:hAnsi="Times New Roman" w:cs="Times New Roman"/>
          <w:sz w:val="24"/>
          <w:szCs w:val="24"/>
        </w:rPr>
        <w:t>Vienlaikus minimālā VSAOI jautājums jāskata plašākā kontekstā ar kopējām valsts nodokļu politikas pamatnostādnēm, ieskaitot dažādu nodokļu režīmu pārskatīšanu vai atcelšanu.</w:t>
      </w:r>
    </w:p>
    <w:p w14:paraId="0FD5D5AD" w14:textId="4F22FFD3" w:rsidR="00425C73" w:rsidRDefault="00310E26" w:rsidP="006F2D5D">
      <w:pPr>
        <w:pStyle w:val="NormalWeb"/>
        <w:shd w:val="clear" w:color="auto" w:fill="FAFAFA"/>
        <w:spacing w:before="120" w:beforeAutospacing="0" w:after="0" w:afterAutospacing="0"/>
        <w:ind w:firstLine="709"/>
        <w:jc w:val="both"/>
        <w:rPr>
          <w:rFonts w:ascii="Times New Roman" w:hAnsi="Times New Roman"/>
          <w:color w:val="2B292A"/>
          <w:sz w:val="24"/>
          <w:szCs w:val="24"/>
        </w:rPr>
      </w:pPr>
      <w:r w:rsidRPr="009703E6">
        <w:rPr>
          <w:rFonts w:ascii="Times New Roman" w:hAnsi="Times New Roman"/>
          <w:color w:val="2B292A"/>
          <w:sz w:val="24"/>
          <w:szCs w:val="24"/>
        </w:rPr>
        <w:lastRenderedPageBreak/>
        <w:t xml:space="preserve">Strādājot pie 2021.gada budžeta, </w:t>
      </w:r>
      <w:r w:rsidR="006F2D5D">
        <w:rPr>
          <w:rFonts w:ascii="Times New Roman" w:hAnsi="Times New Roman"/>
          <w:color w:val="2B292A"/>
          <w:sz w:val="24"/>
          <w:szCs w:val="24"/>
        </w:rPr>
        <w:t>v</w:t>
      </w:r>
      <w:r w:rsidRPr="009703E6">
        <w:rPr>
          <w:rFonts w:ascii="Times New Roman" w:hAnsi="Times New Roman"/>
          <w:color w:val="2B292A"/>
          <w:sz w:val="24"/>
          <w:szCs w:val="24"/>
        </w:rPr>
        <w:t xml:space="preserve">aldība vienojās no 2021.gada samazināt </w:t>
      </w:r>
      <w:r w:rsidR="006F2D5D">
        <w:rPr>
          <w:rFonts w:ascii="Times New Roman" w:hAnsi="Times New Roman"/>
          <w:color w:val="2B292A"/>
          <w:sz w:val="24"/>
          <w:szCs w:val="24"/>
        </w:rPr>
        <w:t>VSAOI</w:t>
      </w:r>
      <w:r w:rsidRPr="009703E6">
        <w:rPr>
          <w:rFonts w:ascii="Times New Roman" w:hAnsi="Times New Roman"/>
          <w:color w:val="2B292A"/>
          <w:sz w:val="24"/>
          <w:szCs w:val="24"/>
        </w:rPr>
        <w:t xml:space="preserve"> par vienu procentpunktu </w:t>
      </w:r>
      <w:r w:rsidR="006F2D5D">
        <w:rPr>
          <w:rFonts w:ascii="Times New Roman" w:hAnsi="Times New Roman"/>
          <w:color w:val="2B292A"/>
          <w:sz w:val="24"/>
          <w:szCs w:val="24"/>
        </w:rPr>
        <w:t xml:space="preserve">- </w:t>
      </w:r>
      <w:r w:rsidRPr="009703E6">
        <w:rPr>
          <w:rFonts w:ascii="Times New Roman" w:hAnsi="Times New Roman"/>
          <w:color w:val="2B292A"/>
          <w:sz w:val="24"/>
          <w:szCs w:val="24"/>
        </w:rPr>
        <w:t xml:space="preserve">no 35,09% līdz ir 34,09 %. Tāpat valdība nolēma, ka no 2021.gada 1.janvāra, ievērojot pārejas periodu līdz 2021.gada 30.jūnijam, mikrouzņēmuma nodokļa maksātājs ir sociāli apdrošināms kā </w:t>
      </w:r>
      <w:r w:rsidRPr="0015154B">
        <w:rPr>
          <w:rFonts w:ascii="Times New Roman" w:hAnsi="Times New Roman"/>
          <w:color w:val="2B292A"/>
          <w:sz w:val="24"/>
          <w:szCs w:val="24"/>
        </w:rPr>
        <w:t>pašnodarbinātais, bet mikrouzņēmuma darbinieki – kā darba ņēmēji vispārējā gadījumā. No 2021.gada 1.jūlija savukārt paredzēts ieviest obligāto iemaksu minimumu. Minimālās obligātās sociālās iemaksas varēs nemaksāt vairākas iedzīvotāju grupas, piemēram,  personas, kas sasniegušas pensijas vai izdienas pensijas vecumu; personas ar I un II grupas invaliditāti, u.c. Iemaksas par sevi varēs nemaksāt pašnodarbinātais, ja viņam ir piešķirts trūcīgas personas statuss. No 2021.gada 1.jūlija līdz 31.decembrim autoratlīdzības izmaksātājs no autoratlīdzības ieturēs 25%, kas sadalās 80% valsts sociālās apdrošināšanas obligātajām iemaksām un 20% iedzīvotāju ienākuma nodoklim. Autoratlīdzības saņēmējs tiks apdrošināts ne tikai pensiju apdrošināšanai, bet arī invaliditātei, slimībai, maternitātei, paternitātei un veselībai.</w:t>
      </w:r>
    </w:p>
    <w:p w14:paraId="24E0BE2E" w14:textId="30054FED" w:rsidR="00310E26" w:rsidRPr="00425C73" w:rsidRDefault="00310E26" w:rsidP="006F2D5D">
      <w:pPr>
        <w:pStyle w:val="NormalWeb"/>
        <w:shd w:val="clear" w:color="auto" w:fill="FAFAFA"/>
        <w:spacing w:before="120" w:beforeAutospacing="0" w:after="0" w:afterAutospacing="0"/>
        <w:ind w:firstLine="709"/>
        <w:jc w:val="both"/>
        <w:rPr>
          <w:rFonts w:ascii="Times New Roman" w:hAnsi="Times New Roman"/>
          <w:color w:val="2B292A"/>
          <w:sz w:val="24"/>
          <w:szCs w:val="24"/>
        </w:rPr>
      </w:pPr>
      <w:r w:rsidRPr="00425C73">
        <w:rPr>
          <w:rFonts w:ascii="Times New Roman" w:hAnsi="Times New Roman"/>
          <w:color w:val="2B292A"/>
          <w:sz w:val="24"/>
          <w:szCs w:val="24"/>
        </w:rPr>
        <w:t xml:space="preserve">Ierosinātās izmaiņas </w:t>
      </w:r>
      <w:r w:rsidR="00425C73">
        <w:rPr>
          <w:rFonts w:ascii="Times New Roman" w:hAnsi="Times New Roman"/>
          <w:color w:val="2B292A"/>
          <w:sz w:val="24"/>
          <w:szCs w:val="24"/>
        </w:rPr>
        <w:t xml:space="preserve">no vienas puses </w:t>
      </w:r>
      <w:r w:rsidRPr="00425C73">
        <w:rPr>
          <w:rFonts w:ascii="Times New Roman" w:hAnsi="Times New Roman"/>
          <w:color w:val="2B292A"/>
          <w:sz w:val="24"/>
          <w:szCs w:val="24"/>
        </w:rPr>
        <w:t xml:space="preserve">uzlabos iedzīvotāju sociālo nodrošinātību gan </w:t>
      </w:r>
      <w:r w:rsidR="004A6572" w:rsidRPr="00425C73">
        <w:rPr>
          <w:rFonts w:ascii="Times New Roman" w:hAnsi="Times New Roman"/>
          <w:color w:val="2B292A"/>
          <w:sz w:val="24"/>
          <w:szCs w:val="24"/>
        </w:rPr>
        <w:t>saskaroties</w:t>
      </w:r>
      <w:r w:rsidRPr="00425C73">
        <w:rPr>
          <w:rFonts w:ascii="Times New Roman" w:hAnsi="Times New Roman"/>
          <w:color w:val="2B292A"/>
          <w:sz w:val="24"/>
          <w:szCs w:val="24"/>
        </w:rPr>
        <w:t xml:space="preserve"> ar īstermiņa riskiem (slimība), gan nākotnes perspektīvā </w:t>
      </w:r>
      <w:r w:rsidR="00425C73">
        <w:rPr>
          <w:rFonts w:ascii="Times New Roman" w:hAnsi="Times New Roman"/>
          <w:color w:val="2B292A"/>
          <w:sz w:val="24"/>
          <w:szCs w:val="24"/>
        </w:rPr>
        <w:t>varētu būt</w:t>
      </w:r>
      <w:r w:rsidRPr="00425C73">
        <w:rPr>
          <w:rFonts w:ascii="Times New Roman" w:hAnsi="Times New Roman"/>
          <w:color w:val="2B292A"/>
          <w:sz w:val="24"/>
          <w:szCs w:val="24"/>
        </w:rPr>
        <w:t xml:space="preserve"> pozitīva ietekme uz pensijas adekvātumu. </w:t>
      </w:r>
      <w:r w:rsidR="00425C73">
        <w:rPr>
          <w:rFonts w:ascii="Times New Roman" w:hAnsi="Times New Roman"/>
          <w:color w:val="2B292A"/>
          <w:sz w:val="24"/>
          <w:szCs w:val="24"/>
        </w:rPr>
        <w:t xml:space="preserve">Taču jārēķinās, ka iedzīvotāju spēja nomaksāt obligātās sociālās iemaksas noteiktā apmērā, lielā mērā ir atkarīga no nodarbinātības formas un regularitātes. Ekspertu vērtējumā piedāvātais risinājums nav līdz galam izsvērts un rada risku, ka darba devēji nebūs ieinteresēti veidot pusslodzes darba vietas. </w:t>
      </w:r>
      <w:r w:rsidRPr="00425C73">
        <w:rPr>
          <w:rFonts w:ascii="Times New Roman" w:hAnsi="Times New Roman"/>
          <w:color w:val="2B292A"/>
          <w:sz w:val="24"/>
          <w:szCs w:val="24"/>
        </w:rPr>
        <w:t>Ierosinātās izmaiņas 28.10.2020. apstiprināja Saeimā 1.lasījumā.</w:t>
      </w:r>
    </w:p>
    <w:p w14:paraId="2A88855C" w14:textId="77777777" w:rsidR="006D741D" w:rsidRPr="0025422D" w:rsidRDefault="006D741D" w:rsidP="006B1B19">
      <w:pPr>
        <w:spacing w:after="0" w:line="240" w:lineRule="auto"/>
        <w:ind w:firstLine="709"/>
        <w:jc w:val="both"/>
        <w:rPr>
          <w:rFonts w:ascii="Times New Roman" w:eastAsia="Calibri" w:hAnsi="Times New Roman" w:cs="Times New Roman"/>
          <w:sz w:val="24"/>
          <w:szCs w:val="24"/>
        </w:rPr>
      </w:pPr>
    </w:p>
    <w:p w14:paraId="5E0703E0" w14:textId="509FB3CC" w:rsidR="006B1B19" w:rsidRPr="009703E6" w:rsidRDefault="00930692" w:rsidP="00DA5144">
      <w:pPr>
        <w:pStyle w:val="Heading2"/>
      </w:pPr>
      <w:bookmarkStart w:id="23" w:name="_Toc55316067"/>
      <w:r w:rsidRPr="00A857F2">
        <w:t>Valsts sociālās apdrošināšanas pabalsti</w:t>
      </w:r>
      <w:bookmarkEnd w:id="23"/>
    </w:p>
    <w:p w14:paraId="1F5F22A1" w14:textId="3B1DF17A" w:rsidR="00AB239A" w:rsidRPr="0015154B" w:rsidRDefault="00C14421" w:rsidP="00C14421">
      <w:pPr>
        <w:spacing w:after="0" w:line="240" w:lineRule="auto"/>
        <w:ind w:firstLine="720"/>
        <w:jc w:val="both"/>
        <w:rPr>
          <w:rFonts w:ascii="Times New Roman" w:eastAsia="Times New Roman" w:hAnsi="Times New Roman" w:cs="Times New Roman"/>
          <w:bCs/>
          <w:sz w:val="24"/>
          <w:szCs w:val="24"/>
          <w:lang w:eastAsia="lv-LV"/>
        </w:rPr>
      </w:pPr>
      <w:r w:rsidRPr="009703E6">
        <w:rPr>
          <w:rFonts w:ascii="Times New Roman" w:eastAsia="Times New Roman" w:hAnsi="Times New Roman" w:cs="Times New Roman"/>
          <w:bCs/>
          <w:sz w:val="24"/>
          <w:szCs w:val="24"/>
          <w:lang w:eastAsia="lv-LV"/>
        </w:rPr>
        <w:t>Valsts s</w:t>
      </w:r>
      <w:r w:rsidR="002003E6" w:rsidRPr="0015154B">
        <w:rPr>
          <w:rFonts w:ascii="Times New Roman" w:eastAsia="Times New Roman" w:hAnsi="Times New Roman" w:cs="Times New Roman"/>
          <w:bCs/>
          <w:sz w:val="24"/>
          <w:szCs w:val="24"/>
          <w:lang w:eastAsia="lv-LV"/>
        </w:rPr>
        <w:t xml:space="preserve">ociālās apdrošināšanas pabalstu mērķis ir garantēt ienākumu aizvietojumu, zaudējot ienākumus no darba, kā arī pārejošas darba nespējas, darbspēju zaudējuma vai nāves gadījumā. </w:t>
      </w:r>
      <w:r w:rsidR="004D435A" w:rsidRPr="0015154B">
        <w:rPr>
          <w:rFonts w:ascii="Times New Roman" w:eastAsia="Times New Roman" w:hAnsi="Times New Roman" w:cs="Times New Roman"/>
          <w:bCs/>
          <w:sz w:val="24"/>
          <w:szCs w:val="24"/>
          <w:lang w:eastAsia="lv-LV"/>
        </w:rPr>
        <w:t xml:space="preserve">Valsts sociālās apdrošināšanas sistēmas ietvaros tiek </w:t>
      </w:r>
      <w:r w:rsidR="00971EBA" w:rsidRPr="0015154B">
        <w:rPr>
          <w:rFonts w:ascii="Times New Roman" w:eastAsia="Times New Roman" w:hAnsi="Times New Roman" w:cs="Times New Roman"/>
          <w:bCs/>
          <w:sz w:val="24"/>
          <w:szCs w:val="24"/>
          <w:lang w:eastAsia="lv-LV"/>
        </w:rPr>
        <w:t>nodrošināti šādi sociālās apdrošināšanas pabalstu veidi:</w:t>
      </w:r>
      <w:r w:rsidRPr="0015154B">
        <w:rPr>
          <w:rFonts w:ascii="Times New Roman" w:eastAsia="Times New Roman" w:hAnsi="Times New Roman" w:cs="Times New Roman"/>
          <w:bCs/>
          <w:sz w:val="24"/>
          <w:szCs w:val="24"/>
          <w:lang w:eastAsia="lv-LV"/>
        </w:rPr>
        <w:t xml:space="preserve"> </w:t>
      </w:r>
      <w:r w:rsidR="00971EBA" w:rsidRPr="0015154B">
        <w:rPr>
          <w:rFonts w:ascii="Times New Roman" w:eastAsia="Times New Roman" w:hAnsi="Times New Roman" w:cs="Times New Roman"/>
          <w:bCs/>
          <w:sz w:val="24"/>
          <w:szCs w:val="24"/>
          <w:lang w:eastAsia="lv-LV"/>
        </w:rPr>
        <w:t>maternitātes pabalsts</w:t>
      </w:r>
      <w:r w:rsidRPr="0015154B">
        <w:rPr>
          <w:rFonts w:ascii="Times New Roman" w:eastAsia="Times New Roman" w:hAnsi="Times New Roman" w:cs="Times New Roman"/>
          <w:bCs/>
          <w:sz w:val="24"/>
          <w:szCs w:val="24"/>
          <w:lang w:eastAsia="lv-LV"/>
        </w:rPr>
        <w:t xml:space="preserve">, </w:t>
      </w:r>
      <w:r w:rsidR="00971EBA" w:rsidRPr="0015154B">
        <w:rPr>
          <w:rFonts w:ascii="Times New Roman" w:eastAsia="Times New Roman" w:hAnsi="Times New Roman" w:cs="Times New Roman"/>
          <w:bCs/>
          <w:sz w:val="24"/>
          <w:szCs w:val="24"/>
          <w:lang w:eastAsia="lv-LV"/>
        </w:rPr>
        <w:t>paternitātes pabalsts</w:t>
      </w:r>
      <w:r w:rsidRPr="0015154B">
        <w:rPr>
          <w:rFonts w:ascii="Times New Roman" w:eastAsia="Times New Roman" w:hAnsi="Times New Roman" w:cs="Times New Roman"/>
          <w:bCs/>
          <w:sz w:val="24"/>
          <w:szCs w:val="24"/>
          <w:lang w:eastAsia="lv-LV"/>
        </w:rPr>
        <w:t xml:space="preserve">, </w:t>
      </w:r>
      <w:r w:rsidR="00971EBA" w:rsidRPr="0015154B">
        <w:rPr>
          <w:rFonts w:ascii="Times New Roman" w:eastAsia="Times New Roman" w:hAnsi="Times New Roman" w:cs="Times New Roman"/>
          <w:bCs/>
          <w:sz w:val="24"/>
          <w:szCs w:val="24"/>
          <w:lang w:eastAsia="lv-LV"/>
        </w:rPr>
        <w:t>vecāku pabalsts</w:t>
      </w:r>
      <w:r w:rsidRPr="0015154B">
        <w:rPr>
          <w:rFonts w:ascii="Times New Roman" w:eastAsia="Times New Roman" w:hAnsi="Times New Roman" w:cs="Times New Roman"/>
          <w:bCs/>
          <w:sz w:val="24"/>
          <w:szCs w:val="24"/>
          <w:lang w:eastAsia="lv-LV"/>
        </w:rPr>
        <w:t xml:space="preserve">, </w:t>
      </w:r>
      <w:r w:rsidR="00971EBA" w:rsidRPr="0015154B">
        <w:rPr>
          <w:rFonts w:ascii="Times New Roman" w:eastAsia="Times New Roman" w:hAnsi="Times New Roman" w:cs="Times New Roman"/>
          <w:bCs/>
          <w:sz w:val="24"/>
          <w:szCs w:val="24"/>
          <w:lang w:eastAsia="lv-LV"/>
        </w:rPr>
        <w:t>slimības pabalsts</w:t>
      </w:r>
      <w:r w:rsidRPr="0015154B">
        <w:rPr>
          <w:rFonts w:ascii="Times New Roman" w:eastAsia="Times New Roman" w:hAnsi="Times New Roman" w:cs="Times New Roman"/>
          <w:bCs/>
          <w:sz w:val="24"/>
          <w:szCs w:val="24"/>
          <w:lang w:eastAsia="lv-LV"/>
        </w:rPr>
        <w:t xml:space="preserve">, </w:t>
      </w:r>
      <w:r w:rsidR="00971EBA" w:rsidRPr="0015154B">
        <w:rPr>
          <w:rFonts w:ascii="Times New Roman" w:eastAsia="Times New Roman" w:hAnsi="Times New Roman" w:cs="Times New Roman"/>
          <w:bCs/>
          <w:sz w:val="24"/>
          <w:szCs w:val="24"/>
          <w:lang w:eastAsia="lv-LV"/>
        </w:rPr>
        <w:t>bezdarbnieka pabalsts</w:t>
      </w:r>
      <w:r w:rsidRPr="0015154B">
        <w:rPr>
          <w:rFonts w:ascii="Times New Roman" w:eastAsia="Times New Roman" w:hAnsi="Times New Roman" w:cs="Times New Roman"/>
          <w:bCs/>
          <w:sz w:val="24"/>
          <w:szCs w:val="24"/>
          <w:lang w:eastAsia="lv-LV"/>
        </w:rPr>
        <w:t xml:space="preserve">, </w:t>
      </w:r>
      <w:r w:rsidR="00AB239A" w:rsidRPr="0015154B">
        <w:rPr>
          <w:rFonts w:ascii="Times New Roman" w:eastAsia="Times New Roman" w:hAnsi="Times New Roman" w:cs="Times New Roman"/>
          <w:bCs/>
          <w:sz w:val="24"/>
          <w:szCs w:val="24"/>
          <w:lang w:eastAsia="lv-LV"/>
        </w:rPr>
        <w:t>atlīdzība par darbspēju zaudējumu</w:t>
      </w:r>
      <w:r w:rsidRPr="0015154B">
        <w:rPr>
          <w:rFonts w:ascii="Times New Roman" w:eastAsia="Times New Roman" w:hAnsi="Times New Roman" w:cs="Times New Roman"/>
          <w:bCs/>
          <w:sz w:val="24"/>
          <w:szCs w:val="24"/>
          <w:lang w:eastAsia="lv-LV"/>
        </w:rPr>
        <w:t xml:space="preserve">, </w:t>
      </w:r>
      <w:r w:rsidR="00AB239A" w:rsidRPr="0015154B">
        <w:rPr>
          <w:rFonts w:ascii="Times New Roman" w:eastAsia="Times New Roman" w:hAnsi="Times New Roman" w:cs="Times New Roman"/>
          <w:bCs/>
          <w:sz w:val="24"/>
          <w:szCs w:val="24"/>
          <w:lang w:eastAsia="lv-LV"/>
        </w:rPr>
        <w:t>apbedīšanas pabalsts</w:t>
      </w:r>
      <w:r w:rsidR="00CA449C" w:rsidRPr="0015154B">
        <w:rPr>
          <w:rFonts w:ascii="Times New Roman" w:eastAsia="Times New Roman" w:hAnsi="Times New Roman" w:cs="Times New Roman"/>
          <w:bCs/>
          <w:sz w:val="24"/>
          <w:szCs w:val="24"/>
          <w:lang w:eastAsia="lv-LV"/>
        </w:rPr>
        <w:t xml:space="preserve"> (</w:t>
      </w:r>
      <w:r w:rsidR="00CA449C" w:rsidRPr="0015154B">
        <w:rPr>
          <w:rFonts w:ascii="Times New Roman" w:eastAsia="Times New Roman" w:hAnsi="Times New Roman" w:cs="Times New Roman"/>
          <w:bCs/>
          <w:sz w:val="24"/>
          <w:szCs w:val="24"/>
          <w:highlight w:val="yellow"/>
          <w:lang w:eastAsia="lv-LV"/>
        </w:rPr>
        <w:t>skat. 3.pielikuma 4.tabulu</w:t>
      </w:r>
      <w:r w:rsidR="00CA449C" w:rsidRPr="0015154B">
        <w:rPr>
          <w:rFonts w:ascii="Times New Roman" w:eastAsia="Times New Roman" w:hAnsi="Times New Roman" w:cs="Times New Roman"/>
          <w:bCs/>
          <w:sz w:val="24"/>
          <w:szCs w:val="24"/>
          <w:lang w:eastAsia="lv-LV"/>
        </w:rPr>
        <w:t>)</w:t>
      </w:r>
      <w:r w:rsidR="00AB239A" w:rsidRPr="0015154B">
        <w:rPr>
          <w:rFonts w:ascii="Times New Roman" w:eastAsia="Times New Roman" w:hAnsi="Times New Roman" w:cs="Times New Roman"/>
          <w:bCs/>
          <w:sz w:val="24"/>
          <w:szCs w:val="24"/>
          <w:lang w:eastAsia="lv-LV"/>
        </w:rPr>
        <w:t>.</w:t>
      </w:r>
    </w:p>
    <w:p w14:paraId="4D085684" w14:textId="77777777" w:rsidR="008142D3" w:rsidRPr="0015154B" w:rsidRDefault="002003E6" w:rsidP="00760899">
      <w:pPr>
        <w:spacing w:after="0" w:line="240" w:lineRule="auto"/>
        <w:ind w:firstLine="720"/>
        <w:jc w:val="both"/>
        <w:rPr>
          <w:rFonts w:ascii="Times New Roman" w:eastAsia="Times New Roman" w:hAnsi="Times New Roman" w:cs="Times New Roman"/>
          <w:bCs/>
          <w:sz w:val="24"/>
          <w:szCs w:val="24"/>
          <w:lang w:eastAsia="lv-LV"/>
        </w:rPr>
      </w:pPr>
      <w:r w:rsidRPr="0015154B">
        <w:rPr>
          <w:rFonts w:ascii="Times New Roman" w:eastAsia="Times New Roman" w:hAnsi="Times New Roman" w:cs="Times New Roman"/>
          <w:b/>
          <w:bCs/>
          <w:sz w:val="24"/>
          <w:szCs w:val="24"/>
          <w:lang w:eastAsia="lv-LV"/>
        </w:rPr>
        <w:t>Būtiskākās izmaiņas</w:t>
      </w:r>
      <w:r w:rsidRPr="0015154B">
        <w:rPr>
          <w:rFonts w:ascii="Times New Roman" w:eastAsia="Times New Roman" w:hAnsi="Times New Roman" w:cs="Times New Roman"/>
          <w:bCs/>
          <w:sz w:val="24"/>
          <w:szCs w:val="24"/>
          <w:lang w:eastAsia="lv-LV"/>
        </w:rPr>
        <w:t xml:space="preserve"> valsts sociālās apdrošināšanas pabalstos 2014.-2020.gadā ir saistītas ar</w:t>
      </w:r>
      <w:r w:rsidR="008142D3" w:rsidRPr="0015154B">
        <w:rPr>
          <w:rFonts w:ascii="Times New Roman" w:eastAsia="Times New Roman" w:hAnsi="Times New Roman" w:cs="Times New Roman"/>
          <w:bCs/>
          <w:sz w:val="24"/>
          <w:szCs w:val="24"/>
          <w:lang w:eastAsia="lv-LV"/>
        </w:rPr>
        <w:t>:</w:t>
      </w:r>
    </w:p>
    <w:p w14:paraId="5D834169" w14:textId="23EE3E85" w:rsidR="00382BEA" w:rsidRPr="0015154B" w:rsidRDefault="003E49EA" w:rsidP="003E49EA">
      <w:pPr>
        <w:pStyle w:val="ListParagraph"/>
        <w:numPr>
          <w:ilvl w:val="0"/>
          <w:numId w:val="63"/>
        </w:numPr>
        <w:spacing w:before="240" w:after="240" w:line="240" w:lineRule="auto"/>
        <w:ind w:left="567" w:hanging="357"/>
        <w:contextualSpacing w:val="0"/>
        <w:jc w:val="both"/>
        <w:rPr>
          <w:rFonts w:ascii="Times New Roman" w:eastAsia="Times New Roman" w:hAnsi="Times New Roman" w:cs="Times New Roman"/>
          <w:b/>
          <w:bCs/>
          <w:color w:val="002060"/>
          <w:sz w:val="24"/>
          <w:szCs w:val="24"/>
          <w:lang w:eastAsia="lv-LV"/>
        </w:rPr>
      </w:pPr>
      <w:r w:rsidRPr="0015154B">
        <w:rPr>
          <w:rFonts w:ascii="Times New Roman" w:eastAsia="Times New Roman" w:hAnsi="Times New Roman" w:cs="Times New Roman"/>
          <w:b/>
          <w:bCs/>
          <w:color w:val="002060"/>
          <w:sz w:val="24"/>
          <w:szCs w:val="24"/>
          <w:lang w:eastAsia="lv-LV"/>
        </w:rPr>
        <w:t>K</w:t>
      </w:r>
      <w:r w:rsidR="00382BEA" w:rsidRPr="0015154B">
        <w:rPr>
          <w:rFonts w:ascii="Times New Roman" w:eastAsia="Times New Roman" w:hAnsi="Times New Roman" w:cs="Times New Roman"/>
          <w:b/>
          <w:bCs/>
          <w:color w:val="002060"/>
          <w:sz w:val="24"/>
          <w:szCs w:val="24"/>
          <w:lang w:eastAsia="lv-LV"/>
        </w:rPr>
        <w:t>rīzes periodā noteikto slimības, maternitātes, paternitātes, bezdarbnieku pabalstu izmaksājamo apmēru ierobežojumu atcelšanu</w:t>
      </w:r>
      <w:r w:rsidR="001F2872">
        <w:rPr>
          <w:rFonts w:ascii="Times New Roman" w:eastAsia="Times New Roman" w:hAnsi="Times New Roman" w:cs="Times New Roman"/>
          <w:b/>
          <w:bCs/>
          <w:color w:val="002060"/>
          <w:sz w:val="24"/>
          <w:szCs w:val="24"/>
          <w:lang w:eastAsia="lv-LV"/>
        </w:rPr>
        <w:t>;</w:t>
      </w:r>
    </w:p>
    <w:p w14:paraId="31CFDB22" w14:textId="2A8C7F3D" w:rsidR="004230EF" w:rsidRPr="0015154B" w:rsidRDefault="003E49EA" w:rsidP="003E49EA">
      <w:pPr>
        <w:pStyle w:val="ListParagraph"/>
        <w:numPr>
          <w:ilvl w:val="0"/>
          <w:numId w:val="63"/>
        </w:numPr>
        <w:spacing w:before="240" w:after="240" w:line="240" w:lineRule="auto"/>
        <w:ind w:left="567" w:hanging="357"/>
        <w:contextualSpacing w:val="0"/>
        <w:jc w:val="both"/>
        <w:rPr>
          <w:rFonts w:ascii="Times New Roman" w:eastAsia="Times New Roman" w:hAnsi="Times New Roman" w:cs="Times New Roman"/>
          <w:b/>
          <w:bCs/>
          <w:color w:val="002060"/>
          <w:sz w:val="24"/>
          <w:szCs w:val="24"/>
          <w:lang w:eastAsia="lv-LV"/>
        </w:rPr>
      </w:pPr>
      <w:r w:rsidRPr="0015154B">
        <w:rPr>
          <w:rFonts w:ascii="Times New Roman" w:eastAsia="Times New Roman" w:hAnsi="Times New Roman" w:cs="Times New Roman"/>
          <w:b/>
          <w:bCs/>
          <w:color w:val="002060"/>
          <w:sz w:val="24"/>
          <w:szCs w:val="24"/>
          <w:lang w:eastAsia="lv-LV"/>
        </w:rPr>
        <w:t>K</w:t>
      </w:r>
      <w:r w:rsidR="004230EF" w:rsidRPr="0015154B">
        <w:rPr>
          <w:rFonts w:ascii="Times New Roman" w:eastAsia="Times New Roman" w:hAnsi="Times New Roman" w:cs="Times New Roman"/>
          <w:b/>
          <w:bCs/>
          <w:color w:val="002060"/>
          <w:sz w:val="24"/>
          <w:szCs w:val="24"/>
          <w:lang w:eastAsia="lv-LV"/>
        </w:rPr>
        <w:t>valifikācijas perioda ieviešanu pabalsta saņemšanai</w:t>
      </w:r>
      <w:r w:rsidR="001F2872">
        <w:rPr>
          <w:rFonts w:ascii="Times New Roman" w:eastAsia="Times New Roman" w:hAnsi="Times New Roman" w:cs="Times New Roman"/>
          <w:b/>
          <w:bCs/>
          <w:color w:val="002060"/>
          <w:sz w:val="24"/>
          <w:szCs w:val="24"/>
          <w:lang w:eastAsia="lv-LV"/>
        </w:rPr>
        <w:t>:</w:t>
      </w:r>
    </w:p>
    <w:p w14:paraId="419DA713" w14:textId="6D6B3DC5" w:rsidR="00CA449C" w:rsidRPr="007157D3" w:rsidRDefault="00CA449C" w:rsidP="003E49EA">
      <w:pPr>
        <w:pStyle w:val="NormalWeb"/>
        <w:tabs>
          <w:tab w:val="left" w:pos="0"/>
        </w:tabs>
        <w:spacing w:before="120" w:beforeAutospacing="0" w:after="0" w:afterAutospacing="0"/>
        <w:jc w:val="both"/>
        <w:rPr>
          <w:rFonts w:ascii="Times New Roman" w:hAnsi="Times New Roman"/>
          <w:color w:val="000000"/>
          <w:spacing w:val="-4"/>
          <w:sz w:val="24"/>
          <w:szCs w:val="24"/>
        </w:rPr>
      </w:pPr>
      <w:r w:rsidRPr="0015154B">
        <w:rPr>
          <w:rFonts w:ascii="Times New Roman" w:hAnsi="Times New Roman"/>
          <w:sz w:val="24"/>
          <w:szCs w:val="24"/>
          <w:lang w:eastAsia="en-US"/>
        </w:rPr>
        <w:t xml:space="preserve">Kvalifikācijas periods īstermiņa pakalpojumiem galvenokārt tiek noteikts, lai novērstu pakalpojumu ļaunprātīgu izmantošanu, un atbilstoši Eiropas Padomes Sociālās drošības kodeksam (Code of Social Security, </w:t>
      </w:r>
      <w:r w:rsidRPr="0015154B">
        <w:rPr>
          <w:rFonts w:ascii="Times New Roman" w:hAnsi="Times New Roman"/>
          <w:sz w:val="24"/>
          <w:szCs w:val="24"/>
        </w:rPr>
        <w:t>Council of Europe</w:t>
      </w:r>
      <w:r w:rsidRPr="0015154B">
        <w:rPr>
          <w:rFonts w:ascii="Times New Roman" w:hAnsi="Times New Roman"/>
          <w:sz w:val="24"/>
          <w:szCs w:val="24"/>
          <w:lang w:eastAsia="en-US"/>
        </w:rPr>
        <w:t>) pabalsts attiecīgajā riska</w:t>
      </w:r>
      <w:r w:rsidRPr="0015154B">
        <w:rPr>
          <w:rFonts w:ascii="Times New Roman" w:hAnsi="Times New Roman"/>
          <w:color w:val="000000"/>
          <w:sz w:val="24"/>
          <w:szCs w:val="24"/>
          <w:lang w:eastAsia="en-US"/>
        </w:rPr>
        <w:t xml:space="preserve"> gadījumā ir jānodrošina vismaz aizsargātajai personai, kura ir uzkrājusi tādu kvalifikācijas periodu, kāds varētu tikt uzskatīts par pietiekamu, lai izvairītos no ļaunprātīgas tiesību izmantošanas. Latvijā kvalifikācijas periods līdz 2019.gada 31.decembrim bija noteikts bezdarbnieka pabalsta (</w:t>
      </w:r>
      <w:r w:rsidRPr="0015154B">
        <w:rPr>
          <w:rFonts w:ascii="Times New Roman" w:hAnsi="Times New Roman"/>
          <w:color w:val="000000"/>
          <w:sz w:val="24"/>
          <w:szCs w:val="24"/>
        </w:rPr>
        <w:t>sociālās iemaksas bezdarba gadījumam veikušas ne mazāk kā 12 mēnešus pēdējo 16 mēnešu periodā pirms bezdarbnieka statusa iegūšanas dienas</w:t>
      </w:r>
      <w:r w:rsidRPr="007157D3">
        <w:rPr>
          <w:rStyle w:val="FootnoteReference"/>
          <w:rFonts w:ascii="Times New Roman" w:hAnsi="Times New Roman"/>
          <w:color w:val="000000"/>
          <w:sz w:val="24"/>
          <w:szCs w:val="24"/>
        </w:rPr>
        <w:footnoteReference w:id="55"/>
      </w:r>
      <w:r w:rsidRPr="007157D3">
        <w:rPr>
          <w:rFonts w:ascii="Times New Roman" w:hAnsi="Times New Roman"/>
          <w:color w:val="000000"/>
          <w:sz w:val="24"/>
          <w:szCs w:val="24"/>
          <w:lang w:eastAsia="en-US"/>
        </w:rPr>
        <w:t>) un slimības pabalsta gadījumā (</w:t>
      </w:r>
      <w:r w:rsidRPr="007157D3">
        <w:rPr>
          <w:rFonts w:ascii="Times New Roman" w:hAnsi="Times New Roman"/>
          <w:bCs/>
          <w:iCs/>
          <w:sz w:val="24"/>
          <w:szCs w:val="24"/>
        </w:rPr>
        <w:t xml:space="preserve">sociālās iemaksas slimības apdrošināšanai jābūt veiktām ne mazāk kā 3 mēnešus pēdējo 6 mēnešu </w:t>
      </w:r>
      <w:r w:rsidRPr="007157D3">
        <w:rPr>
          <w:rFonts w:ascii="Times New Roman" w:hAnsi="Times New Roman"/>
          <w:bCs/>
          <w:iCs/>
          <w:sz w:val="24"/>
          <w:szCs w:val="24"/>
        </w:rPr>
        <w:lastRenderedPageBreak/>
        <w:t>periodā vai 6 mēnešus pēdējo 24 mēnešu periodā pirms mēneša, kurā iestājies apdrošināšanas gadījums</w:t>
      </w:r>
      <w:r w:rsidRPr="007157D3">
        <w:rPr>
          <w:rStyle w:val="FootnoteReference"/>
          <w:rFonts w:ascii="Times New Roman" w:hAnsi="Times New Roman"/>
          <w:bCs/>
          <w:iCs/>
          <w:sz w:val="24"/>
          <w:szCs w:val="24"/>
        </w:rPr>
        <w:footnoteReference w:id="56"/>
      </w:r>
      <w:r w:rsidRPr="007157D3">
        <w:rPr>
          <w:rFonts w:ascii="Times New Roman" w:hAnsi="Times New Roman"/>
          <w:bCs/>
          <w:iCs/>
          <w:sz w:val="24"/>
          <w:szCs w:val="24"/>
        </w:rPr>
        <w:t>)</w:t>
      </w:r>
      <w:r w:rsidRPr="007157D3">
        <w:rPr>
          <w:rFonts w:ascii="Times New Roman" w:hAnsi="Times New Roman"/>
          <w:color w:val="000000"/>
          <w:sz w:val="24"/>
          <w:szCs w:val="24"/>
          <w:lang w:eastAsia="en-US"/>
        </w:rPr>
        <w:t>.</w:t>
      </w:r>
    </w:p>
    <w:p w14:paraId="4864707B" w14:textId="5E70F79B" w:rsidR="00CA449C" w:rsidRPr="002F5278" w:rsidRDefault="009B4A30" w:rsidP="003E49EA">
      <w:pPr>
        <w:spacing w:before="120" w:after="0" w:line="240" w:lineRule="auto"/>
        <w:jc w:val="both"/>
        <w:rPr>
          <w:rFonts w:ascii="Times New Roman" w:hAnsi="Times New Roman" w:cs="Times New Roman"/>
          <w:color w:val="000000" w:themeColor="text1"/>
          <w:sz w:val="24"/>
          <w:szCs w:val="24"/>
        </w:rPr>
      </w:pPr>
      <w:r w:rsidRPr="007157D3">
        <w:rPr>
          <w:rFonts w:ascii="Times New Roman" w:hAnsi="Times New Roman" w:cs="Times New Roman"/>
          <w:color w:val="000000" w:themeColor="text1"/>
          <w:sz w:val="24"/>
          <w:szCs w:val="24"/>
        </w:rPr>
        <w:t>I</w:t>
      </w:r>
      <w:r w:rsidR="00CA449C" w:rsidRPr="007157D3">
        <w:rPr>
          <w:rFonts w:ascii="Times New Roman" w:hAnsi="Times New Roman" w:cs="Times New Roman"/>
          <w:color w:val="000000" w:themeColor="text1"/>
          <w:sz w:val="24"/>
          <w:szCs w:val="24"/>
        </w:rPr>
        <w:t>zvērtējot īstermiņa pakalpojumu piešķiršanas nosacījumus un dinamiku ilgākā laika periodā, bija</w:t>
      </w:r>
      <w:r w:rsidR="00CA449C" w:rsidRPr="002F5278">
        <w:rPr>
          <w:rFonts w:ascii="Times New Roman" w:hAnsi="Times New Roman" w:cs="Times New Roman"/>
          <w:color w:val="000000" w:themeColor="text1"/>
          <w:sz w:val="24"/>
          <w:szCs w:val="24"/>
        </w:rPr>
        <w:t xml:space="preserve"> konstatētas problēmsituācijas:</w:t>
      </w:r>
    </w:p>
    <w:p w14:paraId="503BF54D" w14:textId="77777777" w:rsidR="00CA449C" w:rsidRPr="0025422D" w:rsidRDefault="00CA449C" w:rsidP="0044313C">
      <w:pPr>
        <w:pStyle w:val="ListParagraph"/>
        <w:pBdr>
          <w:top w:val="single" w:sz="12" w:space="1" w:color="002060"/>
          <w:bottom w:val="single" w:sz="12" w:space="1" w:color="002060"/>
          <w:between w:val="single" w:sz="12" w:space="1" w:color="002060"/>
        </w:pBdr>
        <w:tabs>
          <w:tab w:val="left" w:pos="426"/>
        </w:tabs>
        <w:spacing w:before="120" w:line="240" w:lineRule="auto"/>
        <w:ind w:right="991"/>
        <w:contextualSpacing w:val="0"/>
        <w:jc w:val="both"/>
        <w:rPr>
          <w:rFonts w:ascii="Times New Roman" w:hAnsi="Times New Roman" w:cs="Times New Roman"/>
          <w:color w:val="000000" w:themeColor="text1"/>
          <w:sz w:val="24"/>
          <w:szCs w:val="24"/>
        </w:rPr>
      </w:pPr>
      <w:r w:rsidRPr="0025422D">
        <w:rPr>
          <w:rFonts w:ascii="Times New Roman" w:hAnsi="Times New Roman" w:cs="Times New Roman"/>
          <w:color w:val="000000" w:themeColor="text1"/>
          <w:sz w:val="24"/>
          <w:szCs w:val="24"/>
        </w:rPr>
        <w:t xml:space="preserve">persona ir bijusi nodarbināta un ilgstoši veikusi sociālās iemaksas, bet tieši apdrošināšanas gadījuma iestāšanās brīdi nav sociāli apdrošinātā persona, kā rezultātā tai nav tiesību uz attiecīgo pabalstu; </w:t>
      </w:r>
    </w:p>
    <w:p w14:paraId="273E63EA" w14:textId="77777777" w:rsidR="00CA449C" w:rsidRPr="009703E6" w:rsidRDefault="00CA449C" w:rsidP="0044313C">
      <w:pPr>
        <w:pStyle w:val="ListParagraph"/>
        <w:pBdr>
          <w:top w:val="single" w:sz="12" w:space="1" w:color="002060"/>
          <w:bottom w:val="single" w:sz="12" w:space="1" w:color="002060"/>
          <w:between w:val="single" w:sz="12" w:space="1" w:color="002060"/>
        </w:pBdr>
        <w:tabs>
          <w:tab w:val="left" w:pos="426"/>
        </w:tabs>
        <w:spacing w:before="120" w:line="240" w:lineRule="auto"/>
        <w:ind w:right="991"/>
        <w:contextualSpacing w:val="0"/>
        <w:jc w:val="both"/>
        <w:rPr>
          <w:rFonts w:ascii="Times New Roman" w:hAnsi="Times New Roman" w:cs="Times New Roman"/>
          <w:color w:val="000000" w:themeColor="text1"/>
          <w:sz w:val="24"/>
          <w:szCs w:val="24"/>
        </w:rPr>
      </w:pPr>
      <w:r w:rsidRPr="00A857F2">
        <w:rPr>
          <w:rFonts w:ascii="Times New Roman" w:hAnsi="Times New Roman" w:cs="Times New Roman"/>
          <w:color w:val="000000" w:themeColor="text1"/>
          <w:sz w:val="24"/>
          <w:szCs w:val="24"/>
        </w:rPr>
        <w:t>persona noslēdz darba tiesiskās attiecības vai iegūst pašnodarbinātā statusu (bieži vien formālas) īsi pirms attiecīgā apdrošināšanas</w:t>
      </w:r>
      <w:r w:rsidRPr="009703E6">
        <w:rPr>
          <w:rFonts w:ascii="Times New Roman" w:hAnsi="Times New Roman" w:cs="Times New Roman"/>
          <w:color w:val="000000" w:themeColor="text1"/>
          <w:sz w:val="24"/>
          <w:szCs w:val="24"/>
        </w:rPr>
        <w:t xml:space="preserve"> gadījuma iestāšanās, ar darba devēja starpniecību deklarē vai veic sociālās iemaksas dažus mēnešus, kā rezultātā iegūst tiesības uz attiecīgo pabalstu. </w:t>
      </w:r>
    </w:p>
    <w:p w14:paraId="1F8BD2CA" w14:textId="4FD934C4" w:rsidR="00CA449C" w:rsidRPr="0015154B" w:rsidRDefault="00CA449C" w:rsidP="003E49EA">
      <w:pPr>
        <w:tabs>
          <w:tab w:val="left" w:pos="426"/>
        </w:tabs>
        <w:spacing w:before="120" w:after="0" w:line="240" w:lineRule="auto"/>
        <w:jc w:val="both"/>
        <w:rPr>
          <w:rFonts w:ascii="Times New Roman" w:hAnsi="Times New Roman" w:cs="Times New Roman"/>
          <w:color w:val="000000" w:themeColor="text1"/>
          <w:sz w:val="24"/>
          <w:szCs w:val="24"/>
        </w:rPr>
      </w:pPr>
      <w:r w:rsidRPr="009703E6">
        <w:rPr>
          <w:rFonts w:ascii="Times New Roman" w:hAnsi="Times New Roman" w:cs="Times New Roman"/>
          <w:sz w:val="24"/>
          <w:szCs w:val="24"/>
        </w:rPr>
        <w:t>Līdzīgi arī mikrouzņēmuma gadījumā persona piereģistrējas VID kā saimnieciskās darbības veicējs mikrou</w:t>
      </w:r>
      <w:r w:rsidRPr="0015154B">
        <w:rPr>
          <w:rFonts w:ascii="Times New Roman" w:hAnsi="Times New Roman" w:cs="Times New Roman"/>
          <w:sz w:val="24"/>
          <w:szCs w:val="24"/>
        </w:rPr>
        <w:t xml:space="preserve">zņēmuma nodokļu režīmā, sociālās apdrošināšanas iemaksas neveicot nevienu dienu. Iestājoties kādam no minētajiem riskam, personai saskaņā ar šobrīd spēkā esošo likumdošanu ir tiesības uz pakalpojumu – maternitātes un paternitāte pabalsts tiks aprēķināts 70% apmērā no valstī noteiktās mēneša vidējās apdrošināšanas iemaksu algas (2019.gadā – </w:t>
      </w:r>
      <w:r w:rsidRPr="0015154B">
        <w:rPr>
          <w:rFonts w:ascii="Times New Roman" w:hAnsi="Times New Roman" w:cs="Times New Roman"/>
          <w:color w:val="000000"/>
          <w:sz w:val="24"/>
          <w:szCs w:val="24"/>
        </w:rPr>
        <w:t>908,89 e</w:t>
      </w:r>
      <w:r w:rsidR="00AC7FB3">
        <w:rPr>
          <w:rFonts w:ascii="Times New Roman" w:hAnsi="Times New Roman" w:cs="Times New Roman"/>
          <w:color w:val="000000"/>
          <w:sz w:val="24"/>
          <w:szCs w:val="24"/>
        </w:rPr>
        <w:t>i</w:t>
      </w:r>
      <w:r w:rsidRPr="0015154B">
        <w:rPr>
          <w:rFonts w:ascii="Times New Roman" w:hAnsi="Times New Roman" w:cs="Times New Roman"/>
          <w:color w:val="000000"/>
          <w:sz w:val="24"/>
          <w:szCs w:val="24"/>
        </w:rPr>
        <w:t>ro</w:t>
      </w:r>
      <w:r w:rsidRPr="0015154B">
        <w:rPr>
          <w:rFonts w:ascii="Times New Roman" w:hAnsi="Times New Roman" w:cs="Times New Roman"/>
          <w:sz w:val="24"/>
          <w:szCs w:val="24"/>
        </w:rPr>
        <w:t>), savukārt vecāku pabalsts  tiks aprēķināts 40% apmērā no valstī noteiktās mēneša vidējās apdrošināšanas iemaksu algas.</w:t>
      </w:r>
    </w:p>
    <w:p w14:paraId="7A592F70" w14:textId="77777777" w:rsidR="003E49EA" w:rsidRPr="0015154B" w:rsidRDefault="00CA449C" w:rsidP="003E49EA">
      <w:p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Rezultātā veidojās netaisnīga situācija attiecībā pret tām personām, kuras godīgi ilgtermiņā veikušas sociālās apdrošināšanas iemaksas. Minēto problēmu risinājumam, kvalifikācijas periods, sākot ar 2020.gada 1.septembri noteikts arī tādiem īstermiņa sociālās apdrošināšanas pabalstiem, kā maternitātes, paternitātes un vecāku pabalsts.</w:t>
      </w:r>
      <w:r w:rsidRPr="0015154B">
        <w:rPr>
          <w:rFonts w:ascii="Times New Roman" w:hAnsi="Times New Roman" w:cs="Times New Roman"/>
          <w:sz w:val="24"/>
          <w:szCs w:val="24"/>
        </w:rPr>
        <w:tab/>
      </w:r>
    </w:p>
    <w:p w14:paraId="3B155606" w14:textId="20C852B3" w:rsidR="004B73FB" w:rsidRPr="007157D3" w:rsidRDefault="003E49EA" w:rsidP="003E49EA">
      <w:pPr>
        <w:pStyle w:val="ListParagraph"/>
        <w:numPr>
          <w:ilvl w:val="0"/>
          <w:numId w:val="63"/>
        </w:numPr>
        <w:spacing w:before="240" w:after="240" w:line="240" w:lineRule="auto"/>
        <w:ind w:left="567" w:hanging="357"/>
        <w:contextualSpacing w:val="0"/>
        <w:jc w:val="both"/>
        <w:rPr>
          <w:rFonts w:ascii="Times New Roman" w:eastAsia="Times New Roman" w:hAnsi="Times New Roman" w:cs="Times New Roman"/>
          <w:b/>
          <w:bCs/>
          <w:color w:val="002060"/>
          <w:sz w:val="24"/>
          <w:szCs w:val="24"/>
          <w:lang w:eastAsia="lv-LV"/>
        </w:rPr>
      </w:pPr>
      <w:r w:rsidRPr="0015154B">
        <w:rPr>
          <w:rFonts w:ascii="Times New Roman" w:eastAsia="Times New Roman" w:hAnsi="Times New Roman" w:cs="Times New Roman"/>
          <w:b/>
          <w:bCs/>
          <w:color w:val="002060"/>
          <w:sz w:val="24"/>
          <w:szCs w:val="24"/>
          <w:lang w:eastAsia="lv-LV"/>
        </w:rPr>
        <w:t>S</w:t>
      </w:r>
      <w:r w:rsidR="008142D3" w:rsidRPr="0015154B">
        <w:rPr>
          <w:rFonts w:ascii="Times New Roman" w:eastAsia="Times New Roman" w:hAnsi="Times New Roman" w:cs="Times New Roman"/>
          <w:b/>
          <w:bCs/>
          <w:color w:val="002060"/>
          <w:sz w:val="24"/>
          <w:szCs w:val="24"/>
          <w:lang w:eastAsia="lv-LV"/>
        </w:rPr>
        <w:t>tingrāku nosacījumu ieviešanu bezdarbnieka pabalsta saņemšanai gan attiecībā uz izmaksas periodu, gan pabalsta apmēru</w:t>
      </w:r>
      <w:r w:rsidR="00313673" w:rsidRPr="007157D3">
        <w:rPr>
          <w:rStyle w:val="FootnoteReference"/>
          <w:rFonts w:ascii="Times New Roman" w:eastAsia="Times New Roman" w:hAnsi="Times New Roman" w:cs="Times New Roman"/>
          <w:spacing w:val="-4"/>
          <w:sz w:val="24"/>
          <w:szCs w:val="24"/>
          <w:lang w:eastAsia="lv-LV"/>
        </w:rPr>
        <w:footnoteReference w:id="57"/>
      </w:r>
      <w:r w:rsidR="00CB7A30">
        <w:rPr>
          <w:rFonts w:ascii="Times New Roman" w:eastAsia="Times New Roman" w:hAnsi="Times New Roman" w:cs="Times New Roman"/>
          <w:b/>
          <w:bCs/>
          <w:color w:val="002060"/>
          <w:sz w:val="24"/>
          <w:szCs w:val="24"/>
          <w:lang w:eastAsia="lv-LV"/>
        </w:rPr>
        <w:t>;</w:t>
      </w:r>
    </w:p>
    <w:p w14:paraId="77ED5D21" w14:textId="769CB8F9" w:rsidR="003E49EA" w:rsidRPr="007157D3" w:rsidRDefault="003E49EA" w:rsidP="003E49EA">
      <w:pPr>
        <w:pStyle w:val="ListParagraph"/>
        <w:numPr>
          <w:ilvl w:val="0"/>
          <w:numId w:val="63"/>
        </w:numPr>
        <w:spacing w:before="240" w:after="240" w:line="240" w:lineRule="auto"/>
        <w:ind w:left="567" w:hanging="357"/>
        <w:contextualSpacing w:val="0"/>
        <w:jc w:val="both"/>
        <w:rPr>
          <w:rFonts w:ascii="Times New Roman" w:eastAsia="Times New Roman" w:hAnsi="Times New Roman" w:cs="Times New Roman"/>
          <w:b/>
          <w:bCs/>
          <w:color w:val="002060"/>
          <w:sz w:val="24"/>
          <w:szCs w:val="24"/>
          <w:lang w:eastAsia="lv-LV"/>
        </w:rPr>
      </w:pPr>
      <w:r w:rsidRPr="007157D3">
        <w:rPr>
          <w:rFonts w:ascii="Times New Roman" w:eastAsia="Times New Roman" w:hAnsi="Times New Roman" w:cs="Times New Roman"/>
          <w:b/>
          <w:bCs/>
          <w:color w:val="002060"/>
          <w:sz w:val="24"/>
          <w:szCs w:val="24"/>
          <w:lang w:eastAsia="lv-LV"/>
        </w:rPr>
        <w:t>S</w:t>
      </w:r>
      <w:r w:rsidR="004B73FB" w:rsidRPr="007157D3">
        <w:rPr>
          <w:rFonts w:ascii="Times New Roman" w:eastAsia="Times New Roman" w:hAnsi="Times New Roman" w:cs="Times New Roman"/>
          <w:b/>
          <w:bCs/>
          <w:color w:val="002060"/>
          <w:sz w:val="24"/>
          <w:szCs w:val="24"/>
          <w:lang w:eastAsia="lv-LV"/>
        </w:rPr>
        <w:t>limības pabalsta izmaksas nosacījumu pilnveidošana</w:t>
      </w:r>
      <w:r w:rsidR="00CB7A30">
        <w:rPr>
          <w:rFonts w:ascii="Times New Roman" w:eastAsia="Times New Roman" w:hAnsi="Times New Roman" w:cs="Times New Roman"/>
          <w:b/>
          <w:bCs/>
          <w:color w:val="002060"/>
          <w:sz w:val="24"/>
          <w:szCs w:val="24"/>
          <w:lang w:eastAsia="lv-LV"/>
        </w:rPr>
        <w:t>,</w:t>
      </w:r>
    </w:p>
    <w:p w14:paraId="71178215" w14:textId="48DB8CEF" w:rsidR="004B73FB" w:rsidRPr="002F5278" w:rsidRDefault="004B73FB" w:rsidP="00A56436">
      <w:pPr>
        <w:spacing w:after="0" w:line="240" w:lineRule="auto"/>
        <w:jc w:val="both"/>
        <w:rPr>
          <w:rFonts w:ascii="Times New Roman" w:eastAsia="Times New Roman" w:hAnsi="Times New Roman" w:cs="Times New Roman"/>
          <w:bCs/>
          <w:sz w:val="24"/>
          <w:szCs w:val="24"/>
          <w:lang w:eastAsia="lv-LV"/>
        </w:rPr>
      </w:pPr>
      <w:r w:rsidRPr="002F5278">
        <w:rPr>
          <w:rFonts w:ascii="Times New Roman" w:eastAsia="Times New Roman" w:hAnsi="Times New Roman" w:cs="Times New Roman"/>
          <w:bCs/>
          <w:sz w:val="24"/>
          <w:szCs w:val="24"/>
          <w:lang w:eastAsia="lv-LV"/>
        </w:rPr>
        <w:t xml:space="preserve">lai sniegtu atbilstošāku atbalstu personām, kuras </w:t>
      </w:r>
      <w:r w:rsidR="009321C8" w:rsidRPr="0025422D">
        <w:rPr>
          <w:rFonts w:ascii="Times New Roman" w:eastAsia="Times New Roman" w:hAnsi="Times New Roman" w:cs="Times New Roman"/>
          <w:sz w:val="24"/>
          <w:szCs w:val="24"/>
          <w:lang w:eastAsia="lv-LV"/>
        </w:rPr>
        <w:t xml:space="preserve">kopj slimu bērnu vecumā līdz 18 gadiem, kuram </w:t>
      </w:r>
      <w:r w:rsidR="009321C8" w:rsidRPr="0025422D">
        <w:rPr>
          <w:rStyle w:val="Strong"/>
          <w:rFonts w:ascii="Times New Roman" w:hAnsi="Times New Roman" w:cs="Times New Roman"/>
          <w:b w:val="0"/>
          <w:color w:val="000000"/>
          <w:sz w:val="24"/>
          <w:szCs w:val="24"/>
        </w:rPr>
        <w:t>diagnosticēta smaga saslimšana (šādos gadījumos ir jābūt</w:t>
      </w:r>
      <w:r w:rsidR="009321C8" w:rsidRPr="00A857F2">
        <w:rPr>
          <w:rFonts w:ascii="Times New Roman" w:eastAsia="Times New Roman" w:hAnsi="Times New Roman" w:cs="Times New Roman"/>
          <w:sz w:val="24"/>
          <w:szCs w:val="24"/>
          <w:lang w:eastAsia="lv-LV"/>
        </w:rPr>
        <w:t xml:space="preserve"> </w:t>
      </w:r>
      <w:r w:rsidR="009321C8" w:rsidRPr="009703E6">
        <w:rPr>
          <w:rFonts w:ascii="Times New Roman" w:eastAsia="Times New Roman" w:hAnsi="Times New Roman" w:cs="Times New Roman"/>
          <w:color w:val="000000"/>
          <w:sz w:val="24"/>
          <w:szCs w:val="24"/>
          <w:lang w:eastAsia="lv-LV"/>
        </w:rPr>
        <w:t>valsts SIA „Bērnu klīniskās universitātes slimnīca” ārstu konsīlija atzinumam par vecāka nepārtrauktas klātbūtnes nepieciešamību smagas saslimšanas dēļ)</w:t>
      </w:r>
      <w:r w:rsidR="009321C8" w:rsidRPr="007157D3">
        <w:rPr>
          <w:rStyle w:val="FootnoteReference"/>
          <w:rFonts w:ascii="Times New Roman" w:hAnsi="Times New Roman" w:cs="Times New Roman"/>
          <w:color w:val="000000"/>
          <w:sz w:val="24"/>
          <w:szCs w:val="24"/>
          <w:lang w:eastAsia="lv-LV"/>
        </w:rPr>
        <w:footnoteReference w:id="58"/>
      </w:r>
      <w:r w:rsidR="009321C8" w:rsidRPr="007157D3">
        <w:rPr>
          <w:rFonts w:ascii="Times New Roman" w:eastAsia="Times New Roman" w:hAnsi="Times New Roman" w:cs="Times New Roman"/>
          <w:color w:val="000000"/>
          <w:sz w:val="24"/>
          <w:szCs w:val="24"/>
          <w:lang w:eastAsia="lv-LV"/>
        </w:rPr>
        <w:t>, vai par bērnu</w:t>
      </w:r>
      <w:r w:rsidR="00310E26" w:rsidRPr="007157D3">
        <w:rPr>
          <w:rFonts w:ascii="Times New Roman" w:eastAsia="Times New Roman" w:hAnsi="Times New Roman" w:cs="Times New Roman"/>
          <w:color w:val="000000"/>
          <w:sz w:val="24"/>
          <w:szCs w:val="24"/>
          <w:lang w:eastAsia="lv-LV"/>
        </w:rPr>
        <w:t>, kuram</w:t>
      </w:r>
      <w:r w:rsidR="009321C8" w:rsidRPr="007157D3">
        <w:rPr>
          <w:rFonts w:ascii="Times New Roman" w:eastAsia="Times New Roman" w:hAnsi="Times New Roman" w:cs="Times New Roman"/>
          <w:color w:val="000000"/>
          <w:sz w:val="24"/>
          <w:szCs w:val="24"/>
          <w:lang w:eastAsia="lv-LV"/>
        </w:rPr>
        <w:t xml:space="preserve"> ir piešķirts bērna ar invaliditāti kopšanas pabalsts.</w:t>
      </w:r>
      <w:r w:rsidR="009321C8" w:rsidRPr="007157D3">
        <w:rPr>
          <w:rStyle w:val="FootnoteReference"/>
          <w:rFonts w:ascii="Times New Roman" w:hAnsi="Times New Roman" w:cs="Times New Roman"/>
          <w:color w:val="000000"/>
          <w:sz w:val="24"/>
          <w:szCs w:val="24"/>
          <w:lang w:eastAsia="lv-LV"/>
        </w:rPr>
        <w:footnoteReference w:id="59"/>
      </w:r>
      <w:r w:rsidR="009321C8" w:rsidRPr="007157D3">
        <w:rPr>
          <w:rFonts w:ascii="Times New Roman" w:eastAsia="Times New Roman" w:hAnsi="Times New Roman" w:cs="Times New Roman"/>
          <w:color w:val="000000"/>
          <w:sz w:val="24"/>
          <w:szCs w:val="24"/>
          <w:lang w:eastAsia="lv-LV"/>
        </w:rPr>
        <w:t xml:space="preserve"> Savukārt no 2021.gada 1.janvāra ir pagarināts slimības pabalsta izmaksas ilgums līdz </w:t>
      </w:r>
      <w:r w:rsidR="009321C8" w:rsidRPr="007157D3">
        <w:rPr>
          <w:rFonts w:ascii="Times New Roman" w:eastAsia="Times New Roman" w:hAnsi="Times New Roman" w:cs="Times New Roman"/>
          <w:sz w:val="24"/>
          <w:szCs w:val="24"/>
          <w:lang w:eastAsia="lv-LV"/>
        </w:rPr>
        <w:t>darbnespējas 30 dienai situācijā, ja bērns vecumā līdz 14 gadiem kopjams traumas dēļ, kas saistīta ar kaulu lūzumu</w:t>
      </w:r>
      <w:r w:rsidR="00900EDB" w:rsidRPr="002F5278">
        <w:rPr>
          <w:rFonts w:ascii="Times New Roman" w:eastAsia="Times New Roman" w:hAnsi="Times New Roman" w:cs="Times New Roman"/>
          <w:color w:val="000000"/>
          <w:sz w:val="24"/>
          <w:szCs w:val="24"/>
          <w:lang w:eastAsia="lv-LV"/>
        </w:rPr>
        <w:t>.</w:t>
      </w:r>
    </w:p>
    <w:p w14:paraId="49ACAE29" w14:textId="3046194F" w:rsidR="00635716" w:rsidRPr="007157D3" w:rsidRDefault="003E49EA" w:rsidP="003E49EA">
      <w:pPr>
        <w:pStyle w:val="ListParagraph"/>
        <w:numPr>
          <w:ilvl w:val="0"/>
          <w:numId w:val="63"/>
        </w:numPr>
        <w:spacing w:before="240" w:after="240" w:line="240" w:lineRule="auto"/>
        <w:ind w:left="567" w:hanging="357"/>
        <w:contextualSpacing w:val="0"/>
        <w:jc w:val="both"/>
        <w:rPr>
          <w:rFonts w:ascii="Times New Roman" w:eastAsia="Times New Roman" w:hAnsi="Times New Roman" w:cs="Times New Roman"/>
          <w:b/>
          <w:bCs/>
          <w:color w:val="002060"/>
          <w:sz w:val="24"/>
          <w:szCs w:val="24"/>
          <w:lang w:eastAsia="lv-LV"/>
        </w:rPr>
      </w:pPr>
      <w:r w:rsidRPr="0025422D">
        <w:rPr>
          <w:rFonts w:ascii="Times New Roman" w:eastAsia="Times New Roman" w:hAnsi="Times New Roman" w:cs="Times New Roman"/>
          <w:b/>
          <w:bCs/>
          <w:color w:val="002060"/>
          <w:sz w:val="24"/>
          <w:szCs w:val="24"/>
          <w:lang w:eastAsia="lv-LV"/>
        </w:rPr>
        <w:lastRenderedPageBreak/>
        <w:t>P</w:t>
      </w:r>
      <w:r w:rsidR="00635716" w:rsidRPr="0025422D">
        <w:rPr>
          <w:rFonts w:ascii="Times New Roman" w:eastAsia="Times New Roman" w:hAnsi="Times New Roman" w:cs="Times New Roman"/>
          <w:b/>
          <w:bCs/>
          <w:color w:val="002060"/>
          <w:sz w:val="24"/>
          <w:szCs w:val="24"/>
          <w:lang w:eastAsia="lv-LV"/>
        </w:rPr>
        <w:t>aaugstināta atsevišķu sociālo pabalstu saņēmēju sociālā aizsardzība vecuma, invaliditātes un bezdarba gadījumā</w:t>
      </w:r>
      <w:r w:rsidR="00635716" w:rsidRPr="007157D3">
        <w:rPr>
          <w:rStyle w:val="FootnoteReference"/>
          <w:rFonts w:ascii="Times New Roman" w:eastAsia="Times New Roman" w:hAnsi="Times New Roman" w:cs="Times New Roman"/>
          <w:bCs/>
          <w:sz w:val="24"/>
          <w:szCs w:val="24"/>
          <w:lang w:eastAsia="lv-LV"/>
        </w:rPr>
        <w:footnoteReference w:id="60"/>
      </w:r>
      <w:r w:rsidRPr="007157D3">
        <w:rPr>
          <w:rFonts w:ascii="Times New Roman" w:eastAsia="Times New Roman" w:hAnsi="Times New Roman" w:cs="Times New Roman"/>
          <w:b/>
          <w:bCs/>
          <w:color w:val="002060"/>
          <w:sz w:val="24"/>
          <w:szCs w:val="24"/>
          <w:lang w:eastAsia="lv-LV"/>
        </w:rPr>
        <w:t>.</w:t>
      </w:r>
    </w:p>
    <w:p w14:paraId="1F3A7D0F" w14:textId="45FCCC8E" w:rsidR="004B73FB" w:rsidRPr="007157D3" w:rsidRDefault="004B73FB" w:rsidP="004B73FB">
      <w:pPr>
        <w:spacing w:after="0" w:line="240" w:lineRule="auto"/>
        <w:ind w:left="714"/>
        <w:jc w:val="both"/>
        <w:rPr>
          <w:rFonts w:ascii="Times New Roman" w:eastAsia="Times New Roman" w:hAnsi="Times New Roman" w:cs="Times New Roman"/>
          <w:sz w:val="24"/>
          <w:szCs w:val="24"/>
          <w:u w:val="single"/>
          <w:lang w:eastAsia="lv-LV"/>
        </w:rPr>
      </w:pPr>
    </w:p>
    <w:p w14:paraId="237FDA9D" w14:textId="42D957B2" w:rsidR="007111B1" w:rsidRPr="00A857F2" w:rsidRDefault="00B54290" w:rsidP="00CB2133">
      <w:pPr>
        <w:spacing w:before="120" w:after="0" w:line="240" w:lineRule="auto"/>
        <w:ind w:firstLine="720"/>
        <w:jc w:val="both"/>
        <w:rPr>
          <w:rFonts w:ascii="Times New Roman" w:eastAsia="Times New Roman" w:hAnsi="Times New Roman" w:cs="Times New Roman"/>
          <w:bCs/>
          <w:sz w:val="24"/>
          <w:szCs w:val="24"/>
          <w:lang w:eastAsia="lv-LV"/>
        </w:rPr>
      </w:pPr>
      <w:r w:rsidRPr="007157D3">
        <w:rPr>
          <w:rFonts w:ascii="Times New Roman" w:eastAsia="Times New Roman" w:hAnsi="Times New Roman" w:cs="Times New Roman"/>
          <w:bCs/>
          <w:sz w:val="24"/>
          <w:szCs w:val="24"/>
          <w:lang w:eastAsia="lv-LV"/>
        </w:rPr>
        <w:t xml:space="preserve">Analizējot sociālās apdrošināšanas pabalstu piešķiršanas nosacījumus, </w:t>
      </w:r>
      <w:r w:rsidR="00B95E54" w:rsidRPr="007157D3">
        <w:rPr>
          <w:rFonts w:ascii="Times New Roman" w:eastAsia="Times New Roman" w:hAnsi="Times New Roman" w:cs="Times New Roman"/>
          <w:bCs/>
          <w:sz w:val="24"/>
          <w:szCs w:val="24"/>
          <w:lang w:eastAsia="lv-LV"/>
        </w:rPr>
        <w:t>kā būtiskākie izaicinājumi un identificētās problēmas, kas potenciāli var ietekmēt sistēmiskas izmaiņas</w:t>
      </w:r>
      <w:r w:rsidR="003804D2" w:rsidRPr="002F5278">
        <w:rPr>
          <w:rFonts w:ascii="Times New Roman" w:eastAsia="Times New Roman" w:hAnsi="Times New Roman" w:cs="Times New Roman"/>
          <w:bCs/>
          <w:sz w:val="24"/>
          <w:szCs w:val="24"/>
          <w:lang w:eastAsia="lv-LV"/>
        </w:rPr>
        <w:t xml:space="preserve"> vidējā termiņā</w:t>
      </w:r>
      <w:r w:rsidR="00B95E54" w:rsidRPr="0025422D">
        <w:rPr>
          <w:rFonts w:ascii="Times New Roman" w:eastAsia="Times New Roman" w:hAnsi="Times New Roman" w:cs="Times New Roman"/>
          <w:bCs/>
          <w:sz w:val="24"/>
          <w:szCs w:val="24"/>
          <w:lang w:eastAsia="lv-LV"/>
        </w:rPr>
        <w:t>, jānorāda</w:t>
      </w:r>
      <w:r w:rsidRPr="0025422D">
        <w:rPr>
          <w:rFonts w:ascii="Times New Roman" w:eastAsia="Times New Roman" w:hAnsi="Times New Roman" w:cs="Times New Roman"/>
          <w:bCs/>
          <w:sz w:val="24"/>
          <w:szCs w:val="24"/>
          <w:lang w:eastAsia="lv-LV"/>
        </w:rPr>
        <w:t>:</w:t>
      </w:r>
    </w:p>
    <w:p w14:paraId="27063224" w14:textId="77777777" w:rsidR="00583BA7" w:rsidRPr="009703E6" w:rsidRDefault="00583BA7" w:rsidP="00CB2133">
      <w:pPr>
        <w:spacing w:before="120" w:after="0" w:line="240" w:lineRule="auto"/>
        <w:ind w:firstLine="720"/>
        <w:jc w:val="both"/>
        <w:rPr>
          <w:rFonts w:ascii="Times New Roman" w:eastAsia="Times New Roman" w:hAnsi="Times New Roman" w:cs="Times New Roman"/>
          <w:bCs/>
          <w:sz w:val="24"/>
          <w:szCs w:val="24"/>
          <w:lang w:eastAsia="lv-LV"/>
        </w:rPr>
      </w:pPr>
    </w:p>
    <w:p w14:paraId="4022EF52" w14:textId="7338BB53" w:rsidR="00832D1E" w:rsidRPr="007157D3" w:rsidRDefault="00583BA7" w:rsidP="00583BA7">
      <w:pPr>
        <w:pStyle w:val="ListParagraph"/>
        <w:numPr>
          <w:ilvl w:val="0"/>
          <w:numId w:val="64"/>
        </w:numPr>
        <w:pBdr>
          <w:left w:val="single" w:sz="24" w:space="4" w:color="549E39" w:themeColor="accent1"/>
        </w:pBdr>
        <w:shd w:val="clear" w:color="auto" w:fill="FFFFFF"/>
        <w:autoSpaceDE w:val="0"/>
        <w:autoSpaceDN w:val="0"/>
        <w:adjustRightInd w:val="0"/>
        <w:spacing w:before="120" w:line="240" w:lineRule="auto"/>
        <w:ind w:left="425" w:hanging="357"/>
        <w:contextualSpacing w:val="0"/>
        <w:jc w:val="both"/>
        <w:rPr>
          <w:rFonts w:ascii="Times New Roman" w:eastAsia="Times New Roman" w:hAnsi="Times New Roman" w:cs="Times New Roman"/>
          <w:color w:val="002060"/>
          <w:sz w:val="24"/>
          <w:szCs w:val="24"/>
          <w:lang w:eastAsia="lv-LV"/>
        </w:rPr>
      </w:pPr>
      <w:r w:rsidRPr="009703E6">
        <w:rPr>
          <w:rFonts w:ascii="Times New Roman" w:eastAsia="Times New Roman" w:hAnsi="Times New Roman" w:cs="Times New Roman"/>
          <w:bCs/>
          <w:color w:val="002060"/>
          <w:sz w:val="24"/>
          <w:szCs w:val="24"/>
          <w:lang w:eastAsia="lv-LV"/>
        </w:rPr>
        <w:t>S</w:t>
      </w:r>
      <w:r w:rsidR="00313673" w:rsidRPr="0015154B">
        <w:rPr>
          <w:rFonts w:ascii="Times New Roman" w:eastAsia="Times New Roman" w:hAnsi="Times New Roman" w:cs="Times New Roman"/>
          <w:bCs/>
          <w:color w:val="002060"/>
          <w:sz w:val="24"/>
          <w:szCs w:val="24"/>
          <w:lang w:eastAsia="lv-LV"/>
        </w:rPr>
        <w:t>alīdzinājumā ar citām ES dalībvalstīm</w:t>
      </w:r>
      <w:r w:rsidR="00313673" w:rsidRPr="007157D3">
        <w:rPr>
          <w:rStyle w:val="FootnoteReference"/>
          <w:rFonts w:ascii="Times New Roman" w:hAnsi="Times New Roman" w:cs="Times New Roman"/>
          <w:color w:val="002060"/>
          <w:sz w:val="24"/>
          <w:szCs w:val="24"/>
          <w:lang w:eastAsia="lv-LV"/>
        </w:rPr>
        <w:footnoteReference w:id="61"/>
      </w:r>
      <w:r w:rsidR="00313673" w:rsidRPr="007157D3">
        <w:rPr>
          <w:rFonts w:ascii="Times New Roman" w:hAnsi="Times New Roman" w:cs="Times New Roman"/>
          <w:color w:val="002060"/>
          <w:sz w:val="24"/>
          <w:szCs w:val="24"/>
          <w:lang w:eastAsia="lv-LV"/>
        </w:rPr>
        <w:t xml:space="preserve"> Latvijā ir relatīvi viegli nosacījumi </w:t>
      </w:r>
      <w:r w:rsidR="00313673" w:rsidRPr="007157D3">
        <w:rPr>
          <w:rFonts w:ascii="Times New Roman" w:hAnsi="Times New Roman" w:cs="Times New Roman"/>
          <w:b/>
          <w:color w:val="002060"/>
          <w:sz w:val="24"/>
          <w:szCs w:val="24"/>
          <w:lang w:eastAsia="lv-LV"/>
        </w:rPr>
        <w:t>bezdarbnieka pabalsta</w:t>
      </w:r>
      <w:r w:rsidR="00313673" w:rsidRPr="007157D3">
        <w:rPr>
          <w:rFonts w:ascii="Times New Roman" w:hAnsi="Times New Roman" w:cs="Times New Roman"/>
          <w:color w:val="002060"/>
          <w:sz w:val="24"/>
          <w:szCs w:val="24"/>
          <w:lang w:eastAsia="lv-LV"/>
        </w:rPr>
        <w:t xml:space="preserve"> saņemšanai, bet stingri nosacījumi pabalsta apmēra noteikšanā, īpaši attiecībā uz darba ņēmējiem ar zemiem ienākumiem.</w:t>
      </w:r>
    </w:p>
    <w:p w14:paraId="1D129E0C" w14:textId="5AA031E9" w:rsidR="00051FF7" w:rsidRPr="0015154B" w:rsidRDefault="00313673" w:rsidP="00583BA7">
      <w:pPr>
        <w:pStyle w:val="ListParagraph"/>
        <w:shd w:val="clear" w:color="auto" w:fill="FFFFFF"/>
        <w:autoSpaceDE w:val="0"/>
        <w:autoSpaceDN w:val="0"/>
        <w:adjustRightInd w:val="0"/>
        <w:spacing w:before="120" w:after="0" w:line="240" w:lineRule="auto"/>
        <w:ind w:left="284"/>
        <w:jc w:val="both"/>
        <w:rPr>
          <w:rFonts w:ascii="Times New Roman" w:eastAsia="Times New Roman" w:hAnsi="Times New Roman" w:cs="Times New Roman"/>
          <w:color w:val="000000"/>
          <w:sz w:val="24"/>
          <w:szCs w:val="24"/>
          <w:lang w:eastAsia="lv-LV"/>
        </w:rPr>
      </w:pPr>
      <w:r w:rsidRPr="002F5278">
        <w:rPr>
          <w:rFonts w:ascii="Times New Roman" w:hAnsi="Times New Roman" w:cs="Times New Roman"/>
          <w:sz w:val="24"/>
          <w:szCs w:val="24"/>
          <w:lang w:eastAsia="lv-LV"/>
        </w:rPr>
        <w:t>Neraugoties uz to, ka Latvijā atvietojuma līmenis bezdarba gadījumā vidēji ir līdzvērtīgs citu ES dalībvalstu atvietojuma līmenim, Latvija ir vienīgā valsts, kurā bezdarbnieka pabalstam nav noteikts minimā</w:t>
      </w:r>
      <w:r w:rsidRPr="0025422D">
        <w:rPr>
          <w:rFonts w:ascii="Times New Roman" w:hAnsi="Times New Roman" w:cs="Times New Roman"/>
          <w:sz w:val="24"/>
          <w:szCs w:val="24"/>
          <w:lang w:eastAsia="lv-LV"/>
        </w:rPr>
        <w:t xml:space="preserve">lais un maksimālais apmēra ierobežojums (izņemot krīzes periodu, kad līdz 2014.gada beigām noteikti pabalsta izmaksas ierobežojumi). </w:t>
      </w:r>
      <w:r w:rsidR="007C08B2" w:rsidRPr="0025422D">
        <w:rPr>
          <w:rFonts w:ascii="Times New Roman" w:hAnsi="Times New Roman" w:cs="Times New Roman"/>
          <w:sz w:val="24"/>
          <w:szCs w:val="24"/>
          <w:lang w:eastAsia="lv-LV"/>
        </w:rPr>
        <w:t xml:space="preserve">Bezdarbnieka pabalsta izmaksāto summu ievērojamā amplitūda Latvijā (no 9 % līdz 269 % no vidējās algas),  OECD valstu vidū </w:t>
      </w:r>
      <w:r w:rsidR="007C08B2" w:rsidRPr="00A857F2">
        <w:rPr>
          <w:rFonts w:ascii="Times New Roman" w:hAnsi="Times New Roman" w:cs="Times New Roman"/>
          <w:sz w:val="24"/>
          <w:szCs w:val="24"/>
          <w:lang w:eastAsia="lv-LV"/>
        </w:rPr>
        <w:t>konstatētais zemākais bezdarbnieka pabalsta apmērs bez noteikta minimālā pabalsta sliekšņa liecina, ka dažkārt pabalsta summa var būt nepietiekoša sociālai aizsardzībai bezdarba gadījumā, savukārt citkārt - pārāk augsta, lai stimulētu darba meklēšana</w:t>
      </w:r>
      <w:r w:rsidR="007C08B2" w:rsidRPr="009703E6">
        <w:rPr>
          <w:rFonts w:ascii="Times New Roman" w:hAnsi="Times New Roman" w:cs="Times New Roman"/>
          <w:sz w:val="24"/>
          <w:szCs w:val="24"/>
          <w:lang w:eastAsia="lv-LV"/>
        </w:rPr>
        <w:t xml:space="preserve">s centienus. Kā norādīts OECD zinātniskajā pētījumā bezdarbnieku pabalstu sistēma un līdz ar to reģistrēšanās NVA ir mazāk pievilcīga arī sezonas darbiniekiem. </w:t>
      </w:r>
      <w:r w:rsidR="00C86B2B" w:rsidRPr="009703E6">
        <w:rPr>
          <w:rFonts w:ascii="Times New Roman" w:hAnsi="Times New Roman" w:cs="Times New Roman"/>
          <w:sz w:val="24"/>
          <w:szCs w:val="24"/>
          <w:lang w:eastAsia="lv-LV"/>
        </w:rPr>
        <w:t>2019. gada beigās saskaņā ar CSP datiem Latvijā bija 61,3 tūkst. bezdarbnieku, savukārt reģistrē</w:t>
      </w:r>
      <w:r w:rsidR="00C86B2B" w:rsidRPr="0015154B">
        <w:rPr>
          <w:rFonts w:ascii="Times New Roman" w:hAnsi="Times New Roman" w:cs="Times New Roman"/>
          <w:sz w:val="24"/>
          <w:szCs w:val="24"/>
          <w:lang w:eastAsia="lv-LV"/>
        </w:rPr>
        <w:t xml:space="preserve">jušies NVA bija 57,8 tūkst bezdarbnieku jeb 94% no kopējā bezdarbnieku skaita (2014.gada beigās NVA bija reģistrējušies tikai 76% no kopējā bezdarbnieku skaita). </w:t>
      </w:r>
      <w:r w:rsidR="007C08B2" w:rsidRPr="0015154B">
        <w:rPr>
          <w:rFonts w:ascii="Times New Roman" w:hAnsi="Times New Roman" w:cs="Times New Roman"/>
          <w:sz w:val="24"/>
          <w:szCs w:val="24"/>
          <w:lang w:eastAsia="lv-LV"/>
        </w:rPr>
        <w:t>Bezdarbnieka pabalsta saņemšana un reģistrēšanās NVA ir saistīta ar reģistrētā bezdarba ilgumu. Proti, 12 mēnešu periodā trīs ceturtdaļas no bezdarbniekiem vairs neatrodas NVA uzskaitē, kas skaidrojams ar bezdarbnieka pabalsta piešķiršanas beigām pēc 9 mēneši</w:t>
      </w:r>
      <w:r w:rsidR="007A0E23">
        <w:rPr>
          <w:rFonts w:ascii="Times New Roman" w:hAnsi="Times New Roman" w:cs="Times New Roman"/>
          <w:sz w:val="24"/>
          <w:szCs w:val="24"/>
          <w:lang w:eastAsia="lv-LV"/>
        </w:rPr>
        <w:t>em</w:t>
      </w:r>
      <w:r w:rsidR="007C08B2" w:rsidRPr="0015154B">
        <w:rPr>
          <w:rFonts w:ascii="Times New Roman" w:hAnsi="Times New Roman" w:cs="Times New Roman"/>
          <w:sz w:val="24"/>
          <w:szCs w:val="24"/>
          <w:lang w:eastAsia="lv-LV"/>
        </w:rPr>
        <w:t>.</w:t>
      </w:r>
      <w:r w:rsidR="007C08B2" w:rsidRPr="0015154B">
        <w:rPr>
          <w:sz w:val="24"/>
          <w:szCs w:val="24"/>
        </w:rPr>
        <w:t xml:space="preserve"> </w:t>
      </w:r>
      <w:r w:rsidRPr="0015154B">
        <w:rPr>
          <w:rFonts w:ascii="Times New Roman" w:hAnsi="Times New Roman" w:cs="Times New Roman"/>
          <w:sz w:val="24"/>
          <w:szCs w:val="24"/>
          <w:lang w:eastAsia="lv-LV"/>
        </w:rPr>
        <w:t xml:space="preserve">Tādējādi sistēma ir labvēlīgāka strādājošiem ar augstiem ienākumiem un mazāk aizsargā zemo algu saņēmējus. Turklāt starp esošās sistēmas negatīvajiem aspektiem tiek </w:t>
      </w:r>
      <w:r w:rsidR="00CE695A" w:rsidRPr="0015154B">
        <w:rPr>
          <w:rFonts w:ascii="Times New Roman" w:hAnsi="Times New Roman" w:cs="Times New Roman"/>
          <w:sz w:val="24"/>
          <w:szCs w:val="24"/>
          <w:lang w:eastAsia="lv-LV"/>
        </w:rPr>
        <w:t>norādīts</w:t>
      </w:r>
      <w:r w:rsidRPr="0015154B">
        <w:rPr>
          <w:rFonts w:ascii="Times New Roman" w:hAnsi="Times New Roman" w:cs="Times New Roman"/>
          <w:sz w:val="24"/>
          <w:szCs w:val="24"/>
          <w:lang w:eastAsia="lv-LV"/>
        </w:rPr>
        <w:t xml:space="preserve"> bezdarbnieka pabalsta izmaksas ilgums, kas</w:t>
      </w:r>
      <w:r w:rsidR="00CE695A" w:rsidRPr="0015154B">
        <w:rPr>
          <w:rFonts w:ascii="Times New Roman" w:hAnsi="Times New Roman" w:cs="Times New Roman"/>
          <w:sz w:val="24"/>
          <w:szCs w:val="24"/>
          <w:lang w:eastAsia="lv-LV"/>
        </w:rPr>
        <w:t xml:space="preserve"> </w:t>
      </w:r>
      <w:r w:rsidRPr="0015154B">
        <w:rPr>
          <w:rFonts w:ascii="Times New Roman" w:hAnsi="Times New Roman" w:cs="Times New Roman"/>
          <w:sz w:val="24"/>
          <w:szCs w:val="24"/>
          <w:lang w:eastAsia="lv-LV"/>
        </w:rPr>
        <w:t xml:space="preserve">ir īsākais starp lielāko daļu ES un OECD valstīm. </w:t>
      </w:r>
      <w:r w:rsidR="00CE695A" w:rsidRPr="0015154B">
        <w:rPr>
          <w:rFonts w:ascii="Times New Roman" w:hAnsi="Times New Roman" w:cs="Times New Roman"/>
          <w:sz w:val="24"/>
          <w:szCs w:val="24"/>
          <w:lang w:eastAsia="lv-LV"/>
        </w:rPr>
        <w:t>Turklāt Latvijā nav paredzēts mērķēts atbalsts tiem darba ņēmējiem, kas neklasificējas bezdarbnieka pabalsta saņemšanai, un kuriem ir beidzies bezdarbnieka pabalsta izmaksas periods</w:t>
      </w:r>
      <w:r w:rsidR="00CE48BC" w:rsidRPr="0015154B">
        <w:rPr>
          <w:rFonts w:ascii="Times New Roman" w:hAnsi="Times New Roman" w:cs="Times New Roman"/>
          <w:sz w:val="24"/>
          <w:szCs w:val="24"/>
          <w:lang w:eastAsia="lv-LV"/>
        </w:rPr>
        <w:t>.</w:t>
      </w:r>
      <w:r w:rsidR="00CE695A" w:rsidRPr="0015154B">
        <w:rPr>
          <w:rFonts w:ascii="Times New Roman" w:hAnsi="Times New Roman" w:cs="Times New Roman"/>
          <w:sz w:val="24"/>
          <w:szCs w:val="24"/>
          <w:lang w:eastAsia="lv-LV"/>
        </w:rPr>
        <w:t xml:space="preserve"> </w:t>
      </w:r>
    </w:p>
    <w:p w14:paraId="114ED18D" w14:textId="342CC861" w:rsidR="009321C8" w:rsidRPr="002F5278" w:rsidRDefault="00313673" w:rsidP="00583BA7">
      <w:pPr>
        <w:shd w:val="clear" w:color="auto" w:fill="FFFFFF"/>
        <w:autoSpaceDE w:val="0"/>
        <w:autoSpaceDN w:val="0"/>
        <w:adjustRightInd w:val="0"/>
        <w:spacing w:before="120" w:after="0" w:line="240" w:lineRule="auto"/>
        <w:ind w:left="284"/>
        <w:jc w:val="both"/>
        <w:rPr>
          <w:rFonts w:ascii="Times New Roman" w:hAnsi="Times New Roman" w:cs="Times New Roman"/>
          <w:sz w:val="24"/>
          <w:szCs w:val="24"/>
          <w:lang w:eastAsia="lv-LV"/>
        </w:rPr>
      </w:pPr>
      <w:r w:rsidRPr="0015154B">
        <w:rPr>
          <w:rFonts w:ascii="Times New Roman" w:hAnsi="Times New Roman" w:cs="Times New Roman"/>
          <w:sz w:val="24"/>
          <w:szCs w:val="24"/>
          <w:lang w:eastAsia="lv-LV"/>
        </w:rPr>
        <w:t xml:space="preserve">Tādējādi pie augstiem </w:t>
      </w:r>
      <w:r w:rsidR="00CE695A" w:rsidRPr="0015154B">
        <w:rPr>
          <w:rFonts w:ascii="Times New Roman" w:hAnsi="Times New Roman" w:cs="Times New Roman"/>
          <w:sz w:val="24"/>
          <w:szCs w:val="24"/>
          <w:lang w:eastAsia="lv-LV"/>
        </w:rPr>
        <w:t xml:space="preserve">ilgstošā </w:t>
      </w:r>
      <w:r w:rsidRPr="0015154B">
        <w:rPr>
          <w:rFonts w:ascii="Times New Roman" w:hAnsi="Times New Roman" w:cs="Times New Roman"/>
          <w:sz w:val="24"/>
          <w:szCs w:val="24"/>
          <w:lang w:eastAsia="lv-LV"/>
        </w:rPr>
        <w:t>bezdarba rādītājiem</w:t>
      </w:r>
      <w:r w:rsidR="00CE695A" w:rsidRPr="0015154B">
        <w:rPr>
          <w:rFonts w:ascii="Times New Roman" w:hAnsi="Times New Roman" w:cs="Times New Roman"/>
          <w:sz w:val="24"/>
          <w:szCs w:val="24"/>
          <w:lang w:eastAsia="lv-LV"/>
        </w:rPr>
        <w:t xml:space="preserve"> </w:t>
      </w:r>
      <w:r w:rsidRPr="0015154B">
        <w:rPr>
          <w:rFonts w:ascii="Times New Roman" w:hAnsi="Times New Roman" w:cs="Times New Roman"/>
          <w:sz w:val="24"/>
          <w:szCs w:val="24"/>
          <w:lang w:eastAsia="lv-LV"/>
        </w:rPr>
        <w:t>un ierobežotām nodarbinātības iespējām krīzes situācijā</w:t>
      </w:r>
      <w:r w:rsidR="00CE695A" w:rsidRPr="0015154B">
        <w:rPr>
          <w:rFonts w:ascii="Times New Roman" w:hAnsi="Times New Roman" w:cs="Times New Roman"/>
          <w:sz w:val="24"/>
          <w:szCs w:val="24"/>
          <w:lang w:eastAsia="lv-LV"/>
        </w:rPr>
        <w:t>s vai reģionos ar zemām nodarbinātības iespējām</w:t>
      </w:r>
      <w:r w:rsidRPr="0015154B">
        <w:rPr>
          <w:rFonts w:ascii="Times New Roman" w:hAnsi="Times New Roman" w:cs="Times New Roman"/>
          <w:sz w:val="24"/>
          <w:szCs w:val="24"/>
          <w:lang w:eastAsia="lv-LV"/>
        </w:rPr>
        <w:t xml:space="preserve"> tiek radīta </w:t>
      </w:r>
      <w:r w:rsidR="00CE695A" w:rsidRPr="0015154B">
        <w:rPr>
          <w:rFonts w:ascii="Times New Roman" w:hAnsi="Times New Roman" w:cs="Times New Roman"/>
          <w:sz w:val="24"/>
          <w:szCs w:val="24"/>
          <w:lang w:eastAsia="lv-LV"/>
        </w:rPr>
        <w:t xml:space="preserve">papildu </w:t>
      </w:r>
      <w:r w:rsidRPr="0015154B">
        <w:rPr>
          <w:rFonts w:ascii="Times New Roman" w:hAnsi="Times New Roman" w:cs="Times New Roman"/>
          <w:sz w:val="24"/>
          <w:szCs w:val="24"/>
          <w:lang w:eastAsia="lv-LV"/>
        </w:rPr>
        <w:t>slodze sociālās palīdzības sistēmai un paaugstinās to bezdarbnieku nabadzības risks, kuri nesaņem bezdarbnieka pabalstu.</w:t>
      </w:r>
      <w:r w:rsidR="00CE695A" w:rsidRPr="0015154B">
        <w:rPr>
          <w:rFonts w:ascii="Times New Roman" w:hAnsi="Times New Roman" w:cs="Times New Roman"/>
          <w:sz w:val="24"/>
          <w:szCs w:val="24"/>
          <w:lang w:eastAsia="lv-LV"/>
        </w:rPr>
        <w:t xml:space="preserve"> </w:t>
      </w:r>
      <w:r w:rsidR="007317FF" w:rsidRPr="0015154B">
        <w:rPr>
          <w:rFonts w:ascii="Times New Roman" w:hAnsi="Times New Roman" w:cs="Times New Roman"/>
          <w:sz w:val="24"/>
          <w:szCs w:val="24"/>
          <w:lang w:eastAsia="lv-LV"/>
        </w:rPr>
        <w:t>Arī Valsts kontroles ziņojumā kā risks ir norādīts, ka bezdarbnieka pabalsta izmaksas ilguma un apmēra samazināšana varētu skart arī tās bezdarbnieku grupas, kurām nepieciešams ilgāks laiks, lai iekļautos darba tirgū, piemēram, pirmspensijas vecuma personas.</w:t>
      </w:r>
      <w:r w:rsidR="007317FF" w:rsidRPr="007157D3">
        <w:rPr>
          <w:rStyle w:val="FootnoteReference"/>
          <w:rFonts w:ascii="Times New Roman" w:hAnsi="Times New Roman" w:cs="Times New Roman"/>
          <w:sz w:val="24"/>
          <w:szCs w:val="24"/>
          <w:lang w:eastAsia="lv-LV"/>
        </w:rPr>
        <w:footnoteReference w:id="62"/>
      </w:r>
      <w:r w:rsidR="007317FF" w:rsidRPr="007157D3">
        <w:rPr>
          <w:rFonts w:ascii="Times New Roman" w:hAnsi="Times New Roman" w:cs="Times New Roman"/>
          <w:sz w:val="24"/>
          <w:szCs w:val="24"/>
          <w:lang w:eastAsia="lv-LV"/>
        </w:rPr>
        <w:t xml:space="preserve"> </w:t>
      </w:r>
      <w:r w:rsidR="00CE695A" w:rsidRPr="007157D3">
        <w:rPr>
          <w:rFonts w:ascii="Times New Roman" w:hAnsi="Times New Roman" w:cs="Times New Roman"/>
          <w:sz w:val="24"/>
          <w:szCs w:val="24"/>
          <w:lang w:eastAsia="lv-LV"/>
        </w:rPr>
        <w:t xml:space="preserve">Līdztekus OECD pētījumā </w:t>
      </w:r>
      <w:r w:rsidR="00821BFC" w:rsidRPr="007157D3">
        <w:rPr>
          <w:rFonts w:ascii="Times New Roman" w:hAnsi="Times New Roman" w:cs="Times New Roman"/>
          <w:sz w:val="24"/>
          <w:szCs w:val="24"/>
          <w:lang w:eastAsia="lv-LV"/>
        </w:rPr>
        <w:t xml:space="preserve">ieteikts mazināt sankciju apjomu atbalsta piešķiršanā </w:t>
      </w:r>
      <w:r w:rsidR="00821BFC" w:rsidRPr="007157D3">
        <w:rPr>
          <w:rFonts w:ascii="Times New Roman" w:hAnsi="Times New Roman" w:cs="Times New Roman"/>
          <w:sz w:val="24"/>
          <w:szCs w:val="24"/>
          <w:lang w:eastAsia="lv-LV"/>
        </w:rPr>
        <w:lastRenderedPageBreak/>
        <w:t>un statusa saglabāšanā nebūtisku pārkāpumu gadījumā (piemēram, īslaicīgu pabalsta samazinājumu, ja bezdarbnieks nepieņem atbilstošu darba piedāvājumu)</w:t>
      </w:r>
      <w:r w:rsidRPr="002F5278">
        <w:rPr>
          <w:rFonts w:ascii="Times New Roman" w:hAnsi="Times New Roman" w:cs="Times New Roman"/>
          <w:sz w:val="24"/>
          <w:szCs w:val="24"/>
          <w:lang w:eastAsia="lv-LV"/>
        </w:rPr>
        <w:t>.</w:t>
      </w:r>
    </w:p>
    <w:p w14:paraId="35100695" w14:textId="77777777" w:rsidR="00583BA7" w:rsidRPr="0025422D" w:rsidRDefault="00583BA7" w:rsidP="00583BA7">
      <w:pPr>
        <w:shd w:val="clear" w:color="auto" w:fill="FFFFFF"/>
        <w:autoSpaceDE w:val="0"/>
        <w:autoSpaceDN w:val="0"/>
        <w:adjustRightInd w:val="0"/>
        <w:spacing w:before="120" w:after="0" w:line="240" w:lineRule="auto"/>
        <w:ind w:left="284"/>
        <w:jc w:val="both"/>
        <w:rPr>
          <w:rFonts w:ascii="Times New Roman" w:hAnsi="Times New Roman" w:cs="Times New Roman"/>
          <w:sz w:val="24"/>
          <w:szCs w:val="24"/>
          <w:lang w:eastAsia="lv-LV"/>
        </w:rPr>
      </w:pPr>
    </w:p>
    <w:p w14:paraId="4DB48C49" w14:textId="5B1BB3D5" w:rsidR="00583BA7" w:rsidRPr="009703E6" w:rsidRDefault="00583BA7" w:rsidP="00583BA7">
      <w:pPr>
        <w:pStyle w:val="ListParagraph"/>
        <w:numPr>
          <w:ilvl w:val="0"/>
          <w:numId w:val="64"/>
        </w:numPr>
        <w:pBdr>
          <w:left w:val="single" w:sz="24" w:space="4" w:color="549E39" w:themeColor="accent1"/>
        </w:pBdr>
        <w:shd w:val="clear" w:color="auto" w:fill="FFFFFF"/>
        <w:autoSpaceDE w:val="0"/>
        <w:autoSpaceDN w:val="0"/>
        <w:adjustRightInd w:val="0"/>
        <w:spacing w:before="120" w:line="240" w:lineRule="auto"/>
        <w:ind w:left="425" w:hanging="357"/>
        <w:contextualSpacing w:val="0"/>
        <w:jc w:val="both"/>
        <w:rPr>
          <w:rFonts w:ascii="Times New Roman" w:eastAsia="Times New Roman" w:hAnsi="Times New Roman" w:cs="Times New Roman"/>
          <w:bCs/>
          <w:color w:val="002060"/>
          <w:sz w:val="24"/>
          <w:szCs w:val="24"/>
          <w:lang w:eastAsia="lv-LV"/>
        </w:rPr>
      </w:pPr>
      <w:r w:rsidRPr="00A857F2">
        <w:rPr>
          <w:rFonts w:ascii="Times New Roman" w:eastAsia="Times New Roman" w:hAnsi="Times New Roman" w:cs="Times New Roman"/>
          <w:bCs/>
          <w:color w:val="002060"/>
          <w:sz w:val="24"/>
          <w:szCs w:val="24"/>
          <w:lang w:eastAsia="lv-LV"/>
        </w:rPr>
        <w:t>P</w:t>
      </w:r>
      <w:r w:rsidR="00F431A3" w:rsidRPr="009703E6">
        <w:rPr>
          <w:rFonts w:ascii="Times New Roman" w:eastAsia="Times New Roman" w:hAnsi="Times New Roman" w:cs="Times New Roman"/>
          <w:bCs/>
          <w:color w:val="002060"/>
          <w:sz w:val="24"/>
          <w:szCs w:val="24"/>
          <w:lang w:eastAsia="lv-LV"/>
        </w:rPr>
        <w:t xml:space="preserve">ēdējos gados vairākkārt ir aktualizēts jautājums par slimības pabalsta piešķiršanu. </w:t>
      </w:r>
    </w:p>
    <w:p w14:paraId="4F037B07" w14:textId="65447C09" w:rsidR="00B54290" w:rsidRPr="007157D3" w:rsidRDefault="009321C8" w:rsidP="00583BA7">
      <w:pPr>
        <w:pStyle w:val="ListParagraph"/>
        <w:shd w:val="clear" w:color="auto" w:fill="FFFFFF"/>
        <w:autoSpaceDE w:val="0"/>
        <w:autoSpaceDN w:val="0"/>
        <w:adjustRightInd w:val="0"/>
        <w:spacing w:before="120" w:after="0" w:line="240" w:lineRule="auto"/>
        <w:ind w:left="360"/>
        <w:jc w:val="both"/>
        <w:rPr>
          <w:rFonts w:ascii="Times New Roman" w:hAnsi="Times New Roman" w:cs="Times New Roman"/>
          <w:sz w:val="24"/>
          <w:szCs w:val="24"/>
          <w:lang w:eastAsia="lv-LV"/>
        </w:rPr>
      </w:pPr>
      <w:r w:rsidRPr="0015154B">
        <w:rPr>
          <w:rFonts w:ascii="Times New Roman" w:eastAsia="Calibri" w:hAnsi="Times New Roman" w:cs="Times New Roman"/>
          <w:sz w:val="24"/>
          <w:szCs w:val="24"/>
        </w:rPr>
        <w:t xml:space="preserve">Pārskata periodā turpināja pieaugt slimības pabalstu skaits, attiecīgi pieauguši arī izdevumi slimības pabalstu nodrošināšanai </w:t>
      </w:r>
      <w:r w:rsidR="00F431A3" w:rsidRPr="0015154B">
        <w:rPr>
          <w:rFonts w:ascii="Times New Roman" w:eastAsia="Times New Roman" w:hAnsi="Times New Roman" w:cs="Times New Roman"/>
          <w:bCs/>
          <w:sz w:val="24"/>
          <w:szCs w:val="24"/>
          <w:lang w:eastAsia="lv-LV"/>
        </w:rPr>
        <w:t>(</w:t>
      </w:r>
      <w:r w:rsidR="00F431A3" w:rsidRPr="0015154B">
        <w:rPr>
          <w:rFonts w:ascii="Times New Roman" w:eastAsia="Times New Roman" w:hAnsi="Times New Roman" w:cs="Times New Roman"/>
          <w:bCs/>
          <w:sz w:val="24"/>
          <w:szCs w:val="24"/>
          <w:highlight w:val="yellow"/>
          <w:lang w:eastAsia="lv-LV"/>
        </w:rPr>
        <w:t>skat</w:t>
      </w:r>
      <w:r w:rsidRPr="0015154B">
        <w:rPr>
          <w:rFonts w:ascii="Times New Roman" w:eastAsia="Times New Roman" w:hAnsi="Times New Roman" w:cs="Times New Roman"/>
          <w:bCs/>
          <w:sz w:val="24"/>
          <w:szCs w:val="24"/>
          <w:highlight w:val="yellow"/>
          <w:lang w:eastAsia="lv-LV"/>
        </w:rPr>
        <w:t xml:space="preserve">. </w:t>
      </w:r>
      <w:r w:rsidR="00CE48BC" w:rsidRPr="0015154B">
        <w:rPr>
          <w:rFonts w:ascii="Times New Roman" w:eastAsia="Times New Roman" w:hAnsi="Times New Roman" w:cs="Times New Roman"/>
          <w:bCs/>
          <w:sz w:val="24"/>
          <w:szCs w:val="24"/>
          <w:highlight w:val="yellow"/>
          <w:lang w:eastAsia="lv-LV"/>
        </w:rPr>
        <w:t>8</w:t>
      </w:r>
      <w:r w:rsidRPr="0015154B">
        <w:rPr>
          <w:rFonts w:ascii="Times New Roman" w:eastAsia="Times New Roman" w:hAnsi="Times New Roman" w:cs="Times New Roman"/>
          <w:bCs/>
          <w:sz w:val="24"/>
          <w:szCs w:val="24"/>
          <w:highlight w:val="yellow"/>
          <w:lang w:eastAsia="lv-LV"/>
        </w:rPr>
        <w:t>.</w:t>
      </w:r>
      <w:r w:rsidR="00F431A3" w:rsidRPr="0015154B">
        <w:rPr>
          <w:rFonts w:ascii="Times New Roman" w:eastAsia="Times New Roman" w:hAnsi="Times New Roman" w:cs="Times New Roman"/>
          <w:bCs/>
          <w:sz w:val="24"/>
          <w:szCs w:val="24"/>
          <w:highlight w:val="yellow"/>
          <w:lang w:eastAsia="lv-LV"/>
        </w:rPr>
        <w:t>tabulu</w:t>
      </w:r>
      <w:r w:rsidR="00F431A3" w:rsidRPr="0015154B">
        <w:rPr>
          <w:rFonts w:ascii="Times New Roman" w:eastAsia="Times New Roman" w:hAnsi="Times New Roman" w:cs="Times New Roman"/>
          <w:bCs/>
          <w:sz w:val="24"/>
          <w:szCs w:val="24"/>
          <w:lang w:eastAsia="lv-LV"/>
        </w:rPr>
        <w:t>)</w:t>
      </w:r>
      <w:r w:rsidRPr="0015154B">
        <w:rPr>
          <w:rFonts w:ascii="Times New Roman" w:eastAsia="Times New Roman" w:hAnsi="Times New Roman" w:cs="Times New Roman"/>
          <w:bCs/>
          <w:sz w:val="24"/>
          <w:szCs w:val="24"/>
          <w:lang w:eastAsia="lv-LV"/>
        </w:rPr>
        <w:t>.</w:t>
      </w:r>
      <w:r w:rsidR="008600AC" w:rsidRPr="0015154B">
        <w:rPr>
          <w:rFonts w:ascii="Times New Roman" w:eastAsia="Times New Roman" w:hAnsi="Times New Roman" w:cs="Times New Roman"/>
          <w:bCs/>
          <w:sz w:val="24"/>
          <w:szCs w:val="24"/>
          <w:lang w:eastAsia="lv-LV"/>
        </w:rPr>
        <w:t xml:space="preserve"> </w:t>
      </w:r>
      <w:r w:rsidR="008600AC" w:rsidRPr="0015154B">
        <w:rPr>
          <w:rFonts w:ascii="Times New Roman" w:eastAsia="Calibri" w:hAnsi="Times New Roman" w:cs="Times New Roman"/>
          <w:sz w:val="24"/>
          <w:szCs w:val="24"/>
        </w:rPr>
        <w:t xml:space="preserve">Tas skaidrojams ar: </w:t>
      </w:r>
      <w:r w:rsidR="00CB2133" w:rsidRPr="0015154B">
        <w:rPr>
          <w:rFonts w:ascii="Times New Roman" w:eastAsia="Calibri" w:hAnsi="Times New Roman" w:cs="Times New Roman"/>
          <w:sz w:val="24"/>
          <w:szCs w:val="24"/>
        </w:rPr>
        <w:t>(</w:t>
      </w:r>
      <w:r w:rsidR="008600AC" w:rsidRPr="0015154B">
        <w:rPr>
          <w:rFonts w:ascii="Times New Roman" w:eastAsia="Calibri" w:hAnsi="Times New Roman" w:cs="Times New Roman"/>
          <w:sz w:val="24"/>
          <w:szCs w:val="24"/>
        </w:rPr>
        <w:t>1) i</w:t>
      </w:r>
      <w:r w:rsidR="008600AC" w:rsidRPr="0015154B">
        <w:rPr>
          <w:rFonts w:ascii="Times New Roman" w:eastAsia="Verdana" w:hAnsi="Times New Roman" w:cs="Times New Roman"/>
          <w:color w:val="000000" w:themeColor="text1"/>
          <w:kern w:val="24"/>
          <w:sz w:val="24"/>
          <w:szCs w:val="24"/>
          <w:lang w:eastAsia="lv-LV"/>
        </w:rPr>
        <w:t xml:space="preserve">edzīvotāju vispārējo veselības stāvokli; </w:t>
      </w:r>
      <w:r w:rsidR="00CB2133" w:rsidRPr="0015154B">
        <w:rPr>
          <w:rFonts w:ascii="Times New Roman" w:eastAsia="Verdana" w:hAnsi="Times New Roman" w:cs="Times New Roman"/>
          <w:color w:val="000000" w:themeColor="text1"/>
          <w:kern w:val="24"/>
          <w:sz w:val="24"/>
          <w:szCs w:val="24"/>
          <w:lang w:eastAsia="lv-LV"/>
        </w:rPr>
        <w:t>(</w:t>
      </w:r>
      <w:r w:rsidR="008600AC" w:rsidRPr="0015154B">
        <w:rPr>
          <w:rFonts w:ascii="Times New Roman" w:eastAsia="Verdana" w:hAnsi="Times New Roman" w:cs="Times New Roman"/>
          <w:color w:val="000000" w:themeColor="text1"/>
          <w:kern w:val="24"/>
          <w:sz w:val="24"/>
          <w:szCs w:val="24"/>
          <w:lang w:eastAsia="lv-LV"/>
        </w:rPr>
        <w:t>2)</w:t>
      </w:r>
      <w:r w:rsidR="008600AC" w:rsidRPr="0015154B">
        <w:rPr>
          <w:rFonts w:ascii="Times New Roman" w:eastAsia="Calibri" w:hAnsi="Times New Roman" w:cs="Times New Roman"/>
          <w:sz w:val="24"/>
          <w:szCs w:val="24"/>
        </w:rPr>
        <w:t xml:space="preserve"> </w:t>
      </w:r>
      <w:r w:rsidR="008600AC" w:rsidRPr="0015154B">
        <w:rPr>
          <w:rFonts w:ascii="Times New Roman" w:eastAsia="Verdana" w:hAnsi="Times New Roman" w:cs="Times New Roman"/>
          <w:color w:val="000000" w:themeColor="text1"/>
          <w:kern w:val="24"/>
          <w:sz w:val="24"/>
          <w:szCs w:val="24"/>
          <w:lang w:eastAsia="lv-LV"/>
        </w:rPr>
        <w:t xml:space="preserve">veselības aprūpes sistēmas </w:t>
      </w:r>
      <w:r w:rsidR="00436443">
        <w:rPr>
          <w:rFonts w:ascii="Times New Roman" w:eastAsia="Verdana" w:hAnsi="Times New Roman" w:cs="Times New Roman"/>
          <w:color w:val="000000" w:themeColor="text1"/>
          <w:kern w:val="24"/>
          <w:sz w:val="24"/>
          <w:szCs w:val="24"/>
          <w:lang w:eastAsia="lv-LV"/>
        </w:rPr>
        <w:t>ne</w:t>
      </w:r>
      <w:r w:rsidR="008600AC" w:rsidRPr="0015154B">
        <w:rPr>
          <w:rFonts w:ascii="Times New Roman" w:eastAsia="Verdana" w:hAnsi="Times New Roman" w:cs="Times New Roman"/>
          <w:color w:val="000000" w:themeColor="text1"/>
          <w:kern w:val="24"/>
          <w:sz w:val="24"/>
          <w:szCs w:val="24"/>
          <w:lang w:eastAsia="lv-LV"/>
        </w:rPr>
        <w:t xml:space="preserve">pieejamību; </w:t>
      </w:r>
      <w:r w:rsidR="00CB2133" w:rsidRPr="0015154B">
        <w:rPr>
          <w:rFonts w:ascii="Times New Roman" w:eastAsia="Verdana" w:hAnsi="Times New Roman" w:cs="Times New Roman"/>
          <w:color w:val="000000" w:themeColor="text1"/>
          <w:kern w:val="24"/>
          <w:sz w:val="24"/>
          <w:szCs w:val="24"/>
          <w:lang w:eastAsia="lv-LV"/>
        </w:rPr>
        <w:t>(</w:t>
      </w:r>
      <w:r w:rsidR="008600AC" w:rsidRPr="0015154B">
        <w:rPr>
          <w:rFonts w:ascii="Times New Roman" w:eastAsia="Verdana" w:hAnsi="Times New Roman" w:cs="Times New Roman"/>
          <w:color w:val="000000" w:themeColor="text1"/>
          <w:kern w:val="24"/>
          <w:sz w:val="24"/>
          <w:szCs w:val="24"/>
          <w:lang w:eastAsia="lv-LV"/>
        </w:rPr>
        <w:t xml:space="preserve">3) </w:t>
      </w:r>
      <w:r w:rsidR="008600AC" w:rsidRPr="0015154B">
        <w:rPr>
          <w:rFonts w:ascii="Times New Roman" w:eastAsia="Calibri" w:hAnsi="Times New Roman" w:cs="Times New Roman"/>
          <w:sz w:val="24"/>
          <w:szCs w:val="24"/>
        </w:rPr>
        <w:t>s</w:t>
      </w:r>
      <w:r w:rsidR="008600AC" w:rsidRPr="0015154B">
        <w:rPr>
          <w:rFonts w:ascii="Times New Roman" w:eastAsia="Verdana" w:hAnsi="Times New Roman" w:cs="Times New Roman"/>
          <w:color w:val="000000" w:themeColor="text1"/>
          <w:kern w:val="24"/>
          <w:sz w:val="24"/>
          <w:szCs w:val="24"/>
          <w:lang w:eastAsia="lv-LV"/>
        </w:rPr>
        <w:t xml:space="preserve">abiedrības novecošanos un nodarbināto vidējā vecuma pieaugumu (pieaug veselības problēmas, lielāks hronisko slimību slogs un ilgstošākas darbnespējas); </w:t>
      </w:r>
      <w:r w:rsidR="00CB2133" w:rsidRPr="0015154B">
        <w:rPr>
          <w:rFonts w:ascii="Times New Roman" w:eastAsia="Verdana" w:hAnsi="Times New Roman" w:cs="Times New Roman"/>
          <w:color w:val="000000" w:themeColor="text1"/>
          <w:kern w:val="24"/>
          <w:sz w:val="24"/>
          <w:szCs w:val="24"/>
          <w:lang w:eastAsia="lv-LV"/>
        </w:rPr>
        <w:t>(</w:t>
      </w:r>
      <w:r w:rsidR="008600AC" w:rsidRPr="0015154B">
        <w:rPr>
          <w:rFonts w:ascii="Times New Roman" w:eastAsia="Verdana" w:hAnsi="Times New Roman" w:cs="Times New Roman"/>
          <w:color w:val="000000" w:themeColor="text1"/>
          <w:kern w:val="24"/>
          <w:sz w:val="24"/>
          <w:szCs w:val="24"/>
          <w:lang w:eastAsia="lv-LV"/>
        </w:rPr>
        <w:t xml:space="preserve">4) </w:t>
      </w:r>
      <w:r w:rsidR="008600AC" w:rsidRPr="0015154B">
        <w:rPr>
          <w:rFonts w:ascii="Times New Roman" w:eastAsia="Calibri" w:hAnsi="Times New Roman" w:cs="Times New Roman"/>
          <w:sz w:val="24"/>
          <w:szCs w:val="24"/>
        </w:rPr>
        <w:t>d</w:t>
      </w:r>
      <w:r w:rsidR="008600AC" w:rsidRPr="0015154B">
        <w:rPr>
          <w:rFonts w:ascii="Times New Roman" w:eastAsia="Verdana" w:hAnsi="Times New Roman" w:cs="Times New Roman"/>
          <w:color w:val="000000" w:themeColor="text1"/>
          <w:kern w:val="24"/>
          <w:sz w:val="24"/>
          <w:szCs w:val="24"/>
          <w:lang w:eastAsia="lv-LV"/>
        </w:rPr>
        <w:t>arba vides apstākļiem (īpaši pieaug saslimstība ar arodslimību (ergonomisko darba vides riska faktoru izraisītas).</w:t>
      </w:r>
      <w:r w:rsidR="008600AC" w:rsidRPr="007157D3">
        <w:rPr>
          <w:rStyle w:val="FootnoteReference"/>
          <w:rFonts w:ascii="Times New Roman" w:eastAsia="Verdana" w:hAnsi="Times New Roman" w:cs="Times New Roman"/>
          <w:color w:val="000000" w:themeColor="text1"/>
          <w:kern w:val="24"/>
          <w:sz w:val="24"/>
          <w:szCs w:val="24"/>
          <w:lang w:eastAsia="lv-LV"/>
        </w:rPr>
        <w:footnoteReference w:id="63"/>
      </w:r>
    </w:p>
    <w:p w14:paraId="019BF7A4" w14:textId="08D7E1C1" w:rsidR="00F431A3" w:rsidRPr="007157D3" w:rsidRDefault="00F431A3" w:rsidP="00F431A3">
      <w:pPr>
        <w:spacing w:after="0" w:line="240" w:lineRule="auto"/>
        <w:rPr>
          <w:rFonts w:ascii="Times New Roman" w:eastAsia="Times New Roman" w:hAnsi="Times New Roman" w:cs="Times New Roman"/>
          <w:bCs/>
          <w:sz w:val="24"/>
          <w:szCs w:val="24"/>
          <w:highlight w:val="yellow"/>
          <w:lang w:eastAsia="lv-LV"/>
        </w:rPr>
      </w:pPr>
    </w:p>
    <w:p w14:paraId="185FC177" w14:textId="08A8FDE4" w:rsidR="00F431A3" w:rsidRPr="00425C73" w:rsidRDefault="00CE48BC" w:rsidP="00F431A3">
      <w:pPr>
        <w:spacing w:after="0" w:line="240" w:lineRule="auto"/>
        <w:rPr>
          <w:rFonts w:ascii="Times New Roman" w:eastAsia="Times New Roman" w:hAnsi="Times New Roman" w:cs="Times New Roman"/>
          <w:bCs/>
          <w:sz w:val="24"/>
          <w:szCs w:val="24"/>
          <w:lang w:eastAsia="lv-LV"/>
        </w:rPr>
      </w:pPr>
      <w:r w:rsidRPr="007157D3">
        <w:rPr>
          <w:rFonts w:ascii="Times New Roman" w:eastAsia="Times New Roman" w:hAnsi="Times New Roman" w:cs="Times New Roman"/>
          <w:bCs/>
          <w:sz w:val="24"/>
          <w:szCs w:val="24"/>
          <w:lang w:eastAsia="lv-LV"/>
        </w:rPr>
        <w:t>8</w:t>
      </w:r>
      <w:r w:rsidR="009321C8" w:rsidRPr="007157D3">
        <w:rPr>
          <w:rFonts w:ascii="Times New Roman" w:eastAsia="Times New Roman" w:hAnsi="Times New Roman" w:cs="Times New Roman"/>
          <w:bCs/>
          <w:sz w:val="24"/>
          <w:szCs w:val="24"/>
          <w:lang w:eastAsia="lv-LV"/>
        </w:rPr>
        <w:t>.</w:t>
      </w:r>
      <w:r w:rsidR="00F431A3" w:rsidRPr="00425C73">
        <w:rPr>
          <w:rFonts w:ascii="Times New Roman" w:eastAsia="Times New Roman" w:hAnsi="Times New Roman" w:cs="Times New Roman"/>
          <w:bCs/>
          <w:sz w:val="24"/>
          <w:szCs w:val="24"/>
          <w:lang w:eastAsia="lv-LV"/>
        </w:rPr>
        <w:t>tabula</w:t>
      </w:r>
    </w:p>
    <w:p w14:paraId="2FC6A799" w14:textId="02791FCA" w:rsidR="00F431A3" w:rsidRPr="002F5278" w:rsidRDefault="00F431A3" w:rsidP="009B4A30">
      <w:pPr>
        <w:spacing w:after="0" w:line="240" w:lineRule="auto"/>
        <w:jc w:val="center"/>
        <w:rPr>
          <w:rFonts w:ascii="Times New Roman" w:eastAsia="Times New Roman" w:hAnsi="Times New Roman" w:cs="Times New Roman"/>
          <w:b/>
          <w:bCs/>
          <w:color w:val="002060"/>
          <w:sz w:val="24"/>
          <w:szCs w:val="24"/>
          <w:lang w:eastAsia="lv-LV"/>
        </w:rPr>
      </w:pPr>
      <w:r w:rsidRPr="002F5278">
        <w:rPr>
          <w:rFonts w:ascii="Times New Roman" w:eastAsia="Times New Roman" w:hAnsi="Times New Roman" w:cs="Times New Roman"/>
          <w:b/>
          <w:bCs/>
          <w:color w:val="002060"/>
          <w:sz w:val="24"/>
          <w:szCs w:val="24"/>
          <w:lang w:eastAsia="lv-LV"/>
        </w:rPr>
        <w:t>Slimības pabalsta piešķiršanu raksturojoši rādītāji</w:t>
      </w:r>
    </w:p>
    <w:p w14:paraId="7BC549B8" w14:textId="77777777" w:rsidR="009B4A30" w:rsidRPr="0025422D" w:rsidRDefault="009B4A30" w:rsidP="009B4A30">
      <w:pPr>
        <w:spacing w:after="0" w:line="240" w:lineRule="auto"/>
        <w:jc w:val="center"/>
        <w:rPr>
          <w:rFonts w:ascii="Times New Roman" w:eastAsia="Times New Roman" w:hAnsi="Times New Roman" w:cs="Times New Roman"/>
          <w:color w:val="000000"/>
          <w:sz w:val="24"/>
          <w:szCs w:val="24"/>
          <w:lang w:eastAsia="lv-LV"/>
        </w:rPr>
      </w:pPr>
    </w:p>
    <w:p w14:paraId="7318580B" w14:textId="77777777" w:rsidR="00F431A3" w:rsidRPr="007157D3" w:rsidRDefault="00F431A3" w:rsidP="00F431A3">
      <w:pPr>
        <w:spacing w:after="0" w:line="240" w:lineRule="auto"/>
        <w:rPr>
          <w:rFonts w:ascii="Times New Roman" w:eastAsia="Times New Roman" w:hAnsi="Times New Roman" w:cs="Times New Roman"/>
          <w:color w:val="000000"/>
          <w:sz w:val="24"/>
          <w:szCs w:val="24"/>
          <w:lang w:eastAsia="lv-LV"/>
        </w:rPr>
      </w:pPr>
      <w:r w:rsidRPr="00E07E75">
        <w:rPr>
          <w:rFonts w:ascii="Times New Roman" w:hAnsi="Times New Roman" w:cs="Times New Roman"/>
          <w:noProof/>
          <w:sz w:val="24"/>
          <w:szCs w:val="24"/>
          <w:lang w:eastAsia="lv-LV"/>
        </w:rPr>
        <w:drawing>
          <wp:inline distT="0" distB="0" distL="0" distR="0" wp14:anchorId="1A42864F" wp14:editId="608CAF61">
            <wp:extent cx="5768836" cy="16383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888631" cy="1672321"/>
                    </a:xfrm>
                    <a:prstGeom prst="rect">
                      <a:avLst/>
                    </a:prstGeom>
                    <a:noFill/>
                    <a:ln>
                      <a:noFill/>
                    </a:ln>
                  </pic:spPr>
                </pic:pic>
              </a:graphicData>
            </a:graphic>
          </wp:inline>
        </w:drawing>
      </w:r>
    </w:p>
    <w:p w14:paraId="07F6986F" w14:textId="3F12A7A1" w:rsidR="00F431A3" w:rsidRPr="007157D3" w:rsidRDefault="00F431A3" w:rsidP="00F431A3">
      <w:pPr>
        <w:shd w:val="clear" w:color="auto" w:fill="FFFFFF"/>
        <w:spacing w:after="0" w:line="240" w:lineRule="auto"/>
        <w:jc w:val="both"/>
        <w:rPr>
          <w:rFonts w:ascii="Times New Roman" w:eastAsia="Calibri" w:hAnsi="Times New Roman" w:cs="Times New Roman"/>
          <w:sz w:val="20"/>
          <w:szCs w:val="20"/>
          <w:lang w:eastAsia="lv-LV"/>
        </w:rPr>
      </w:pPr>
      <w:r w:rsidRPr="007157D3">
        <w:rPr>
          <w:rFonts w:ascii="Times New Roman" w:eastAsia="Calibri" w:hAnsi="Times New Roman" w:cs="Times New Roman"/>
          <w:sz w:val="20"/>
          <w:szCs w:val="20"/>
          <w:lang w:eastAsia="lv-LV"/>
        </w:rPr>
        <w:t>Datu avots: VSAA</w:t>
      </w:r>
    </w:p>
    <w:p w14:paraId="17B6CD60" w14:textId="77777777" w:rsidR="00F431A3" w:rsidRPr="007157D3" w:rsidRDefault="00F431A3" w:rsidP="00F431A3">
      <w:pPr>
        <w:shd w:val="clear" w:color="auto" w:fill="FFFFFF"/>
        <w:spacing w:after="0" w:line="240" w:lineRule="auto"/>
        <w:jc w:val="both"/>
        <w:rPr>
          <w:rFonts w:ascii="Times New Roman" w:eastAsia="Calibri" w:hAnsi="Times New Roman" w:cs="Times New Roman"/>
          <w:sz w:val="24"/>
          <w:szCs w:val="24"/>
          <w:highlight w:val="yellow"/>
          <w:lang w:eastAsia="lv-LV"/>
        </w:rPr>
      </w:pPr>
    </w:p>
    <w:p w14:paraId="77C6B43A" w14:textId="66A8C021" w:rsidR="00F431A3" w:rsidRPr="0015154B" w:rsidRDefault="008600AC" w:rsidP="00583BA7">
      <w:pPr>
        <w:shd w:val="clear" w:color="auto" w:fill="FFFFFF"/>
        <w:spacing w:before="120" w:after="0" w:line="240" w:lineRule="auto"/>
        <w:ind w:left="284"/>
        <w:jc w:val="both"/>
        <w:rPr>
          <w:rFonts w:ascii="Times New Roman" w:hAnsi="Times New Roman" w:cs="Times New Roman"/>
          <w:sz w:val="24"/>
          <w:szCs w:val="24"/>
          <w:shd w:val="clear" w:color="auto" w:fill="FFFFFF"/>
        </w:rPr>
      </w:pPr>
      <w:r w:rsidRPr="002F5278">
        <w:rPr>
          <w:rFonts w:ascii="Times New Roman" w:eastAsia="Calibri" w:hAnsi="Times New Roman" w:cs="Times New Roman"/>
          <w:sz w:val="24"/>
          <w:szCs w:val="24"/>
          <w:lang w:eastAsia="lv-LV"/>
        </w:rPr>
        <w:t>D</w:t>
      </w:r>
      <w:r w:rsidR="00F431A3" w:rsidRPr="002F5278">
        <w:rPr>
          <w:rFonts w:ascii="Times New Roman" w:eastAsia="Calibri" w:hAnsi="Times New Roman" w:cs="Times New Roman"/>
          <w:sz w:val="24"/>
          <w:szCs w:val="24"/>
          <w:lang w:eastAsia="lv-LV"/>
        </w:rPr>
        <w:t xml:space="preserve">arba devēji vairākkārt </w:t>
      </w:r>
      <w:r w:rsidR="00F431A3" w:rsidRPr="008C6388">
        <w:rPr>
          <w:rFonts w:ascii="Times New Roman" w:hAnsi="Times New Roman" w:cs="Times New Roman"/>
          <w:sz w:val="24"/>
          <w:szCs w:val="24"/>
        </w:rPr>
        <w:t xml:space="preserve">aicinājuši samazināt slimības  dienu skaitu, kuras darba devējs apmaksā no saviem </w:t>
      </w:r>
      <w:r w:rsidR="00F431A3" w:rsidRPr="0025422D">
        <w:rPr>
          <w:rFonts w:ascii="Times New Roman" w:eastAsia="Calibri" w:hAnsi="Times New Roman" w:cs="Times New Roman"/>
          <w:sz w:val="24"/>
          <w:szCs w:val="24"/>
          <w:lang w:eastAsia="lv-LV"/>
        </w:rPr>
        <w:t>līdzekļiem, padarot šo apdrošināšanas veidu tuvāku Lietuvas un Igaunijas praksei. Jāatzīmē, ka šādas izmaiņas ir jāvērtē vienlaicīgi kopā ar nodokļu sistēmu. L</w:t>
      </w:r>
      <w:r w:rsidR="00F431A3" w:rsidRPr="00A857F2">
        <w:rPr>
          <w:rFonts w:ascii="Times New Roman" w:hAnsi="Times New Roman" w:cs="Times New Roman"/>
          <w:sz w:val="24"/>
          <w:szCs w:val="24"/>
        </w:rPr>
        <w:t xml:space="preserve">ai samazinātu darba devēju izmaksas slimības naudai (A lapa) un izmaksas pārnestu uz valsts </w:t>
      </w:r>
      <w:bookmarkStart w:id="25" w:name="_Hlk13579751"/>
      <w:r w:rsidR="00F431A3" w:rsidRPr="00A857F2">
        <w:rPr>
          <w:rFonts w:ascii="Times New Roman" w:hAnsi="Times New Roman" w:cs="Times New Roman"/>
          <w:sz w:val="24"/>
          <w:szCs w:val="24"/>
        </w:rPr>
        <w:t>speciālo budžetu</w:t>
      </w:r>
      <w:bookmarkEnd w:id="25"/>
      <w:r w:rsidR="00583BA7" w:rsidRPr="009703E6">
        <w:rPr>
          <w:rFonts w:ascii="Times New Roman" w:hAnsi="Times New Roman" w:cs="Times New Roman"/>
          <w:sz w:val="24"/>
          <w:szCs w:val="24"/>
        </w:rPr>
        <w:t>,</w:t>
      </w:r>
      <w:r w:rsidR="00F431A3" w:rsidRPr="009703E6">
        <w:rPr>
          <w:rFonts w:ascii="Times New Roman" w:hAnsi="Times New Roman" w:cs="Times New Roman"/>
          <w:sz w:val="24"/>
          <w:szCs w:val="24"/>
        </w:rPr>
        <w:t xml:space="preserve"> tās nodrošinot esošās VSAOI ietvaros, ir jābūt atbilstoši kompensējošiem pasākum</w:t>
      </w:r>
      <w:r w:rsidR="00F431A3" w:rsidRPr="0015154B">
        <w:rPr>
          <w:rFonts w:ascii="Times New Roman" w:hAnsi="Times New Roman" w:cs="Times New Roman"/>
          <w:sz w:val="24"/>
          <w:szCs w:val="24"/>
        </w:rPr>
        <w:t>iem - piem</w:t>
      </w:r>
      <w:r w:rsidR="00583BA7" w:rsidRPr="0015154B">
        <w:rPr>
          <w:rFonts w:ascii="Times New Roman" w:hAnsi="Times New Roman" w:cs="Times New Roman"/>
          <w:sz w:val="24"/>
          <w:szCs w:val="24"/>
        </w:rPr>
        <w:t>ēram</w:t>
      </w:r>
      <w:r w:rsidR="00F431A3" w:rsidRPr="0015154B">
        <w:rPr>
          <w:rFonts w:ascii="Times New Roman" w:hAnsi="Times New Roman" w:cs="Times New Roman"/>
          <w:sz w:val="24"/>
          <w:szCs w:val="24"/>
        </w:rPr>
        <w:t xml:space="preserve">, samazinot slimības pabalsta atvietojuma līmeni vai paaugstinot VSAOI likmi. </w:t>
      </w:r>
      <w:r w:rsidR="00F431A3" w:rsidRPr="0015154B">
        <w:rPr>
          <w:rFonts w:ascii="Times New Roman" w:hAnsi="Times New Roman" w:cs="Times New Roman"/>
          <w:sz w:val="24"/>
          <w:szCs w:val="24"/>
          <w:shd w:val="clear" w:color="auto" w:fill="FFFFFF"/>
        </w:rPr>
        <w:t>Jāatzīmē, ka darbnespējas rezultātā zaudētu ienākumu kompensēšana paredz divus elementus – darba devēja atbildību un valsts sociālās apdrošināšanas sistēmas atbalstu. Normatīvajā regulējumā ietvertais pienākums darba devējam apmaksāt darbnespējas pirmās 10 dienas ir noteikts ar mērķi, lai papildu motivētu darba devējus rūpēties par darbinieku veselību un darba apstākļiem.</w:t>
      </w:r>
    </w:p>
    <w:p w14:paraId="564AB0FD" w14:textId="4236018C" w:rsidR="009321C8" w:rsidRPr="0015154B" w:rsidRDefault="009321C8" w:rsidP="00583BA7">
      <w:pPr>
        <w:shd w:val="clear" w:color="auto" w:fill="FFFFFF"/>
        <w:spacing w:before="120" w:after="0" w:line="240" w:lineRule="auto"/>
        <w:ind w:left="284"/>
        <w:jc w:val="both"/>
        <w:rPr>
          <w:rFonts w:ascii="Times New Roman" w:eastAsia="Verdana" w:hAnsi="Times New Roman" w:cs="Times New Roman"/>
          <w:color w:val="000000" w:themeColor="text1"/>
          <w:kern w:val="24"/>
          <w:sz w:val="24"/>
          <w:szCs w:val="24"/>
          <w:lang w:eastAsia="lv-LV"/>
        </w:rPr>
      </w:pPr>
      <w:r w:rsidRPr="0015154B">
        <w:rPr>
          <w:rFonts w:ascii="Times New Roman" w:hAnsi="Times New Roman" w:cs="Times New Roman"/>
          <w:sz w:val="24"/>
          <w:szCs w:val="24"/>
          <w:shd w:val="clear" w:color="auto" w:fill="FFFFFF"/>
        </w:rPr>
        <w:t xml:space="preserve">Ņemot vērā minēto, turpināms darbs </w:t>
      </w:r>
      <w:r w:rsidR="00583BA7" w:rsidRPr="0015154B">
        <w:rPr>
          <w:rFonts w:ascii="Times New Roman" w:hAnsi="Times New Roman" w:cs="Times New Roman"/>
          <w:sz w:val="24"/>
          <w:szCs w:val="24"/>
          <w:shd w:val="clear" w:color="auto" w:fill="FFFFFF"/>
        </w:rPr>
        <w:t xml:space="preserve">pie </w:t>
      </w:r>
      <w:r w:rsidRPr="0015154B">
        <w:rPr>
          <w:rFonts w:ascii="Times New Roman" w:eastAsia="Verdana" w:hAnsi="Times New Roman" w:cs="Times New Roman"/>
          <w:color w:val="000000" w:themeColor="text1"/>
          <w:kern w:val="24"/>
          <w:sz w:val="24"/>
          <w:szCs w:val="24"/>
          <w:lang w:eastAsia="lv-LV"/>
        </w:rPr>
        <w:t xml:space="preserve">darbnespējas lapu piešķiršanas monitoringa, kā arī lielāka uzmanība pievēršama tādiem jautājumiem, kā atrašanās darba vietā sliktā veselības stāvoklī </w:t>
      </w:r>
      <w:r w:rsidRPr="0015154B">
        <w:rPr>
          <w:rFonts w:ascii="Times New Roman" w:eastAsia="Verdana" w:hAnsi="Times New Roman" w:cs="Times New Roman"/>
          <w:iCs/>
          <w:color w:val="000000" w:themeColor="text1"/>
          <w:kern w:val="24"/>
          <w:sz w:val="24"/>
          <w:szCs w:val="24"/>
          <w:lang w:eastAsia="lv-LV"/>
        </w:rPr>
        <w:t>(</w:t>
      </w:r>
      <w:r w:rsidRPr="0015154B">
        <w:rPr>
          <w:rFonts w:ascii="Times New Roman" w:eastAsia="Verdana" w:hAnsi="Times New Roman" w:cs="Times New Roman"/>
          <w:i/>
          <w:iCs/>
          <w:color w:val="000000" w:themeColor="text1"/>
          <w:kern w:val="24"/>
          <w:sz w:val="24"/>
          <w:szCs w:val="24"/>
          <w:lang w:eastAsia="lv-LV"/>
        </w:rPr>
        <w:t>presenteeism</w:t>
      </w:r>
      <w:r w:rsidRPr="0015154B">
        <w:rPr>
          <w:rFonts w:ascii="Times New Roman" w:eastAsia="Verdana" w:hAnsi="Times New Roman" w:cs="Times New Roman"/>
          <w:iCs/>
          <w:color w:val="000000" w:themeColor="text1"/>
          <w:kern w:val="24"/>
          <w:sz w:val="24"/>
          <w:szCs w:val="24"/>
          <w:lang w:eastAsia="lv-LV"/>
        </w:rPr>
        <w:t>), un tā ietekme</w:t>
      </w:r>
      <w:r w:rsidRPr="0015154B">
        <w:rPr>
          <w:rFonts w:ascii="Times New Roman" w:eastAsia="Verdana" w:hAnsi="Times New Roman" w:cs="Times New Roman"/>
          <w:i/>
          <w:iCs/>
          <w:color w:val="000000" w:themeColor="text1"/>
          <w:kern w:val="24"/>
          <w:sz w:val="24"/>
          <w:szCs w:val="24"/>
          <w:lang w:eastAsia="lv-LV"/>
        </w:rPr>
        <w:t xml:space="preserve"> </w:t>
      </w:r>
      <w:r w:rsidRPr="0015154B">
        <w:rPr>
          <w:rFonts w:ascii="Times New Roman" w:eastAsia="Verdana" w:hAnsi="Times New Roman" w:cs="Times New Roman"/>
          <w:color w:val="000000" w:themeColor="text1"/>
          <w:kern w:val="24"/>
          <w:sz w:val="24"/>
          <w:szCs w:val="24"/>
          <w:lang w:eastAsia="lv-LV"/>
        </w:rPr>
        <w:t xml:space="preserve">uz cilvēka veselību kopumā, kā arī  darba devēja un </w:t>
      </w:r>
      <w:r w:rsidRPr="0015154B">
        <w:rPr>
          <w:rFonts w:ascii="Times New Roman" w:eastAsia="Verdana" w:hAnsi="Times New Roman" w:cs="Times New Roman"/>
          <w:color w:val="000000" w:themeColor="text1"/>
          <w:kern w:val="24"/>
          <w:sz w:val="24"/>
          <w:szCs w:val="24"/>
          <w:lang w:eastAsia="lv-LV"/>
        </w:rPr>
        <w:lastRenderedPageBreak/>
        <w:t xml:space="preserve">valsts izmaksām. Joprojām svarīgs ir “veselībai labvēlīgas darba vides” </w:t>
      </w:r>
      <w:r w:rsidRPr="0015154B">
        <w:rPr>
          <w:rFonts w:ascii="Times New Roman" w:eastAsia="Verdana" w:hAnsi="Times New Roman" w:cs="Times New Roman"/>
          <w:i/>
          <w:iCs/>
          <w:color w:val="000000" w:themeColor="text1"/>
          <w:kern w:val="24"/>
          <w:sz w:val="24"/>
          <w:szCs w:val="24"/>
          <w:lang w:eastAsia="lv-LV"/>
        </w:rPr>
        <w:t>(well-being workplace)</w:t>
      </w:r>
      <w:r w:rsidRPr="0015154B">
        <w:rPr>
          <w:rFonts w:ascii="Times New Roman" w:eastAsia="Verdana" w:hAnsi="Times New Roman" w:cs="Times New Roman"/>
          <w:color w:val="000000" w:themeColor="text1"/>
          <w:kern w:val="24"/>
          <w:sz w:val="24"/>
          <w:szCs w:val="24"/>
          <w:lang w:eastAsia="lv-LV"/>
        </w:rPr>
        <w:t xml:space="preserve"> nodrošināšana, palielinot darba devēja lomu darbnespējas gadījumu mazināšanā</w:t>
      </w:r>
      <w:r w:rsidR="006C2D58" w:rsidRPr="0015154B">
        <w:rPr>
          <w:rFonts w:ascii="Times New Roman" w:eastAsia="Verdana" w:hAnsi="Times New Roman" w:cs="Times New Roman"/>
          <w:color w:val="000000" w:themeColor="text1"/>
          <w:kern w:val="24"/>
          <w:sz w:val="24"/>
          <w:szCs w:val="24"/>
          <w:lang w:eastAsia="lv-LV"/>
        </w:rPr>
        <w:t>.</w:t>
      </w:r>
    </w:p>
    <w:p w14:paraId="3CCD89D0" w14:textId="77777777" w:rsidR="00583BA7" w:rsidRPr="0015154B" w:rsidRDefault="00583BA7" w:rsidP="00583BA7">
      <w:pPr>
        <w:shd w:val="clear" w:color="auto" w:fill="FFFFFF"/>
        <w:spacing w:before="120" w:after="0" w:line="240" w:lineRule="auto"/>
        <w:ind w:left="284"/>
        <w:jc w:val="both"/>
        <w:rPr>
          <w:rFonts w:ascii="Times New Roman" w:eastAsia="Times New Roman" w:hAnsi="Times New Roman" w:cs="Times New Roman"/>
          <w:bCs/>
          <w:sz w:val="24"/>
          <w:szCs w:val="24"/>
          <w:lang w:eastAsia="lv-LV"/>
        </w:rPr>
      </w:pPr>
    </w:p>
    <w:p w14:paraId="7AD10D96" w14:textId="5B63ACA3" w:rsidR="00CE695A" w:rsidRPr="0015154B" w:rsidRDefault="00CE695A" w:rsidP="00583BA7">
      <w:pPr>
        <w:pStyle w:val="ListParagraph"/>
        <w:numPr>
          <w:ilvl w:val="0"/>
          <w:numId w:val="64"/>
        </w:numPr>
        <w:pBdr>
          <w:left w:val="single" w:sz="24" w:space="4" w:color="549E39" w:themeColor="accent1"/>
        </w:pBdr>
        <w:shd w:val="clear" w:color="auto" w:fill="FFFFFF"/>
        <w:autoSpaceDE w:val="0"/>
        <w:autoSpaceDN w:val="0"/>
        <w:adjustRightInd w:val="0"/>
        <w:spacing w:before="120" w:line="240" w:lineRule="auto"/>
        <w:ind w:left="425" w:hanging="357"/>
        <w:contextualSpacing w:val="0"/>
        <w:jc w:val="both"/>
        <w:rPr>
          <w:rFonts w:ascii="Times New Roman" w:eastAsia="Times New Roman" w:hAnsi="Times New Roman" w:cs="Times New Roman"/>
          <w:bCs/>
          <w:color w:val="002060"/>
          <w:sz w:val="24"/>
          <w:szCs w:val="24"/>
          <w:lang w:eastAsia="lv-LV"/>
        </w:rPr>
      </w:pPr>
      <w:r w:rsidRPr="0015154B">
        <w:rPr>
          <w:rFonts w:ascii="Times New Roman" w:eastAsia="Times New Roman" w:hAnsi="Times New Roman" w:cs="Times New Roman"/>
          <w:bCs/>
          <w:color w:val="002060"/>
          <w:sz w:val="24"/>
          <w:szCs w:val="24"/>
          <w:lang w:eastAsia="lv-LV"/>
        </w:rPr>
        <w:t>Satversmes tiesā ir ierosināta lieta Nr. 2020-13-01, kurā tiek vērtēt</w:t>
      </w:r>
      <w:r w:rsidR="003804D2" w:rsidRPr="0015154B">
        <w:rPr>
          <w:rFonts w:ascii="Times New Roman" w:eastAsia="Times New Roman" w:hAnsi="Times New Roman" w:cs="Times New Roman"/>
          <w:bCs/>
          <w:color w:val="002060"/>
          <w:sz w:val="24"/>
          <w:szCs w:val="24"/>
          <w:lang w:eastAsia="lv-LV"/>
        </w:rPr>
        <w:t>i</w:t>
      </w:r>
      <w:r w:rsidRPr="0015154B">
        <w:rPr>
          <w:rFonts w:ascii="Times New Roman" w:eastAsia="Times New Roman" w:hAnsi="Times New Roman" w:cs="Times New Roman"/>
          <w:bCs/>
          <w:color w:val="002060"/>
          <w:sz w:val="24"/>
          <w:szCs w:val="24"/>
          <w:lang w:eastAsia="lv-LV"/>
        </w:rPr>
        <w:t xml:space="preserve"> </w:t>
      </w:r>
      <w:r w:rsidR="003804D2" w:rsidRPr="0015154B">
        <w:rPr>
          <w:rFonts w:ascii="Times New Roman" w:eastAsia="Times New Roman" w:hAnsi="Times New Roman" w:cs="Times New Roman"/>
          <w:bCs/>
          <w:color w:val="002060"/>
          <w:sz w:val="24"/>
          <w:szCs w:val="24"/>
          <w:lang w:eastAsia="lv-LV"/>
        </w:rPr>
        <w:t>bērna kopšanas pabalsta izmaksas nosacījumi priekšlaicīgi dzimuša bērna vecākiem.</w:t>
      </w:r>
    </w:p>
    <w:p w14:paraId="19E2C84D" w14:textId="77777777" w:rsidR="00583BA7" w:rsidRPr="0015154B" w:rsidRDefault="00583BA7" w:rsidP="00583BA7">
      <w:pPr>
        <w:shd w:val="clear" w:color="auto" w:fill="FFFFFF"/>
        <w:spacing w:before="120" w:after="0" w:line="240" w:lineRule="auto"/>
        <w:ind w:left="284"/>
        <w:jc w:val="both"/>
        <w:rPr>
          <w:rFonts w:ascii="Times New Roman" w:eastAsia="Times New Roman" w:hAnsi="Times New Roman" w:cs="Times New Roman"/>
          <w:bCs/>
          <w:color w:val="002060"/>
          <w:sz w:val="24"/>
          <w:szCs w:val="24"/>
          <w:lang w:eastAsia="lv-LV"/>
        </w:rPr>
      </w:pPr>
    </w:p>
    <w:p w14:paraId="711F77B7" w14:textId="77777777" w:rsidR="00583BA7" w:rsidRPr="007157D3" w:rsidRDefault="00675EDA" w:rsidP="00583BA7">
      <w:pPr>
        <w:pStyle w:val="ListParagraph"/>
        <w:numPr>
          <w:ilvl w:val="0"/>
          <w:numId w:val="64"/>
        </w:numPr>
        <w:pBdr>
          <w:left w:val="single" w:sz="24" w:space="4" w:color="549E39" w:themeColor="accent1"/>
        </w:pBdr>
        <w:shd w:val="clear" w:color="auto" w:fill="FFFFFF"/>
        <w:autoSpaceDE w:val="0"/>
        <w:autoSpaceDN w:val="0"/>
        <w:adjustRightInd w:val="0"/>
        <w:spacing w:before="120" w:line="240" w:lineRule="auto"/>
        <w:ind w:left="425" w:hanging="357"/>
        <w:contextualSpacing w:val="0"/>
        <w:jc w:val="both"/>
        <w:rPr>
          <w:rFonts w:ascii="Times New Roman" w:eastAsia="Times New Roman" w:hAnsi="Times New Roman" w:cs="Times New Roman"/>
          <w:bCs/>
          <w:color w:val="002060"/>
          <w:sz w:val="24"/>
          <w:szCs w:val="24"/>
          <w:lang w:eastAsia="lv-LV"/>
        </w:rPr>
      </w:pPr>
      <w:r w:rsidRPr="0015154B">
        <w:rPr>
          <w:rFonts w:ascii="Times New Roman" w:eastAsia="Times New Roman" w:hAnsi="Times New Roman" w:cs="Times New Roman"/>
          <w:bCs/>
          <w:color w:val="002060"/>
          <w:sz w:val="24"/>
          <w:szCs w:val="24"/>
          <w:lang w:eastAsia="lv-LV"/>
        </w:rPr>
        <w:t>Saskaņā ar Eiropas Parlamenta un Padomes direktīvu</w:t>
      </w:r>
      <w:r w:rsidRPr="007157D3">
        <w:rPr>
          <w:rFonts w:eastAsia="Times New Roman"/>
          <w:bCs/>
          <w:color w:val="002060"/>
          <w:vertAlign w:val="superscript"/>
          <w:lang w:eastAsia="lv-LV"/>
        </w:rPr>
        <w:footnoteReference w:id="64"/>
      </w:r>
      <w:r w:rsidRPr="007157D3">
        <w:rPr>
          <w:rFonts w:ascii="Times New Roman" w:eastAsia="Times New Roman" w:hAnsi="Times New Roman" w:cs="Times New Roman"/>
          <w:bCs/>
          <w:color w:val="002060"/>
          <w:sz w:val="24"/>
          <w:szCs w:val="24"/>
          <w:lang w:eastAsia="lv-LV"/>
        </w:rPr>
        <w:t xml:space="preserve"> par darba un privātās dzīves līdzsvaru vecākiem un aprūpētājiem dalībvalstīm līdz 2022. gada 2. augustam ir jānodrošina: </w:t>
      </w:r>
    </w:p>
    <w:p w14:paraId="2A19DAED" w14:textId="38F38419" w:rsidR="00F431A3" w:rsidRPr="009703E6" w:rsidRDefault="00675EDA" w:rsidP="00583BA7">
      <w:pPr>
        <w:pStyle w:val="ListParagraph"/>
        <w:spacing w:before="120" w:after="0" w:line="240" w:lineRule="auto"/>
        <w:ind w:left="360"/>
        <w:jc w:val="both"/>
        <w:rPr>
          <w:rFonts w:ascii="Times New Roman" w:eastAsia="Times New Roman" w:hAnsi="Times New Roman" w:cs="Times New Roman"/>
          <w:bCs/>
          <w:sz w:val="24"/>
          <w:szCs w:val="24"/>
          <w:lang w:eastAsia="lv-LV"/>
        </w:rPr>
      </w:pPr>
      <w:r w:rsidRPr="002F5278">
        <w:rPr>
          <w:rFonts w:ascii="Times New Roman" w:hAnsi="Times New Roman" w:cs="Times New Roman"/>
          <w:sz w:val="24"/>
          <w:szCs w:val="24"/>
        </w:rPr>
        <w:t>1) vismaz 10 darba dienas ilgu apmaksātu paternitātes atvaļinājumu bērna tēvam; 2) vismaz četrus mēnešus ilgu vecāku atvaļinājumu katram no bērna vecākiem ar vairākiem nosacījumiem, t.sk.: vismaz divi mēneši no vecāku atvaļinājuma ir apmaksāti un nav nododami otram vecākam, darbiniekiem jābūt tiesībām</w:t>
      </w:r>
      <w:r w:rsidRPr="0025422D">
        <w:rPr>
          <w:rFonts w:ascii="Times New Roman" w:hAnsi="Times New Roman" w:cs="Times New Roman"/>
          <w:sz w:val="24"/>
          <w:szCs w:val="24"/>
        </w:rPr>
        <w:t xml:space="preserve"> vecāku atvaļinājumu lūgt izmantot elastīgā veidā, papildus izvērtējama vecāku atvaļinājuma nosacījumu pielāgošana adoptētājiem un vecākiem, kuriem ir ilgstoši slimojoši bērni vai bērni ar invaliditāti; 3) vismaz piecu darba dienu gadā ilgu aprūpētāja atvaļinājumu, ja tas nepieciešams saistībā ar darbinieka piederīgā medicīnisko stāvokli; 4) darbinieku tiesības lūgt elastīgu darba režīmu bērna aprūpes nolūkā (līdz bērna vismaz 8 gadu vecumam) un darba devēju pienākumu šādus lūgumus izskatīt un uz tiem reaģē</w:t>
      </w:r>
      <w:r w:rsidRPr="00A857F2">
        <w:rPr>
          <w:rFonts w:ascii="Times New Roman" w:hAnsi="Times New Roman" w:cs="Times New Roman"/>
          <w:sz w:val="24"/>
          <w:szCs w:val="24"/>
        </w:rPr>
        <w:t>t; 5) darbinieku iegūto tiesību saglabāšanu paternitātes, vecāku vai aprūpētāja atvaļinājuma laikā, kā arī darbinieku aizsardzību pret diskrimināciju, atlaišanu un citām nelabvēlīgām sekām, ja darbinieks ir izmantojis Direktīvā paredzētās tiesības.</w:t>
      </w:r>
    </w:p>
    <w:p w14:paraId="4213E876" w14:textId="72080883" w:rsidR="009B4A30" w:rsidRPr="0025422D" w:rsidRDefault="00BD279D" w:rsidP="00583BA7">
      <w:pPr>
        <w:autoSpaceDE w:val="0"/>
        <w:autoSpaceDN w:val="0"/>
        <w:adjustRightInd w:val="0"/>
        <w:spacing w:before="120" w:after="0" w:line="240" w:lineRule="auto"/>
        <w:ind w:left="360"/>
        <w:jc w:val="both"/>
        <w:rPr>
          <w:rFonts w:ascii="Times New Roman" w:hAnsi="Times New Roman" w:cs="Times New Roman"/>
          <w:sz w:val="24"/>
          <w:szCs w:val="24"/>
        </w:rPr>
      </w:pPr>
      <w:r w:rsidRPr="009703E6">
        <w:rPr>
          <w:rFonts w:ascii="Times New Roman" w:hAnsi="Times New Roman" w:cs="Times New Roman"/>
          <w:sz w:val="24"/>
          <w:szCs w:val="24"/>
        </w:rPr>
        <w:t>P</w:t>
      </w:r>
      <w:r w:rsidRPr="0015154B">
        <w:rPr>
          <w:rFonts w:ascii="Times New Roman" w:hAnsi="Times New Roman" w:cs="Times New Roman"/>
          <w:sz w:val="24"/>
          <w:szCs w:val="24"/>
        </w:rPr>
        <w:t xml:space="preserve">ieaugošs aprūpes pienākumu slogs ir nozīmīgs izaicinājums, ar ko saskaras iedzīvotāji un kas prioritāri būtu risināms tuvākajā periodā. </w:t>
      </w:r>
      <w:r w:rsidR="009B4A30" w:rsidRPr="0015154B">
        <w:rPr>
          <w:rFonts w:ascii="Times New Roman" w:hAnsi="Times New Roman" w:cs="Times New Roman"/>
          <w:sz w:val="24"/>
          <w:szCs w:val="24"/>
        </w:rPr>
        <w:t>Pētījumā “Motivācijas paaugstināšanas un atbalsta pakalpojumu potenciālās mērķa grupas profilēšana un vajadzību izpēte” ir norādīts, ka gadījumā, ja persona, kura kopj citu ģimenes locekli, ir atradusi iespējas savienot darbu ar aprūpes pienākumiem, reizumis nācies piedzīvot neparedzētas situācijas, kuru dēļ radies darba kavējums un attiecīgi – nācies sastapties ar darba devēja neapmierinātību.</w:t>
      </w:r>
      <w:r w:rsidR="009B4A30" w:rsidRPr="007157D3">
        <w:rPr>
          <w:rStyle w:val="FootnoteReference"/>
          <w:rFonts w:ascii="Times New Roman" w:hAnsi="Times New Roman" w:cs="Times New Roman"/>
          <w:color w:val="455F51" w:themeColor="text2"/>
          <w:sz w:val="24"/>
          <w:szCs w:val="24"/>
        </w:rPr>
        <w:footnoteReference w:id="65"/>
      </w:r>
      <w:r w:rsidR="009B4A30" w:rsidRPr="007157D3">
        <w:rPr>
          <w:rFonts w:ascii="Times New Roman" w:hAnsi="Times New Roman" w:cs="Times New Roman"/>
          <w:sz w:val="24"/>
          <w:szCs w:val="24"/>
        </w:rPr>
        <w:t xml:space="preserve"> Personas, kuras apkopj citu ģimenes locekli, mēģina risināt šo situāciju, mainot savu nodarbinātības statusu. Strādājošām personām bija raksturīgi izvēlēties tādu nodarbinātības formu vai darba slodzi, kuru iespējams savienot ar aprūpes pienākumiem (pašnodarbinātību, gadījuma darbus, elastīgu darba laiku vai maiņu darbu, saskaņojot darba grafiku ar partnera darbu). Minētā</w:t>
      </w:r>
      <w:r w:rsidR="009B4A30" w:rsidRPr="002F5278">
        <w:rPr>
          <w:rFonts w:ascii="Times New Roman" w:hAnsi="Times New Roman" w:cs="Times New Roman"/>
          <w:sz w:val="24"/>
          <w:szCs w:val="24"/>
        </w:rPr>
        <w:t>s darba un aprūpes pienākumu saskaņošanas stratēģijas vienlīdz raksturīgas kā vīriešiem, tā sievietēm. Savukārt nespēja a</w:t>
      </w:r>
      <w:r w:rsidR="009B4A30" w:rsidRPr="0025422D">
        <w:rPr>
          <w:rFonts w:ascii="Times New Roman" w:hAnsi="Times New Roman" w:cs="Times New Roman"/>
          <w:sz w:val="24"/>
          <w:szCs w:val="24"/>
        </w:rPr>
        <w:t>trast tādu darbu, kuru iespējams savienot ar aprūpes pienākumiem, ir biežāk minētais personas bezdarba iemesls.</w:t>
      </w:r>
    </w:p>
    <w:p w14:paraId="0B29DD76" w14:textId="05A409BC" w:rsidR="001265DB" w:rsidRPr="0025422D" w:rsidRDefault="009B4A30" w:rsidP="00583BA7">
      <w:pPr>
        <w:spacing w:before="120" w:after="0" w:line="240" w:lineRule="auto"/>
        <w:ind w:left="360"/>
        <w:jc w:val="both"/>
        <w:rPr>
          <w:rFonts w:ascii="Times New Roman" w:hAnsi="Times New Roman" w:cs="Times New Roman"/>
          <w:sz w:val="24"/>
          <w:szCs w:val="24"/>
        </w:rPr>
      </w:pPr>
      <w:r w:rsidRPr="00A857F2">
        <w:rPr>
          <w:rFonts w:ascii="Times New Roman" w:hAnsi="Times New Roman" w:cs="Times New Roman"/>
          <w:sz w:val="24"/>
          <w:szCs w:val="24"/>
        </w:rPr>
        <w:t xml:space="preserve">Šie dati korelē arī ar </w:t>
      </w:r>
      <w:r w:rsidR="00BD279D" w:rsidRPr="00662D1E">
        <w:rPr>
          <w:rFonts w:ascii="Times New Roman" w:hAnsi="Times New Roman" w:cs="Times New Roman"/>
          <w:sz w:val="24"/>
          <w:szCs w:val="24"/>
        </w:rPr>
        <w:t>Ģimenes valsts politikas pamatnostādņu 2011.-2017.gadam ex-p</w:t>
      </w:r>
      <w:r w:rsidR="008221C1" w:rsidRPr="009703E6">
        <w:rPr>
          <w:rFonts w:ascii="Times New Roman" w:hAnsi="Times New Roman" w:cs="Times New Roman"/>
          <w:sz w:val="24"/>
          <w:szCs w:val="24"/>
        </w:rPr>
        <w:t>o</w:t>
      </w:r>
      <w:r w:rsidR="00BD279D" w:rsidRPr="009703E6">
        <w:rPr>
          <w:rFonts w:ascii="Times New Roman" w:hAnsi="Times New Roman" w:cs="Times New Roman"/>
          <w:sz w:val="24"/>
          <w:szCs w:val="24"/>
        </w:rPr>
        <w:t>st novērtējuma</w:t>
      </w:r>
      <w:r w:rsidRPr="0015154B">
        <w:rPr>
          <w:rFonts w:ascii="Times New Roman" w:hAnsi="Times New Roman" w:cs="Times New Roman"/>
          <w:sz w:val="24"/>
          <w:szCs w:val="24"/>
        </w:rPr>
        <w:t xml:space="preserve"> ietvaros veiktās aptaujas rezultātiem par atbalsta pasākum</w:t>
      </w:r>
      <w:r w:rsidR="00601B3C">
        <w:rPr>
          <w:rFonts w:ascii="Times New Roman" w:hAnsi="Times New Roman" w:cs="Times New Roman"/>
          <w:sz w:val="24"/>
          <w:szCs w:val="24"/>
        </w:rPr>
        <w:t>i</w:t>
      </w:r>
      <w:r w:rsidR="00BD279D" w:rsidRPr="0015154B">
        <w:rPr>
          <w:rFonts w:ascii="Times New Roman" w:hAnsi="Times New Roman" w:cs="Times New Roman"/>
          <w:sz w:val="24"/>
          <w:szCs w:val="24"/>
        </w:rPr>
        <w:t>em</w:t>
      </w:r>
      <w:r w:rsidRPr="0015154B">
        <w:rPr>
          <w:rFonts w:ascii="Times New Roman" w:hAnsi="Times New Roman" w:cs="Times New Roman"/>
          <w:sz w:val="24"/>
          <w:szCs w:val="24"/>
        </w:rPr>
        <w:t xml:space="preserve"> ģimenēm dažādās situācijās (</w:t>
      </w:r>
      <w:r w:rsidRPr="0015154B">
        <w:rPr>
          <w:rFonts w:ascii="Times New Roman" w:hAnsi="Times New Roman" w:cs="Times New Roman"/>
          <w:sz w:val="24"/>
          <w:szCs w:val="24"/>
          <w:highlight w:val="yellow"/>
        </w:rPr>
        <w:t>skat</w:t>
      </w:r>
      <w:r w:rsidR="00BD279D" w:rsidRPr="0015154B">
        <w:rPr>
          <w:rFonts w:ascii="Times New Roman" w:hAnsi="Times New Roman" w:cs="Times New Roman"/>
          <w:sz w:val="24"/>
          <w:szCs w:val="24"/>
          <w:highlight w:val="yellow"/>
        </w:rPr>
        <w:t>. 9.</w:t>
      </w:r>
      <w:r w:rsidRPr="0015154B">
        <w:rPr>
          <w:rFonts w:ascii="Times New Roman" w:hAnsi="Times New Roman" w:cs="Times New Roman"/>
          <w:sz w:val="24"/>
          <w:szCs w:val="24"/>
          <w:highlight w:val="yellow"/>
        </w:rPr>
        <w:t>tab</w:t>
      </w:r>
      <w:r w:rsidR="00BD279D" w:rsidRPr="0015154B">
        <w:rPr>
          <w:rFonts w:ascii="Times New Roman" w:hAnsi="Times New Roman" w:cs="Times New Roman"/>
          <w:sz w:val="24"/>
          <w:szCs w:val="24"/>
          <w:highlight w:val="yellow"/>
        </w:rPr>
        <w:t>ulu</w:t>
      </w:r>
      <w:r w:rsidRPr="0015154B">
        <w:rPr>
          <w:rFonts w:ascii="Times New Roman" w:hAnsi="Times New Roman" w:cs="Times New Roman"/>
          <w:sz w:val="24"/>
          <w:szCs w:val="24"/>
        </w:rPr>
        <w:t>).</w:t>
      </w:r>
      <w:r w:rsidR="008221C1" w:rsidRPr="0015154B">
        <w:rPr>
          <w:rFonts w:ascii="Times New Roman" w:hAnsi="Times New Roman" w:cs="Times New Roman"/>
          <w:sz w:val="24"/>
          <w:szCs w:val="24"/>
        </w:rPr>
        <w:t xml:space="preserve"> Iedzīvotāju vērtējumā nozīmīgākais atbalsts būtu sniedzams tieši personām ar aprūpes pienākumiem, t.i., rūpējoties par bērniem ar smagām saslimšanām</w:t>
      </w:r>
      <w:r w:rsidR="001265DB" w:rsidRPr="0015154B">
        <w:rPr>
          <w:rFonts w:ascii="Times New Roman" w:hAnsi="Times New Roman" w:cs="Times New Roman"/>
          <w:sz w:val="24"/>
          <w:szCs w:val="24"/>
        </w:rPr>
        <w:t>/ invaliditāti (78% gadījumu)</w:t>
      </w:r>
      <w:r w:rsidR="008221C1" w:rsidRPr="0015154B">
        <w:rPr>
          <w:rFonts w:ascii="Times New Roman" w:hAnsi="Times New Roman" w:cs="Times New Roman"/>
          <w:sz w:val="24"/>
          <w:szCs w:val="24"/>
        </w:rPr>
        <w:t>, smagi slimiem vai aprūpējamiem tuviniekiem</w:t>
      </w:r>
      <w:r w:rsidR="001265DB" w:rsidRPr="0015154B">
        <w:rPr>
          <w:rFonts w:ascii="Times New Roman" w:hAnsi="Times New Roman" w:cs="Times New Roman"/>
          <w:sz w:val="24"/>
          <w:szCs w:val="24"/>
        </w:rPr>
        <w:t xml:space="preserve"> (64% gadījumu)</w:t>
      </w:r>
      <w:r w:rsidR="008221C1" w:rsidRPr="0015154B">
        <w:rPr>
          <w:rFonts w:ascii="Times New Roman" w:hAnsi="Times New Roman" w:cs="Times New Roman"/>
          <w:sz w:val="24"/>
          <w:szCs w:val="24"/>
        </w:rPr>
        <w:t>.</w:t>
      </w:r>
      <w:r w:rsidR="008221C1" w:rsidRPr="007157D3">
        <w:rPr>
          <w:rStyle w:val="FootnoteReference"/>
          <w:rFonts w:ascii="Times New Roman" w:hAnsi="Times New Roman" w:cs="Times New Roman"/>
          <w:sz w:val="24"/>
          <w:szCs w:val="24"/>
        </w:rPr>
        <w:footnoteReference w:id="66"/>
      </w:r>
      <w:r w:rsidR="008221C1" w:rsidRPr="007157D3">
        <w:rPr>
          <w:rFonts w:ascii="Times New Roman" w:hAnsi="Times New Roman" w:cs="Times New Roman"/>
          <w:sz w:val="24"/>
          <w:szCs w:val="24"/>
        </w:rPr>
        <w:t xml:space="preserve"> </w:t>
      </w:r>
      <w:r w:rsidR="001265DB" w:rsidRPr="007157D3">
        <w:rPr>
          <w:rFonts w:ascii="Times New Roman" w:hAnsi="Times New Roman" w:cs="Times New Roman"/>
          <w:sz w:val="24"/>
          <w:szCs w:val="24"/>
        </w:rPr>
        <w:t xml:space="preserve">Tas norāda, ka sociālās aizsardzības politikas kontekstā </w:t>
      </w:r>
      <w:r w:rsidR="00436443">
        <w:rPr>
          <w:rFonts w:ascii="Times New Roman" w:hAnsi="Times New Roman" w:cs="Times New Roman"/>
          <w:sz w:val="24"/>
          <w:szCs w:val="24"/>
        </w:rPr>
        <w:t xml:space="preserve">publiskai pārvaldei </w:t>
      </w:r>
      <w:r w:rsidR="001265DB" w:rsidRPr="007157D3">
        <w:rPr>
          <w:rFonts w:ascii="Times New Roman" w:hAnsi="Times New Roman" w:cs="Times New Roman"/>
          <w:sz w:val="24"/>
          <w:szCs w:val="24"/>
        </w:rPr>
        <w:t>jāme</w:t>
      </w:r>
      <w:r w:rsidR="006C2D58" w:rsidRPr="007157D3">
        <w:rPr>
          <w:rFonts w:ascii="Times New Roman" w:hAnsi="Times New Roman" w:cs="Times New Roman"/>
          <w:sz w:val="24"/>
          <w:szCs w:val="24"/>
        </w:rPr>
        <w:t>k</w:t>
      </w:r>
      <w:r w:rsidR="001265DB" w:rsidRPr="00425C73">
        <w:rPr>
          <w:rFonts w:ascii="Times New Roman" w:hAnsi="Times New Roman" w:cs="Times New Roman"/>
          <w:sz w:val="24"/>
          <w:szCs w:val="24"/>
        </w:rPr>
        <w:t xml:space="preserve">lē risinājumi t.s. “sendviča </w:t>
      </w:r>
      <w:r w:rsidR="001265DB" w:rsidRPr="002F5278">
        <w:rPr>
          <w:rFonts w:ascii="Times New Roman" w:hAnsi="Times New Roman" w:cs="Times New Roman"/>
          <w:sz w:val="24"/>
          <w:szCs w:val="24"/>
        </w:rPr>
        <w:t xml:space="preserve">paaudzes” problemātikai, kad vienlaikus vecākiem jārūpējas gan par bērniem, </w:t>
      </w:r>
      <w:r w:rsidR="001265DB" w:rsidRPr="0025422D">
        <w:rPr>
          <w:rFonts w:ascii="Times New Roman" w:hAnsi="Times New Roman" w:cs="Times New Roman"/>
          <w:sz w:val="24"/>
          <w:szCs w:val="24"/>
        </w:rPr>
        <w:t xml:space="preserve">gan arī par </w:t>
      </w:r>
      <w:r w:rsidR="00436443">
        <w:rPr>
          <w:rFonts w:ascii="Times New Roman" w:hAnsi="Times New Roman" w:cs="Times New Roman"/>
          <w:sz w:val="24"/>
          <w:szCs w:val="24"/>
        </w:rPr>
        <w:t>saviem vecākiem</w:t>
      </w:r>
      <w:r w:rsidR="001265DB" w:rsidRPr="0025422D">
        <w:rPr>
          <w:rFonts w:ascii="Times New Roman" w:hAnsi="Times New Roman" w:cs="Times New Roman"/>
          <w:sz w:val="24"/>
          <w:szCs w:val="24"/>
        </w:rPr>
        <w:t>.</w:t>
      </w:r>
    </w:p>
    <w:p w14:paraId="5733A5E9" w14:textId="77777777" w:rsidR="003F19D3" w:rsidRPr="00A857F2" w:rsidRDefault="003F19D3" w:rsidP="001265DB">
      <w:pPr>
        <w:spacing w:after="0" w:line="240" w:lineRule="auto"/>
        <w:ind w:firstLine="720"/>
        <w:jc w:val="both"/>
        <w:rPr>
          <w:rFonts w:ascii="Times New Roman" w:hAnsi="Times New Roman" w:cs="Times New Roman"/>
          <w:sz w:val="24"/>
          <w:szCs w:val="24"/>
        </w:rPr>
      </w:pPr>
    </w:p>
    <w:p w14:paraId="0E0B1DA6" w14:textId="77777777" w:rsidR="00BD279D" w:rsidRPr="009703E6" w:rsidRDefault="00BD279D" w:rsidP="001265DB">
      <w:pPr>
        <w:pStyle w:val="tabula"/>
        <w:spacing w:after="0"/>
        <w:jc w:val="left"/>
        <w:rPr>
          <w:b w:val="0"/>
          <w:color w:val="auto"/>
          <w:sz w:val="24"/>
        </w:rPr>
      </w:pPr>
      <w:r w:rsidRPr="009703E6">
        <w:rPr>
          <w:b w:val="0"/>
          <w:color w:val="auto"/>
          <w:sz w:val="24"/>
        </w:rPr>
        <w:t xml:space="preserve">9.tabula </w:t>
      </w:r>
    </w:p>
    <w:p w14:paraId="29C89C62" w14:textId="0E7B02F3" w:rsidR="009B4A30" w:rsidRPr="0015154B" w:rsidRDefault="00BD279D" w:rsidP="001265DB">
      <w:pPr>
        <w:pStyle w:val="tabula"/>
        <w:spacing w:after="0"/>
        <w:jc w:val="center"/>
        <w:rPr>
          <w:color w:val="002060"/>
          <w:sz w:val="24"/>
        </w:rPr>
      </w:pPr>
      <w:r w:rsidRPr="009703E6">
        <w:rPr>
          <w:color w:val="002060"/>
          <w:sz w:val="24"/>
        </w:rPr>
        <w:t>Iedzīvotāju</w:t>
      </w:r>
      <w:r w:rsidR="009B4A30" w:rsidRPr="0015154B">
        <w:rPr>
          <w:color w:val="002060"/>
          <w:sz w:val="24"/>
        </w:rPr>
        <w:t xml:space="preserve"> vērtējums par atbalsta pasākumiem ģimenēm dažādās situācijās</w:t>
      </w:r>
    </w:p>
    <w:p w14:paraId="202CE28C" w14:textId="77777777" w:rsidR="008221C1" w:rsidRPr="0015154B" w:rsidRDefault="008221C1" w:rsidP="001265DB">
      <w:pPr>
        <w:pStyle w:val="tabula"/>
        <w:spacing w:after="0"/>
        <w:jc w:val="left"/>
        <w:rPr>
          <w:b w:val="0"/>
          <w:color w:val="auto"/>
          <w:sz w:val="24"/>
        </w:rPr>
      </w:pPr>
    </w:p>
    <w:tbl>
      <w:tblPr>
        <w:tblStyle w:val="VKTabula"/>
        <w:tblW w:w="9244" w:type="dxa"/>
        <w:tblLook w:val="04A0" w:firstRow="1" w:lastRow="0" w:firstColumn="1" w:lastColumn="0" w:noHBand="0" w:noVBand="1"/>
      </w:tblPr>
      <w:tblGrid>
        <w:gridCol w:w="4219"/>
        <w:gridCol w:w="1102"/>
        <w:gridCol w:w="656"/>
        <w:gridCol w:w="656"/>
        <w:gridCol w:w="536"/>
        <w:gridCol w:w="1080"/>
        <w:gridCol w:w="1194"/>
      </w:tblGrid>
      <w:tr w:rsidR="00E17B25" w:rsidRPr="0015154B" w14:paraId="692A95B0" w14:textId="77777777" w:rsidTr="00E17B25">
        <w:trPr>
          <w:cnfStyle w:val="100000000000" w:firstRow="1" w:lastRow="0" w:firstColumn="0" w:lastColumn="0" w:oddVBand="0" w:evenVBand="0" w:oddHBand="0" w:evenHBand="0" w:firstRowFirstColumn="0" w:firstRowLastColumn="0" w:lastRowFirstColumn="0" w:lastRowLastColumn="0"/>
          <w:trHeight w:val="300"/>
        </w:trPr>
        <w:tc>
          <w:tcPr>
            <w:tcW w:w="4219" w:type="dxa"/>
            <w:noWrap/>
            <w:hideMark/>
          </w:tcPr>
          <w:p w14:paraId="10242DBA" w14:textId="77777777" w:rsidR="009B4A30" w:rsidRPr="0015154B" w:rsidRDefault="009B4A30" w:rsidP="001265DB">
            <w:pPr>
              <w:jc w:val="center"/>
              <w:rPr>
                <w:color w:val="002060"/>
                <w:szCs w:val="22"/>
              </w:rPr>
            </w:pPr>
            <w:r w:rsidRPr="0015154B">
              <w:rPr>
                <w:color w:val="002060"/>
                <w:szCs w:val="22"/>
              </w:rPr>
              <w:t>Atbalsta pasākumi ģimenēm dažādās situācijās</w:t>
            </w:r>
          </w:p>
        </w:tc>
        <w:tc>
          <w:tcPr>
            <w:tcW w:w="1102" w:type="dxa"/>
            <w:noWrap/>
            <w:hideMark/>
          </w:tcPr>
          <w:p w14:paraId="56FAEF0B" w14:textId="77777777" w:rsidR="009B4A30" w:rsidRPr="0015154B" w:rsidRDefault="009B4A30" w:rsidP="001265DB">
            <w:pPr>
              <w:jc w:val="center"/>
              <w:rPr>
                <w:color w:val="002060"/>
                <w:szCs w:val="22"/>
              </w:rPr>
            </w:pPr>
            <w:r w:rsidRPr="0015154B">
              <w:rPr>
                <w:color w:val="002060"/>
                <w:szCs w:val="22"/>
              </w:rPr>
              <w:t>5 - valstij IR noteikti jāsniedz atbalsts</w:t>
            </w:r>
          </w:p>
        </w:tc>
        <w:tc>
          <w:tcPr>
            <w:tcW w:w="583" w:type="dxa"/>
            <w:noWrap/>
            <w:hideMark/>
          </w:tcPr>
          <w:p w14:paraId="73B154DB" w14:textId="77777777" w:rsidR="009B4A30" w:rsidRPr="004A6572" w:rsidRDefault="009B4A30" w:rsidP="001265DB">
            <w:pPr>
              <w:jc w:val="center"/>
              <w:rPr>
                <w:color w:val="002060"/>
                <w:szCs w:val="22"/>
              </w:rPr>
            </w:pPr>
            <w:r w:rsidRPr="004A6572">
              <w:rPr>
                <w:color w:val="002060"/>
                <w:szCs w:val="22"/>
              </w:rPr>
              <w:t>4</w:t>
            </w:r>
          </w:p>
        </w:tc>
        <w:tc>
          <w:tcPr>
            <w:tcW w:w="583" w:type="dxa"/>
            <w:noWrap/>
            <w:hideMark/>
          </w:tcPr>
          <w:p w14:paraId="751149EB" w14:textId="77777777" w:rsidR="009B4A30" w:rsidRPr="004A6572" w:rsidRDefault="009B4A30" w:rsidP="001265DB">
            <w:pPr>
              <w:jc w:val="center"/>
              <w:rPr>
                <w:color w:val="002060"/>
                <w:szCs w:val="22"/>
              </w:rPr>
            </w:pPr>
            <w:r w:rsidRPr="004A6572">
              <w:rPr>
                <w:color w:val="002060"/>
                <w:szCs w:val="22"/>
              </w:rPr>
              <w:t>3</w:t>
            </w:r>
          </w:p>
        </w:tc>
        <w:tc>
          <w:tcPr>
            <w:tcW w:w="483" w:type="dxa"/>
            <w:noWrap/>
            <w:hideMark/>
          </w:tcPr>
          <w:p w14:paraId="334DC005" w14:textId="77777777" w:rsidR="009B4A30" w:rsidRPr="004A6572" w:rsidRDefault="009B4A30" w:rsidP="001265DB">
            <w:pPr>
              <w:jc w:val="center"/>
              <w:rPr>
                <w:color w:val="002060"/>
                <w:szCs w:val="22"/>
              </w:rPr>
            </w:pPr>
            <w:r w:rsidRPr="004A6572">
              <w:rPr>
                <w:color w:val="002060"/>
                <w:szCs w:val="22"/>
              </w:rPr>
              <w:t>2</w:t>
            </w:r>
          </w:p>
        </w:tc>
        <w:tc>
          <w:tcPr>
            <w:tcW w:w="1080" w:type="dxa"/>
            <w:noWrap/>
            <w:hideMark/>
          </w:tcPr>
          <w:p w14:paraId="48CC5F33" w14:textId="77777777" w:rsidR="009B4A30" w:rsidRPr="004A6572" w:rsidRDefault="009B4A30" w:rsidP="001265DB">
            <w:pPr>
              <w:jc w:val="center"/>
              <w:rPr>
                <w:color w:val="002060"/>
                <w:szCs w:val="22"/>
              </w:rPr>
            </w:pPr>
            <w:r w:rsidRPr="004A6572">
              <w:rPr>
                <w:color w:val="002060"/>
                <w:szCs w:val="22"/>
              </w:rPr>
              <w:t>1 - valstij NAV jāsniedz atbalsts</w:t>
            </w:r>
          </w:p>
        </w:tc>
        <w:tc>
          <w:tcPr>
            <w:tcW w:w="1194" w:type="dxa"/>
            <w:noWrap/>
            <w:hideMark/>
          </w:tcPr>
          <w:p w14:paraId="636D0A22" w14:textId="77777777" w:rsidR="009B4A30" w:rsidRPr="004A6572" w:rsidRDefault="009B4A30" w:rsidP="001265DB">
            <w:pPr>
              <w:jc w:val="center"/>
              <w:rPr>
                <w:color w:val="002060"/>
                <w:szCs w:val="22"/>
              </w:rPr>
            </w:pPr>
            <w:r w:rsidRPr="004A6572">
              <w:rPr>
                <w:color w:val="002060"/>
                <w:szCs w:val="22"/>
              </w:rPr>
              <w:t>Grūti pateikt</w:t>
            </w:r>
          </w:p>
        </w:tc>
      </w:tr>
      <w:tr w:rsidR="008221C1" w:rsidRPr="0015154B" w14:paraId="5A264332" w14:textId="77777777" w:rsidTr="00E17B25">
        <w:trPr>
          <w:cnfStyle w:val="000000100000" w:firstRow="0" w:lastRow="0" w:firstColumn="0" w:lastColumn="0" w:oddVBand="0" w:evenVBand="0" w:oddHBand="1" w:evenHBand="0" w:firstRowFirstColumn="0" w:firstRowLastColumn="0" w:lastRowFirstColumn="0" w:lastRowLastColumn="0"/>
          <w:trHeight w:val="300"/>
        </w:trPr>
        <w:tc>
          <w:tcPr>
            <w:tcW w:w="4219" w:type="dxa"/>
            <w:noWrap/>
            <w:hideMark/>
          </w:tcPr>
          <w:p w14:paraId="21BD6AE3" w14:textId="77777777" w:rsidR="009B4A30" w:rsidRPr="0015154B" w:rsidRDefault="009B4A30" w:rsidP="008221C1">
            <w:pPr>
              <w:rPr>
                <w:sz w:val="24"/>
                <w:szCs w:val="24"/>
              </w:rPr>
            </w:pPr>
            <w:r w:rsidRPr="0015154B">
              <w:rPr>
                <w:sz w:val="24"/>
                <w:szCs w:val="24"/>
              </w:rPr>
              <w:t>Ieviest tiesības uz elastīgu darba režīmu mazu bērnu vecākiem un personām, kam ir aprūpējami tuvinieki</w:t>
            </w:r>
          </w:p>
        </w:tc>
        <w:tc>
          <w:tcPr>
            <w:tcW w:w="1102" w:type="dxa"/>
            <w:noWrap/>
            <w:hideMark/>
          </w:tcPr>
          <w:p w14:paraId="7ABA5A28" w14:textId="77777777" w:rsidR="009B4A30" w:rsidRPr="004A6572" w:rsidRDefault="009B4A30" w:rsidP="008221C1">
            <w:pPr>
              <w:jc w:val="center"/>
              <w:rPr>
                <w:sz w:val="24"/>
                <w:szCs w:val="24"/>
              </w:rPr>
            </w:pPr>
            <w:r w:rsidRPr="004A6572">
              <w:rPr>
                <w:sz w:val="24"/>
                <w:szCs w:val="24"/>
              </w:rPr>
              <w:t>45%</w:t>
            </w:r>
          </w:p>
        </w:tc>
        <w:tc>
          <w:tcPr>
            <w:tcW w:w="583" w:type="dxa"/>
            <w:noWrap/>
            <w:hideMark/>
          </w:tcPr>
          <w:p w14:paraId="5A21AC9C" w14:textId="77777777" w:rsidR="009B4A30" w:rsidRPr="004A6572" w:rsidRDefault="009B4A30" w:rsidP="008221C1">
            <w:pPr>
              <w:jc w:val="center"/>
              <w:rPr>
                <w:sz w:val="24"/>
                <w:szCs w:val="24"/>
              </w:rPr>
            </w:pPr>
            <w:r w:rsidRPr="004A6572">
              <w:rPr>
                <w:sz w:val="24"/>
                <w:szCs w:val="24"/>
              </w:rPr>
              <w:t>28%</w:t>
            </w:r>
          </w:p>
        </w:tc>
        <w:tc>
          <w:tcPr>
            <w:tcW w:w="583" w:type="dxa"/>
            <w:noWrap/>
            <w:hideMark/>
          </w:tcPr>
          <w:p w14:paraId="58E7D515" w14:textId="77777777" w:rsidR="009B4A30" w:rsidRPr="004A6572" w:rsidRDefault="009B4A30" w:rsidP="008221C1">
            <w:pPr>
              <w:jc w:val="center"/>
              <w:rPr>
                <w:sz w:val="24"/>
                <w:szCs w:val="24"/>
              </w:rPr>
            </w:pPr>
            <w:r w:rsidRPr="004A6572">
              <w:rPr>
                <w:sz w:val="24"/>
                <w:szCs w:val="24"/>
              </w:rPr>
              <w:t>15%</w:t>
            </w:r>
          </w:p>
        </w:tc>
        <w:tc>
          <w:tcPr>
            <w:tcW w:w="483" w:type="dxa"/>
            <w:noWrap/>
            <w:hideMark/>
          </w:tcPr>
          <w:p w14:paraId="50E65C7F" w14:textId="77777777" w:rsidR="009B4A30" w:rsidRPr="004A6572" w:rsidRDefault="009B4A30" w:rsidP="008221C1">
            <w:pPr>
              <w:jc w:val="center"/>
              <w:rPr>
                <w:sz w:val="24"/>
                <w:szCs w:val="24"/>
              </w:rPr>
            </w:pPr>
            <w:r w:rsidRPr="004A6572">
              <w:rPr>
                <w:sz w:val="24"/>
                <w:szCs w:val="24"/>
              </w:rPr>
              <w:t>4%</w:t>
            </w:r>
          </w:p>
        </w:tc>
        <w:tc>
          <w:tcPr>
            <w:tcW w:w="1080" w:type="dxa"/>
            <w:noWrap/>
            <w:hideMark/>
          </w:tcPr>
          <w:p w14:paraId="3077541F" w14:textId="77777777" w:rsidR="009B4A30" w:rsidRPr="004A6572" w:rsidRDefault="009B4A30" w:rsidP="008221C1">
            <w:pPr>
              <w:jc w:val="center"/>
              <w:rPr>
                <w:sz w:val="24"/>
                <w:szCs w:val="24"/>
              </w:rPr>
            </w:pPr>
            <w:r w:rsidRPr="004A6572">
              <w:rPr>
                <w:sz w:val="24"/>
                <w:szCs w:val="24"/>
              </w:rPr>
              <w:t>3%</w:t>
            </w:r>
          </w:p>
        </w:tc>
        <w:tc>
          <w:tcPr>
            <w:tcW w:w="1194" w:type="dxa"/>
            <w:noWrap/>
            <w:hideMark/>
          </w:tcPr>
          <w:p w14:paraId="6CE2F6E3" w14:textId="77777777" w:rsidR="009B4A30" w:rsidRPr="004A6572" w:rsidRDefault="009B4A30" w:rsidP="008221C1">
            <w:pPr>
              <w:jc w:val="center"/>
              <w:rPr>
                <w:sz w:val="24"/>
                <w:szCs w:val="24"/>
              </w:rPr>
            </w:pPr>
            <w:r w:rsidRPr="004A6572">
              <w:rPr>
                <w:sz w:val="24"/>
                <w:szCs w:val="24"/>
              </w:rPr>
              <w:t>6%</w:t>
            </w:r>
          </w:p>
        </w:tc>
      </w:tr>
      <w:tr w:rsidR="008221C1" w:rsidRPr="0015154B" w14:paraId="642DB796" w14:textId="77777777" w:rsidTr="00E17B25">
        <w:trPr>
          <w:cnfStyle w:val="000000010000" w:firstRow="0" w:lastRow="0" w:firstColumn="0" w:lastColumn="0" w:oddVBand="0" w:evenVBand="0" w:oddHBand="0" w:evenHBand="1" w:firstRowFirstColumn="0" w:firstRowLastColumn="0" w:lastRowFirstColumn="0" w:lastRowLastColumn="0"/>
          <w:trHeight w:val="300"/>
        </w:trPr>
        <w:tc>
          <w:tcPr>
            <w:tcW w:w="4219" w:type="dxa"/>
            <w:noWrap/>
            <w:hideMark/>
          </w:tcPr>
          <w:p w14:paraId="08ECC230" w14:textId="77777777" w:rsidR="009B4A30" w:rsidRPr="0015154B" w:rsidRDefault="009B4A30" w:rsidP="008221C1">
            <w:pPr>
              <w:rPr>
                <w:sz w:val="24"/>
                <w:szCs w:val="24"/>
              </w:rPr>
            </w:pPr>
            <w:r w:rsidRPr="0015154B">
              <w:rPr>
                <w:sz w:val="24"/>
                <w:szCs w:val="24"/>
              </w:rPr>
              <w:t>Radīt apmaksāta atvaļinājuma iespējas ārkārtas gadījumos, kad nepieciešams rūpēties par smagi slimiem vai aprūpējamiem tuviniekiem</w:t>
            </w:r>
          </w:p>
        </w:tc>
        <w:tc>
          <w:tcPr>
            <w:tcW w:w="1102" w:type="dxa"/>
            <w:noWrap/>
            <w:hideMark/>
          </w:tcPr>
          <w:p w14:paraId="7DE269ED" w14:textId="77777777" w:rsidR="009B4A30" w:rsidRPr="004A6572" w:rsidRDefault="009B4A30" w:rsidP="008221C1">
            <w:pPr>
              <w:jc w:val="center"/>
              <w:rPr>
                <w:sz w:val="24"/>
                <w:szCs w:val="24"/>
              </w:rPr>
            </w:pPr>
            <w:r w:rsidRPr="004A6572">
              <w:rPr>
                <w:sz w:val="24"/>
                <w:szCs w:val="24"/>
              </w:rPr>
              <w:t>55%</w:t>
            </w:r>
          </w:p>
        </w:tc>
        <w:tc>
          <w:tcPr>
            <w:tcW w:w="583" w:type="dxa"/>
            <w:noWrap/>
            <w:hideMark/>
          </w:tcPr>
          <w:p w14:paraId="720695AB" w14:textId="77777777" w:rsidR="009B4A30" w:rsidRPr="004A6572" w:rsidRDefault="009B4A30" w:rsidP="008221C1">
            <w:pPr>
              <w:jc w:val="center"/>
              <w:rPr>
                <w:sz w:val="24"/>
                <w:szCs w:val="24"/>
              </w:rPr>
            </w:pPr>
            <w:r w:rsidRPr="004A6572">
              <w:rPr>
                <w:sz w:val="24"/>
                <w:szCs w:val="24"/>
              </w:rPr>
              <w:t>26%</w:t>
            </w:r>
          </w:p>
        </w:tc>
        <w:tc>
          <w:tcPr>
            <w:tcW w:w="583" w:type="dxa"/>
            <w:noWrap/>
            <w:hideMark/>
          </w:tcPr>
          <w:p w14:paraId="01A8A29B" w14:textId="77777777" w:rsidR="009B4A30" w:rsidRPr="004A6572" w:rsidRDefault="009B4A30" w:rsidP="008221C1">
            <w:pPr>
              <w:jc w:val="center"/>
              <w:rPr>
                <w:sz w:val="24"/>
                <w:szCs w:val="24"/>
              </w:rPr>
            </w:pPr>
            <w:r w:rsidRPr="004A6572">
              <w:rPr>
                <w:sz w:val="24"/>
                <w:szCs w:val="24"/>
              </w:rPr>
              <w:t>11%</w:t>
            </w:r>
          </w:p>
        </w:tc>
        <w:tc>
          <w:tcPr>
            <w:tcW w:w="483" w:type="dxa"/>
            <w:noWrap/>
            <w:hideMark/>
          </w:tcPr>
          <w:p w14:paraId="3D72D3EC" w14:textId="77777777" w:rsidR="009B4A30" w:rsidRPr="004A6572" w:rsidRDefault="009B4A30" w:rsidP="008221C1">
            <w:pPr>
              <w:jc w:val="center"/>
              <w:rPr>
                <w:sz w:val="24"/>
                <w:szCs w:val="24"/>
              </w:rPr>
            </w:pPr>
            <w:r w:rsidRPr="004A6572">
              <w:rPr>
                <w:sz w:val="24"/>
                <w:szCs w:val="24"/>
              </w:rPr>
              <w:t>3%</w:t>
            </w:r>
          </w:p>
        </w:tc>
        <w:tc>
          <w:tcPr>
            <w:tcW w:w="1080" w:type="dxa"/>
            <w:noWrap/>
            <w:hideMark/>
          </w:tcPr>
          <w:p w14:paraId="7938E6BD" w14:textId="77777777" w:rsidR="009B4A30" w:rsidRPr="004A6572" w:rsidRDefault="009B4A30" w:rsidP="008221C1">
            <w:pPr>
              <w:jc w:val="center"/>
              <w:rPr>
                <w:sz w:val="24"/>
                <w:szCs w:val="24"/>
              </w:rPr>
            </w:pPr>
            <w:r w:rsidRPr="004A6572">
              <w:rPr>
                <w:sz w:val="24"/>
                <w:szCs w:val="24"/>
              </w:rPr>
              <w:t>1%</w:t>
            </w:r>
          </w:p>
        </w:tc>
        <w:tc>
          <w:tcPr>
            <w:tcW w:w="1194" w:type="dxa"/>
            <w:noWrap/>
            <w:hideMark/>
          </w:tcPr>
          <w:p w14:paraId="16F8DC72" w14:textId="77777777" w:rsidR="009B4A30" w:rsidRPr="004A6572" w:rsidRDefault="009B4A30" w:rsidP="008221C1">
            <w:pPr>
              <w:jc w:val="center"/>
              <w:rPr>
                <w:sz w:val="24"/>
                <w:szCs w:val="24"/>
              </w:rPr>
            </w:pPr>
            <w:r w:rsidRPr="004A6572">
              <w:rPr>
                <w:sz w:val="24"/>
                <w:szCs w:val="24"/>
              </w:rPr>
              <w:t>4%</w:t>
            </w:r>
          </w:p>
        </w:tc>
      </w:tr>
    </w:tbl>
    <w:p w14:paraId="48E8DBD8" w14:textId="1EF12702" w:rsidR="009B4A30" w:rsidRPr="0015154B" w:rsidRDefault="008221C1" w:rsidP="008221C1">
      <w:pPr>
        <w:spacing w:after="0" w:line="240" w:lineRule="auto"/>
        <w:rPr>
          <w:rFonts w:ascii="Times New Roman" w:hAnsi="Times New Roman" w:cs="Times New Roman"/>
          <w:sz w:val="20"/>
          <w:szCs w:val="20"/>
        </w:rPr>
      </w:pPr>
      <w:r w:rsidRPr="0015154B">
        <w:rPr>
          <w:rFonts w:ascii="Times New Roman" w:hAnsi="Times New Roman" w:cs="Times New Roman"/>
          <w:sz w:val="20"/>
          <w:szCs w:val="20"/>
        </w:rPr>
        <w:t>Datu a</w:t>
      </w:r>
      <w:r w:rsidR="009B4A30" w:rsidRPr="0015154B">
        <w:rPr>
          <w:rFonts w:ascii="Times New Roman" w:hAnsi="Times New Roman" w:cs="Times New Roman"/>
          <w:sz w:val="20"/>
          <w:szCs w:val="20"/>
        </w:rPr>
        <w:t>vots: “Norstat” aptauja 2018. gada septembrī-oktobrī, n=1616</w:t>
      </w:r>
    </w:p>
    <w:p w14:paraId="0C04280A" w14:textId="31FDE310" w:rsidR="008221C1" w:rsidRPr="0015154B" w:rsidRDefault="008221C1" w:rsidP="008221C1">
      <w:pPr>
        <w:spacing w:after="0" w:line="240" w:lineRule="auto"/>
        <w:rPr>
          <w:rFonts w:ascii="Times New Roman" w:hAnsi="Times New Roman" w:cs="Times New Roman"/>
          <w:sz w:val="24"/>
          <w:szCs w:val="24"/>
        </w:rPr>
      </w:pPr>
    </w:p>
    <w:p w14:paraId="2BFB9DA5" w14:textId="77777777" w:rsidR="00583BA7" w:rsidRPr="0015154B" w:rsidRDefault="002C0C29" w:rsidP="00583BA7">
      <w:pPr>
        <w:pStyle w:val="ListParagraph"/>
        <w:numPr>
          <w:ilvl w:val="0"/>
          <w:numId w:val="64"/>
        </w:numPr>
        <w:pBdr>
          <w:left w:val="single" w:sz="24" w:space="4" w:color="549E39" w:themeColor="accent1"/>
        </w:pBdr>
        <w:shd w:val="clear" w:color="auto" w:fill="FFFFFF"/>
        <w:autoSpaceDE w:val="0"/>
        <w:autoSpaceDN w:val="0"/>
        <w:adjustRightInd w:val="0"/>
        <w:spacing w:before="120" w:line="240" w:lineRule="auto"/>
        <w:ind w:left="425" w:hanging="357"/>
        <w:contextualSpacing w:val="0"/>
        <w:jc w:val="both"/>
        <w:rPr>
          <w:rFonts w:ascii="Times New Roman" w:eastAsia="Times New Roman" w:hAnsi="Times New Roman" w:cs="Times New Roman"/>
          <w:bCs/>
          <w:color w:val="002060"/>
          <w:sz w:val="24"/>
          <w:szCs w:val="24"/>
          <w:lang w:eastAsia="lv-LV"/>
        </w:rPr>
      </w:pPr>
      <w:r w:rsidRPr="0015154B">
        <w:rPr>
          <w:rFonts w:ascii="Times New Roman" w:eastAsia="Times New Roman" w:hAnsi="Times New Roman" w:cs="Times New Roman"/>
          <w:bCs/>
          <w:color w:val="002060"/>
          <w:sz w:val="24"/>
          <w:szCs w:val="24"/>
          <w:lang w:eastAsia="lv-LV"/>
        </w:rPr>
        <w:t xml:space="preserve">Pabalsti ir īstermiņa izmaksas, kuru mērķis ir kompensēt personas uz neilgu laiku zaudētos ienākumus. </w:t>
      </w:r>
    </w:p>
    <w:p w14:paraId="3D35DCC7" w14:textId="4F96FBFB" w:rsidR="002C0C29" w:rsidRPr="0025422D" w:rsidRDefault="00601B3C" w:rsidP="00583BA7">
      <w:pPr>
        <w:pStyle w:val="ListParagraph"/>
        <w:shd w:val="clear" w:color="auto" w:fill="FFFFFF"/>
        <w:spacing w:after="0" w:line="240" w:lineRule="auto"/>
        <w:ind w:left="360"/>
        <w:jc w:val="both"/>
        <w:rPr>
          <w:rFonts w:ascii="Times New Roman" w:hAnsi="Times New Roman" w:cs="Times New Roman"/>
          <w:sz w:val="24"/>
          <w:szCs w:val="24"/>
        </w:rPr>
      </w:pPr>
      <w:r>
        <w:rPr>
          <w:rFonts w:ascii="Times New Roman" w:hAnsi="Times New Roman" w:cs="Times New Roman"/>
          <w:bCs/>
          <w:iCs/>
          <w:color w:val="000000" w:themeColor="text1"/>
          <w:sz w:val="24"/>
          <w:szCs w:val="24"/>
        </w:rPr>
        <w:t>Izveidotais tiesiskais ietvars</w:t>
      </w:r>
      <w:r w:rsidR="002C0C29" w:rsidRPr="007157D3">
        <w:rPr>
          <w:rFonts w:ascii="Times New Roman" w:hAnsi="Times New Roman" w:cs="Times New Roman"/>
          <w:bCs/>
          <w:iCs/>
          <w:color w:val="000000" w:themeColor="text1"/>
          <w:sz w:val="24"/>
          <w:szCs w:val="24"/>
        </w:rPr>
        <w:t xml:space="preserve"> tieši neparedz, ka persona var vienlaicīgi (par vienu un to pašu periodu, par vienu un to pašu bērnu) saņemt vairākus pabalstus, t.i., vairākus ienākuma atvietojumus.</w:t>
      </w:r>
      <w:r w:rsidR="002C0C29" w:rsidRPr="007157D3">
        <w:rPr>
          <w:rFonts w:ascii="Times New Roman" w:hAnsi="Times New Roman" w:cs="Times New Roman"/>
          <w:color w:val="000000" w:themeColor="text1"/>
          <w:sz w:val="24"/>
          <w:szCs w:val="24"/>
          <w:shd w:val="clear" w:color="auto" w:fill="FFFFFF"/>
        </w:rPr>
        <w:t xml:space="preserve"> Sociālās apdrošināšanas īstermiņa pakalpojumus aprēķina no deklarētā valsts sociālās apdrošināšana</w:t>
      </w:r>
      <w:r w:rsidR="002C0C29" w:rsidRPr="002F5278">
        <w:rPr>
          <w:rFonts w:ascii="Times New Roman" w:hAnsi="Times New Roman" w:cs="Times New Roman"/>
          <w:color w:val="000000" w:themeColor="text1"/>
          <w:sz w:val="24"/>
          <w:szCs w:val="24"/>
          <w:shd w:val="clear" w:color="auto" w:fill="FFFFFF"/>
        </w:rPr>
        <w:t xml:space="preserve">s obligāto iemaksu objekta, līdz ar ko tie nav atkarīgi no faktiski veiktajām iemaksām. Līdz ar to nepieciešams </w:t>
      </w:r>
      <w:r w:rsidR="002C0C29" w:rsidRPr="0025422D">
        <w:rPr>
          <w:rFonts w:ascii="Times New Roman" w:hAnsi="Times New Roman" w:cs="Times New Roman"/>
          <w:sz w:val="24"/>
          <w:szCs w:val="24"/>
        </w:rPr>
        <w:t>pārskatīt pabalstu izmaksu gadījumos, kad iestājas vairāki apdrošināšanas gadījumi un to periodi pilnībā vai daļēji pārklājas, kā arī pārskatīt atkāpšanās periodu, nosakot vidējo apdrošināšanas iemaksu algu pabalsta aprēķinam.</w:t>
      </w:r>
    </w:p>
    <w:p w14:paraId="3730B213" w14:textId="77777777" w:rsidR="00352FEC" w:rsidRPr="00A857F2" w:rsidRDefault="00352FEC" w:rsidP="002C0C29">
      <w:pPr>
        <w:spacing w:after="0" w:line="240" w:lineRule="auto"/>
        <w:jc w:val="both"/>
        <w:rPr>
          <w:rFonts w:ascii="Times New Roman" w:eastAsia="Times New Roman" w:hAnsi="Times New Roman" w:cs="Times New Roman"/>
          <w:bCs/>
          <w:sz w:val="24"/>
          <w:szCs w:val="24"/>
          <w:lang w:eastAsia="lv-LV"/>
        </w:rPr>
      </w:pPr>
    </w:p>
    <w:p w14:paraId="03C288A3" w14:textId="2FD369E3" w:rsidR="00DC422A" w:rsidRPr="0015154B" w:rsidRDefault="00DC422A" w:rsidP="00DA5144">
      <w:pPr>
        <w:pStyle w:val="Heading2"/>
      </w:pPr>
      <w:bookmarkStart w:id="26" w:name="_Toc55316068"/>
      <w:r w:rsidRPr="009703E6">
        <w:t>Valsts sociāl</w:t>
      </w:r>
      <w:r w:rsidR="00780A28" w:rsidRPr="009703E6">
        <w:t>ie</w:t>
      </w:r>
      <w:r w:rsidRPr="0015154B">
        <w:t xml:space="preserve"> pabalst</w:t>
      </w:r>
      <w:r w:rsidR="00780A28" w:rsidRPr="0015154B">
        <w:t>i</w:t>
      </w:r>
      <w:bookmarkEnd w:id="26"/>
    </w:p>
    <w:p w14:paraId="742E15C3" w14:textId="16144EA2" w:rsidR="00070F44" w:rsidRPr="0015154B" w:rsidRDefault="00070F44" w:rsidP="00070F44">
      <w:pPr>
        <w:pStyle w:val="NormalWeb"/>
        <w:shd w:val="clear" w:color="auto" w:fill="FFFFFF"/>
        <w:spacing w:before="0" w:beforeAutospacing="0" w:after="0" w:afterAutospacing="0"/>
        <w:ind w:firstLine="720"/>
        <w:jc w:val="both"/>
        <w:rPr>
          <w:rFonts w:ascii="Times New Roman" w:hAnsi="Times New Roman"/>
          <w:sz w:val="24"/>
          <w:szCs w:val="24"/>
        </w:rPr>
      </w:pPr>
      <w:r w:rsidRPr="0015154B">
        <w:rPr>
          <w:rFonts w:ascii="Times New Roman" w:hAnsi="Times New Roman"/>
          <w:sz w:val="24"/>
          <w:szCs w:val="24"/>
        </w:rPr>
        <w:t xml:space="preserve">Latvijā ir noteikti šādi valsts sociālie pabalstu veidi: </w:t>
      </w:r>
    </w:p>
    <w:p w14:paraId="2705C2AB"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b/>
          <w:color w:val="002060"/>
          <w:sz w:val="24"/>
          <w:szCs w:val="24"/>
        </w:rPr>
        <w:t>Bērna</w:t>
      </w:r>
      <w:r w:rsidRPr="0015154B">
        <w:rPr>
          <w:rFonts w:ascii="Times New Roman" w:hAnsi="Times New Roman" w:cs="Times New Roman"/>
          <w:color w:val="002060"/>
          <w:sz w:val="24"/>
          <w:szCs w:val="24"/>
        </w:rPr>
        <w:t xml:space="preserve"> </w:t>
      </w:r>
      <w:r w:rsidRPr="0015154B">
        <w:rPr>
          <w:rFonts w:ascii="Times New Roman" w:hAnsi="Times New Roman" w:cs="Times New Roman"/>
          <w:sz w:val="24"/>
          <w:szCs w:val="24"/>
        </w:rPr>
        <w:t xml:space="preserve">piedzimšanas pabalsts; </w:t>
      </w:r>
    </w:p>
    <w:p w14:paraId="2309D218"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b/>
          <w:color w:val="002060"/>
          <w:sz w:val="24"/>
          <w:szCs w:val="24"/>
        </w:rPr>
        <w:t>Bērna</w:t>
      </w:r>
      <w:r w:rsidRPr="0015154B">
        <w:rPr>
          <w:rFonts w:ascii="Times New Roman" w:hAnsi="Times New Roman" w:cs="Times New Roman"/>
          <w:sz w:val="24"/>
          <w:szCs w:val="24"/>
        </w:rPr>
        <w:t xml:space="preserve"> kopšanas pabalsts; </w:t>
      </w:r>
    </w:p>
    <w:p w14:paraId="4ACDB07E"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b/>
          <w:color w:val="002060"/>
          <w:sz w:val="24"/>
          <w:szCs w:val="24"/>
        </w:rPr>
        <w:t>Bērna</w:t>
      </w:r>
      <w:r w:rsidRPr="0015154B">
        <w:rPr>
          <w:rFonts w:ascii="Times New Roman" w:hAnsi="Times New Roman" w:cs="Times New Roman"/>
          <w:sz w:val="24"/>
          <w:szCs w:val="24"/>
        </w:rPr>
        <w:t xml:space="preserve"> </w:t>
      </w:r>
      <w:r w:rsidRPr="0015154B">
        <w:rPr>
          <w:rFonts w:ascii="Times New Roman" w:hAnsi="Times New Roman" w:cs="Times New Roman"/>
          <w:b/>
          <w:color w:val="002060"/>
          <w:sz w:val="24"/>
          <w:szCs w:val="24"/>
        </w:rPr>
        <w:t>invalīda</w:t>
      </w:r>
      <w:r w:rsidRPr="0015154B">
        <w:rPr>
          <w:rFonts w:ascii="Times New Roman" w:hAnsi="Times New Roman" w:cs="Times New Roman"/>
          <w:sz w:val="24"/>
          <w:szCs w:val="24"/>
        </w:rPr>
        <w:t xml:space="preserve"> kopšanas pabalsts; </w:t>
      </w:r>
    </w:p>
    <w:p w14:paraId="4FF8C071"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b/>
          <w:color w:val="002060"/>
          <w:sz w:val="24"/>
          <w:szCs w:val="24"/>
        </w:rPr>
        <w:t>Ģimenes</w:t>
      </w:r>
      <w:r w:rsidRPr="0015154B">
        <w:rPr>
          <w:rFonts w:ascii="Times New Roman" w:hAnsi="Times New Roman" w:cs="Times New Roman"/>
          <w:sz w:val="24"/>
          <w:szCs w:val="24"/>
        </w:rPr>
        <w:t xml:space="preserve"> valsts pabalsts; </w:t>
      </w:r>
    </w:p>
    <w:p w14:paraId="14FB93C2"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Pabalsts </w:t>
      </w:r>
      <w:r w:rsidRPr="0015154B">
        <w:rPr>
          <w:rFonts w:ascii="Times New Roman" w:hAnsi="Times New Roman" w:cs="Times New Roman"/>
          <w:b/>
          <w:color w:val="002060"/>
          <w:sz w:val="24"/>
          <w:szCs w:val="24"/>
        </w:rPr>
        <w:t>invalīdam</w:t>
      </w:r>
      <w:r w:rsidRPr="0015154B">
        <w:rPr>
          <w:rFonts w:ascii="Times New Roman" w:hAnsi="Times New Roman" w:cs="Times New Roman"/>
          <w:sz w:val="24"/>
          <w:szCs w:val="24"/>
        </w:rPr>
        <w:t xml:space="preserve">, kuram nepieciešama īpaša kopšana; </w:t>
      </w:r>
    </w:p>
    <w:p w14:paraId="126031C0"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Piemaksa pie </w:t>
      </w:r>
      <w:r w:rsidRPr="0015154B">
        <w:rPr>
          <w:rFonts w:ascii="Times New Roman" w:hAnsi="Times New Roman" w:cs="Times New Roman"/>
          <w:b/>
          <w:color w:val="002060"/>
          <w:sz w:val="24"/>
          <w:szCs w:val="24"/>
        </w:rPr>
        <w:t>ģimenes</w:t>
      </w:r>
      <w:r w:rsidRPr="0015154B">
        <w:rPr>
          <w:rFonts w:ascii="Times New Roman" w:hAnsi="Times New Roman" w:cs="Times New Roman"/>
          <w:sz w:val="24"/>
          <w:szCs w:val="24"/>
        </w:rPr>
        <w:t xml:space="preserve"> valsts pabalsta par </w:t>
      </w:r>
      <w:r w:rsidRPr="0015154B">
        <w:rPr>
          <w:rFonts w:ascii="Times New Roman" w:hAnsi="Times New Roman" w:cs="Times New Roman"/>
          <w:b/>
          <w:color w:val="002060"/>
          <w:sz w:val="24"/>
          <w:szCs w:val="24"/>
        </w:rPr>
        <w:t>bērnu</w:t>
      </w:r>
      <w:r w:rsidRPr="0015154B">
        <w:rPr>
          <w:rFonts w:ascii="Times New Roman" w:hAnsi="Times New Roman" w:cs="Times New Roman"/>
          <w:sz w:val="24"/>
          <w:szCs w:val="24"/>
        </w:rPr>
        <w:t xml:space="preserve"> </w:t>
      </w:r>
      <w:r w:rsidRPr="0015154B">
        <w:rPr>
          <w:rFonts w:ascii="Times New Roman" w:hAnsi="Times New Roman" w:cs="Times New Roman"/>
          <w:b/>
          <w:color w:val="002060"/>
          <w:sz w:val="24"/>
          <w:szCs w:val="24"/>
        </w:rPr>
        <w:t>invalīdu</w:t>
      </w:r>
      <w:r w:rsidRPr="0015154B">
        <w:rPr>
          <w:rFonts w:ascii="Times New Roman" w:hAnsi="Times New Roman" w:cs="Times New Roman"/>
          <w:sz w:val="24"/>
          <w:szCs w:val="24"/>
        </w:rPr>
        <w:t>;</w:t>
      </w:r>
    </w:p>
    <w:p w14:paraId="0F61560A"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Atbalsts ar </w:t>
      </w:r>
      <w:r w:rsidRPr="0015154B">
        <w:rPr>
          <w:rFonts w:ascii="Times New Roman" w:hAnsi="Times New Roman" w:cs="Times New Roman"/>
          <w:b/>
          <w:color w:val="002060"/>
          <w:sz w:val="24"/>
          <w:szCs w:val="24"/>
        </w:rPr>
        <w:t>celiakiju</w:t>
      </w:r>
      <w:r w:rsidRPr="0015154B">
        <w:rPr>
          <w:rFonts w:ascii="Times New Roman" w:hAnsi="Times New Roman" w:cs="Times New Roman"/>
          <w:sz w:val="24"/>
          <w:szCs w:val="24"/>
        </w:rPr>
        <w:t xml:space="preserve"> slimiem </w:t>
      </w:r>
      <w:r w:rsidRPr="0015154B">
        <w:rPr>
          <w:rFonts w:ascii="Times New Roman" w:hAnsi="Times New Roman" w:cs="Times New Roman"/>
          <w:b/>
          <w:color w:val="002060"/>
          <w:sz w:val="24"/>
          <w:szCs w:val="24"/>
        </w:rPr>
        <w:t>bērniem</w:t>
      </w:r>
      <w:r w:rsidRPr="0015154B">
        <w:rPr>
          <w:rFonts w:ascii="Times New Roman" w:hAnsi="Times New Roman" w:cs="Times New Roman"/>
          <w:sz w:val="24"/>
          <w:szCs w:val="24"/>
        </w:rPr>
        <w:t xml:space="preserve">, kuriem nav noteikta invaliditāte; </w:t>
      </w:r>
    </w:p>
    <w:p w14:paraId="242E7575"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Pabalsts </w:t>
      </w:r>
      <w:r w:rsidRPr="0015154B">
        <w:rPr>
          <w:rFonts w:ascii="Times New Roman" w:hAnsi="Times New Roman" w:cs="Times New Roman"/>
          <w:b/>
          <w:color w:val="002060"/>
          <w:sz w:val="24"/>
          <w:szCs w:val="24"/>
        </w:rPr>
        <w:t>aizbildnim</w:t>
      </w:r>
      <w:r w:rsidRPr="0015154B">
        <w:rPr>
          <w:rFonts w:ascii="Times New Roman" w:hAnsi="Times New Roman" w:cs="Times New Roman"/>
          <w:sz w:val="24"/>
          <w:szCs w:val="24"/>
        </w:rPr>
        <w:t xml:space="preserve"> par </w:t>
      </w:r>
      <w:r w:rsidRPr="0015154B">
        <w:rPr>
          <w:rFonts w:ascii="Times New Roman" w:hAnsi="Times New Roman" w:cs="Times New Roman"/>
          <w:b/>
          <w:color w:val="002060"/>
          <w:sz w:val="24"/>
          <w:szCs w:val="24"/>
        </w:rPr>
        <w:t>bērna</w:t>
      </w:r>
      <w:r w:rsidRPr="0015154B">
        <w:rPr>
          <w:rFonts w:ascii="Times New Roman" w:hAnsi="Times New Roman" w:cs="Times New Roman"/>
          <w:sz w:val="24"/>
          <w:szCs w:val="24"/>
        </w:rPr>
        <w:t xml:space="preserve"> uzturēšanu;</w:t>
      </w:r>
    </w:p>
    <w:p w14:paraId="255CC958"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Atlīdzība par </w:t>
      </w:r>
      <w:r w:rsidRPr="0015154B">
        <w:rPr>
          <w:rFonts w:ascii="Times New Roman" w:hAnsi="Times New Roman" w:cs="Times New Roman"/>
          <w:b/>
          <w:color w:val="002060"/>
          <w:sz w:val="24"/>
          <w:szCs w:val="24"/>
        </w:rPr>
        <w:t>aizbildņa</w:t>
      </w:r>
      <w:r w:rsidRPr="0015154B">
        <w:rPr>
          <w:rFonts w:ascii="Times New Roman" w:hAnsi="Times New Roman" w:cs="Times New Roman"/>
          <w:sz w:val="24"/>
          <w:szCs w:val="24"/>
        </w:rPr>
        <w:t xml:space="preserve"> pienākumu pildīšanu;</w:t>
      </w:r>
    </w:p>
    <w:p w14:paraId="73A50584"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lastRenderedPageBreak/>
        <w:t xml:space="preserve">Atlīdzība par </w:t>
      </w:r>
      <w:r w:rsidRPr="0015154B">
        <w:rPr>
          <w:rFonts w:ascii="Times New Roman" w:hAnsi="Times New Roman" w:cs="Times New Roman"/>
          <w:b/>
          <w:color w:val="002060"/>
          <w:sz w:val="24"/>
          <w:szCs w:val="24"/>
        </w:rPr>
        <w:t>audžuģimenes</w:t>
      </w:r>
      <w:r w:rsidRPr="0015154B">
        <w:rPr>
          <w:rFonts w:ascii="Times New Roman" w:hAnsi="Times New Roman" w:cs="Times New Roman"/>
          <w:sz w:val="24"/>
          <w:szCs w:val="24"/>
        </w:rPr>
        <w:t xml:space="preserve"> pienākumu pildīšanu;</w:t>
      </w:r>
    </w:p>
    <w:p w14:paraId="1CD17CE9"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Atlīdzība par </w:t>
      </w:r>
      <w:r w:rsidRPr="0015154B">
        <w:rPr>
          <w:rFonts w:ascii="Times New Roman" w:hAnsi="Times New Roman" w:cs="Times New Roman"/>
          <w:b/>
          <w:color w:val="002060"/>
          <w:sz w:val="24"/>
          <w:szCs w:val="24"/>
        </w:rPr>
        <w:t>adoptējamā</w:t>
      </w:r>
      <w:r w:rsidRPr="0015154B">
        <w:rPr>
          <w:rFonts w:ascii="Times New Roman" w:hAnsi="Times New Roman" w:cs="Times New Roman"/>
          <w:sz w:val="24"/>
          <w:szCs w:val="24"/>
        </w:rPr>
        <w:t xml:space="preserve"> </w:t>
      </w:r>
      <w:r w:rsidRPr="0015154B">
        <w:rPr>
          <w:rFonts w:ascii="Times New Roman" w:hAnsi="Times New Roman" w:cs="Times New Roman"/>
          <w:b/>
          <w:color w:val="002060"/>
          <w:sz w:val="24"/>
          <w:szCs w:val="24"/>
        </w:rPr>
        <w:t>bērna</w:t>
      </w:r>
      <w:r w:rsidRPr="0015154B">
        <w:rPr>
          <w:rFonts w:ascii="Times New Roman" w:hAnsi="Times New Roman" w:cs="Times New Roman"/>
          <w:sz w:val="24"/>
          <w:szCs w:val="24"/>
        </w:rPr>
        <w:t xml:space="preserve"> aprūpi;</w:t>
      </w:r>
    </w:p>
    <w:p w14:paraId="2BB1B61C"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Atlīdzība par </w:t>
      </w:r>
      <w:r w:rsidRPr="0015154B">
        <w:rPr>
          <w:rFonts w:ascii="Times New Roman" w:hAnsi="Times New Roman" w:cs="Times New Roman"/>
          <w:b/>
          <w:color w:val="002060"/>
          <w:sz w:val="24"/>
          <w:szCs w:val="24"/>
        </w:rPr>
        <w:t>adopciju</w:t>
      </w:r>
      <w:r w:rsidRPr="0015154B">
        <w:rPr>
          <w:rFonts w:ascii="Times New Roman" w:hAnsi="Times New Roman" w:cs="Times New Roman"/>
          <w:sz w:val="24"/>
          <w:szCs w:val="24"/>
        </w:rPr>
        <w:t>;</w:t>
      </w:r>
    </w:p>
    <w:p w14:paraId="5BA4243D"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Valsts sociālā </w:t>
      </w:r>
      <w:r w:rsidRPr="0015154B">
        <w:rPr>
          <w:rFonts w:ascii="Times New Roman" w:hAnsi="Times New Roman" w:cs="Times New Roman"/>
          <w:b/>
          <w:color w:val="002060"/>
          <w:sz w:val="24"/>
          <w:szCs w:val="24"/>
        </w:rPr>
        <w:t>nodrošinājuma</w:t>
      </w:r>
      <w:r w:rsidRPr="0015154B">
        <w:rPr>
          <w:rFonts w:ascii="Times New Roman" w:hAnsi="Times New Roman" w:cs="Times New Roman"/>
          <w:sz w:val="24"/>
          <w:szCs w:val="24"/>
        </w:rPr>
        <w:t xml:space="preserve"> pabalsts; </w:t>
      </w:r>
    </w:p>
    <w:p w14:paraId="430F30B8"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Pabalsts transporta izdevumu kompensēšanai </w:t>
      </w:r>
      <w:r w:rsidRPr="0015154B">
        <w:rPr>
          <w:rFonts w:ascii="Times New Roman" w:hAnsi="Times New Roman" w:cs="Times New Roman"/>
          <w:b/>
          <w:color w:val="002060"/>
          <w:sz w:val="24"/>
          <w:szCs w:val="24"/>
        </w:rPr>
        <w:t>invalīdiem</w:t>
      </w:r>
      <w:r w:rsidRPr="0015154B">
        <w:rPr>
          <w:rFonts w:ascii="Times New Roman" w:hAnsi="Times New Roman" w:cs="Times New Roman"/>
          <w:sz w:val="24"/>
          <w:szCs w:val="24"/>
        </w:rPr>
        <w:t xml:space="preserve">, kuriem ir apgrūtināta pārvietošanās; </w:t>
      </w:r>
    </w:p>
    <w:p w14:paraId="38CCE6A6"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b/>
          <w:color w:val="002060"/>
          <w:sz w:val="24"/>
          <w:szCs w:val="24"/>
        </w:rPr>
        <w:t>Apbedīšanas</w:t>
      </w:r>
      <w:r w:rsidRPr="0015154B">
        <w:rPr>
          <w:rFonts w:ascii="Times New Roman" w:hAnsi="Times New Roman" w:cs="Times New Roman"/>
          <w:sz w:val="24"/>
          <w:szCs w:val="24"/>
        </w:rPr>
        <w:t xml:space="preserve"> pabalsts; </w:t>
      </w:r>
    </w:p>
    <w:p w14:paraId="27B9460C"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Valsts sociālais pabalsts </w:t>
      </w:r>
      <w:r w:rsidRPr="0015154B">
        <w:rPr>
          <w:rFonts w:ascii="Times New Roman" w:hAnsi="Times New Roman" w:cs="Times New Roman"/>
          <w:b/>
          <w:color w:val="002060"/>
          <w:sz w:val="24"/>
          <w:szCs w:val="24"/>
        </w:rPr>
        <w:t>ČAES</w:t>
      </w:r>
      <w:r w:rsidRPr="0015154B">
        <w:rPr>
          <w:rFonts w:ascii="Times New Roman" w:hAnsi="Times New Roman" w:cs="Times New Roman"/>
          <w:sz w:val="24"/>
          <w:szCs w:val="24"/>
        </w:rPr>
        <w:t xml:space="preserve"> avārijas seku likvidēšanas dalībniekam vai viņa ģimenei; </w:t>
      </w:r>
    </w:p>
    <w:p w14:paraId="09C108BD" w14:textId="77777777" w:rsidR="00070F44" w:rsidRPr="0015154B" w:rsidRDefault="00070F44" w:rsidP="00E17B25">
      <w:pPr>
        <w:spacing w:before="120" w:after="0" w:line="240" w:lineRule="auto"/>
        <w:ind w:left="284"/>
        <w:jc w:val="both"/>
        <w:rPr>
          <w:rFonts w:ascii="Times New Roman" w:hAnsi="Times New Roman" w:cs="Times New Roman"/>
          <w:sz w:val="24"/>
          <w:szCs w:val="24"/>
        </w:rPr>
      </w:pPr>
      <w:r w:rsidRPr="0015154B">
        <w:rPr>
          <w:rFonts w:ascii="Times New Roman" w:hAnsi="Times New Roman" w:cs="Times New Roman"/>
          <w:sz w:val="24"/>
          <w:szCs w:val="24"/>
        </w:rPr>
        <w:t xml:space="preserve">Valsts </w:t>
      </w:r>
      <w:r w:rsidRPr="0015154B">
        <w:rPr>
          <w:rFonts w:ascii="Times New Roman" w:hAnsi="Times New Roman" w:cs="Times New Roman"/>
          <w:b/>
          <w:color w:val="002060"/>
          <w:sz w:val="24"/>
          <w:szCs w:val="24"/>
        </w:rPr>
        <w:t>speciālais</w:t>
      </w:r>
      <w:r w:rsidRPr="0015154B">
        <w:rPr>
          <w:rFonts w:ascii="Times New Roman" w:hAnsi="Times New Roman" w:cs="Times New Roman"/>
          <w:sz w:val="24"/>
          <w:szCs w:val="24"/>
        </w:rPr>
        <w:t xml:space="preserve"> pabalsts Latvijas neatkarības atgūšanas procesā bojā gājušo personu bērniem.</w:t>
      </w:r>
    </w:p>
    <w:p w14:paraId="286C81BE" w14:textId="77777777" w:rsidR="003F19D3" w:rsidRPr="0015154B" w:rsidRDefault="003F19D3" w:rsidP="00EE2309">
      <w:pPr>
        <w:spacing w:after="0" w:line="240" w:lineRule="auto"/>
        <w:ind w:firstLine="720"/>
        <w:jc w:val="both"/>
        <w:rPr>
          <w:rStyle w:val="apple-converted-space"/>
          <w:rFonts w:ascii="Times New Roman" w:hAnsi="Times New Roman" w:cs="Times New Roman"/>
          <w:bCs/>
          <w:sz w:val="24"/>
          <w:szCs w:val="24"/>
          <w:shd w:val="clear" w:color="auto" w:fill="FFFFFF"/>
        </w:rPr>
      </w:pPr>
    </w:p>
    <w:p w14:paraId="711DD351" w14:textId="20033D6B" w:rsidR="00055C62" w:rsidRPr="009703E6" w:rsidRDefault="00070F44" w:rsidP="0078124C">
      <w:pPr>
        <w:spacing w:before="120" w:after="0" w:line="240" w:lineRule="auto"/>
        <w:ind w:firstLine="720"/>
        <w:jc w:val="both"/>
        <w:rPr>
          <w:rFonts w:ascii="Times New Roman" w:hAnsi="Times New Roman" w:cs="Times New Roman"/>
          <w:sz w:val="24"/>
          <w:szCs w:val="24"/>
        </w:rPr>
      </w:pPr>
      <w:r w:rsidRPr="0015154B">
        <w:rPr>
          <w:rStyle w:val="apple-converted-space"/>
          <w:rFonts w:ascii="Times New Roman" w:hAnsi="Times New Roman" w:cs="Times New Roman"/>
          <w:bCs/>
          <w:sz w:val="24"/>
          <w:szCs w:val="24"/>
          <w:shd w:val="clear" w:color="auto" w:fill="FFFFFF"/>
        </w:rPr>
        <w:t>Kā redzams,</w:t>
      </w:r>
      <w:r w:rsidRPr="0015154B">
        <w:rPr>
          <w:rStyle w:val="apple-converted-space"/>
          <w:rFonts w:ascii="Times New Roman" w:hAnsi="Times New Roman" w:cs="Times New Roman"/>
          <w:b/>
          <w:bCs/>
          <w:sz w:val="24"/>
          <w:szCs w:val="24"/>
          <w:shd w:val="clear" w:color="auto" w:fill="FFFFFF"/>
        </w:rPr>
        <w:t xml:space="preserve"> </w:t>
      </w:r>
      <w:r w:rsidRPr="0015154B">
        <w:rPr>
          <w:rStyle w:val="apple-converted-space"/>
          <w:rFonts w:ascii="Times New Roman" w:hAnsi="Times New Roman" w:cs="Times New Roman"/>
          <w:bCs/>
          <w:sz w:val="24"/>
          <w:szCs w:val="24"/>
          <w:shd w:val="clear" w:color="auto" w:fill="FFFFFF"/>
        </w:rPr>
        <w:t>valsts sociālie pabalsti</w:t>
      </w:r>
      <w:r w:rsidRPr="0015154B">
        <w:rPr>
          <w:rStyle w:val="apple-converted-space"/>
          <w:rFonts w:ascii="Times New Roman" w:hAnsi="Times New Roman" w:cs="Times New Roman"/>
          <w:b/>
          <w:bCs/>
          <w:sz w:val="24"/>
          <w:szCs w:val="24"/>
          <w:shd w:val="clear" w:color="auto" w:fill="FFFFFF"/>
        </w:rPr>
        <w:t xml:space="preserve"> </w:t>
      </w:r>
      <w:r w:rsidRPr="0015154B">
        <w:rPr>
          <w:rStyle w:val="apple-converted-space"/>
          <w:rFonts w:ascii="Times New Roman" w:hAnsi="Times New Roman" w:cs="Times New Roman"/>
          <w:bCs/>
          <w:sz w:val="24"/>
          <w:szCs w:val="24"/>
          <w:shd w:val="clear" w:color="auto" w:fill="FFFFFF"/>
        </w:rPr>
        <w:t xml:space="preserve">pamatā </w:t>
      </w:r>
      <w:r w:rsidR="006C2D58" w:rsidRPr="0015154B">
        <w:rPr>
          <w:rStyle w:val="apple-converted-space"/>
          <w:rFonts w:ascii="Times New Roman" w:hAnsi="Times New Roman" w:cs="Times New Roman"/>
          <w:bCs/>
          <w:sz w:val="24"/>
          <w:szCs w:val="24"/>
          <w:shd w:val="clear" w:color="auto" w:fill="FFFFFF"/>
        </w:rPr>
        <w:t xml:space="preserve">ir mērķēti un </w:t>
      </w:r>
      <w:r w:rsidRPr="0015154B">
        <w:rPr>
          <w:rStyle w:val="apple-converted-space"/>
          <w:rFonts w:ascii="Times New Roman" w:hAnsi="Times New Roman" w:cs="Times New Roman"/>
          <w:bCs/>
          <w:sz w:val="24"/>
          <w:szCs w:val="24"/>
          <w:shd w:val="clear" w:color="auto" w:fill="FFFFFF"/>
        </w:rPr>
        <w:t>tiek</w:t>
      </w:r>
      <w:r w:rsidRPr="0015154B">
        <w:rPr>
          <w:rStyle w:val="apple-converted-space"/>
          <w:rFonts w:ascii="Times New Roman" w:hAnsi="Times New Roman" w:cs="Times New Roman"/>
          <w:b/>
          <w:bCs/>
          <w:sz w:val="24"/>
          <w:szCs w:val="24"/>
          <w:shd w:val="clear" w:color="auto" w:fill="FFFFFF"/>
        </w:rPr>
        <w:t xml:space="preserve"> </w:t>
      </w:r>
      <w:r w:rsidRPr="0015154B">
        <w:rPr>
          <w:rStyle w:val="apple-converted-space"/>
          <w:rFonts w:ascii="Times New Roman" w:hAnsi="Times New Roman" w:cs="Times New Roman"/>
          <w:bCs/>
          <w:sz w:val="24"/>
          <w:szCs w:val="24"/>
          <w:shd w:val="clear" w:color="auto" w:fill="FFFFFF"/>
        </w:rPr>
        <w:t xml:space="preserve">piešķirti ģimenēm ar bērniem (tai skaitā audžuģimenēm un aizbildņiem) un personām ar invaliditāti. </w:t>
      </w:r>
      <w:r w:rsidR="00055C62" w:rsidRPr="0015154B">
        <w:rPr>
          <w:rStyle w:val="apple-converted-space"/>
          <w:rFonts w:ascii="Times New Roman" w:hAnsi="Times New Roman" w:cs="Times New Roman"/>
          <w:bCs/>
          <w:sz w:val="24"/>
          <w:szCs w:val="24"/>
          <w:shd w:val="clear" w:color="auto" w:fill="FFFFFF"/>
        </w:rPr>
        <w:t>Valsts sociālo pabalstu apmēri nav piesaistīti nevienam no sociāli ekonomiskiem rādītājiem.</w:t>
      </w:r>
      <w:r w:rsidR="00EE2309" w:rsidRPr="0015154B">
        <w:rPr>
          <w:rStyle w:val="apple-converted-space"/>
          <w:rFonts w:ascii="Times New Roman" w:hAnsi="Times New Roman" w:cs="Times New Roman"/>
          <w:bCs/>
          <w:sz w:val="24"/>
          <w:szCs w:val="24"/>
          <w:shd w:val="clear" w:color="auto" w:fill="FFFFFF"/>
        </w:rPr>
        <w:t xml:space="preserve"> </w:t>
      </w:r>
      <w:r w:rsidR="00A46E82" w:rsidRPr="0015154B">
        <w:rPr>
          <w:rStyle w:val="apple-converted-space"/>
          <w:rFonts w:ascii="Times New Roman" w:hAnsi="Times New Roman" w:cs="Times New Roman"/>
          <w:bCs/>
          <w:sz w:val="24"/>
          <w:szCs w:val="24"/>
          <w:shd w:val="clear" w:color="auto" w:fill="FFFFFF"/>
        </w:rPr>
        <w:t>Kopš 2014.gada veiktās izmaiņas valsts sociālo pabalstu sist</w:t>
      </w:r>
      <w:r w:rsidR="00635716" w:rsidRPr="0015154B">
        <w:rPr>
          <w:rStyle w:val="apple-converted-space"/>
          <w:rFonts w:ascii="Times New Roman" w:hAnsi="Times New Roman" w:cs="Times New Roman"/>
          <w:bCs/>
          <w:sz w:val="24"/>
          <w:szCs w:val="24"/>
          <w:shd w:val="clear" w:color="auto" w:fill="FFFFFF"/>
        </w:rPr>
        <w:t>ē</w:t>
      </w:r>
      <w:r w:rsidR="00A46E82" w:rsidRPr="0015154B">
        <w:rPr>
          <w:rStyle w:val="apple-converted-space"/>
          <w:rFonts w:ascii="Times New Roman" w:hAnsi="Times New Roman" w:cs="Times New Roman"/>
          <w:bCs/>
          <w:sz w:val="24"/>
          <w:szCs w:val="24"/>
          <w:shd w:val="clear" w:color="auto" w:fill="FFFFFF"/>
        </w:rPr>
        <w:t xml:space="preserve">mā ir galvenokārt saistītas ar </w:t>
      </w:r>
      <w:r w:rsidR="00635716" w:rsidRPr="0015154B">
        <w:rPr>
          <w:rStyle w:val="apple-converted-space"/>
          <w:rFonts w:ascii="Times New Roman" w:hAnsi="Times New Roman" w:cs="Times New Roman"/>
          <w:bCs/>
          <w:sz w:val="24"/>
          <w:szCs w:val="24"/>
          <w:shd w:val="clear" w:color="auto" w:fill="FFFFFF"/>
        </w:rPr>
        <w:t>ģimenēm ar bērniem sniegtā materiālā atbalsta palielināšanu, gan palielinot esošo pabalstu apmērus, gan ieviešot jaunus pabalstus, gan paplašinot atbalsta saņēmēju loku.</w:t>
      </w:r>
      <w:r w:rsidR="00635716" w:rsidRPr="007157D3">
        <w:rPr>
          <w:rStyle w:val="FootnoteReference"/>
          <w:rFonts w:ascii="Times New Roman" w:hAnsi="Times New Roman" w:cs="Times New Roman"/>
          <w:bCs/>
          <w:sz w:val="24"/>
          <w:szCs w:val="24"/>
          <w:shd w:val="clear" w:color="auto" w:fill="FFFFFF"/>
        </w:rPr>
        <w:footnoteReference w:id="67"/>
      </w:r>
      <w:r w:rsidR="008A1C83" w:rsidRPr="007157D3">
        <w:rPr>
          <w:rStyle w:val="apple-converted-space"/>
          <w:rFonts w:ascii="Times New Roman" w:hAnsi="Times New Roman" w:cs="Times New Roman"/>
          <w:bCs/>
          <w:sz w:val="24"/>
          <w:szCs w:val="24"/>
          <w:shd w:val="clear" w:color="auto" w:fill="FFFFFF"/>
        </w:rPr>
        <w:t xml:space="preserve"> </w:t>
      </w:r>
      <w:r w:rsidR="008A1C83" w:rsidRPr="007157D3">
        <w:rPr>
          <w:rFonts w:ascii="Times New Roman" w:hAnsi="Times New Roman" w:cs="Times New Roman"/>
          <w:sz w:val="24"/>
          <w:szCs w:val="24"/>
        </w:rPr>
        <w:t>Pēdējos gados valsts atbalsts ģimenēm ar bērniem ir būtiski pieaudzis</w:t>
      </w:r>
      <w:r w:rsidR="00026CEE" w:rsidRPr="002F5278">
        <w:rPr>
          <w:rFonts w:ascii="Times New Roman" w:hAnsi="Times New Roman" w:cs="Times New Roman"/>
          <w:sz w:val="24"/>
          <w:szCs w:val="24"/>
        </w:rPr>
        <w:t xml:space="preserve"> (</w:t>
      </w:r>
      <w:r w:rsidR="00026CEE" w:rsidRPr="002F5278">
        <w:rPr>
          <w:rFonts w:ascii="Times New Roman" w:hAnsi="Times New Roman" w:cs="Times New Roman"/>
          <w:sz w:val="24"/>
          <w:szCs w:val="24"/>
          <w:highlight w:val="yellow"/>
        </w:rPr>
        <w:t>skat. 3.pielikuma 5.tabulu</w:t>
      </w:r>
      <w:r w:rsidR="00026CEE" w:rsidRPr="008C6388">
        <w:rPr>
          <w:rFonts w:ascii="Times New Roman" w:hAnsi="Times New Roman" w:cs="Times New Roman"/>
          <w:sz w:val="24"/>
          <w:szCs w:val="24"/>
        </w:rPr>
        <w:t>)</w:t>
      </w:r>
      <w:r w:rsidR="008A1C83" w:rsidRPr="00573B49">
        <w:rPr>
          <w:rFonts w:ascii="Times New Roman" w:hAnsi="Times New Roman" w:cs="Times New Roman"/>
          <w:sz w:val="24"/>
          <w:szCs w:val="24"/>
        </w:rPr>
        <w:t xml:space="preserve">. Pārskata periodā ir vairākkārt </w:t>
      </w:r>
      <w:r w:rsidR="008A1C83" w:rsidRPr="0025422D">
        <w:rPr>
          <w:rFonts w:ascii="Times New Roman" w:hAnsi="Times New Roman" w:cs="Times New Roman"/>
          <w:sz w:val="24"/>
          <w:szCs w:val="24"/>
        </w:rPr>
        <w:t>pārskatīts un palielināts valsts materiāls atbalsts ģimenēm ar bērniem - veikta ģimenes valsts pabalsta apmēra palielināšana, valsts atbalsta apgādnieku zaudējušiem bērniem palielināšana, pilnveidoti ģimenes valsts pabalsta un vecāku pabalst</w:t>
      </w:r>
      <w:r w:rsidR="006C2D58" w:rsidRPr="0025422D">
        <w:rPr>
          <w:rFonts w:ascii="Times New Roman" w:hAnsi="Times New Roman" w:cs="Times New Roman"/>
          <w:sz w:val="24"/>
          <w:szCs w:val="24"/>
        </w:rPr>
        <w:t>a</w:t>
      </w:r>
      <w:r w:rsidR="008A1C83" w:rsidRPr="00A857F2">
        <w:rPr>
          <w:rFonts w:ascii="Times New Roman" w:hAnsi="Times New Roman" w:cs="Times New Roman"/>
          <w:sz w:val="24"/>
          <w:szCs w:val="24"/>
        </w:rPr>
        <w:t xml:space="preserve"> saņemša</w:t>
      </w:r>
      <w:r w:rsidR="008A1C83" w:rsidRPr="00662D1E">
        <w:rPr>
          <w:rFonts w:ascii="Times New Roman" w:hAnsi="Times New Roman" w:cs="Times New Roman"/>
          <w:sz w:val="24"/>
          <w:szCs w:val="24"/>
        </w:rPr>
        <w:t>nas nosacījumi, palielināta vecāku pabalsta saņēmēju un bērna kopšanas pabalsta saņēmēju sociālā aizsardzība.</w:t>
      </w:r>
    </w:p>
    <w:p w14:paraId="4FF3BA5F" w14:textId="4E9B1DA3" w:rsidR="008A1C83" w:rsidRPr="0015154B" w:rsidRDefault="008A1C83" w:rsidP="0078124C">
      <w:pPr>
        <w:spacing w:before="120" w:after="0" w:line="240" w:lineRule="auto"/>
        <w:ind w:firstLine="720"/>
        <w:jc w:val="both"/>
        <w:rPr>
          <w:rStyle w:val="apple-converted-space"/>
          <w:rFonts w:ascii="Times New Roman" w:hAnsi="Times New Roman" w:cs="Times New Roman"/>
          <w:bCs/>
          <w:sz w:val="24"/>
          <w:szCs w:val="24"/>
          <w:shd w:val="clear" w:color="auto" w:fill="FFFFFF"/>
        </w:rPr>
      </w:pPr>
      <w:r w:rsidRPr="009703E6">
        <w:rPr>
          <w:rFonts w:ascii="Times New Roman" w:eastAsia="Times New Roman" w:hAnsi="Times New Roman" w:cs="Times New Roman"/>
          <w:bCs/>
          <w:sz w:val="24"/>
          <w:szCs w:val="24"/>
          <w:lang w:eastAsia="lv-LV"/>
        </w:rPr>
        <w:t>Analizējot valsts sociālo pabalstu piešķiršanas nosacījumus, kā būtiskākie izaicinājumi un identificētās problēmas, kas potenciāli var ietekmēt si</w:t>
      </w:r>
      <w:r w:rsidRPr="0015154B">
        <w:rPr>
          <w:rFonts w:ascii="Times New Roman" w:eastAsia="Times New Roman" w:hAnsi="Times New Roman" w:cs="Times New Roman"/>
          <w:bCs/>
          <w:sz w:val="24"/>
          <w:szCs w:val="24"/>
          <w:lang w:eastAsia="lv-LV"/>
        </w:rPr>
        <w:t>stēmiskas izmaiņas vidējā termiņā, jānorāda:</w:t>
      </w:r>
    </w:p>
    <w:p w14:paraId="769E279C" w14:textId="1B80B341" w:rsidR="00E73A8B" w:rsidRPr="007157D3" w:rsidRDefault="00E73A8B" w:rsidP="00327431">
      <w:pPr>
        <w:pStyle w:val="ListParagraph"/>
        <w:numPr>
          <w:ilvl w:val="0"/>
          <w:numId w:val="37"/>
        </w:numPr>
        <w:spacing w:after="0" w:line="240" w:lineRule="auto"/>
        <w:ind w:left="426" w:hanging="208"/>
        <w:jc w:val="both"/>
        <w:rPr>
          <w:rFonts w:ascii="Times New Roman" w:hAnsi="Times New Roman" w:cs="Times New Roman"/>
          <w:sz w:val="24"/>
          <w:szCs w:val="24"/>
        </w:rPr>
      </w:pPr>
      <w:r w:rsidRPr="0015154B">
        <w:rPr>
          <w:rFonts w:ascii="Times New Roman" w:hAnsi="Times New Roman" w:cs="Times New Roman"/>
          <w:sz w:val="24"/>
          <w:szCs w:val="24"/>
        </w:rPr>
        <w:t xml:space="preserve">Pabalstu </w:t>
      </w:r>
      <w:r w:rsidRPr="0015154B">
        <w:rPr>
          <w:rFonts w:ascii="Times New Roman" w:hAnsi="Times New Roman" w:cs="Times New Roman"/>
          <w:b/>
          <w:color w:val="002060"/>
          <w:sz w:val="24"/>
          <w:szCs w:val="24"/>
        </w:rPr>
        <w:t>sistēmas sadrumstalotība</w:t>
      </w:r>
      <w:r w:rsidR="00FD6D87" w:rsidRPr="0015154B">
        <w:rPr>
          <w:rFonts w:ascii="Times New Roman" w:hAnsi="Times New Roman" w:cs="Times New Roman"/>
          <w:sz w:val="24"/>
          <w:szCs w:val="24"/>
        </w:rPr>
        <w:t>, ko ir sekmējusi gan jaunu pabalsta veidu ieviešana, gan liela sabiedriska un politiska pretestība pabalstu pārskatīšanā</w:t>
      </w:r>
      <w:r w:rsidR="002F5C4C" w:rsidRPr="0015154B">
        <w:rPr>
          <w:rFonts w:ascii="Times New Roman" w:hAnsi="Times New Roman" w:cs="Times New Roman"/>
          <w:sz w:val="24"/>
          <w:szCs w:val="24"/>
        </w:rPr>
        <w:t xml:space="preserve"> un atbalsta modifēšanā</w:t>
      </w:r>
      <w:r w:rsidR="00FD6D87" w:rsidRPr="0015154B">
        <w:rPr>
          <w:rFonts w:ascii="Times New Roman" w:hAnsi="Times New Roman" w:cs="Times New Roman"/>
          <w:sz w:val="24"/>
          <w:szCs w:val="24"/>
        </w:rPr>
        <w:t xml:space="preserve">. </w:t>
      </w:r>
      <w:r w:rsidR="00DD4FC1" w:rsidRPr="0015154B">
        <w:rPr>
          <w:rFonts w:ascii="Times New Roman" w:hAnsi="Times New Roman" w:cs="Times New Roman"/>
          <w:sz w:val="24"/>
          <w:szCs w:val="24"/>
        </w:rPr>
        <w:t>Tā kā atsevišķi pabalsti tiek uzskatīti kā būtiski demogrāfisko situāciju veicinoši instrumenti</w:t>
      </w:r>
      <w:r w:rsidR="002F5C4C" w:rsidRPr="0015154B">
        <w:rPr>
          <w:rFonts w:ascii="Times New Roman" w:hAnsi="Times New Roman" w:cs="Times New Roman"/>
          <w:sz w:val="24"/>
          <w:szCs w:val="24"/>
        </w:rPr>
        <w:t xml:space="preserve"> (īpaši, ģimenes valsts pabalsts</w:t>
      </w:r>
      <w:r w:rsidR="007E39A8" w:rsidRPr="0015154B">
        <w:rPr>
          <w:rFonts w:ascii="Times New Roman" w:hAnsi="Times New Roman" w:cs="Times New Roman"/>
          <w:sz w:val="24"/>
          <w:szCs w:val="24"/>
        </w:rPr>
        <w:t xml:space="preserve"> - ĢVP</w:t>
      </w:r>
      <w:r w:rsidR="002F5C4C" w:rsidRPr="0015154B">
        <w:rPr>
          <w:rFonts w:ascii="Times New Roman" w:hAnsi="Times New Roman" w:cs="Times New Roman"/>
          <w:sz w:val="24"/>
          <w:szCs w:val="24"/>
        </w:rPr>
        <w:t>)</w:t>
      </w:r>
      <w:r w:rsidR="00DD4FC1" w:rsidRPr="0015154B">
        <w:rPr>
          <w:rFonts w:ascii="Times New Roman" w:hAnsi="Times New Roman" w:cs="Times New Roman"/>
          <w:sz w:val="24"/>
          <w:szCs w:val="24"/>
        </w:rPr>
        <w:t xml:space="preserve">, to attīstība un izmaiņas ir notikušas </w:t>
      </w:r>
      <w:r w:rsidR="002F5C4C" w:rsidRPr="0015154B">
        <w:rPr>
          <w:rFonts w:ascii="Times New Roman" w:hAnsi="Times New Roman" w:cs="Times New Roman"/>
          <w:sz w:val="24"/>
          <w:szCs w:val="24"/>
        </w:rPr>
        <w:t>neatkarīgi no kopējās sistēmas izvērtējuma un attīstības. Taču līdztekus</w:t>
      </w:r>
      <w:r w:rsidR="00F1352D" w:rsidRPr="0015154B">
        <w:rPr>
          <w:rFonts w:ascii="Times New Roman" w:hAnsi="Times New Roman" w:cs="Times New Roman"/>
          <w:sz w:val="24"/>
          <w:szCs w:val="24"/>
        </w:rPr>
        <w:t xml:space="preserve"> jānorāda, ka “</w:t>
      </w:r>
      <w:r w:rsidR="00F1352D" w:rsidRPr="0015154B">
        <w:rPr>
          <w:rFonts w:ascii="Times New Roman" w:hAnsi="Times New Roman" w:cs="Times New Roman"/>
          <w:i/>
          <w:sz w:val="24"/>
          <w:szCs w:val="24"/>
        </w:rPr>
        <w:t>nav tāda viena noteicoša faktora, kas būtiski mainītu valsts demogrāfisko situāciju. Lai arī materiālais nodrošinājums nav vienīgais determinants, tieši stabili ienākumi, pieejams mājoklis un iespējas saskaņot ģimenes un darba dzīvi vēl aizvien veido pamatu tautas ataudzei, kur valsts s</w:t>
      </w:r>
      <w:r w:rsidR="00F6283D">
        <w:rPr>
          <w:rFonts w:ascii="Times New Roman" w:hAnsi="Times New Roman" w:cs="Times New Roman"/>
          <w:i/>
          <w:sz w:val="24"/>
          <w:szCs w:val="24"/>
        </w:rPr>
        <w:t>n</w:t>
      </w:r>
      <w:r w:rsidR="00F1352D" w:rsidRPr="0015154B">
        <w:rPr>
          <w:rFonts w:ascii="Times New Roman" w:hAnsi="Times New Roman" w:cs="Times New Roman"/>
          <w:i/>
          <w:sz w:val="24"/>
          <w:szCs w:val="24"/>
        </w:rPr>
        <w:t>iegtais atbalsts var būt papildus motivējošs aspekts</w:t>
      </w:r>
      <w:r w:rsidR="00F1352D" w:rsidRPr="0015154B">
        <w:rPr>
          <w:rFonts w:ascii="Times New Roman" w:hAnsi="Times New Roman" w:cs="Times New Roman"/>
          <w:sz w:val="24"/>
          <w:szCs w:val="24"/>
        </w:rPr>
        <w:t>.”</w:t>
      </w:r>
      <w:r w:rsidR="00F1352D" w:rsidRPr="007157D3">
        <w:rPr>
          <w:rStyle w:val="FootnoteReference"/>
          <w:rFonts w:ascii="Times New Roman" w:hAnsi="Times New Roman" w:cs="Times New Roman"/>
          <w:sz w:val="24"/>
          <w:szCs w:val="24"/>
        </w:rPr>
        <w:footnoteReference w:id="68"/>
      </w:r>
      <w:r w:rsidR="00F1352D" w:rsidRPr="007157D3">
        <w:rPr>
          <w:rFonts w:ascii="Times New Roman" w:hAnsi="Times New Roman" w:cs="Times New Roman"/>
          <w:sz w:val="24"/>
          <w:szCs w:val="24"/>
        </w:rPr>
        <w:t xml:space="preserve"> Turklāt iedzīvotāju aptaujas rezultāti liecina, ka ģimenes atbalsta nevis jaunu pabalst</w:t>
      </w:r>
      <w:r w:rsidR="006C2D58" w:rsidRPr="007157D3">
        <w:rPr>
          <w:rFonts w:ascii="Times New Roman" w:hAnsi="Times New Roman" w:cs="Times New Roman"/>
          <w:sz w:val="24"/>
          <w:szCs w:val="24"/>
        </w:rPr>
        <w:t>u</w:t>
      </w:r>
      <w:r w:rsidR="00F1352D" w:rsidRPr="00425C73">
        <w:rPr>
          <w:rFonts w:ascii="Times New Roman" w:hAnsi="Times New Roman" w:cs="Times New Roman"/>
          <w:sz w:val="24"/>
          <w:szCs w:val="24"/>
        </w:rPr>
        <w:t xml:space="preserve"> ieviešanu, bet stabilitāti esošajā sistēmā un deklaratīvi noteikto valsts un pašvaldību finansēto atbalsta pakalpojumu (veselības, izglītības, bērnu uzraudzības u.c.) reālo pieejamību</w:t>
      </w:r>
      <w:r w:rsidR="002F3C66" w:rsidRPr="002F5278">
        <w:rPr>
          <w:rFonts w:ascii="Times New Roman" w:hAnsi="Times New Roman" w:cs="Times New Roman"/>
          <w:sz w:val="24"/>
          <w:szCs w:val="24"/>
        </w:rPr>
        <w:t>.</w:t>
      </w:r>
      <w:r w:rsidR="002F3C66" w:rsidRPr="007157D3">
        <w:rPr>
          <w:rStyle w:val="FootnoteReference"/>
          <w:rFonts w:ascii="Times New Roman" w:hAnsi="Times New Roman" w:cs="Times New Roman"/>
          <w:sz w:val="24"/>
          <w:szCs w:val="24"/>
        </w:rPr>
        <w:footnoteReference w:id="69"/>
      </w:r>
      <w:r w:rsidR="002F3C66" w:rsidRPr="007157D3">
        <w:rPr>
          <w:rFonts w:ascii="Times New Roman" w:hAnsi="Times New Roman" w:cs="Times New Roman"/>
          <w:sz w:val="24"/>
          <w:szCs w:val="24"/>
        </w:rPr>
        <w:t xml:space="preserve"> Uz pabalstu sistēmas sadrumstalotību</w:t>
      </w:r>
      <w:r w:rsidR="00540C91" w:rsidRPr="007157D3">
        <w:rPr>
          <w:rFonts w:ascii="Times New Roman" w:hAnsi="Times New Roman" w:cs="Times New Roman"/>
          <w:sz w:val="24"/>
          <w:szCs w:val="24"/>
        </w:rPr>
        <w:t xml:space="preserve"> un mērķētības trūkumu</w:t>
      </w:r>
      <w:r w:rsidR="00530C2F" w:rsidRPr="007157D3">
        <w:rPr>
          <w:rFonts w:ascii="Times New Roman" w:hAnsi="Times New Roman" w:cs="Times New Roman"/>
          <w:sz w:val="24"/>
          <w:szCs w:val="24"/>
        </w:rPr>
        <w:t xml:space="preserve">, </w:t>
      </w:r>
      <w:r w:rsidR="00530C2F" w:rsidRPr="00425C73">
        <w:rPr>
          <w:rFonts w:ascii="Times New Roman" w:hAnsi="Times New Roman" w:cs="Times New Roman"/>
          <w:sz w:val="24"/>
          <w:szCs w:val="24"/>
        </w:rPr>
        <w:t>kontekstā ar pašvaldību piešķirtajiem pabalstiem, ir norādījusi Valsts kontrole</w:t>
      </w:r>
      <w:r w:rsidR="00596697" w:rsidRPr="002F5278">
        <w:rPr>
          <w:rFonts w:ascii="Times New Roman" w:hAnsi="Times New Roman" w:cs="Times New Roman"/>
          <w:sz w:val="24"/>
          <w:szCs w:val="24"/>
        </w:rPr>
        <w:t xml:space="preserve">, uzsverot nepieciešamību veikt visaptverošu jau </w:t>
      </w:r>
      <w:r w:rsidR="00596697" w:rsidRPr="002F5278">
        <w:rPr>
          <w:rFonts w:ascii="Times New Roman" w:hAnsi="Times New Roman" w:cs="Times New Roman"/>
          <w:sz w:val="24"/>
          <w:szCs w:val="24"/>
        </w:rPr>
        <w:lastRenderedPageBreak/>
        <w:t>esošā valsts un pašvaldību atbalsta izvērtējumu, lai novērtētu, vai pieejamais atbalsts ir pietiekams un efektīvs un sasniedz mērķgrupas vajadzības, tajā skaitā vai tas nedublējas</w:t>
      </w:r>
      <w:r w:rsidR="00596697" w:rsidRPr="0025422D">
        <w:rPr>
          <w:sz w:val="23"/>
          <w:szCs w:val="23"/>
        </w:rPr>
        <w:t>.</w:t>
      </w:r>
      <w:r w:rsidR="00596697" w:rsidRPr="007157D3">
        <w:rPr>
          <w:rStyle w:val="FootnoteReference"/>
          <w:sz w:val="23"/>
          <w:szCs w:val="23"/>
        </w:rPr>
        <w:footnoteReference w:id="70"/>
      </w:r>
    </w:p>
    <w:p w14:paraId="01B01E43" w14:textId="55C88A62" w:rsidR="00FD6D87" w:rsidRPr="00A857F2" w:rsidRDefault="00FD6D87" w:rsidP="00327431">
      <w:pPr>
        <w:pStyle w:val="ListParagraph"/>
        <w:numPr>
          <w:ilvl w:val="0"/>
          <w:numId w:val="37"/>
        </w:numPr>
        <w:spacing w:after="0" w:line="240" w:lineRule="auto"/>
        <w:ind w:left="426" w:hanging="208"/>
        <w:jc w:val="both"/>
        <w:rPr>
          <w:rFonts w:ascii="Times New Roman" w:hAnsi="Times New Roman" w:cs="Times New Roman"/>
          <w:sz w:val="24"/>
          <w:szCs w:val="24"/>
        </w:rPr>
      </w:pPr>
      <w:r w:rsidRPr="007157D3">
        <w:rPr>
          <w:rFonts w:ascii="Times New Roman" w:hAnsi="Times New Roman" w:cs="Times New Roman"/>
          <w:sz w:val="24"/>
          <w:szCs w:val="24"/>
        </w:rPr>
        <w:t xml:space="preserve">Pabalstu piešķiršanas </w:t>
      </w:r>
      <w:r w:rsidRPr="007157D3">
        <w:rPr>
          <w:rFonts w:ascii="Times New Roman" w:hAnsi="Times New Roman" w:cs="Times New Roman"/>
          <w:b/>
          <w:color w:val="002060"/>
          <w:sz w:val="24"/>
          <w:szCs w:val="24"/>
        </w:rPr>
        <w:t>nosacījumu sarežģītība, atšķirība</w:t>
      </w:r>
      <w:r w:rsidRPr="00425C73">
        <w:rPr>
          <w:rFonts w:ascii="Times New Roman" w:hAnsi="Times New Roman" w:cs="Times New Roman"/>
          <w:color w:val="002060"/>
          <w:sz w:val="24"/>
          <w:szCs w:val="24"/>
        </w:rPr>
        <w:t xml:space="preserve"> </w:t>
      </w:r>
      <w:r w:rsidRPr="00425C73">
        <w:rPr>
          <w:rFonts w:ascii="Times New Roman" w:hAnsi="Times New Roman" w:cs="Times New Roman"/>
          <w:sz w:val="24"/>
          <w:szCs w:val="24"/>
        </w:rPr>
        <w:t>starp līdzvērtīgiem mērķiem pie</w:t>
      </w:r>
      <w:r w:rsidR="00B63C48">
        <w:rPr>
          <w:rFonts w:ascii="Times New Roman" w:hAnsi="Times New Roman" w:cs="Times New Roman"/>
          <w:sz w:val="24"/>
          <w:szCs w:val="24"/>
        </w:rPr>
        <w:t>š</w:t>
      </w:r>
      <w:r w:rsidRPr="00425C73">
        <w:rPr>
          <w:rFonts w:ascii="Times New Roman" w:hAnsi="Times New Roman" w:cs="Times New Roman"/>
          <w:sz w:val="24"/>
          <w:szCs w:val="24"/>
        </w:rPr>
        <w:t>ķirtiem pabalstiem.</w:t>
      </w:r>
      <w:r w:rsidR="00DD4FC1" w:rsidRPr="002F5278">
        <w:rPr>
          <w:rFonts w:ascii="Times New Roman" w:hAnsi="Times New Roman" w:cs="Times New Roman"/>
          <w:sz w:val="24"/>
          <w:szCs w:val="24"/>
        </w:rPr>
        <w:t xml:space="preserve"> To ietekmē vairāki faktori. Pirmkārt, pabalstu apmēru pārskatīšana, mērķa grupas noteikšana vai atbalsta nosacījumu definēšana ir pakārtota piešķirtajam finansējumam</w:t>
      </w:r>
      <w:r w:rsidR="00220A0E" w:rsidRPr="002F5278">
        <w:rPr>
          <w:rFonts w:ascii="Times New Roman" w:hAnsi="Times New Roman" w:cs="Times New Roman"/>
          <w:sz w:val="24"/>
          <w:szCs w:val="24"/>
        </w:rPr>
        <w:t xml:space="preserve"> vai politiskajiem lēmumiem</w:t>
      </w:r>
      <w:r w:rsidR="00DD4FC1" w:rsidRPr="002F5278">
        <w:rPr>
          <w:rFonts w:ascii="Times New Roman" w:hAnsi="Times New Roman" w:cs="Times New Roman"/>
          <w:sz w:val="24"/>
          <w:szCs w:val="24"/>
        </w:rPr>
        <w:t>, nevis pamatotiem aprēķiniem atbilstoši mērķa grupas vajadzībām.</w:t>
      </w:r>
      <w:r w:rsidR="00220A0E" w:rsidRPr="0025422D">
        <w:rPr>
          <w:rFonts w:ascii="Times New Roman" w:hAnsi="Times New Roman" w:cs="Times New Roman"/>
          <w:sz w:val="24"/>
          <w:szCs w:val="24"/>
        </w:rPr>
        <w:t xml:space="preserve"> Otrkārt, </w:t>
      </w:r>
      <w:r w:rsidR="002148FC" w:rsidRPr="0025422D">
        <w:rPr>
          <w:rFonts w:ascii="Times New Roman" w:hAnsi="Times New Roman" w:cs="Times New Roman"/>
          <w:sz w:val="24"/>
          <w:szCs w:val="24"/>
        </w:rPr>
        <w:t xml:space="preserve">ierobežotās fiskālās telpas dēļ nav iespējams veikt visaptverošas un tūlītējas izmaiņas, kā rezultātā atbalsts tiek sniegts tikai kādai no mērķa grupām. </w:t>
      </w:r>
    </w:p>
    <w:p w14:paraId="043EEF58" w14:textId="260CEB83" w:rsidR="00DD4FC1" w:rsidRPr="0015154B" w:rsidRDefault="00FD6D87" w:rsidP="00327431">
      <w:pPr>
        <w:pStyle w:val="ListParagraph"/>
        <w:numPr>
          <w:ilvl w:val="0"/>
          <w:numId w:val="37"/>
        </w:numPr>
        <w:spacing w:after="0" w:line="240" w:lineRule="auto"/>
        <w:ind w:left="426" w:hanging="208"/>
        <w:jc w:val="both"/>
        <w:rPr>
          <w:rFonts w:ascii="Times New Roman" w:hAnsi="Times New Roman" w:cs="Times New Roman"/>
          <w:sz w:val="24"/>
          <w:szCs w:val="24"/>
        </w:rPr>
      </w:pPr>
      <w:r w:rsidRPr="009703E6">
        <w:rPr>
          <w:rFonts w:ascii="Times New Roman" w:hAnsi="Times New Roman" w:cs="Times New Roman"/>
          <w:b/>
          <w:color w:val="002060"/>
          <w:sz w:val="24"/>
          <w:szCs w:val="24"/>
        </w:rPr>
        <w:t>Nelabvēlīgākā situācijā esošas mērķa grupas</w:t>
      </w:r>
      <w:r w:rsidRPr="009703E6">
        <w:rPr>
          <w:rFonts w:ascii="Times New Roman" w:hAnsi="Times New Roman" w:cs="Times New Roman"/>
          <w:sz w:val="24"/>
          <w:szCs w:val="24"/>
        </w:rPr>
        <w:t>,</w:t>
      </w:r>
      <w:r w:rsidRPr="0015154B">
        <w:rPr>
          <w:rFonts w:ascii="Times New Roman" w:hAnsi="Times New Roman" w:cs="Times New Roman"/>
          <w:sz w:val="24"/>
          <w:szCs w:val="24"/>
        </w:rPr>
        <w:t xml:space="preserve"> kas objektīvu apstāk</w:t>
      </w:r>
      <w:r w:rsidR="00DD4FC1" w:rsidRPr="0015154B">
        <w:rPr>
          <w:rFonts w:ascii="Times New Roman" w:hAnsi="Times New Roman" w:cs="Times New Roman"/>
          <w:sz w:val="24"/>
          <w:szCs w:val="24"/>
        </w:rPr>
        <w:t>ļu dēļ nevar klasificēties atbalstam vai “izkrīt” no atbalsta saņēmēju loka.</w:t>
      </w:r>
      <w:r w:rsidR="007E39A8" w:rsidRPr="0015154B">
        <w:rPr>
          <w:rFonts w:ascii="Times New Roman" w:hAnsi="Times New Roman" w:cs="Times New Roman"/>
          <w:sz w:val="24"/>
          <w:szCs w:val="24"/>
        </w:rPr>
        <w:t xml:space="preserve"> </w:t>
      </w:r>
      <w:r w:rsidR="00DC247E" w:rsidRPr="0015154B">
        <w:rPr>
          <w:rStyle w:val="apple-converted-space"/>
          <w:rFonts w:ascii="Times New Roman" w:hAnsi="Times New Roman" w:cs="Times New Roman"/>
          <w:bCs/>
          <w:sz w:val="24"/>
          <w:szCs w:val="24"/>
          <w:shd w:val="clear" w:color="auto" w:fill="FFFFFF"/>
        </w:rPr>
        <w:t>Piemēram,</w:t>
      </w:r>
      <w:r w:rsidR="007E39A8" w:rsidRPr="0015154B">
        <w:rPr>
          <w:rStyle w:val="apple-converted-space"/>
          <w:rFonts w:ascii="Times New Roman" w:hAnsi="Times New Roman" w:cs="Times New Roman"/>
          <w:bCs/>
          <w:sz w:val="24"/>
          <w:szCs w:val="24"/>
          <w:shd w:val="clear" w:color="auto" w:fill="FFFFFF"/>
        </w:rPr>
        <w:t xml:space="preserve"> b</w:t>
      </w:r>
      <w:r w:rsidR="007E39A8" w:rsidRPr="0015154B">
        <w:rPr>
          <w:rFonts w:ascii="Times New Roman" w:hAnsi="Times New Roman" w:cs="Times New Roman"/>
          <w:color w:val="000000"/>
          <w:sz w:val="24"/>
          <w:szCs w:val="24"/>
        </w:rPr>
        <w:t>ērni, kuriem nav noteikta paternitāte, ir īpaši neaizsargājamajā un tiesiski nevienlīdzīgā situācijā, jo otram vecākam nav juridisku saistību finansiāli atbalstīt savu bērnu. Tie bērni, kuriem paternitāte ir noteikta, var saņemt uzturlīdzekļus no otrā vecāka vai arī  saņemt  uzturlīdzekļu izmaksu otrā vecāka vietā no Uzturlīdzekļu garantiju fonda. Bērns, kuram nav noteikta paternitāte, nevar saņemt uzturlīdzekļus no otra vecāka, un attiecīgi bērna vecāks, kurš bērnu audzina, nevar saņemt atbalstu no Uzturlīdzekļu garantiju fonda. Tādejādi bērni, kuriem nav noteikta paternitāte, patlaban ir vienīgā grupa, kurai nav tiesisku iespēju saņemt atbalstu no abiem vecākiem.</w:t>
      </w:r>
    </w:p>
    <w:p w14:paraId="3A5AC93B" w14:textId="0A4E646F" w:rsidR="00E73A8B" w:rsidRPr="00A857F2" w:rsidRDefault="00E73A8B" w:rsidP="00327431">
      <w:pPr>
        <w:pStyle w:val="ListParagraph"/>
        <w:numPr>
          <w:ilvl w:val="0"/>
          <w:numId w:val="37"/>
        </w:numPr>
        <w:spacing w:after="0" w:line="240" w:lineRule="auto"/>
        <w:ind w:left="426" w:hanging="208"/>
        <w:jc w:val="both"/>
        <w:rPr>
          <w:rFonts w:ascii="Times New Roman" w:hAnsi="Times New Roman" w:cs="Times New Roman"/>
          <w:sz w:val="24"/>
          <w:szCs w:val="24"/>
        </w:rPr>
      </w:pPr>
      <w:r w:rsidRPr="0015154B">
        <w:rPr>
          <w:rFonts w:ascii="Times New Roman" w:hAnsi="Times New Roman" w:cs="Times New Roman"/>
          <w:sz w:val="24"/>
          <w:szCs w:val="24"/>
          <w:lang w:eastAsia="lv-LV"/>
        </w:rPr>
        <w:t xml:space="preserve">Kā norādīts Valsts kontroles ziņojumā, viens no </w:t>
      </w:r>
      <w:r w:rsidRPr="0015154B">
        <w:rPr>
          <w:rFonts w:ascii="Times New Roman" w:hAnsi="Times New Roman" w:cs="Times New Roman"/>
          <w:sz w:val="24"/>
          <w:szCs w:val="24"/>
        </w:rPr>
        <w:t xml:space="preserve">nākotnes izaicinājumiem valstij būs izšķiršanās par </w:t>
      </w:r>
      <w:r w:rsidRPr="0015154B">
        <w:rPr>
          <w:rFonts w:ascii="Times New Roman" w:hAnsi="Times New Roman" w:cs="Times New Roman"/>
          <w:b/>
          <w:color w:val="002060"/>
          <w:sz w:val="24"/>
          <w:szCs w:val="24"/>
        </w:rPr>
        <w:t>universālas atbalstu sistēmas saglabāšanu</w:t>
      </w:r>
      <w:r w:rsidRPr="0015154B">
        <w:rPr>
          <w:rFonts w:ascii="Times New Roman" w:hAnsi="Times New Roman" w:cs="Times New Roman"/>
          <w:sz w:val="24"/>
          <w:szCs w:val="24"/>
        </w:rPr>
        <w:t>, apzinoties finanšu resursu trūkumu esošo atbalstu palielināšanai un/vai jaunu atbalstu ieviešanai, vai pakāpenisku pāreju uz ienākumos un/vai noteiktās sociālās problēmās testētu un vajadzībās balstītu pabalstu sistēmu, kas mērķēta uz personām, kurām atbalsts ir visvairāk nepieciešams.</w:t>
      </w:r>
      <w:r w:rsidRPr="007157D3">
        <w:rPr>
          <w:rStyle w:val="FootnoteReference"/>
          <w:rFonts w:ascii="Times New Roman" w:hAnsi="Times New Roman" w:cs="Times New Roman"/>
          <w:sz w:val="24"/>
          <w:szCs w:val="24"/>
        </w:rPr>
        <w:footnoteReference w:id="71"/>
      </w:r>
      <w:r w:rsidRPr="007157D3">
        <w:rPr>
          <w:rFonts w:ascii="Times New Roman" w:hAnsi="Times New Roman" w:cs="Times New Roman"/>
          <w:sz w:val="24"/>
          <w:szCs w:val="24"/>
        </w:rPr>
        <w:t xml:space="preserve"> </w:t>
      </w:r>
      <w:r w:rsidR="001243CF" w:rsidRPr="007157D3">
        <w:rPr>
          <w:rFonts w:ascii="Times New Roman" w:hAnsi="Times New Roman" w:cs="Times New Roman"/>
          <w:sz w:val="24"/>
          <w:szCs w:val="24"/>
        </w:rPr>
        <w:t>Kā norādījusi Latvijas Banka, efektīvākie instrumenti nabadzības riskam  pakļauto iedzīvotāju īpatsvara samazināšanai ir uz trūcīgo mājsaimniecību atbalstu mērķēti sociālie pabalsti.</w:t>
      </w:r>
      <w:r w:rsidR="001243CF" w:rsidRPr="007157D3">
        <w:rPr>
          <w:rStyle w:val="FootnoteReference"/>
          <w:rFonts w:ascii="Times New Roman" w:hAnsi="Times New Roman" w:cs="Times New Roman"/>
          <w:sz w:val="24"/>
          <w:szCs w:val="24"/>
        </w:rPr>
        <w:footnoteReference w:id="72"/>
      </w:r>
      <w:r w:rsidR="001243CF" w:rsidRPr="007157D3">
        <w:rPr>
          <w:rFonts w:ascii="Times New Roman" w:hAnsi="Times New Roman" w:cs="Times New Roman"/>
          <w:sz w:val="24"/>
          <w:szCs w:val="24"/>
        </w:rPr>
        <w:t xml:space="preserve"> </w:t>
      </w:r>
      <w:r w:rsidRPr="007157D3">
        <w:rPr>
          <w:rFonts w:ascii="Times New Roman" w:hAnsi="Times New Roman" w:cs="Times New Roman"/>
          <w:sz w:val="24"/>
          <w:szCs w:val="24"/>
        </w:rPr>
        <w:t>Jautājumu</w:t>
      </w:r>
      <w:r w:rsidRPr="00425C73">
        <w:rPr>
          <w:rFonts w:ascii="Times New Roman" w:hAnsi="Times New Roman" w:cs="Times New Roman"/>
          <w:sz w:val="24"/>
          <w:szCs w:val="24"/>
        </w:rPr>
        <w:t xml:space="preserve"> par valsts sociālo pabalstu sistēmas mērķētību un piešķiršanas nosacījumu pārskatīšanu </w:t>
      </w:r>
      <w:r w:rsidRPr="002F5278">
        <w:rPr>
          <w:rFonts w:ascii="Times New Roman" w:hAnsi="Times New Roman" w:cs="Times New Roman"/>
          <w:sz w:val="24"/>
          <w:szCs w:val="24"/>
        </w:rPr>
        <w:t>LM aktualizēja jau 2013.gadā, sniedzot priekšlikumus sociālās drošības sistēmas pilnveidošanai, tai skaitā, valsts sociālo pabalstu mērķētības iespēju pārskatīšana, ģimenes valsts pabalsta izdevumu pārstrukturizēšana ar mērķi sniegt lielāku atbalstu sociāli mazākaizsargātām grupām, valsts sociālo pabal</w:t>
      </w:r>
      <w:r w:rsidRPr="0025422D">
        <w:rPr>
          <w:rFonts w:ascii="Times New Roman" w:hAnsi="Times New Roman" w:cs="Times New Roman"/>
          <w:sz w:val="24"/>
          <w:szCs w:val="24"/>
        </w:rPr>
        <w:t>stu izdevumu restrukturizācija vai apmēru pārskatīšana, piesaistot tos noteiktam sociāli ekonomiskam rādītājam.</w:t>
      </w:r>
      <w:r w:rsidR="00A27757" w:rsidRPr="0025422D">
        <w:rPr>
          <w:rFonts w:ascii="Times New Roman" w:hAnsi="Times New Roman" w:cs="Times New Roman"/>
          <w:sz w:val="24"/>
          <w:szCs w:val="24"/>
        </w:rPr>
        <w:t xml:space="preserve"> </w:t>
      </w:r>
    </w:p>
    <w:p w14:paraId="5F942095" w14:textId="0E9534CF" w:rsidR="006C2D58" w:rsidRPr="007157D3" w:rsidRDefault="006C2D58" w:rsidP="00F6283D">
      <w:pPr>
        <w:autoSpaceDE w:val="0"/>
        <w:autoSpaceDN w:val="0"/>
        <w:adjustRightInd w:val="0"/>
        <w:spacing w:before="120" w:after="0" w:line="240" w:lineRule="auto"/>
        <w:ind w:firstLine="709"/>
        <w:jc w:val="both"/>
        <w:rPr>
          <w:rFonts w:ascii="Times New Roman" w:hAnsi="Times New Roman" w:cs="Times New Roman"/>
          <w:sz w:val="24"/>
          <w:szCs w:val="24"/>
        </w:rPr>
      </w:pPr>
      <w:r w:rsidRPr="009703E6">
        <w:rPr>
          <w:rFonts w:ascii="Times New Roman" w:hAnsi="Times New Roman" w:cs="Times New Roman"/>
          <w:sz w:val="24"/>
          <w:szCs w:val="24"/>
        </w:rPr>
        <w:t>Mainoties sabiedrībai kopumā, tās vērtībām, nodarbinātības formām, ietekme nenoliedzami ir arī uz dažādām sistēmā</w:t>
      </w:r>
      <w:r w:rsidR="008D3DCF">
        <w:rPr>
          <w:rFonts w:ascii="Times New Roman" w:hAnsi="Times New Roman" w:cs="Times New Roman"/>
          <w:sz w:val="24"/>
          <w:szCs w:val="24"/>
        </w:rPr>
        <w:t>m</w:t>
      </w:r>
      <w:r w:rsidRPr="008D3DCF">
        <w:rPr>
          <w:rFonts w:ascii="Times New Roman" w:hAnsi="Times New Roman" w:cs="Times New Roman"/>
          <w:sz w:val="24"/>
          <w:szCs w:val="24"/>
        </w:rPr>
        <w:t>, kas veidojušās uz noteiktiem principiem – v</w:t>
      </w:r>
      <w:r w:rsidR="00D22F7A">
        <w:rPr>
          <w:rFonts w:ascii="Times New Roman" w:hAnsi="Times New Roman" w:cs="Times New Roman"/>
          <w:sz w:val="24"/>
          <w:szCs w:val="24"/>
        </w:rPr>
        <w:t>e</w:t>
      </w:r>
      <w:r w:rsidRPr="008D3DCF">
        <w:rPr>
          <w:rFonts w:ascii="Times New Roman" w:hAnsi="Times New Roman" w:cs="Times New Roman"/>
          <w:sz w:val="24"/>
          <w:szCs w:val="24"/>
        </w:rPr>
        <w:t>selības aprūpe, izglītība un arī sociālā aizsa</w:t>
      </w:r>
      <w:r w:rsidR="00F6283D">
        <w:rPr>
          <w:rFonts w:ascii="Times New Roman" w:hAnsi="Times New Roman" w:cs="Times New Roman"/>
          <w:sz w:val="24"/>
          <w:szCs w:val="24"/>
        </w:rPr>
        <w:t>r</w:t>
      </w:r>
      <w:r w:rsidRPr="008D3DCF">
        <w:rPr>
          <w:rFonts w:ascii="Times New Roman" w:hAnsi="Times New Roman" w:cs="Times New Roman"/>
          <w:sz w:val="24"/>
          <w:szCs w:val="24"/>
        </w:rPr>
        <w:t xml:space="preserve">dzība. Visās valstīs arvien biežāk </w:t>
      </w:r>
      <w:r w:rsidR="00F6283D">
        <w:rPr>
          <w:rFonts w:ascii="Times New Roman" w:hAnsi="Times New Roman" w:cs="Times New Roman"/>
          <w:sz w:val="24"/>
          <w:szCs w:val="24"/>
        </w:rPr>
        <w:t>raisās</w:t>
      </w:r>
      <w:r w:rsidRPr="008D3DCF">
        <w:rPr>
          <w:rFonts w:ascii="Times New Roman" w:hAnsi="Times New Roman" w:cs="Times New Roman"/>
          <w:sz w:val="24"/>
          <w:szCs w:val="24"/>
        </w:rPr>
        <w:t xml:space="preserve"> diskusijas par </w:t>
      </w:r>
      <w:r w:rsidRPr="002F5278">
        <w:rPr>
          <w:rFonts w:ascii="Times New Roman" w:hAnsi="Times New Roman" w:cs="Times New Roman"/>
          <w:sz w:val="24"/>
          <w:szCs w:val="24"/>
        </w:rPr>
        <w:t>sociālo nodrošinājumu jebkuram cilvēkam noteiktās situācijās, neatkarīgi no VSAOI veikšanas. Tā, piemēram, ES dalībvalstis jau kādu la</w:t>
      </w:r>
      <w:r w:rsidRPr="0025422D">
        <w:rPr>
          <w:rFonts w:ascii="Times New Roman" w:hAnsi="Times New Roman" w:cs="Times New Roman"/>
          <w:sz w:val="24"/>
          <w:szCs w:val="24"/>
        </w:rPr>
        <w:t xml:space="preserve">iku diskutē par vienotu bezdarbnieka pabalsta ieviešanu. Šāds pabalsts aizsargātu jebkuru cilvēku, kurš zaudējis darbu. </w:t>
      </w:r>
      <w:r w:rsidR="00874C56" w:rsidRPr="00A857F2">
        <w:rPr>
          <w:rFonts w:ascii="Times New Roman" w:hAnsi="Times New Roman" w:cs="Times New Roman"/>
          <w:sz w:val="24"/>
          <w:szCs w:val="24"/>
        </w:rPr>
        <w:t>Tāpat atseviš</w:t>
      </w:r>
      <w:r w:rsidR="00F6283D">
        <w:rPr>
          <w:rFonts w:ascii="Times New Roman" w:hAnsi="Times New Roman" w:cs="Times New Roman"/>
          <w:sz w:val="24"/>
          <w:szCs w:val="24"/>
        </w:rPr>
        <w:t>ķ</w:t>
      </w:r>
      <w:r w:rsidR="00874C56" w:rsidRPr="00A857F2">
        <w:rPr>
          <w:rFonts w:ascii="Times New Roman" w:hAnsi="Times New Roman" w:cs="Times New Roman"/>
          <w:sz w:val="24"/>
          <w:szCs w:val="24"/>
        </w:rPr>
        <w:t>ās valstīs tiek ierosinātas diskusijas par universālā un iemaksās balstī</w:t>
      </w:r>
      <w:r w:rsidR="00874C56" w:rsidRPr="009703E6">
        <w:rPr>
          <w:rFonts w:ascii="Times New Roman" w:hAnsi="Times New Roman" w:cs="Times New Roman"/>
          <w:sz w:val="24"/>
          <w:szCs w:val="24"/>
        </w:rPr>
        <w:t>tā atbalsta proporcijām, proti, vai valstij ir jāgarantē vienots atbalsts noteiktās situācijās universālā veidā jeb lielāko daļu risku</w:t>
      </w:r>
      <w:r w:rsidR="00F6283D">
        <w:rPr>
          <w:rFonts w:ascii="Times New Roman" w:hAnsi="Times New Roman" w:cs="Times New Roman"/>
          <w:sz w:val="24"/>
          <w:szCs w:val="24"/>
        </w:rPr>
        <w:t>,</w:t>
      </w:r>
      <w:r w:rsidR="00874C56" w:rsidRPr="009703E6">
        <w:rPr>
          <w:rFonts w:ascii="Times New Roman" w:hAnsi="Times New Roman" w:cs="Times New Roman"/>
          <w:sz w:val="24"/>
          <w:szCs w:val="24"/>
        </w:rPr>
        <w:t xml:space="preserve"> ar ko saskaras cilvēks, tomēr jāfi</w:t>
      </w:r>
      <w:r w:rsidR="00874C56" w:rsidRPr="0015154B">
        <w:rPr>
          <w:rFonts w:ascii="Times New Roman" w:hAnsi="Times New Roman" w:cs="Times New Roman"/>
          <w:sz w:val="24"/>
          <w:szCs w:val="24"/>
        </w:rPr>
        <w:t>nansē no viņa veiktajām sociāl</w:t>
      </w:r>
      <w:r w:rsidR="002F5278">
        <w:rPr>
          <w:rFonts w:ascii="Times New Roman" w:hAnsi="Times New Roman" w:cs="Times New Roman"/>
          <w:sz w:val="24"/>
          <w:szCs w:val="24"/>
        </w:rPr>
        <w:t>ās</w:t>
      </w:r>
      <w:r w:rsidR="00874C56" w:rsidRPr="002F5278">
        <w:rPr>
          <w:rFonts w:ascii="Times New Roman" w:hAnsi="Times New Roman" w:cs="Times New Roman"/>
          <w:sz w:val="24"/>
          <w:szCs w:val="24"/>
        </w:rPr>
        <w:t xml:space="preserve"> apdrošināšanas iemaksām. </w:t>
      </w:r>
      <w:r w:rsidR="002F5278">
        <w:rPr>
          <w:rFonts w:ascii="Times New Roman" w:hAnsi="Times New Roman" w:cs="Times New Roman"/>
          <w:sz w:val="24"/>
          <w:szCs w:val="24"/>
        </w:rPr>
        <w:t>Ja iepriekšējos periodo</w:t>
      </w:r>
      <w:r w:rsidR="00F6283D">
        <w:rPr>
          <w:rFonts w:ascii="Times New Roman" w:hAnsi="Times New Roman" w:cs="Times New Roman"/>
          <w:sz w:val="24"/>
          <w:szCs w:val="24"/>
        </w:rPr>
        <w:t>s</w:t>
      </w:r>
      <w:r w:rsidR="002F5278">
        <w:rPr>
          <w:rFonts w:ascii="Times New Roman" w:hAnsi="Times New Roman" w:cs="Times New Roman"/>
          <w:sz w:val="24"/>
          <w:szCs w:val="24"/>
        </w:rPr>
        <w:t xml:space="preserve"> liels akcents tika likts uz valsts sociāl</w:t>
      </w:r>
      <w:r w:rsidR="00F6283D">
        <w:rPr>
          <w:rFonts w:ascii="Times New Roman" w:hAnsi="Times New Roman" w:cs="Times New Roman"/>
          <w:sz w:val="24"/>
          <w:szCs w:val="24"/>
        </w:rPr>
        <w:t>ās</w:t>
      </w:r>
      <w:r w:rsidR="002F5278">
        <w:rPr>
          <w:rFonts w:ascii="Times New Roman" w:hAnsi="Times New Roman" w:cs="Times New Roman"/>
          <w:sz w:val="24"/>
          <w:szCs w:val="24"/>
        </w:rPr>
        <w:t xml:space="preserve"> apdrošināšanas sistēmu un cilvēku aktīvu līdzdalību tajā, nod</w:t>
      </w:r>
      <w:r w:rsidR="00F6283D">
        <w:rPr>
          <w:rFonts w:ascii="Times New Roman" w:hAnsi="Times New Roman" w:cs="Times New Roman"/>
          <w:sz w:val="24"/>
          <w:szCs w:val="24"/>
        </w:rPr>
        <w:t>ro</w:t>
      </w:r>
      <w:r w:rsidR="002F5278">
        <w:rPr>
          <w:rFonts w:ascii="Times New Roman" w:hAnsi="Times New Roman" w:cs="Times New Roman"/>
          <w:sz w:val="24"/>
          <w:szCs w:val="24"/>
        </w:rPr>
        <w:t>šin</w:t>
      </w:r>
      <w:r w:rsidR="00F6283D">
        <w:rPr>
          <w:rFonts w:ascii="Times New Roman" w:hAnsi="Times New Roman" w:cs="Times New Roman"/>
          <w:sz w:val="24"/>
          <w:szCs w:val="24"/>
        </w:rPr>
        <w:t>o</w:t>
      </w:r>
      <w:r w:rsidR="002F5278">
        <w:rPr>
          <w:rFonts w:ascii="Times New Roman" w:hAnsi="Times New Roman" w:cs="Times New Roman"/>
          <w:sz w:val="24"/>
          <w:szCs w:val="24"/>
        </w:rPr>
        <w:t xml:space="preserve">t aizsardzību pret jebkuriem riskiem, tad šobrīd pieeja mainās un uzsvars tiek likts uz to, ka pamata sociālās aizsardzība ir jānodrošina visiem </w:t>
      </w:r>
      <w:r w:rsidR="002F5278">
        <w:rPr>
          <w:rFonts w:ascii="Times New Roman" w:hAnsi="Times New Roman" w:cs="Times New Roman"/>
          <w:sz w:val="24"/>
          <w:szCs w:val="24"/>
        </w:rPr>
        <w:lastRenderedPageBreak/>
        <w:t>iedzīv</w:t>
      </w:r>
      <w:r w:rsidR="00F6283D">
        <w:rPr>
          <w:rFonts w:ascii="Times New Roman" w:hAnsi="Times New Roman" w:cs="Times New Roman"/>
          <w:sz w:val="24"/>
          <w:szCs w:val="24"/>
        </w:rPr>
        <w:t>o</w:t>
      </w:r>
      <w:r w:rsidR="002F5278">
        <w:rPr>
          <w:rFonts w:ascii="Times New Roman" w:hAnsi="Times New Roman" w:cs="Times New Roman"/>
          <w:sz w:val="24"/>
          <w:szCs w:val="24"/>
        </w:rPr>
        <w:t xml:space="preserve">tājiem. </w:t>
      </w:r>
      <w:r w:rsidR="00874C56" w:rsidRPr="002F5278">
        <w:rPr>
          <w:rFonts w:ascii="Times New Roman" w:hAnsi="Times New Roman" w:cs="Times New Roman"/>
          <w:sz w:val="24"/>
          <w:szCs w:val="24"/>
        </w:rPr>
        <w:t>Diskusijas rosinās arī Latvijā</w:t>
      </w:r>
      <w:r w:rsidR="000C220D">
        <w:rPr>
          <w:rFonts w:ascii="Times New Roman" w:hAnsi="Times New Roman" w:cs="Times New Roman"/>
          <w:sz w:val="24"/>
          <w:szCs w:val="24"/>
        </w:rPr>
        <w:t>,</w:t>
      </w:r>
      <w:r w:rsidR="00874C56" w:rsidRPr="002F5278">
        <w:rPr>
          <w:rFonts w:ascii="Times New Roman" w:hAnsi="Times New Roman" w:cs="Times New Roman"/>
          <w:sz w:val="24"/>
          <w:szCs w:val="24"/>
        </w:rPr>
        <w:t xml:space="preserve"> uzliekot nopietnu izaicinājumu politikas plānotājiem domāt par esošo sociālās aizsardzības sistēmu robežām un to izmaiņām.</w:t>
      </w:r>
      <w:r w:rsidR="002F5278">
        <w:rPr>
          <w:rFonts w:ascii="Times New Roman" w:hAnsi="Times New Roman" w:cs="Times New Roman"/>
          <w:sz w:val="24"/>
          <w:szCs w:val="24"/>
        </w:rPr>
        <w:t xml:space="preserve"> </w:t>
      </w:r>
    </w:p>
    <w:p w14:paraId="15638D4C" w14:textId="77777777" w:rsidR="00874C56" w:rsidRPr="007157D3" w:rsidRDefault="00874C56" w:rsidP="00200837">
      <w:pPr>
        <w:autoSpaceDE w:val="0"/>
        <w:autoSpaceDN w:val="0"/>
        <w:adjustRightInd w:val="0"/>
        <w:spacing w:after="0" w:line="240" w:lineRule="auto"/>
        <w:jc w:val="both"/>
        <w:rPr>
          <w:rFonts w:ascii="Times New Roman" w:hAnsi="Times New Roman" w:cs="Times New Roman"/>
          <w:sz w:val="24"/>
          <w:szCs w:val="24"/>
        </w:rPr>
      </w:pPr>
    </w:p>
    <w:p w14:paraId="29E6265D" w14:textId="66BB4E58" w:rsidR="00DC422A" w:rsidRPr="00425C73" w:rsidRDefault="0082461E" w:rsidP="00DA5144">
      <w:pPr>
        <w:pStyle w:val="Heading2"/>
      </w:pPr>
      <w:bookmarkStart w:id="27" w:name="_Toc55316069"/>
      <w:r w:rsidRPr="007157D3">
        <w:t>Atbalsta trūcīgām personām</w:t>
      </w:r>
      <w:r w:rsidR="00DC422A" w:rsidRPr="00425C73">
        <w:t xml:space="preserve"> adekvātums</w:t>
      </w:r>
      <w:bookmarkEnd w:id="27"/>
    </w:p>
    <w:p w14:paraId="36E90DA7" w14:textId="144EE47C" w:rsidR="00134319" w:rsidRPr="002F5278" w:rsidRDefault="00134319" w:rsidP="001101F7">
      <w:pPr>
        <w:pStyle w:val="Heading3"/>
      </w:pPr>
      <w:bookmarkStart w:id="28" w:name="_Toc55316070"/>
      <w:r w:rsidRPr="002F5278">
        <w:t>Pašvaldības sociālās palīdzības pabalsti</w:t>
      </w:r>
      <w:bookmarkEnd w:id="28"/>
    </w:p>
    <w:p w14:paraId="4A52BC61" w14:textId="343179A4" w:rsidR="00F762BE" w:rsidRPr="007157D3" w:rsidRDefault="00013CA6" w:rsidP="00CC5DD9">
      <w:pPr>
        <w:spacing w:before="120" w:after="0" w:line="240" w:lineRule="auto"/>
        <w:ind w:firstLine="709"/>
        <w:jc w:val="both"/>
        <w:rPr>
          <w:rFonts w:ascii="Times New Roman" w:hAnsi="Times New Roman" w:cs="Times New Roman"/>
          <w:sz w:val="24"/>
          <w:szCs w:val="24"/>
        </w:rPr>
      </w:pPr>
      <w:r w:rsidRPr="002F5278">
        <w:rPr>
          <w:rFonts w:ascii="Times New Roman" w:hAnsi="Times New Roman" w:cs="Times New Roman"/>
          <w:sz w:val="24"/>
          <w:szCs w:val="24"/>
        </w:rPr>
        <w:t>Būtiskāk</w:t>
      </w:r>
      <w:r w:rsidR="00136EF1" w:rsidRPr="002F5278">
        <w:rPr>
          <w:rFonts w:ascii="Times New Roman" w:hAnsi="Times New Roman" w:cs="Times New Roman"/>
          <w:sz w:val="24"/>
          <w:szCs w:val="24"/>
        </w:rPr>
        <w:t>o</w:t>
      </w:r>
      <w:r w:rsidRPr="002F5278">
        <w:rPr>
          <w:rFonts w:ascii="Times New Roman" w:hAnsi="Times New Roman" w:cs="Times New Roman"/>
          <w:sz w:val="24"/>
          <w:szCs w:val="24"/>
        </w:rPr>
        <w:t xml:space="preserve"> sociālās palīdzības </w:t>
      </w:r>
      <w:r w:rsidR="00D84CEB" w:rsidRPr="008C6388">
        <w:rPr>
          <w:rFonts w:ascii="Times New Roman" w:hAnsi="Times New Roman" w:cs="Times New Roman"/>
          <w:sz w:val="24"/>
          <w:szCs w:val="24"/>
        </w:rPr>
        <w:t>daļu veido</w:t>
      </w:r>
      <w:r w:rsidRPr="00573B49">
        <w:rPr>
          <w:rFonts w:ascii="Times New Roman" w:hAnsi="Times New Roman" w:cs="Times New Roman"/>
          <w:sz w:val="24"/>
          <w:szCs w:val="24"/>
        </w:rPr>
        <w:t xml:space="preserve"> </w:t>
      </w:r>
      <w:r w:rsidR="00D84CEB" w:rsidRPr="00573B49">
        <w:rPr>
          <w:rFonts w:ascii="Times New Roman" w:hAnsi="Times New Roman" w:cs="Times New Roman"/>
          <w:sz w:val="24"/>
          <w:szCs w:val="24"/>
        </w:rPr>
        <w:t xml:space="preserve">obligāti izmaksājamie sociālās palīdzības pabalsti - </w:t>
      </w:r>
      <w:r w:rsidRPr="0025422D">
        <w:rPr>
          <w:rFonts w:ascii="Times New Roman" w:hAnsi="Times New Roman" w:cs="Times New Roman"/>
          <w:b/>
          <w:bCs/>
          <w:sz w:val="24"/>
          <w:szCs w:val="24"/>
        </w:rPr>
        <w:t>GMI pabalst</w:t>
      </w:r>
      <w:r w:rsidR="00D84CEB" w:rsidRPr="00A857F2">
        <w:rPr>
          <w:rFonts w:ascii="Times New Roman" w:hAnsi="Times New Roman" w:cs="Times New Roman"/>
          <w:b/>
          <w:bCs/>
          <w:sz w:val="24"/>
          <w:szCs w:val="24"/>
        </w:rPr>
        <w:t>s</w:t>
      </w:r>
      <w:r w:rsidRPr="00662D1E">
        <w:rPr>
          <w:rFonts w:ascii="Times New Roman" w:hAnsi="Times New Roman" w:cs="Times New Roman"/>
          <w:b/>
          <w:bCs/>
          <w:sz w:val="24"/>
          <w:szCs w:val="24"/>
        </w:rPr>
        <w:t xml:space="preserve"> </w:t>
      </w:r>
      <w:r w:rsidRPr="009703E6">
        <w:rPr>
          <w:rFonts w:ascii="Times New Roman" w:hAnsi="Times New Roman" w:cs="Times New Roman"/>
          <w:sz w:val="24"/>
          <w:szCs w:val="24"/>
        </w:rPr>
        <w:t>un</w:t>
      </w:r>
      <w:r w:rsidRPr="009703E6">
        <w:rPr>
          <w:rFonts w:ascii="Times New Roman" w:hAnsi="Times New Roman" w:cs="Times New Roman"/>
          <w:b/>
          <w:bCs/>
          <w:sz w:val="24"/>
          <w:szCs w:val="24"/>
        </w:rPr>
        <w:t xml:space="preserve"> dzīvokļa pabalst</w:t>
      </w:r>
      <w:r w:rsidR="00D84CEB" w:rsidRPr="0015154B">
        <w:rPr>
          <w:rFonts w:ascii="Times New Roman" w:hAnsi="Times New Roman" w:cs="Times New Roman"/>
          <w:b/>
          <w:bCs/>
          <w:sz w:val="24"/>
          <w:szCs w:val="24"/>
        </w:rPr>
        <w:t xml:space="preserve">s </w:t>
      </w:r>
      <w:r w:rsidR="00D84CEB" w:rsidRPr="0015154B">
        <w:rPr>
          <w:rFonts w:ascii="Times New Roman" w:hAnsi="Times New Roman" w:cs="Times New Roman"/>
          <w:bCs/>
          <w:sz w:val="24"/>
          <w:szCs w:val="24"/>
        </w:rPr>
        <w:t>(</w:t>
      </w:r>
      <w:r w:rsidR="00D84CEB" w:rsidRPr="0015154B">
        <w:rPr>
          <w:rFonts w:ascii="Times New Roman" w:hAnsi="Times New Roman" w:cs="Times New Roman"/>
          <w:bCs/>
          <w:sz w:val="24"/>
          <w:szCs w:val="24"/>
          <w:highlight w:val="yellow"/>
        </w:rPr>
        <w:t xml:space="preserve">skat. 3.pielikuma </w:t>
      </w:r>
      <w:r w:rsidR="00026CEE" w:rsidRPr="0015154B">
        <w:rPr>
          <w:rFonts w:ascii="Times New Roman" w:hAnsi="Times New Roman" w:cs="Times New Roman"/>
          <w:bCs/>
          <w:sz w:val="24"/>
          <w:szCs w:val="24"/>
          <w:highlight w:val="yellow"/>
        </w:rPr>
        <w:t>6</w:t>
      </w:r>
      <w:r w:rsidR="00D84CEB" w:rsidRPr="0015154B">
        <w:rPr>
          <w:rFonts w:ascii="Times New Roman" w:hAnsi="Times New Roman" w:cs="Times New Roman"/>
          <w:bCs/>
          <w:sz w:val="24"/>
          <w:szCs w:val="24"/>
          <w:highlight w:val="yellow"/>
        </w:rPr>
        <w:t>.tabulu</w:t>
      </w:r>
      <w:r w:rsidR="00D84CEB" w:rsidRPr="0015154B">
        <w:rPr>
          <w:rFonts w:ascii="Times New Roman" w:hAnsi="Times New Roman" w:cs="Times New Roman"/>
          <w:bCs/>
          <w:sz w:val="24"/>
          <w:szCs w:val="24"/>
        </w:rPr>
        <w:t>)</w:t>
      </w:r>
      <w:r w:rsidRPr="0015154B">
        <w:rPr>
          <w:rFonts w:ascii="Times New Roman" w:hAnsi="Times New Roman" w:cs="Times New Roman"/>
          <w:sz w:val="24"/>
          <w:szCs w:val="24"/>
        </w:rPr>
        <w:t>.</w:t>
      </w:r>
      <w:r w:rsidR="00D84CEB" w:rsidRPr="0015154B">
        <w:rPr>
          <w:rFonts w:ascii="Times New Roman" w:hAnsi="Times New Roman" w:cs="Times New Roman"/>
          <w:sz w:val="24"/>
          <w:szCs w:val="24"/>
        </w:rPr>
        <w:t xml:space="preserve"> Tiem piešķirto līdzekļu apmērs veido aptuveni 65-68% no visiem pašvaldības sociālās palīdzības pabalstiem izlietotajiem līdzekļiem. </w:t>
      </w:r>
      <w:r w:rsidR="00F762BE" w:rsidRPr="0015154B">
        <w:rPr>
          <w:rFonts w:ascii="Times New Roman" w:hAnsi="Times New Roman" w:cs="Times New Roman"/>
          <w:sz w:val="24"/>
          <w:szCs w:val="24"/>
        </w:rPr>
        <w:t>GMI pabalsts jeb minimālā ienākuma atbalsts praktiski visās ES dalībvalstīs tiek nodrošināts, lai persona un tās ģimenes locekļi varētu segt izdevumus pamatvajadzību apmierināšanai.</w:t>
      </w:r>
      <w:r w:rsidR="009B1489" w:rsidRPr="0015154B">
        <w:rPr>
          <w:rFonts w:ascii="Times New Roman" w:hAnsi="Times New Roman" w:cs="Times New Roman"/>
          <w:sz w:val="24"/>
          <w:szCs w:val="24"/>
        </w:rPr>
        <w:t xml:space="preserve"> PB pētījumā </w:t>
      </w:r>
      <w:r w:rsidR="00B20717" w:rsidRPr="00B95E54">
        <w:rPr>
          <w:rFonts w:ascii="Times New Roman" w:hAnsi="Times New Roman"/>
        </w:rPr>
        <w:t>„</w:t>
      </w:r>
      <w:r w:rsidR="00B20717" w:rsidRPr="00B20717">
        <w:rPr>
          <w:rFonts w:ascii="Times New Roman" w:hAnsi="Times New Roman" w:cs="Times New Roman"/>
          <w:sz w:val="24"/>
          <w:szCs w:val="24"/>
        </w:rPr>
        <w:t>Latvija: kurš ir bezdarbnieks, ekonomiski neaktīvais vai trūcīgais?”</w:t>
      </w:r>
      <w:r w:rsidR="00B20717">
        <w:rPr>
          <w:rFonts w:ascii="Times New Roman" w:hAnsi="Times New Roman" w:cs="Times New Roman"/>
          <w:sz w:val="24"/>
          <w:szCs w:val="24"/>
        </w:rPr>
        <w:t xml:space="preserve"> (turpmāk - PB pētījums) </w:t>
      </w:r>
      <w:r w:rsidR="009B1489" w:rsidRPr="0015154B">
        <w:rPr>
          <w:rFonts w:ascii="Times New Roman" w:hAnsi="Times New Roman" w:cs="Times New Roman"/>
          <w:sz w:val="24"/>
          <w:szCs w:val="24"/>
        </w:rPr>
        <w:t xml:space="preserve">konstatēts, ka pašvaldību izdevumi sociālajai palīdzībai no pamatbudžeta ir ļoti zemi gan salīdzinājumā ar citām ES dalībvalstīm, gan salīdzinājumā ar Latvijas izdevumiem valsts sociālajiem pabalstiem, kuru izmaksas nav saistītas ar ienākumu testēšanu. Atbilstoši ESSPROS klasifikācijai izdevumi </w:t>
      </w:r>
      <w:r w:rsidR="00A84946" w:rsidRPr="0015154B">
        <w:rPr>
          <w:rFonts w:ascii="Times New Roman" w:hAnsi="Times New Roman" w:cs="Times New Roman"/>
          <w:sz w:val="24"/>
          <w:szCs w:val="24"/>
        </w:rPr>
        <w:t>sociāl</w:t>
      </w:r>
      <w:r w:rsidR="00261DC9" w:rsidRPr="0015154B">
        <w:rPr>
          <w:rFonts w:ascii="Times New Roman" w:hAnsi="Times New Roman" w:cs="Times New Roman"/>
          <w:sz w:val="24"/>
          <w:szCs w:val="24"/>
        </w:rPr>
        <w:t>ās</w:t>
      </w:r>
      <w:r w:rsidR="00A84946" w:rsidRPr="0015154B">
        <w:rPr>
          <w:rFonts w:ascii="Times New Roman" w:hAnsi="Times New Roman" w:cs="Times New Roman"/>
          <w:sz w:val="24"/>
          <w:szCs w:val="24"/>
        </w:rPr>
        <w:t xml:space="preserve"> atstumtība</w:t>
      </w:r>
      <w:r w:rsidR="00261DC9" w:rsidRPr="0015154B">
        <w:rPr>
          <w:rFonts w:ascii="Times New Roman" w:hAnsi="Times New Roman" w:cs="Times New Roman"/>
          <w:sz w:val="24"/>
          <w:szCs w:val="24"/>
        </w:rPr>
        <w:t xml:space="preserve">s mazināšanai </w:t>
      </w:r>
      <w:r w:rsidR="00D324B7" w:rsidRPr="0015154B">
        <w:rPr>
          <w:rFonts w:ascii="Times New Roman" w:hAnsi="Times New Roman" w:cs="Times New Roman"/>
          <w:sz w:val="24"/>
          <w:szCs w:val="24"/>
        </w:rPr>
        <w:t>v</w:t>
      </w:r>
      <w:r w:rsidR="009B1489" w:rsidRPr="0015154B">
        <w:rPr>
          <w:rFonts w:ascii="Times New Roman" w:hAnsi="Times New Roman" w:cs="Times New Roman"/>
          <w:sz w:val="24"/>
          <w:szCs w:val="24"/>
        </w:rPr>
        <w:t xml:space="preserve">eido tikai </w:t>
      </w:r>
      <w:r w:rsidR="00261DC9" w:rsidRPr="0015154B">
        <w:rPr>
          <w:rFonts w:ascii="Times New Roman" w:hAnsi="Times New Roman" w:cs="Times New Roman"/>
          <w:sz w:val="24"/>
          <w:szCs w:val="24"/>
        </w:rPr>
        <w:t>0,1</w:t>
      </w:r>
      <w:r w:rsidR="009B1489" w:rsidRPr="0015154B">
        <w:rPr>
          <w:rFonts w:ascii="Times New Roman" w:hAnsi="Times New Roman" w:cs="Times New Roman"/>
          <w:sz w:val="24"/>
          <w:szCs w:val="24"/>
        </w:rPr>
        <w:t xml:space="preserve">% no IKP un </w:t>
      </w:r>
      <w:r w:rsidR="00572347">
        <w:rPr>
          <w:rFonts w:ascii="Times New Roman" w:hAnsi="Times New Roman" w:cs="Times New Roman"/>
          <w:sz w:val="24"/>
          <w:szCs w:val="24"/>
        </w:rPr>
        <w:t>0</w:t>
      </w:r>
      <w:r w:rsidR="0082245F">
        <w:rPr>
          <w:rFonts w:ascii="Times New Roman" w:hAnsi="Times New Roman" w:cs="Times New Roman"/>
          <w:sz w:val="24"/>
          <w:szCs w:val="24"/>
        </w:rPr>
        <w:t>,7</w:t>
      </w:r>
      <w:r w:rsidR="009B1489" w:rsidRPr="0015154B">
        <w:rPr>
          <w:rFonts w:ascii="Times New Roman" w:hAnsi="Times New Roman" w:cs="Times New Roman"/>
          <w:sz w:val="24"/>
          <w:szCs w:val="24"/>
        </w:rPr>
        <w:t xml:space="preserve">% </w:t>
      </w:r>
      <w:r w:rsidR="009B1489" w:rsidRPr="007157D3">
        <w:rPr>
          <w:rFonts w:ascii="Times New Roman" w:hAnsi="Times New Roman" w:cs="Times New Roman"/>
          <w:sz w:val="24"/>
          <w:szCs w:val="24"/>
        </w:rPr>
        <w:t xml:space="preserve">no visiem sociālās aizsardzības izdevumiem, kas ir viens no zemākajiem rādītājiem starp ES dalībvalstīm. </w:t>
      </w:r>
    </w:p>
    <w:p w14:paraId="586658F1" w14:textId="5CBAC0AC" w:rsidR="00A04BAB" w:rsidRPr="0015154B" w:rsidRDefault="00D84CEB" w:rsidP="00CC5DD9">
      <w:pPr>
        <w:spacing w:before="120" w:after="0" w:line="240" w:lineRule="auto"/>
        <w:ind w:firstLine="709"/>
        <w:jc w:val="both"/>
        <w:rPr>
          <w:rFonts w:ascii="Times New Roman" w:hAnsi="Times New Roman" w:cs="Times New Roman"/>
          <w:sz w:val="24"/>
          <w:szCs w:val="24"/>
        </w:rPr>
      </w:pPr>
      <w:r w:rsidRPr="002F5278">
        <w:rPr>
          <w:rFonts w:ascii="Times New Roman" w:hAnsi="Times New Roman" w:cs="Times New Roman"/>
          <w:sz w:val="24"/>
          <w:szCs w:val="24"/>
        </w:rPr>
        <w:t>Kopš 2011.gada samazinās GMI pabalstam un dzīvokļa pabalstam piešķirto līdzekļu apmērs, GMI pabalsta un dzīvokļa pabalsta saņēmēju skaits</w:t>
      </w:r>
      <w:r w:rsidR="00A04BAB" w:rsidRPr="0025422D">
        <w:rPr>
          <w:rFonts w:ascii="Times New Roman" w:hAnsi="Times New Roman" w:cs="Times New Roman"/>
          <w:sz w:val="24"/>
          <w:szCs w:val="24"/>
        </w:rPr>
        <w:t>, tā</w:t>
      </w:r>
      <w:r w:rsidR="00DB391B" w:rsidRPr="0025422D">
        <w:rPr>
          <w:rFonts w:ascii="Times New Roman" w:hAnsi="Times New Roman" w:cs="Times New Roman"/>
          <w:sz w:val="24"/>
          <w:szCs w:val="24"/>
        </w:rPr>
        <w:t>pat</w:t>
      </w:r>
      <w:r w:rsidR="00A04BAB" w:rsidRPr="00A857F2">
        <w:rPr>
          <w:rFonts w:ascii="Times New Roman" w:hAnsi="Times New Roman" w:cs="Times New Roman"/>
          <w:sz w:val="24"/>
          <w:szCs w:val="24"/>
        </w:rPr>
        <w:t xml:space="preserve"> arī trūcīgo personu skaits valstī</w:t>
      </w:r>
      <w:r w:rsidR="00013CA6" w:rsidRPr="009703E6">
        <w:rPr>
          <w:rFonts w:ascii="Times New Roman" w:hAnsi="Times New Roman" w:cs="Times New Roman"/>
          <w:sz w:val="24"/>
          <w:szCs w:val="24"/>
        </w:rPr>
        <w:t>.</w:t>
      </w:r>
      <w:r w:rsidRPr="009703E6">
        <w:rPr>
          <w:rFonts w:ascii="Times New Roman" w:hAnsi="Times New Roman" w:cs="Times New Roman"/>
          <w:sz w:val="24"/>
          <w:szCs w:val="24"/>
        </w:rPr>
        <w:t xml:space="preserve"> </w:t>
      </w:r>
      <w:r w:rsidR="00013CA6" w:rsidRPr="0015154B">
        <w:rPr>
          <w:rFonts w:ascii="Times New Roman" w:hAnsi="Times New Roman" w:cs="Times New Roman"/>
          <w:sz w:val="24"/>
          <w:szCs w:val="24"/>
        </w:rPr>
        <w:t xml:space="preserve"> </w:t>
      </w:r>
      <w:r w:rsidRPr="0015154B">
        <w:rPr>
          <w:rFonts w:ascii="Times New Roman" w:hAnsi="Times New Roman" w:cs="Times New Roman"/>
          <w:sz w:val="24"/>
          <w:szCs w:val="24"/>
        </w:rPr>
        <w:t>Šo tendenci var skaidrot gan ar iedzīvotāju ienākum</w:t>
      </w:r>
      <w:r w:rsidR="00DB391B" w:rsidRPr="0015154B">
        <w:rPr>
          <w:rFonts w:ascii="Times New Roman" w:hAnsi="Times New Roman" w:cs="Times New Roman"/>
          <w:sz w:val="24"/>
          <w:szCs w:val="24"/>
        </w:rPr>
        <w:t>u</w:t>
      </w:r>
      <w:r w:rsidRPr="0015154B">
        <w:rPr>
          <w:rFonts w:ascii="Times New Roman" w:hAnsi="Times New Roman" w:cs="Times New Roman"/>
          <w:sz w:val="24"/>
          <w:szCs w:val="24"/>
        </w:rPr>
        <w:t xml:space="preserve"> līmeņa palielināšanos</w:t>
      </w:r>
      <w:r w:rsidR="00A04BAB" w:rsidRPr="0015154B">
        <w:rPr>
          <w:rFonts w:ascii="Times New Roman" w:hAnsi="Times New Roman" w:cs="Times New Roman"/>
          <w:sz w:val="24"/>
          <w:szCs w:val="24"/>
        </w:rPr>
        <w:t xml:space="preserve"> pēdējos gados, gan ar neatbilstoši zemajiem atbalsta saņemšanas sliekšņiem.</w:t>
      </w:r>
      <w:r w:rsidR="005E3DEA" w:rsidRPr="0015154B">
        <w:rPr>
          <w:rFonts w:ascii="Times New Roman" w:hAnsi="Times New Roman" w:cs="Times New Roman"/>
          <w:sz w:val="24"/>
          <w:szCs w:val="24"/>
        </w:rPr>
        <w:t xml:space="preserve"> </w:t>
      </w:r>
      <w:r w:rsidR="00A04BAB" w:rsidRPr="0015154B">
        <w:rPr>
          <w:rFonts w:ascii="Times New Roman" w:hAnsi="Times New Roman" w:cs="Times New Roman"/>
          <w:sz w:val="24"/>
          <w:szCs w:val="24"/>
        </w:rPr>
        <w:t>Trūcīgas personas ienākumu līmenis nemainīgi kopš 2010.gada ir 128,</w:t>
      </w:r>
      <w:r w:rsidR="00D36870" w:rsidRPr="0015154B">
        <w:rPr>
          <w:rFonts w:ascii="Times New Roman" w:hAnsi="Times New Roman" w:cs="Times New Roman"/>
          <w:sz w:val="24"/>
          <w:szCs w:val="24"/>
        </w:rPr>
        <w:t>06</w:t>
      </w:r>
      <w:r w:rsidR="00A04BAB" w:rsidRPr="0015154B">
        <w:rPr>
          <w:rFonts w:ascii="Times New Roman" w:hAnsi="Times New Roman" w:cs="Times New Roman"/>
          <w:sz w:val="24"/>
          <w:szCs w:val="24"/>
        </w:rPr>
        <w:t xml:space="preserve"> e</w:t>
      </w:r>
      <w:r w:rsidR="00134319" w:rsidRPr="0015154B">
        <w:rPr>
          <w:rFonts w:ascii="Times New Roman" w:hAnsi="Times New Roman" w:cs="Times New Roman"/>
          <w:sz w:val="24"/>
          <w:szCs w:val="24"/>
        </w:rPr>
        <w:t>i</w:t>
      </w:r>
      <w:r w:rsidR="00A04BAB" w:rsidRPr="0015154B">
        <w:rPr>
          <w:rFonts w:ascii="Times New Roman" w:hAnsi="Times New Roman" w:cs="Times New Roman"/>
          <w:sz w:val="24"/>
          <w:szCs w:val="24"/>
        </w:rPr>
        <w:t xml:space="preserve">ro. GMI līmenis kopš 2014.gada ir pārskatīts tikai </w:t>
      </w:r>
      <w:r w:rsidR="00147AF8" w:rsidRPr="0015154B">
        <w:rPr>
          <w:rFonts w:ascii="Times New Roman" w:hAnsi="Times New Roman" w:cs="Times New Roman"/>
          <w:sz w:val="24"/>
          <w:szCs w:val="24"/>
        </w:rPr>
        <w:t>divas</w:t>
      </w:r>
      <w:r w:rsidR="00A04BAB" w:rsidRPr="0015154B">
        <w:rPr>
          <w:rFonts w:ascii="Times New Roman" w:hAnsi="Times New Roman" w:cs="Times New Roman"/>
          <w:sz w:val="24"/>
          <w:szCs w:val="24"/>
        </w:rPr>
        <w:t xml:space="preserve"> reizes, pieaugot tā apmēram no 49,80 e</w:t>
      </w:r>
      <w:r w:rsidR="00134319" w:rsidRPr="0015154B">
        <w:rPr>
          <w:rFonts w:ascii="Times New Roman" w:hAnsi="Times New Roman" w:cs="Times New Roman"/>
          <w:sz w:val="24"/>
          <w:szCs w:val="24"/>
        </w:rPr>
        <w:t>i</w:t>
      </w:r>
      <w:r w:rsidR="00A04BAB" w:rsidRPr="0015154B">
        <w:rPr>
          <w:rFonts w:ascii="Times New Roman" w:hAnsi="Times New Roman" w:cs="Times New Roman"/>
          <w:sz w:val="24"/>
          <w:szCs w:val="24"/>
        </w:rPr>
        <w:t>ro uz 64,00 e</w:t>
      </w:r>
      <w:r w:rsidR="00134319" w:rsidRPr="0015154B">
        <w:rPr>
          <w:rFonts w:ascii="Times New Roman" w:hAnsi="Times New Roman" w:cs="Times New Roman"/>
          <w:sz w:val="24"/>
          <w:szCs w:val="24"/>
        </w:rPr>
        <w:t>i</w:t>
      </w:r>
      <w:r w:rsidR="00A04BAB" w:rsidRPr="0015154B">
        <w:rPr>
          <w:rFonts w:ascii="Times New Roman" w:hAnsi="Times New Roman" w:cs="Times New Roman"/>
          <w:sz w:val="24"/>
          <w:szCs w:val="24"/>
        </w:rPr>
        <w:t>ro.</w:t>
      </w:r>
    </w:p>
    <w:p w14:paraId="22116687" w14:textId="037E77A1" w:rsidR="00D36870" w:rsidRPr="0015154B" w:rsidRDefault="00D36870" w:rsidP="00CC5DD9">
      <w:pPr>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 xml:space="preserve">Pašvaldību administratīvie dati par trūcīgo personu skaitu valstī liecina par stabilu tendenci samazināties trūcīgo personu statusu ieguvušo iedzīvotāju īpatsvaram. Ja 2014.gadā trūcīgu personu īpatsvars no visiem valsts iedzīvotājiem bija 5,2%, tad </w:t>
      </w:r>
      <w:r w:rsidRPr="0015154B">
        <w:rPr>
          <w:rFonts w:ascii="Times New Roman" w:hAnsi="Times New Roman" w:cs="Times New Roman"/>
          <w:bCs/>
          <w:sz w:val="24"/>
          <w:szCs w:val="24"/>
        </w:rPr>
        <w:t>2019.gadā tas bija 2,2%</w:t>
      </w:r>
      <w:r w:rsidRPr="0015154B">
        <w:rPr>
          <w:rFonts w:ascii="Times New Roman" w:hAnsi="Times New Roman" w:cs="Times New Roman"/>
          <w:sz w:val="24"/>
          <w:szCs w:val="24"/>
        </w:rPr>
        <w:t>.</w:t>
      </w:r>
      <w:r w:rsidRPr="0015154B">
        <w:t xml:space="preserve"> </w:t>
      </w:r>
      <w:r w:rsidRPr="0015154B">
        <w:rPr>
          <w:rFonts w:ascii="Times New Roman" w:hAnsi="Times New Roman" w:cs="Times New Roman"/>
          <w:sz w:val="24"/>
          <w:szCs w:val="24"/>
        </w:rPr>
        <w:t>Lielāko īpatsvaru trūcīgo personu vidū 2019.gadā veido bērni un nestrādājošas personas darbspējas vecumā, attiecīgi 24,9% un 24,2%. Tomēr pensijas vecuma personu un personu ar invaliditāti skaitam trūcīgo vidū ir tendence palielināties, attiecīgi no 10,9% un 10,3% 2014.gadā līdz 21,6% un 18,6% 2019.gadā, kas norāda uz to, ka pensijas vecuma personām un personām ar invaliditāti pensiju apmēri ir nepietiekami un nespēj nodrošināt personu ikdienas vajadzības.</w:t>
      </w:r>
    </w:p>
    <w:p w14:paraId="10970D4E" w14:textId="57A17ED1" w:rsidR="00D36870" w:rsidRPr="0015154B" w:rsidRDefault="00147AF8" w:rsidP="00CC5DD9">
      <w:pPr>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V</w:t>
      </w:r>
      <w:r w:rsidR="00D36870" w:rsidRPr="0015154B">
        <w:rPr>
          <w:rFonts w:ascii="Times New Roman" w:hAnsi="Times New Roman" w:cs="Times New Roman"/>
          <w:sz w:val="24"/>
          <w:szCs w:val="24"/>
        </w:rPr>
        <w:t xml:space="preserve">islielākais trūcīgo personu īpatsvars ir Latgales reģionā (32,1%), otrs lielākais ir Rīgā (15,5%). Nestrādājošo personu īpatsvars </w:t>
      </w:r>
      <w:r w:rsidRPr="0015154B">
        <w:rPr>
          <w:rFonts w:ascii="Times New Roman" w:hAnsi="Times New Roman" w:cs="Times New Roman"/>
          <w:sz w:val="24"/>
          <w:szCs w:val="24"/>
        </w:rPr>
        <w:t xml:space="preserve">trūcīgo personu kopskaitā </w:t>
      </w:r>
      <w:r w:rsidR="00D36870" w:rsidRPr="0015154B">
        <w:rPr>
          <w:rFonts w:ascii="Times New Roman" w:hAnsi="Times New Roman" w:cs="Times New Roman"/>
          <w:sz w:val="24"/>
          <w:szCs w:val="24"/>
        </w:rPr>
        <w:t xml:space="preserve">Latgales reģionā ir vislielākais (33,2%), kas liecina par zemo nodarbinātību attiecīgajā reģionā, savukārt Rīgā šis rādītājs ir tikai 11,3%. Savukārt personu ar invaliditāti īpatsvars </w:t>
      </w:r>
      <w:r w:rsidR="000767F2" w:rsidRPr="0015154B">
        <w:rPr>
          <w:rFonts w:ascii="Times New Roman" w:hAnsi="Times New Roman" w:cs="Times New Roman"/>
          <w:sz w:val="24"/>
          <w:szCs w:val="24"/>
        </w:rPr>
        <w:t xml:space="preserve">trūcīgo personu kopskaitā </w:t>
      </w:r>
      <w:r w:rsidR="00D36870" w:rsidRPr="0015154B">
        <w:rPr>
          <w:rFonts w:ascii="Times New Roman" w:hAnsi="Times New Roman" w:cs="Times New Roman"/>
          <w:sz w:val="24"/>
          <w:szCs w:val="24"/>
        </w:rPr>
        <w:t>Latgales</w:t>
      </w:r>
      <w:r w:rsidR="000767F2" w:rsidRPr="0015154B">
        <w:rPr>
          <w:rFonts w:ascii="Times New Roman" w:hAnsi="Times New Roman" w:cs="Times New Roman"/>
          <w:sz w:val="24"/>
          <w:szCs w:val="24"/>
        </w:rPr>
        <w:t xml:space="preserve"> reģionā</w:t>
      </w:r>
      <w:r w:rsidR="00D36870" w:rsidRPr="0015154B">
        <w:rPr>
          <w:rFonts w:ascii="Times New Roman" w:hAnsi="Times New Roman" w:cs="Times New Roman"/>
          <w:sz w:val="24"/>
          <w:szCs w:val="24"/>
        </w:rPr>
        <w:t xml:space="preserve"> ir mazāks nekā Rīgā, attiecīgi 15% un 28,5%, k</w:t>
      </w:r>
      <w:r w:rsidR="00D324B7" w:rsidRPr="0015154B">
        <w:rPr>
          <w:rFonts w:ascii="Times New Roman" w:hAnsi="Times New Roman" w:cs="Times New Roman"/>
          <w:sz w:val="24"/>
          <w:szCs w:val="24"/>
        </w:rPr>
        <w:t>o</w:t>
      </w:r>
      <w:r w:rsidR="00D36870" w:rsidRPr="0015154B">
        <w:rPr>
          <w:rFonts w:ascii="Times New Roman" w:hAnsi="Times New Roman" w:cs="Times New Roman"/>
          <w:sz w:val="24"/>
          <w:szCs w:val="24"/>
        </w:rPr>
        <w:t xml:space="preserve"> </w:t>
      </w:r>
      <w:r w:rsidR="000767F2" w:rsidRPr="0015154B">
        <w:rPr>
          <w:rFonts w:ascii="Times New Roman" w:hAnsi="Times New Roman" w:cs="Times New Roman"/>
          <w:sz w:val="24"/>
          <w:szCs w:val="24"/>
        </w:rPr>
        <w:t>daļēji var skaidrot ar</w:t>
      </w:r>
      <w:r w:rsidR="00D36870" w:rsidRPr="0015154B">
        <w:rPr>
          <w:rFonts w:ascii="Times New Roman" w:hAnsi="Times New Roman" w:cs="Times New Roman"/>
          <w:sz w:val="24"/>
          <w:szCs w:val="24"/>
        </w:rPr>
        <w:t xml:space="preserve"> Rīgā </w:t>
      </w:r>
      <w:r w:rsidR="000767F2" w:rsidRPr="0015154B">
        <w:rPr>
          <w:rFonts w:ascii="Times New Roman" w:hAnsi="Times New Roman" w:cs="Times New Roman"/>
          <w:sz w:val="24"/>
          <w:szCs w:val="24"/>
        </w:rPr>
        <w:t>noteikto</w:t>
      </w:r>
      <w:r w:rsidR="00D36870" w:rsidRPr="0015154B">
        <w:rPr>
          <w:rFonts w:ascii="Times New Roman" w:hAnsi="Times New Roman" w:cs="Times New Roman"/>
          <w:sz w:val="24"/>
          <w:szCs w:val="24"/>
        </w:rPr>
        <w:t xml:space="preserve"> augstāk</w:t>
      </w:r>
      <w:r w:rsidR="000767F2" w:rsidRPr="0015154B">
        <w:rPr>
          <w:rFonts w:ascii="Times New Roman" w:hAnsi="Times New Roman" w:cs="Times New Roman"/>
          <w:sz w:val="24"/>
          <w:szCs w:val="24"/>
        </w:rPr>
        <w:t>u</w:t>
      </w:r>
      <w:r w:rsidR="00D36870" w:rsidRPr="0015154B">
        <w:rPr>
          <w:rFonts w:ascii="Times New Roman" w:hAnsi="Times New Roman" w:cs="Times New Roman"/>
          <w:sz w:val="24"/>
          <w:szCs w:val="24"/>
        </w:rPr>
        <w:t xml:space="preserve"> GMI līmeni personām ar invaliditāti </w:t>
      </w:r>
      <w:r w:rsidR="000767F2" w:rsidRPr="0015154B">
        <w:rPr>
          <w:rFonts w:ascii="Times New Roman" w:hAnsi="Times New Roman" w:cs="Times New Roman"/>
          <w:sz w:val="24"/>
          <w:szCs w:val="24"/>
        </w:rPr>
        <w:t>nekā citās pašvaldībās</w:t>
      </w:r>
      <w:r w:rsidR="00D36870" w:rsidRPr="0015154B">
        <w:rPr>
          <w:rFonts w:ascii="Times New Roman" w:hAnsi="Times New Roman" w:cs="Times New Roman"/>
          <w:sz w:val="24"/>
          <w:szCs w:val="24"/>
        </w:rPr>
        <w:t>.</w:t>
      </w:r>
    </w:p>
    <w:p w14:paraId="6290E015" w14:textId="7F10C477" w:rsidR="00013CA6" w:rsidRPr="0015154B" w:rsidRDefault="00DB391B" w:rsidP="00CC5DD9">
      <w:pPr>
        <w:pStyle w:val="naisf"/>
        <w:spacing w:before="120" w:beforeAutospacing="0" w:after="0" w:afterAutospacing="0"/>
        <w:ind w:firstLine="709"/>
        <w:jc w:val="both"/>
      </w:pPr>
      <w:r w:rsidRPr="0015154B">
        <w:t>2019.gadā lielāko īpatsvaru GMI pabalsta saņēmēju skaitā veido nestrādājošas darbspējīga vecuma personas (31%), bērni (18%) un pilngadīgas personas ar invaliditāti (18%), savukārt dzīvokļa pabalsta saņēmēju kopskaitā lielāko īpatsvaru sastāda pensijas vecuma cilvēki (44%) un bērni (17%) un pilngadīgas personas ar invaliditāti (16%) (</w:t>
      </w:r>
      <w:r w:rsidRPr="0015154B">
        <w:rPr>
          <w:highlight w:val="yellow"/>
        </w:rPr>
        <w:t>skat. 1</w:t>
      </w:r>
      <w:r w:rsidR="006C2A9A">
        <w:rPr>
          <w:highlight w:val="yellow"/>
        </w:rPr>
        <w:t>3</w:t>
      </w:r>
      <w:r w:rsidRPr="0015154B">
        <w:rPr>
          <w:highlight w:val="yellow"/>
        </w:rPr>
        <w:t>.</w:t>
      </w:r>
      <w:r w:rsidR="00313607" w:rsidRPr="0015154B">
        <w:rPr>
          <w:highlight w:val="yellow"/>
        </w:rPr>
        <w:t xml:space="preserve"> un 1</w:t>
      </w:r>
      <w:r w:rsidR="006C2A9A">
        <w:rPr>
          <w:highlight w:val="yellow"/>
        </w:rPr>
        <w:t>4</w:t>
      </w:r>
      <w:r w:rsidR="00313607" w:rsidRPr="0015154B">
        <w:rPr>
          <w:highlight w:val="yellow"/>
        </w:rPr>
        <w:t>.</w:t>
      </w:r>
      <w:r w:rsidRPr="0015154B">
        <w:rPr>
          <w:highlight w:val="yellow"/>
        </w:rPr>
        <w:t>attēlu</w:t>
      </w:r>
      <w:r w:rsidRPr="0015154B">
        <w:t>).</w:t>
      </w:r>
      <w:r w:rsidR="00013CA6" w:rsidRPr="0015154B">
        <w:t xml:space="preserve"> </w:t>
      </w:r>
    </w:p>
    <w:p w14:paraId="3021F583" w14:textId="6050E8DB" w:rsidR="00BF5218" w:rsidRPr="0015154B" w:rsidRDefault="00BF5218" w:rsidP="00BF5218">
      <w:pPr>
        <w:pStyle w:val="naisf"/>
        <w:spacing w:before="0" w:beforeAutospacing="0" w:after="0" w:afterAutospacing="0"/>
        <w:jc w:val="both"/>
      </w:pPr>
    </w:p>
    <w:p w14:paraId="37C6207E" w14:textId="6A56B2DC" w:rsidR="00DB391B" w:rsidRPr="0015154B" w:rsidRDefault="00DB391B" w:rsidP="00DB391B">
      <w:pPr>
        <w:pStyle w:val="naisf"/>
        <w:spacing w:before="0" w:beforeAutospacing="0" w:after="0" w:afterAutospacing="0"/>
        <w:jc w:val="both"/>
      </w:pPr>
      <w:r w:rsidRPr="0015154B">
        <w:t>1</w:t>
      </w:r>
      <w:r w:rsidR="006C2A9A">
        <w:t>3</w:t>
      </w:r>
      <w:r w:rsidRPr="0015154B">
        <w:t>.attēls</w:t>
      </w:r>
    </w:p>
    <w:p w14:paraId="46D943DC" w14:textId="77777777" w:rsidR="00DB391B" w:rsidRPr="007157D3" w:rsidRDefault="00DB391B" w:rsidP="00DB391B">
      <w:pPr>
        <w:spacing w:line="240" w:lineRule="auto"/>
        <w:jc w:val="center"/>
        <w:rPr>
          <w:rFonts w:ascii="Times New Roman" w:hAnsi="Times New Roman" w:cs="Times New Roman"/>
          <w:b/>
          <w:sz w:val="24"/>
          <w:szCs w:val="24"/>
        </w:rPr>
      </w:pPr>
      <w:r w:rsidRPr="004A6572">
        <w:rPr>
          <w:noProof/>
          <w:color w:val="002060"/>
        </w:rPr>
        <w:lastRenderedPageBreak/>
        <w:drawing>
          <wp:anchor distT="0" distB="0" distL="114300" distR="114300" simplePos="0" relativeHeight="251667456" behindDoc="0" locked="0" layoutInCell="1" allowOverlap="1" wp14:anchorId="180D30B5" wp14:editId="1030FE8C">
            <wp:simplePos x="0" y="0"/>
            <wp:positionH relativeFrom="margin">
              <wp:align>left</wp:align>
            </wp:positionH>
            <wp:positionV relativeFrom="paragraph">
              <wp:posOffset>234950</wp:posOffset>
            </wp:positionV>
            <wp:extent cx="5821689" cy="3930650"/>
            <wp:effectExtent l="0" t="0" r="762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21689" cy="3930650"/>
                    </a:xfrm>
                    <a:prstGeom prst="rect">
                      <a:avLst/>
                    </a:prstGeom>
                    <a:noFill/>
                  </pic:spPr>
                </pic:pic>
              </a:graphicData>
            </a:graphic>
          </wp:anchor>
        </w:drawing>
      </w:r>
      <w:r w:rsidRPr="007157D3">
        <w:rPr>
          <w:rFonts w:ascii="Times New Roman" w:hAnsi="Times New Roman" w:cs="Times New Roman"/>
          <w:b/>
          <w:color w:val="002060"/>
          <w:sz w:val="24"/>
          <w:szCs w:val="24"/>
        </w:rPr>
        <w:t>GMI pabalsta saņēmēju struktūra 2014. – 2019.gadā (personas</w:t>
      </w:r>
      <w:r w:rsidRPr="007157D3">
        <w:rPr>
          <w:rFonts w:ascii="Times New Roman" w:hAnsi="Times New Roman" w:cs="Times New Roman"/>
          <w:b/>
          <w:sz w:val="24"/>
          <w:szCs w:val="24"/>
        </w:rPr>
        <w:t>)</w:t>
      </w:r>
    </w:p>
    <w:p w14:paraId="24E0FC44" w14:textId="6914492A" w:rsidR="000767F2" w:rsidRPr="00B20717" w:rsidRDefault="000767F2" w:rsidP="000767F2">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B20717">
        <w:rPr>
          <w:rFonts w:ascii="Times New Roman" w:eastAsia="Times New Roman" w:hAnsi="Times New Roman" w:cs="Times New Roman"/>
          <w:sz w:val="20"/>
          <w:szCs w:val="20"/>
          <w:lang w:eastAsia="lv-LV"/>
        </w:rPr>
        <w:t>Datu avots</w:t>
      </w:r>
      <w:r w:rsidR="00B20717">
        <w:rPr>
          <w:rFonts w:ascii="Times New Roman" w:eastAsia="Times New Roman" w:hAnsi="Times New Roman" w:cs="Times New Roman"/>
          <w:sz w:val="20"/>
          <w:szCs w:val="20"/>
          <w:lang w:eastAsia="lv-LV"/>
        </w:rPr>
        <w:t>:</w:t>
      </w:r>
      <w:r w:rsidR="00B20717" w:rsidRPr="00B20717">
        <w:rPr>
          <w:rFonts w:ascii="Times New Roman" w:hAnsi="Times New Roman" w:cs="Times New Roman"/>
          <w:sz w:val="20"/>
          <w:szCs w:val="20"/>
        </w:rPr>
        <w:t xml:space="preserve"> Pārskati par sociālajiem pakalpojumiem un sociālo palīdzību novada/republikas pilsētas pašvaldībā kopsavilkumi par 2014.-2019. gadu, LM dati</w:t>
      </w:r>
    </w:p>
    <w:p w14:paraId="4FC82A20" w14:textId="77777777" w:rsidR="000767F2" w:rsidRPr="002F5278" w:rsidRDefault="000767F2" w:rsidP="000767F2">
      <w:pPr>
        <w:autoSpaceDE w:val="0"/>
        <w:autoSpaceDN w:val="0"/>
        <w:adjustRightInd w:val="0"/>
        <w:spacing w:after="0" w:line="240" w:lineRule="auto"/>
        <w:jc w:val="both"/>
        <w:rPr>
          <w:rFonts w:ascii="Times New Roman" w:hAnsi="Times New Roman" w:cs="Times New Roman"/>
          <w:sz w:val="24"/>
          <w:szCs w:val="24"/>
        </w:rPr>
      </w:pPr>
    </w:p>
    <w:p w14:paraId="5F55C7DB" w14:textId="401947B7" w:rsidR="00C954D4" w:rsidRPr="0025422D" w:rsidRDefault="00316CBC" w:rsidP="00CC5DD9">
      <w:pPr>
        <w:autoSpaceDE w:val="0"/>
        <w:autoSpaceDN w:val="0"/>
        <w:adjustRightInd w:val="0"/>
        <w:spacing w:before="120" w:after="0" w:line="240" w:lineRule="auto"/>
        <w:ind w:firstLine="709"/>
        <w:jc w:val="both"/>
        <w:rPr>
          <w:rFonts w:ascii="Times New Roman" w:hAnsi="Times New Roman" w:cs="Times New Roman"/>
          <w:sz w:val="24"/>
          <w:szCs w:val="24"/>
          <w:highlight w:val="yellow"/>
        </w:rPr>
      </w:pPr>
      <w:r w:rsidRPr="0025422D">
        <w:rPr>
          <w:rFonts w:ascii="Times New Roman" w:hAnsi="Times New Roman" w:cs="Times New Roman"/>
          <w:sz w:val="24"/>
          <w:szCs w:val="24"/>
        </w:rPr>
        <w:t>Lielais bezdarbnieku īpatsvars GMI pabalsta saņēmēju vidū apstiprina šai mērķa grupai sniegtā materiālā atbalsta nepietiekamību un personas aktivizēšanas pasākumu un iekļaušanas darba tirgū nozīmi. Līdzīgi kā citās ES dalībvalstīs Latvijā pastāv prasība pašvaldību sociālās palīdzības saņēmējiem sadarboties ar NVA, reģistrēties, aktīvi meklēt darbu un piedalīties nodarbinātību veicinošos pasākumos. Izņēmuma gadījumi</w:t>
      </w:r>
      <w:r w:rsidRPr="007157D3">
        <w:rPr>
          <w:rStyle w:val="FootnoteReference"/>
          <w:rFonts w:ascii="Times New Roman" w:hAnsi="Times New Roman" w:cs="Times New Roman"/>
          <w:sz w:val="24"/>
          <w:szCs w:val="24"/>
        </w:rPr>
        <w:footnoteReference w:id="73"/>
      </w:r>
      <w:r w:rsidRPr="007157D3">
        <w:rPr>
          <w:rFonts w:ascii="Times New Roman" w:hAnsi="Times New Roman" w:cs="Times New Roman"/>
          <w:sz w:val="24"/>
          <w:szCs w:val="24"/>
        </w:rPr>
        <w:t xml:space="preserve">, kad personai nav jāreģistrējas NVA, </w:t>
      </w:r>
      <w:r w:rsidRPr="002F5278">
        <w:rPr>
          <w:rFonts w:ascii="Times New Roman" w:hAnsi="Times New Roman" w:cs="Times New Roman"/>
          <w:sz w:val="24"/>
          <w:szCs w:val="24"/>
        </w:rPr>
        <w:t>ir not</w:t>
      </w:r>
      <w:r w:rsidRPr="008C6388">
        <w:rPr>
          <w:rFonts w:ascii="Times New Roman" w:hAnsi="Times New Roman" w:cs="Times New Roman"/>
          <w:sz w:val="24"/>
          <w:szCs w:val="24"/>
        </w:rPr>
        <w:t xml:space="preserve">eikti tādām grupām kā valsts vecuma un invaliditātes pensiju saņēmējiem, sievietēm grūtniecības, dzemdību atvaļinājuma laikā un bērna kopšanas periodā u.c. </w:t>
      </w:r>
    </w:p>
    <w:p w14:paraId="13964C54" w14:textId="4FE10594" w:rsidR="00DB391B" w:rsidRPr="0015154B" w:rsidRDefault="00DB391B" w:rsidP="00CC5DD9">
      <w:pPr>
        <w:spacing w:before="120" w:after="0" w:line="240" w:lineRule="auto"/>
        <w:ind w:firstLine="709"/>
        <w:jc w:val="both"/>
        <w:rPr>
          <w:rFonts w:ascii="Times New Roman" w:hAnsi="Times New Roman" w:cs="Times New Roman"/>
          <w:sz w:val="24"/>
          <w:szCs w:val="24"/>
        </w:rPr>
      </w:pPr>
      <w:r w:rsidRPr="00A857F2">
        <w:rPr>
          <w:rFonts w:ascii="Times New Roman" w:hAnsi="Times New Roman" w:cs="Times New Roman"/>
          <w:sz w:val="24"/>
          <w:szCs w:val="24"/>
        </w:rPr>
        <w:t>Laika posmā kopš 2014.gada īstenoti pasākumi, kuru m</w:t>
      </w:r>
      <w:r w:rsidRPr="00662D1E">
        <w:rPr>
          <w:rFonts w:ascii="Times New Roman" w:hAnsi="Times New Roman" w:cs="Times New Roman"/>
          <w:sz w:val="24"/>
          <w:szCs w:val="24"/>
        </w:rPr>
        <w:t xml:space="preserve">ērķis ir veicināt darbspējīga vecuma sociālās palīdzības saņēmēju iekļaušanos darba tirgū. </w:t>
      </w:r>
      <w:r w:rsidR="00D324B7" w:rsidRPr="009703E6">
        <w:rPr>
          <w:rFonts w:ascii="Times New Roman" w:hAnsi="Times New Roman" w:cs="Times New Roman"/>
          <w:sz w:val="24"/>
          <w:szCs w:val="24"/>
        </w:rPr>
        <w:t>V</w:t>
      </w:r>
      <w:r w:rsidRPr="009703E6">
        <w:rPr>
          <w:rFonts w:ascii="Times New Roman" w:hAnsi="Times New Roman" w:cs="Times New Roman"/>
          <w:sz w:val="24"/>
          <w:szCs w:val="24"/>
        </w:rPr>
        <w:t>iens no būtiskākajiem</w:t>
      </w:r>
      <w:r w:rsidR="00D324B7" w:rsidRPr="0015154B">
        <w:rPr>
          <w:rFonts w:ascii="Times New Roman" w:hAnsi="Times New Roman" w:cs="Times New Roman"/>
          <w:sz w:val="24"/>
          <w:szCs w:val="24"/>
        </w:rPr>
        <w:t xml:space="preserve"> – sociālās palīdzības saņēmējam, kurš sācis gūt ienākumus no algota darba, </w:t>
      </w:r>
      <w:r w:rsidRPr="0015154B">
        <w:rPr>
          <w:rFonts w:ascii="Times New Roman" w:hAnsi="Times New Roman" w:cs="Times New Roman"/>
          <w:sz w:val="24"/>
          <w:szCs w:val="24"/>
        </w:rPr>
        <w:t>vienu reizi kalendārā gada ietvaros trīs mēnešus neņem vērā ienākumus līdz valstī noteiktās minimālās mēneša darba algas apmēram</w:t>
      </w:r>
      <w:r w:rsidR="00D324B7" w:rsidRPr="0015154B">
        <w:rPr>
          <w:rFonts w:ascii="Times New Roman" w:hAnsi="Times New Roman" w:cs="Times New Roman"/>
          <w:sz w:val="24"/>
          <w:szCs w:val="24"/>
        </w:rPr>
        <w:t>, izvērtējot personas/mājsaimniecības atbilstību trūcīgas personas statusam</w:t>
      </w:r>
      <w:r w:rsidRPr="0015154B">
        <w:rPr>
          <w:rFonts w:ascii="Times New Roman" w:hAnsi="Times New Roman" w:cs="Times New Roman"/>
          <w:sz w:val="24"/>
          <w:szCs w:val="24"/>
        </w:rPr>
        <w:t>. Tādējādi persona, uzsākot darba gaitas, joprojām turpina saņemt arī sociālo palīdzību.</w:t>
      </w:r>
    </w:p>
    <w:p w14:paraId="64B03D2E" w14:textId="62B57B66" w:rsidR="004D0EDD" w:rsidRPr="007157D3" w:rsidRDefault="004D0EDD" w:rsidP="00CC5DD9">
      <w:pPr>
        <w:autoSpaceDE w:val="0"/>
        <w:autoSpaceDN w:val="0"/>
        <w:adjustRightInd w:val="0"/>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 xml:space="preserve">Atbilstoši PB pētījuma ziņojumos veiktajam GMI programmas izvērtējumam, Latvijā </w:t>
      </w:r>
      <w:r w:rsidRPr="0015154B">
        <w:rPr>
          <w:rFonts w:ascii="Times New Roman" w:hAnsi="Times New Roman" w:cs="Times New Roman"/>
          <w:b/>
          <w:bCs/>
          <w:sz w:val="24"/>
          <w:szCs w:val="24"/>
        </w:rPr>
        <w:t>nav konstatējama pabalsta atkarība</w:t>
      </w:r>
      <w:r w:rsidRPr="0015154B">
        <w:rPr>
          <w:rFonts w:ascii="Times New Roman" w:hAnsi="Times New Roman" w:cs="Times New Roman"/>
          <w:sz w:val="24"/>
          <w:szCs w:val="24"/>
        </w:rPr>
        <w:t xml:space="preserve"> nelielā pabalsta apmēra un vidēji neilgā pabalsta saņemšanas perioda</w:t>
      </w:r>
      <w:r w:rsidR="00D324B7" w:rsidRPr="0015154B">
        <w:rPr>
          <w:rFonts w:ascii="Times New Roman" w:hAnsi="Times New Roman" w:cs="Times New Roman"/>
          <w:sz w:val="24"/>
          <w:szCs w:val="24"/>
        </w:rPr>
        <w:t xml:space="preserve"> dēļ</w:t>
      </w:r>
      <w:r w:rsidRPr="0015154B">
        <w:rPr>
          <w:rFonts w:ascii="Times New Roman" w:hAnsi="Times New Roman" w:cs="Times New Roman"/>
          <w:sz w:val="24"/>
          <w:szCs w:val="24"/>
        </w:rPr>
        <w:t xml:space="preserve">. Datu analīze par periodu no 2006.gada janvāra līdz 2012.gada jūlijam apstiprina, ka 40% no pabalstu saņēmējiem GMI pabalstu saņēmuši tikai </w:t>
      </w:r>
      <w:r w:rsidRPr="0015154B">
        <w:rPr>
          <w:rFonts w:ascii="Times New Roman" w:hAnsi="Times New Roman" w:cs="Times New Roman"/>
          <w:iCs/>
          <w:sz w:val="24"/>
          <w:szCs w:val="24"/>
        </w:rPr>
        <w:t xml:space="preserve">vienu reizi </w:t>
      </w:r>
      <w:r w:rsidRPr="0015154B">
        <w:rPr>
          <w:rFonts w:ascii="Times New Roman" w:hAnsi="Times New Roman" w:cs="Times New Roman"/>
          <w:sz w:val="24"/>
          <w:szCs w:val="24"/>
        </w:rPr>
        <w:t>un</w:t>
      </w:r>
      <w:r w:rsidRPr="0015154B">
        <w:rPr>
          <w:rFonts w:ascii="Times New Roman" w:hAnsi="Times New Roman" w:cs="Times New Roman"/>
          <w:iCs/>
          <w:sz w:val="24"/>
          <w:szCs w:val="24"/>
        </w:rPr>
        <w:t xml:space="preserve"> uz īsu laika periodu</w:t>
      </w:r>
      <w:r w:rsidRPr="0015154B">
        <w:rPr>
          <w:rFonts w:ascii="Times New Roman" w:hAnsi="Times New Roman" w:cs="Times New Roman"/>
          <w:sz w:val="24"/>
          <w:szCs w:val="24"/>
        </w:rPr>
        <w:t xml:space="preserve">: šie pabalsti darbojas kā krīzes palīdzība un nav pastāvīgs ienākumu avots. Tas liecina, ka sociālo pabalstu atkarība (kur tā eksistē) ir raksturīga tikai nelielai iedzīvotāju grupai. </w:t>
      </w:r>
      <w:r w:rsidR="004C2F58" w:rsidRPr="0015154B">
        <w:rPr>
          <w:rFonts w:ascii="Times New Roman" w:hAnsi="Times New Roman" w:cs="Times New Roman"/>
          <w:sz w:val="24"/>
          <w:szCs w:val="24"/>
        </w:rPr>
        <w:t xml:space="preserve">Arī 2019.gadā veiktais izvērtējums konstatēja līdzīgus rezultātus. </w:t>
      </w:r>
      <w:r w:rsidR="0036597A" w:rsidRPr="0015154B">
        <w:rPr>
          <w:rFonts w:ascii="Times New Roman" w:hAnsi="Times New Roman" w:cs="Times New Roman"/>
          <w:sz w:val="24"/>
          <w:szCs w:val="24"/>
        </w:rPr>
        <w:t>Vairāk nekā</w:t>
      </w:r>
      <w:r w:rsidR="004C2F58" w:rsidRPr="0015154B">
        <w:rPr>
          <w:rFonts w:ascii="Times New Roman" w:hAnsi="Times New Roman" w:cs="Times New Roman"/>
          <w:sz w:val="24"/>
          <w:szCs w:val="24"/>
        </w:rPr>
        <w:t xml:space="preserve"> </w:t>
      </w:r>
      <w:r w:rsidR="0036597A" w:rsidRPr="0015154B">
        <w:rPr>
          <w:rFonts w:ascii="Times New Roman" w:hAnsi="Times New Roman" w:cs="Times New Roman"/>
          <w:sz w:val="24"/>
          <w:szCs w:val="24"/>
        </w:rPr>
        <w:t>puse no visiem GMI pabalstu saņēmējiem saņēma to ne ilgāk par 6 mēnešiem. Varbūtība,</w:t>
      </w:r>
      <w:r w:rsidR="004C2F58" w:rsidRPr="0015154B">
        <w:rPr>
          <w:rFonts w:ascii="Times New Roman" w:hAnsi="Times New Roman" w:cs="Times New Roman"/>
          <w:sz w:val="24"/>
          <w:szCs w:val="24"/>
        </w:rPr>
        <w:t xml:space="preserve"> </w:t>
      </w:r>
      <w:r w:rsidR="0036597A" w:rsidRPr="0015154B">
        <w:rPr>
          <w:rFonts w:ascii="Times New Roman" w:hAnsi="Times New Roman" w:cs="Times New Roman"/>
          <w:sz w:val="24"/>
          <w:szCs w:val="24"/>
        </w:rPr>
        <w:t xml:space="preserve">ka GMI pabalsta </w:t>
      </w:r>
      <w:r w:rsidR="0036597A" w:rsidRPr="0015154B">
        <w:rPr>
          <w:rFonts w:ascii="Times New Roman" w:hAnsi="Times New Roman" w:cs="Times New Roman"/>
          <w:sz w:val="24"/>
          <w:szCs w:val="24"/>
        </w:rPr>
        <w:lastRenderedPageBreak/>
        <w:t>saņemšana tiek pārtraukta attiecīgā mēnesī, krītas līdz ar pabalsta</w:t>
      </w:r>
      <w:r w:rsidR="004C2F58" w:rsidRPr="0015154B">
        <w:rPr>
          <w:rFonts w:ascii="Times New Roman" w:hAnsi="Times New Roman" w:cs="Times New Roman"/>
          <w:sz w:val="24"/>
          <w:szCs w:val="24"/>
        </w:rPr>
        <w:t xml:space="preserve"> </w:t>
      </w:r>
      <w:r w:rsidR="0036597A" w:rsidRPr="0015154B">
        <w:rPr>
          <w:rFonts w:ascii="Times New Roman" w:hAnsi="Times New Roman" w:cs="Times New Roman"/>
          <w:sz w:val="24"/>
          <w:szCs w:val="24"/>
        </w:rPr>
        <w:t>saņemšanas ilgumu, nokrītot zem 8 % pēc 19 mēnešiem.</w:t>
      </w:r>
      <w:r w:rsidR="004C2F58" w:rsidRPr="007157D3">
        <w:rPr>
          <w:rStyle w:val="FootnoteReference"/>
          <w:rFonts w:ascii="Times New Roman" w:hAnsi="Times New Roman" w:cs="Times New Roman"/>
          <w:sz w:val="24"/>
          <w:szCs w:val="24"/>
        </w:rPr>
        <w:footnoteReference w:id="74"/>
      </w:r>
      <w:r w:rsidR="0036597A" w:rsidRPr="007157D3">
        <w:rPr>
          <w:rFonts w:ascii="Times New Roman" w:hAnsi="Times New Roman" w:cs="Times New Roman"/>
          <w:sz w:val="24"/>
          <w:szCs w:val="24"/>
        </w:rPr>
        <w:t xml:space="preserve"> </w:t>
      </w:r>
    </w:p>
    <w:p w14:paraId="6B27925C" w14:textId="1682910B" w:rsidR="0094542C" w:rsidRPr="008057B3" w:rsidRDefault="00C954D4" w:rsidP="00CC5DD9">
      <w:pPr>
        <w:pStyle w:val="CoverNormal"/>
        <w:spacing w:before="120"/>
        <w:ind w:firstLine="709"/>
        <w:jc w:val="both"/>
        <w:rPr>
          <w:sz w:val="24"/>
          <w:szCs w:val="24"/>
          <w:lang w:val="lv-LV"/>
        </w:rPr>
      </w:pPr>
      <w:r w:rsidRPr="008057B3">
        <w:rPr>
          <w:sz w:val="24"/>
          <w:szCs w:val="24"/>
          <w:lang w:val="lv-LV"/>
        </w:rPr>
        <w:t>Saskaņā ar PB veikto pētījumu</w:t>
      </w:r>
      <w:r w:rsidRPr="008057B3">
        <w:rPr>
          <w:rStyle w:val="FootnoteReference"/>
          <w:sz w:val="24"/>
          <w:szCs w:val="24"/>
          <w:lang w:val="lv-LV"/>
        </w:rPr>
        <w:footnoteReference w:id="75"/>
      </w:r>
      <w:r w:rsidRPr="008057B3">
        <w:rPr>
          <w:sz w:val="24"/>
          <w:szCs w:val="24"/>
          <w:lang w:val="lv-LV"/>
        </w:rPr>
        <w:t xml:space="preserve"> Latvijas GMI programma ir </w:t>
      </w:r>
      <w:r w:rsidRPr="008057B3">
        <w:rPr>
          <w:b/>
          <w:sz w:val="24"/>
          <w:szCs w:val="24"/>
          <w:lang w:val="lv-LV"/>
        </w:rPr>
        <w:t>labi mērķēta</w:t>
      </w:r>
      <w:r w:rsidRPr="008057B3">
        <w:rPr>
          <w:sz w:val="24"/>
          <w:szCs w:val="24"/>
          <w:lang w:val="lv-LV"/>
        </w:rPr>
        <w:t xml:space="preserve"> pašiem trūcīgākajiem iedzīvotājiem, bet pie </w:t>
      </w:r>
      <w:r w:rsidRPr="008057B3">
        <w:rPr>
          <w:b/>
          <w:sz w:val="24"/>
          <w:szCs w:val="24"/>
          <w:lang w:val="lv-LV"/>
        </w:rPr>
        <w:t>neadekvāti zemā GMI līmeņa</w:t>
      </w:r>
      <w:r w:rsidRPr="008057B3">
        <w:rPr>
          <w:sz w:val="24"/>
          <w:szCs w:val="24"/>
          <w:lang w:val="lv-LV"/>
        </w:rPr>
        <w:t xml:space="preserve"> tai ir ļoti zems pārklājums, jo cilvēkiem ar nepietiekamiem resursiem nav tiesību pretendēt uz GMI pabalstu.  GMI pabalsta saņēmēju īpatsvars </w:t>
      </w:r>
      <w:r w:rsidR="00956927" w:rsidRPr="008057B3">
        <w:rPr>
          <w:sz w:val="24"/>
          <w:szCs w:val="24"/>
          <w:lang w:val="lv-LV"/>
        </w:rPr>
        <w:t xml:space="preserve">starp </w:t>
      </w:r>
      <w:r w:rsidRPr="008057B3">
        <w:rPr>
          <w:sz w:val="24"/>
          <w:szCs w:val="24"/>
          <w:lang w:val="lv-LV"/>
        </w:rPr>
        <w:t xml:space="preserve">trūcīgajām personām kopš 2012.gada </w:t>
      </w:r>
      <w:r w:rsidR="00956927" w:rsidRPr="008057B3">
        <w:rPr>
          <w:sz w:val="24"/>
          <w:szCs w:val="24"/>
          <w:lang w:val="lv-LV"/>
        </w:rPr>
        <w:t>tikai samazinās</w:t>
      </w:r>
      <w:r w:rsidRPr="008057B3">
        <w:rPr>
          <w:sz w:val="24"/>
          <w:szCs w:val="24"/>
          <w:lang w:val="lv-LV"/>
        </w:rPr>
        <w:t xml:space="preserve"> – ja 2012.gadā GMI pabalstu saņēma 53,7% no trūcīgajām personām, tad 2019.gadā tikai </w:t>
      </w:r>
      <w:r w:rsidR="00DB391B" w:rsidRPr="008057B3">
        <w:rPr>
          <w:sz w:val="24"/>
          <w:szCs w:val="24"/>
          <w:lang w:val="lv-LV"/>
        </w:rPr>
        <w:t>41,5</w:t>
      </w:r>
      <w:r w:rsidRPr="008057B3">
        <w:rPr>
          <w:sz w:val="24"/>
          <w:szCs w:val="24"/>
          <w:lang w:val="lv-LV"/>
        </w:rPr>
        <w:t xml:space="preserve">% no trūcīgām personām. </w:t>
      </w:r>
      <w:r w:rsidR="0094542C" w:rsidRPr="008057B3">
        <w:rPr>
          <w:sz w:val="24"/>
          <w:szCs w:val="24"/>
          <w:lang w:val="lv-LV"/>
        </w:rPr>
        <w:t xml:space="preserve">Kā norādīts OECD pētījumā, </w:t>
      </w:r>
      <w:r w:rsidR="00F762BE" w:rsidRPr="008057B3">
        <w:rPr>
          <w:sz w:val="24"/>
          <w:szCs w:val="24"/>
          <w:lang w:val="lv-LV"/>
        </w:rPr>
        <w:t xml:space="preserve"> </w:t>
      </w:r>
      <w:r w:rsidR="0094542C" w:rsidRPr="008057B3">
        <w:rPr>
          <w:bCs/>
          <w:sz w:val="24"/>
          <w:szCs w:val="24"/>
          <w:lang w:val="lv-LV"/>
        </w:rPr>
        <w:t>GMI pabalsta apmērs un pārklājums salīdzinājumā ar OECD vidējiem rādītājiem ir zems.</w:t>
      </w:r>
      <w:r w:rsidR="0094542C" w:rsidRPr="008057B3">
        <w:rPr>
          <w:b/>
          <w:bCs/>
          <w:sz w:val="24"/>
          <w:szCs w:val="24"/>
          <w:lang w:val="lv-LV"/>
        </w:rPr>
        <w:t xml:space="preserve"> </w:t>
      </w:r>
      <w:r w:rsidR="0094542C" w:rsidRPr="008057B3">
        <w:rPr>
          <w:sz w:val="24"/>
          <w:szCs w:val="24"/>
          <w:lang w:val="lv-LV"/>
        </w:rPr>
        <w:t xml:space="preserve">2017. gadā GMI pabalstu saņēma tikai 0,5% no iedzīvotājiem, kas vecāki par 15 gadiem. GMI pabalstu saņemošu mājsaimniecību ienākumi ir </w:t>
      </w:r>
      <w:r w:rsidR="0094542C" w:rsidRPr="008057B3">
        <w:rPr>
          <w:bCs/>
          <w:sz w:val="24"/>
          <w:szCs w:val="24"/>
          <w:lang w:val="lv-LV"/>
        </w:rPr>
        <w:t>būtiski zemāki</w:t>
      </w:r>
      <w:r w:rsidR="0094542C" w:rsidRPr="008057B3">
        <w:rPr>
          <w:sz w:val="24"/>
          <w:szCs w:val="24"/>
          <w:lang w:val="lv-LV"/>
        </w:rPr>
        <w:t xml:space="preserve"> par vidējiem mājsaimniecības ienākumiem (zemāki nekā lielākajā daļā OECD valstu). GMI saņēmēji veido 20% no NVA reģistrētajiem ilgstošajiem bezdarbniekiem</w:t>
      </w:r>
      <w:r w:rsidR="00D324B7" w:rsidRPr="008057B3">
        <w:rPr>
          <w:sz w:val="24"/>
          <w:szCs w:val="24"/>
          <w:lang w:val="lv-LV"/>
        </w:rPr>
        <w:t>.</w:t>
      </w:r>
    </w:p>
    <w:p w14:paraId="1D9E6943" w14:textId="2E0B2096" w:rsidR="00D36870" w:rsidRPr="008C6388" w:rsidRDefault="00D36870" w:rsidP="00CC5DD9">
      <w:pPr>
        <w:spacing w:before="120" w:after="0" w:line="240" w:lineRule="auto"/>
        <w:ind w:firstLine="709"/>
        <w:jc w:val="both"/>
        <w:rPr>
          <w:rFonts w:ascii="Times New Roman" w:hAnsi="Times New Roman" w:cs="Times New Roman"/>
          <w:sz w:val="24"/>
          <w:szCs w:val="24"/>
        </w:rPr>
      </w:pPr>
      <w:r w:rsidRPr="007157D3">
        <w:rPr>
          <w:rFonts w:ascii="Times New Roman" w:hAnsi="Times New Roman" w:cs="Times New Roman"/>
          <w:sz w:val="24"/>
          <w:szCs w:val="24"/>
        </w:rPr>
        <w:t xml:space="preserve">GMI </w:t>
      </w:r>
      <w:r w:rsidR="008057B3" w:rsidRPr="007157D3">
        <w:rPr>
          <w:rFonts w:ascii="Times New Roman" w:hAnsi="Times New Roman" w:cs="Times New Roman"/>
          <w:sz w:val="24"/>
          <w:szCs w:val="24"/>
        </w:rPr>
        <w:t>līmeni</w:t>
      </w:r>
      <w:r w:rsidRPr="007157D3">
        <w:rPr>
          <w:rFonts w:ascii="Times New Roman" w:hAnsi="Times New Roman" w:cs="Times New Roman"/>
          <w:sz w:val="24"/>
          <w:szCs w:val="24"/>
        </w:rPr>
        <w:t xml:space="preserve"> un trūcīgas per</w:t>
      </w:r>
      <w:r w:rsidRPr="008D3DCF">
        <w:rPr>
          <w:rFonts w:ascii="Times New Roman" w:hAnsi="Times New Roman" w:cs="Times New Roman"/>
          <w:sz w:val="24"/>
          <w:szCs w:val="24"/>
        </w:rPr>
        <w:t xml:space="preserve">sonas ienākumu </w:t>
      </w:r>
      <w:r w:rsidR="008057B3" w:rsidRPr="002F5278">
        <w:rPr>
          <w:rFonts w:ascii="Times New Roman" w:hAnsi="Times New Roman" w:cs="Times New Roman"/>
          <w:sz w:val="24"/>
          <w:szCs w:val="24"/>
        </w:rPr>
        <w:t>līmeni</w:t>
      </w:r>
      <w:r w:rsidRPr="008C6388">
        <w:rPr>
          <w:rFonts w:ascii="Times New Roman" w:hAnsi="Times New Roman" w:cs="Times New Roman"/>
          <w:sz w:val="24"/>
          <w:szCs w:val="24"/>
        </w:rPr>
        <w:t xml:space="preserve"> regulē valstiskā līmenī. Citu sociālās palīdzības </w:t>
      </w:r>
      <w:r w:rsidR="00D324B7" w:rsidRPr="0025422D">
        <w:rPr>
          <w:rFonts w:ascii="Times New Roman" w:hAnsi="Times New Roman" w:cs="Times New Roman"/>
          <w:sz w:val="24"/>
          <w:szCs w:val="24"/>
        </w:rPr>
        <w:t xml:space="preserve">pabalstu </w:t>
      </w:r>
      <w:r w:rsidRPr="0025422D">
        <w:rPr>
          <w:rFonts w:ascii="Times New Roman" w:hAnsi="Times New Roman" w:cs="Times New Roman"/>
          <w:sz w:val="24"/>
          <w:szCs w:val="24"/>
        </w:rPr>
        <w:t xml:space="preserve">piešķiršanai noteiktie </w:t>
      </w:r>
      <w:r w:rsidR="008057B3" w:rsidRPr="0025422D">
        <w:rPr>
          <w:rFonts w:ascii="Times New Roman" w:hAnsi="Times New Roman" w:cs="Times New Roman"/>
          <w:sz w:val="24"/>
          <w:szCs w:val="24"/>
        </w:rPr>
        <w:t>kritēriji</w:t>
      </w:r>
      <w:r w:rsidRPr="0025422D">
        <w:rPr>
          <w:rFonts w:ascii="Times New Roman" w:hAnsi="Times New Roman" w:cs="Times New Roman"/>
          <w:sz w:val="24"/>
          <w:szCs w:val="24"/>
        </w:rPr>
        <w:t xml:space="preserve"> nav vie</w:t>
      </w:r>
      <w:r w:rsidRPr="00A857F2">
        <w:rPr>
          <w:rFonts w:ascii="Times New Roman" w:hAnsi="Times New Roman" w:cs="Times New Roman"/>
          <w:sz w:val="24"/>
          <w:szCs w:val="24"/>
        </w:rPr>
        <w:t xml:space="preserve">noti, to saņemšanai pašvaldībās tiek izmantoti dažādi lielumi un/vai kritēriji un pašvaldības to apmēru var noteikt pēc saviem ieskatiem. </w:t>
      </w:r>
      <w:r w:rsidR="004C2F58" w:rsidRPr="00662D1E">
        <w:rPr>
          <w:rFonts w:ascii="Times New Roman" w:hAnsi="Times New Roman" w:cs="Times New Roman"/>
          <w:sz w:val="24"/>
          <w:szCs w:val="24"/>
        </w:rPr>
        <w:t>Izvērtējumā</w:t>
      </w:r>
      <w:r w:rsidR="00AC790D" w:rsidRPr="007157D3">
        <w:rPr>
          <w:rStyle w:val="FootnoteReference"/>
          <w:rFonts w:ascii="Times New Roman" w:eastAsia="Times New Roman" w:hAnsi="Times New Roman" w:cs="Times New Roman"/>
          <w:sz w:val="24"/>
          <w:szCs w:val="24"/>
        </w:rPr>
        <w:footnoteReference w:id="76"/>
      </w:r>
      <w:r w:rsidRPr="007157D3">
        <w:rPr>
          <w:rFonts w:ascii="Times New Roman" w:hAnsi="Times New Roman" w:cs="Times New Roman"/>
          <w:bCs/>
          <w:sz w:val="24"/>
          <w:szCs w:val="24"/>
        </w:rPr>
        <w:t xml:space="preserve"> </w:t>
      </w:r>
      <w:r w:rsidRPr="007157D3">
        <w:rPr>
          <w:rFonts w:ascii="Times New Roman" w:hAnsi="Times New Roman" w:cs="Times New Roman"/>
          <w:sz w:val="24"/>
          <w:szCs w:val="24"/>
        </w:rPr>
        <w:t xml:space="preserve">secināts, ka </w:t>
      </w:r>
      <w:r w:rsidRPr="007157D3">
        <w:rPr>
          <w:rFonts w:ascii="Times New Roman" w:eastAsia="Times New Roman" w:hAnsi="Times New Roman" w:cs="Times New Roman"/>
          <w:sz w:val="24"/>
          <w:szCs w:val="24"/>
        </w:rPr>
        <w:t>GMI pabalsts kalpo divējādi – daļai personu tas ir īstermiņa situācijas risinājums, savukārt noteiktām sabiedrības grupām – jau ilgtermiņa risinājums. Tomēr ilgtermiņa risinājums GMI pabalsts ir cilvēkiem, kuriem ir būtiskas pr</w:t>
      </w:r>
      <w:r w:rsidRPr="002F5278">
        <w:rPr>
          <w:rFonts w:ascii="Times New Roman" w:eastAsia="Times New Roman" w:hAnsi="Times New Roman" w:cs="Times New Roman"/>
          <w:sz w:val="24"/>
          <w:szCs w:val="24"/>
        </w:rPr>
        <w:t>oblēmas iekļauties darba tirgū, piemēram, personām ar invaliditāti, pirmspensijas vecuma cilvēkiem.</w:t>
      </w:r>
    </w:p>
    <w:p w14:paraId="48CEECE1" w14:textId="18DB9420" w:rsidR="004D0EDD" w:rsidRPr="009703E6" w:rsidRDefault="004D0EDD" w:rsidP="00CC5DD9">
      <w:pPr>
        <w:spacing w:before="120" w:after="0" w:line="240" w:lineRule="auto"/>
        <w:ind w:firstLine="709"/>
        <w:jc w:val="both"/>
        <w:rPr>
          <w:rFonts w:ascii="Times New Roman" w:hAnsi="Times New Roman" w:cs="Times New Roman"/>
          <w:sz w:val="24"/>
          <w:szCs w:val="24"/>
        </w:rPr>
      </w:pPr>
      <w:r w:rsidRPr="0025422D">
        <w:rPr>
          <w:rFonts w:ascii="Times New Roman" w:hAnsi="Times New Roman" w:cs="Times New Roman"/>
          <w:sz w:val="24"/>
          <w:szCs w:val="24"/>
        </w:rPr>
        <w:t>GMI līmeņa noteikšanas metodika būtiski ierobežo GMI pabalsta adekvātumu. GMI līmenis līdz 2020.gadam nebija piesaistīts nevienam sociāli ekonomiskam rādītājam, bet tika noteikts savstarpēji vienojoties Latvijas Pašvaldību savienībai un LM, balstoties uz pašvaldību vērtējumu p</w:t>
      </w:r>
      <w:r w:rsidRPr="00A857F2">
        <w:rPr>
          <w:rFonts w:ascii="Times New Roman" w:hAnsi="Times New Roman" w:cs="Times New Roman"/>
          <w:sz w:val="24"/>
          <w:szCs w:val="24"/>
        </w:rPr>
        <w:t xml:space="preserve">ar to finansiālajām iespējām. GMI </w:t>
      </w:r>
      <w:r w:rsidR="00AC790D" w:rsidRPr="00662D1E">
        <w:rPr>
          <w:rFonts w:ascii="Times New Roman" w:hAnsi="Times New Roman" w:cs="Times New Roman"/>
          <w:sz w:val="24"/>
          <w:szCs w:val="24"/>
        </w:rPr>
        <w:t>līmenim līdz 2021.gadam netiek</w:t>
      </w:r>
      <w:r w:rsidRPr="00662D1E">
        <w:rPr>
          <w:rFonts w:ascii="Times New Roman" w:hAnsi="Times New Roman" w:cs="Times New Roman"/>
          <w:sz w:val="24"/>
          <w:szCs w:val="24"/>
        </w:rPr>
        <w:t xml:space="preserve"> piemērotas ekvivalences skalas, ko tiešā vai netiešā veidā piemēro lielākā daļa ES valstu</w:t>
      </w:r>
      <w:r w:rsidR="005F6369" w:rsidRPr="009703E6">
        <w:rPr>
          <w:rFonts w:ascii="Times New Roman" w:hAnsi="Times New Roman" w:cs="Times New Roman"/>
          <w:sz w:val="24"/>
          <w:szCs w:val="24"/>
        </w:rPr>
        <w:t>.</w:t>
      </w:r>
    </w:p>
    <w:p w14:paraId="6A99B58D" w14:textId="6DBD17D8" w:rsidR="00D36870" w:rsidRPr="007157D3" w:rsidRDefault="00D36870" w:rsidP="00CC5DD9">
      <w:pPr>
        <w:pStyle w:val="ListParagraph"/>
        <w:autoSpaceDE w:val="0"/>
        <w:autoSpaceDN w:val="0"/>
        <w:adjustRightInd w:val="0"/>
        <w:spacing w:before="120" w:after="0" w:line="240" w:lineRule="auto"/>
        <w:ind w:left="0" w:firstLine="714"/>
        <w:contextualSpacing w:val="0"/>
        <w:jc w:val="both"/>
        <w:rPr>
          <w:rFonts w:ascii="Times New Roman" w:hAnsi="Times New Roman" w:cs="Times New Roman"/>
          <w:sz w:val="24"/>
          <w:szCs w:val="24"/>
        </w:rPr>
      </w:pPr>
      <w:r w:rsidRPr="009703E6">
        <w:rPr>
          <w:rFonts w:ascii="Times New Roman" w:hAnsi="Times New Roman" w:cs="Times New Roman"/>
          <w:sz w:val="24"/>
          <w:szCs w:val="24"/>
          <w:shd w:val="clear" w:color="auto" w:fill="FFFFFF"/>
        </w:rPr>
        <w:t>Latvijas Republikas Satversmes tiesas 2020.gada 25.jū</w:t>
      </w:r>
      <w:r w:rsidRPr="0015154B">
        <w:rPr>
          <w:rFonts w:ascii="Times New Roman" w:hAnsi="Times New Roman" w:cs="Times New Roman"/>
          <w:sz w:val="24"/>
          <w:szCs w:val="24"/>
          <w:shd w:val="clear" w:color="auto" w:fill="FFFFFF"/>
        </w:rPr>
        <w:t>nija spriedumā tika secināts, ka valsts nav izpildījusi savu pienākumu periodiski pārskatīt GMI līmeni. Lai gan Latvijā turpinoties stabila ekonomiskā izaugsme, paaugstinoties vidējā darba alga un vidējais patēriņa cenu līmenis, GMI līmenis no 2013.gada līdz 2017.gadam ir pārskatīts tikai vienu reizi un paaugstināts par 3,20 </w:t>
      </w:r>
      <w:r w:rsidRPr="0015154B">
        <w:rPr>
          <w:rFonts w:ascii="Times New Roman" w:hAnsi="Times New Roman" w:cs="Times New Roman"/>
          <w:i/>
          <w:iCs/>
          <w:sz w:val="24"/>
          <w:szCs w:val="24"/>
          <w:shd w:val="clear" w:color="auto" w:fill="FFFFFF"/>
        </w:rPr>
        <w:t>e</w:t>
      </w:r>
      <w:r w:rsidR="00DB391B" w:rsidRPr="0015154B">
        <w:rPr>
          <w:rFonts w:ascii="Times New Roman" w:hAnsi="Times New Roman" w:cs="Times New Roman"/>
          <w:i/>
          <w:iCs/>
          <w:sz w:val="24"/>
          <w:szCs w:val="24"/>
          <w:shd w:val="clear" w:color="auto" w:fill="FFFFFF"/>
        </w:rPr>
        <w:t>i</w:t>
      </w:r>
      <w:r w:rsidRPr="0015154B">
        <w:rPr>
          <w:rFonts w:ascii="Times New Roman" w:hAnsi="Times New Roman" w:cs="Times New Roman"/>
          <w:i/>
          <w:iCs/>
          <w:sz w:val="24"/>
          <w:szCs w:val="24"/>
          <w:shd w:val="clear" w:color="auto" w:fill="FFFFFF"/>
        </w:rPr>
        <w:t>ro</w:t>
      </w:r>
      <w:r w:rsidRPr="0015154B">
        <w:rPr>
          <w:rFonts w:ascii="Times New Roman" w:hAnsi="Times New Roman" w:cs="Times New Roman"/>
          <w:sz w:val="24"/>
          <w:szCs w:val="24"/>
          <w:shd w:val="clear" w:color="auto" w:fill="FFFFFF"/>
        </w:rPr>
        <w:t> mēnesī. Savukārt 2019.gadā tas tika paaugstināts par 11 </w:t>
      </w:r>
      <w:r w:rsidRPr="0015154B">
        <w:rPr>
          <w:rFonts w:ascii="Times New Roman" w:hAnsi="Times New Roman" w:cs="Times New Roman"/>
          <w:i/>
          <w:iCs/>
          <w:sz w:val="24"/>
          <w:szCs w:val="24"/>
          <w:shd w:val="clear" w:color="auto" w:fill="FFFFFF"/>
        </w:rPr>
        <w:t>e</w:t>
      </w:r>
      <w:r w:rsidR="00DB391B" w:rsidRPr="0015154B">
        <w:rPr>
          <w:rFonts w:ascii="Times New Roman" w:hAnsi="Times New Roman" w:cs="Times New Roman"/>
          <w:i/>
          <w:iCs/>
          <w:sz w:val="24"/>
          <w:szCs w:val="24"/>
          <w:shd w:val="clear" w:color="auto" w:fill="FFFFFF"/>
        </w:rPr>
        <w:t>i</w:t>
      </w:r>
      <w:r w:rsidRPr="0015154B">
        <w:rPr>
          <w:rFonts w:ascii="Times New Roman" w:hAnsi="Times New Roman" w:cs="Times New Roman"/>
          <w:i/>
          <w:iCs/>
          <w:sz w:val="24"/>
          <w:szCs w:val="24"/>
          <w:shd w:val="clear" w:color="auto" w:fill="FFFFFF"/>
        </w:rPr>
        <w:t>ro</w:t>
      </w:r>
      <w:r w:rsidRPr="0015154B">
        <w:rPr>
          <w:rFonts w:ascii="Times New Roman" w:hAnsi="Times New Roman" w:cs="Times New Roman"/>
          <w:sz w:val="24"/>
          <w:szCs w:val="24"/>
          <w:shd w:val="clear" w:color="auto" w:fill="FFFFFF"/>
        </w:rPr>
        <w:t> mēnesī un noteikts 64 </w:t>
      </w:r>
      <w:r w:rsidRPr="0015154B">
        <w:rPr>
          <w:rFonts w:ascii="Times New Roman" w:hAnsi="Times New Roman" w:cs="Times New Roman"/>
          <w:i/>
          <w:iCs/>
          <w:sz w:val="24"/>
          <w:szCs w:val="24"/>
          <w:shd w:val="clear" w:color="auto" w:fill="FFFFFF"/>
        </w:rPr>
        <w:t>e</w:t>
      </w:r>
      <w:r w:rsidR="00DB391B" w:rsidRPr="0015154B">
        <w:rPr>
          <w:rFonts w:ascii="Times New Roman" w:hAnsi="Times New Roman" w:cs="Times New Roman"/>
          <w:i/>
          <w:iCs/>
          <w:sz w:val="24"/>
          <w:szCs w:val="24"/>
          <w:shd w:val="clear" w:color="auto" w:fill="FFFFFF"/>
        </w:rPr>
        <w:t>i</w:t>
      </w:r>
      <w:r w:rsidRPr="0015154B">
        <w:rPr>
          <w:rFonts w:ascii="Times New Roman" w:hAnsi="Times New Roman" w:cs="Times New Roman"/>
          <w:i/>
          <w:iCs/>
          <w:sz w:val="24"/>
          <w:szCs w:val="24"/>
          <w:shd w:val="clear" w:color="auto" w:fill="FFFFFF"/>
        </w:rPr>
        <w:t>ro</w:t>
      </w:r>
      <w:r w:rsidRPr="0015154B">
        <w:rPr>
          <w:rFonts w:ascii="Times New Roman" w:hAnsi="Times New Roman" w:cs="Times New Roman"/>
          <w:sz w:val="24"/>
          <w:szCs w:val="24"/>
          <w:shd w:val="clear" w:color="auto" w:fill="FFFFFF"/>
        </w:rPr>
        <w:t> apmērā. Tomēr GMI līmenis nedz 53 </w:t>
      </w:r>
      <w:r w:rsidRPr="0015154B">
        <w:rPr>
          <w:rFonts w:ascii="Times New Roman" w:hAnsi="Times New Roman" w:cs="Times New Roman"/>
          <w:i/>
          <w:iCs/>
          <w:sz w:val="24"/>
          <w:szCs w:val="24"/>
          <w:shd w:val="clear" w:color="auto" w:fill="FFFFFF"/>
        </w:rPr>
        <w:t>e</w:t>
      </w:r>
      <w:r w:rsidR="00DB391B" w:rsidRPr="0015154B">
        <w:rPr>
          <w:rFonts w:ascii="Times New Roman" w:hAnsi="Times New Roman" w:cs="Times New Roman"/>
          <w:i/>
          <w:iCs/>
          <w:sz w:val="24"/>
          <w:szCs w:val="24"/>
          <w:shd w:val="clear" w:color="auto" w:fill="FFFFFF"/>
        </w:rPr>
        <w:t>i</w:t>
      </w:r>
      <w:r w:rsidRPr="0015154B">
        <w:rPr>
          <w:rFonts w:ascii="Times New Roman" w:hAnsi="Times New Roman" w:cs="Times New Roman"/>
          <w:i/>
          <w:iCs/>
          <w:sz w:val="24"/>
          <w:szCs w:val="24"/>
          <w:shd w:val="clear" w:color="auto" w:fill="FFFFFF"/>
        </w:rPr>
        <w:t>ro</w:t>
      </w:r>
      <w:r w:rsidRPr="0015154B">
        <w:rPr>
          <w:rFonts w:ascii="Times New Roman" w:hAnsi="Times New Roman" w:cs="Times New Roman"/>
          <w:sz w:val="24"/>
          <w:szCs w:val="24"/>
          <w:shd w:val="clear" w:color="auto" w:fill="FFFFFF"/>
        </w:rPr>
        <w:t> apmērā, nedz arī 64 </w:t>
      </w:r>
      <w:r w:rsidRPr="0015154B">
        <w:rPr>
          <w:rFonts w:ascii="Times New Roman" w:hAnsi="Times New Roman" w:cs="Times New Roman"/>
          <w:i/>
          <w:iCs/>
          <w:sz w:val="24"/>
          <w:szCs w:val="24"/>
          <w:shd w:val="clear" w:color="auto" w:fill="FFFFFF"/>
        </w:rPr>
        <w:t>e</w:t>
      </w:r>
      <w:r w:rsidR="00DB391B" w:rsidRPr="0015154B">
        <w:rPr>
          <w:rFonts w:ascii="Times New Roman" w:hAnsi="Times New Roman" w:cs="Times New Roman"/>
          <w:i/>
          <w:iCs/>
          <w:sz w:val="24"/>
          <w:szCs w:val="24"/>
          <w:shd w:val="clear" w:color="auto" w:fill="FFFFFF"/>
        </w:rPr>
        <w:t>i</w:t>
      </w:r>
      <w:r w:rsidRPr="0015154B">
        <w:rPr>
          <w:rFonts w:ascii="Times New Roman" w:hAnsi="Times New Roman" w:cs="Times New Roman"/>
          <w:i/>
          <w:iCs/>
          <w:sz w:val="24"/>
          <w:szCs w:val="24"/>
          <w:shd w:val="clear" w:color="auto" w:fill="FFFFFF"/>
        </w:rPr>
        <w:t>ro</w:t>
      </w:r>
      <w:r w:rsidRPr="0015154B">
        <w:rPr>
          <w:rFonts w:ascii="Times New Roman" w:hAnsi="Times New Roman" w:cs="Times New Roman"/>
          <w:sz w:val="24"/>
          <w:szCs w:val="24"/>
          <w:shd w:val="clear" w:color="auto" w:fill="FFFFFF"/>
        </w:rPr>
        <w:t xml:space="preserve"> apmērā </w:t>
      </w:r>
      <w:r w:rsidR="00AC790D" w:rsidRPr="0015154B">
        <w:rPr>
          <w:rFonts w:ascii="Times New Roman" w:hAnsi="Times New Roman" w:cs="Times New Roman"/>
          <w:sz w:val="24"/>
          <w:szCs w:val="24"/>
          <w:shd w:val="clear" w:color="auto" w:fill="FFFFFF"/>
        </w:rPr>
        <w:t>nav</w:t>
      </w:r>
      <w:r w:rsidRPr="0015154B">
        <w:rPr>
          <w:rFonts w:ascii="Times New Roman" w:hAnsi="Times New Roman" w:cs="Times New Roman"/>
          <w:sz w:val="24"/>
          <w:szCs w:val="24"/>
          <w:shd w:val="clear" w:color="auto" w:fill="FFFFFF"/>
        </w:rPr>
        <w:t xml:space="preserve"> pietiekams, lai varētu nodrošināt cilvēka cienīgu dzīves līmeni.</w:t>
      </w:r>
      <w:r w:rsidRPr="007157D3">
        <w:rPr>
          <w:rStyle w:val="FootnoteReference"/>
          <w:rFonts w:ascii="Times New Roman" w:hAnsi="Times New Roman" w:cs="Times New Roman"/>
          <w:sz w:val="24"/>
          <w:szCs w:val="24"/>
          <w:shd w:val="clear" w:color="auto" w:fill="FFFFFF"/>
        </w:rPr>
        <w:footnoteReference w:id="77"/>
      </w:r>
    </w:p>
    <w:p w14:paraId="56499B7A" w14:textId="0E36BC4F" w:rsidR="00C954D4" w:rsidRPr="0015154B" w:rsidRDefault="004C2F58" w:rsidP="00CC5DD9">
      <w:pPr>
        <w:pStyle w:val="ListParagraph"/>
        <w:autoSpaceDE w:val="0"/>
        <w:autoSpaceDN w:val="0"/>
        <w:adjustRightInd w:val="0"/>
        <w:spacing w:before="120" w:after="0" w:line="240" w:lineRule="auto"/>
        <w:ind w:left="0" w:firstLine="714"/>
        <w:contextualSpacing w:val="0"/>
        <w:jc w:val="both"/>
        <w:rPr>
          <w:rFonts w:ascii="Times New Roman" w:hAnsi="Times New Roman" w:cs="Times New Roman"/>
          <w:sz w:val="24"/>
          <w:szCs w:val="24"/>
        </w:rPr>
      </w:pPr>
      <w:r w:rsidRPr="007157D3">
        <w:rPr>
          <w:rFonts w:ascii="Times New Roman" w:hAnsi="Times New Roman" w:cs="Times New Roman"/>
          <w:sz w:val="24"/>
          <w:szCs w:val="24"/>
        </w:rPr>
        <w:t>Visās valstīs, kurās noteikts mājokļa pabalsts, pastāv noteikti ierobežojumi faktiskajiem izdevumiem par mājokli</w:t>
      </w:r>
      <w:r w:rsidRPr="002F5278">
        <w:rPr>
          <w:rFonts w:ascii="Times New Roman" w:hAnsi="Times New Roman" w:cs="Times New Roman"/>
          <w:sz w:val="24"/>
          <w:szCs w:val="24"/>
        </w:rPr>
        <w:t>, kas pārsvarā gadījumu ir saistīti ar mājsaimniecības lielumu un materiālo situāciju. Latvijā ir noteikts, ka pašvaldībai no sava budžeta līd</w:t>
      </w:r>
      <w:r w:rsidRPr="008C6388">
        <w:rPr>
          <w:rFonts w:ascii="Times New Roman" w:hAnsi="Times New Roman" w:cs="Times New Roman"/>
          <w:sz w:val="24"/>
          <w:szCs w:val="24"/>
        </w:rPr>
        <w:t xml:space="preserve">zekļiem jāizmaksā </w:t>
      </w:r>
      <w:r w:rsidRPr="0025422D">
        <w:rPr>
          <w:rFonts w:ascii="Times New Roman" w:hAnsi="Times New Roman" w:cs="Times New Roman"/>
          <w:b/>
          <w:bCs/>
          <w:sz w:val="24"/>
          <w:szCs w:val="24"/>
        </w:rPr>
        <w:t>dzīvokļa pabalsts</w:t>
      </w:r>
      <w:r w:rsidRPr="0025422D">
        <w:rPr>
          <w:rFonts w:ascii="Times New Roman" w:hAnsi="Times New Roman" w:cs="Times New Roman"/>
          <w:sz w:val="24"/>
          <w:szCs w:val="24"/>
        </w:rPr>
        <w:t xml:space="preserve"> trūcīgām un maznodrošinātām ģimenēm vai atsevišķi dzīvojošām personām, taču pabalsta apmēru un kritērijus dzīvokļa pabalsta saņemšanai nosaka katra pašvaldība. Atsevišķas pašvaldības mājsaimniecībai apkures sezonā izmaks</w:t>
      </w:r>
      <w:r w:rsidRPr="00A857F2">
        <w:rPr>
          <w:rFonts w:ascii="Times New Roman" w:hAnsi="Times New Roman" w:cs="Times New Roman"/>
          <w:sz w:val="24"/>
          <w:szCs w:val="24"/>
        </w:rPr>
        <w:t>ā noteiktu summu, kura nesedz pat viena mēneša izdevumus par apkuri, savukārt citās pašvaldībās dzīvokļa pabalsta apmērs tiek aprēķināts pēc formulas, kurā tiek ņemti vērā normatīvie izdevumi par mājokli (mājo</w:t>
      </w:r>
      <w:r w:rsidRPr="00662D1E">
        <w:rPr>
          <w:rFonts w:ascii="Times New Roman" w:hAnsi="Times New Roman" w:cs="Times New Roman"/>
          <w:sz w:val="24"/>
          <w:szCs w:val="24"/>
        </w:rPr>
        <w:t xml:space="preserve">kļa platība, tiek apmaksāts noteikts daudzums izlietotās dabas gāzes, elektroenerģijas, aukstā un </w:t>
      </w:r>
      <w:r w:rsidRPr="00662D1E">
        <w:rPr>
          <w:rFonts w:ascii="Times New Roman" w:hAnsi="Times New Roman" w:cs="Times New Roman"/>
          <w:sz w:val="24"/>
          <w:szCs w:val="24"/>
        </w:rPr>
        <w:lastRenderedPageBreak/>
        <w:t>karstā ūdens u.c.), vai arī tiek nodrošināts noteikts daudzums cietā kurināmā (malka, ogles, briketes). Savukārt likums „Par pašvaldībām” pieļauj dzīvokļa pab</w:t>
      </w:r>
      <w:r w:rsidRPr="009703E6">
        <w:rPr>
          <w:rFonts w:ascii="Times New Roman" w:hAnsi="Times New Roman" w:cs="Times New Roman"/>
          <w:sz w:val="24"/>
          <w:szCs w:val="24"/>
        </w:rPr>
        <w:t>alstu izmaksāt arī noteiktām iedzīvotāju sociālajām grupām, kas neatbilst sociālās palīdzības sniegšanas pamatprincipiem, t.i., tas nav sasaistīts ar ienākumu vērtēšanu un trūcīgas vai maznodrošinātas personas vai ģimenes statusu. Tā rezultātā pašvaldību piešķirtā dzīvokļa pabalsta apmērs var svārstīties no dažiem eiro līdz pat vairākiem desmitiem eiro mēnesī.</w:t>
      </w:r>
    </w:p>
    <w:p w14:paraId="05C27E31" w14:textId="77777777" w:rsidR="004C2F58" w:rsidRPr="0015154B" w:rsidRDefault="004C2F58" w:rsidP="00C954D4">
      <w:pPr>
        <w:pStyle w:val="ListParagraph"/>
        <w:autoSpaceDE w:val="0"/>
        <w:autoSpaceDN w:val="0"/>
        <w:adjustRightInd w:val="0"/>
        <w:spacing w:after="0" w:line="240" w:lineRule="auto"/>
        <w:ind w:left="0" w:firstLine="714"/>
        <w:jc w:val="both"/>
        <w:rPr>
          <w:rFonts w:ascii="Times New Roman" w:hAnsi="Times New Roman" w:cs="Times New Roman"/>
          <w:sz w:val="24"/>
          <w:szCs w:val="24"/>
        </w:rPr>
      </w:pPr>
    </w:p>
    <w:p w14:paraId="28001B58" w14:textId="1B249665" w:rsidR="00DB391B" w:rsidRPr="0015154B" w:rsidRDefault="00DB391B" w:rsidP="00DB391B">
      <w:pPr>
        <w:pStyle w:val="naisf"/>
        <w:spacing w:before="0" w:beforeAutospacing="0" w:after="0" w:afterAutospacing="0"/>
        <w:jc w:val="both"/>
      </w:pPr>
      <w:r w:rsidRPr="0015154B">
        <w:t>1</w:t>
      </w:r>
      <w:r w:rsidR="006C2A9A">
        <w:t>4</w:t>
      </w:r>
      <w:r w:rsidRPr="0015154B">
        <w:t>.attēls</w:t>
      </w:r>
    </w:p>
    <w:p w14:paraId="2725BCA3" w14:textId="77777777" w:rsidR="00DB391B" w:rsidRPr="0015154B" w:rsidRDefault="00DB391B" w:rsidP="00DB391B">
      <w:pPr>
        <w:spacing w:line="240" w:lineRule="auto"/>
        <w:jc w:val="center"/>
        <w:rPr>
          <w:rFonts w:ascii="Times New Roman" w:hAnsi="Times New Roman" w:cs="Times New Roman"/>
          <w:b/>
          <w:color w:val="002060"/>
          <w:sz w:val="24"/>
          <w:szCs w:val="24"/>
        </w:rPr>
      </w:pPr>
      <w:bookmarkStart w:id="29" w:name="_Hlk51772163"/>
      <w:r w:rsidRPr="0015154B">
        <w:rPr>
          <w:rFonts w:ascii="Times New Roman" w:hAnsi="Times New Roman" w:cs="Times New Roman"/>
          <w:b/>
          <w:color w:val="002060"/>
          <w:sz w:val="24"/>
          <w:szCs w:val="24"/>
        </w:rPr>
        <w:t>Dzīvokļa pabalsta saņēmēju struktūra 2014. – 2019.gadā (personas)</w:t>
      </w:r>
    </w:p>
    <w:bookmarkEnd w:id="29"/>
    <w:p w14:paraId="6DC27F7F" w14:textId="77777777" w:rsidR="00DB391B" w:rsidRPr="007157D3" w:rsidRDefault="00DB391B" w:rsidP="00DB391B">
      <w:pPr>
        <w:pStyle w:val="naisf"/>
        <w:spacing w:before="0" w:beforeAutospacing="0" w:after="0" w:afterAutospacing="0"/>
        <w:jc w:val="both"/>
      </w:pPr>
      <w:r w:rsidRPr="008057B3">
        <w:rPr>
          <w:noProof/>
        </w:rPr>
        <w:drawing>
          <wp:inline distT="0" distB="0" distL="0" distR="0" wp14:anchorId="59A21383" wp14:editId="42A20053">
            <wp:extent cx="5515985" cy="3356658"/>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35684" cy="3368646"/>
                    </a:xfrm>
                    <a:prstGeom prst="rect">
                      <a:avLst/>
                    </a:prstGeom>
                    <a:noFill/>
                  </pic:spPr>
                </pic:pic>
              </a:graphicData>
            </a:graphic>
          </wp:inline>
        </w:drawing>
      </w:r>
    </w:p>
    <w:p w14:paraId="5694BA20" w14:textId="3F15D9BD" w:rsidR="00F762BE" w:rsidRDefault="004C2F58" w:rsidP="00B20717">
      <w:pPr>
        <w:pStyle w:val="naisf"/>
        <w:spacing w:before="0" w:beforeAutospacing="0" w:after="0" w:afterAutospacing="0"/>
        <w:jc w:val="both"/>
        <w:rPr>
          <w:sz w:val="20"/>
          <w:szCs w:val="20"/>
        </w:rPr>
      </w:pPr>
      <w:r w:rsidRPr="00B20717">
        <w:rPr>
          <w:sz w:val="20"/>
          <w:szCs w:val="20"/>
        </w:rPr>
        <w:t>Datu avots:</w:t>
      </w:r>
      <w:r w:rsidR="00B20717" w:rsidRPr="00B20717">
        <w:rPr>
          <w:sz w:val="20"/>
          <w:szCs w:val="20"/>
        </w:rPr>
        <w:t xml:space="preserve"> Pārskati par sociālajiem pakalpojumiem un sociālo palīdzību novada/republikas pilsētas pašvaldībā kopsavilkumi par 2014.-2019. gadu, LM dati</w:t>
      </w:r>
    </w:p>
    <w:p w14:paraId="444F0EE9" w14:textId="77777777" w:rsidR="00B20717" w:rsidRPr="007157D3" w:rsidRDefault="00B20717" w:rsidP="00B20717">
      <w:pPr>
        <w:pStyle w:val="naisf"/>
        <w:spacing w:before="0" w:beforeAutospacing="0" w:after="0" w:afterAutospacing="0"/>
        <w:jc w:val="both"/>
      </w:pPr>
    </w:p>
    <w:p w14:paraId="61A54F3A" w14:textId="77777777" w:rsidR="00D36870" w:rsidRPr="007157D3" w:rsidRDefault="00F762BE" w:rsidP="00F762BE">
      <w:pPr>
        <w:autoSpaceDE w:val="0"/>
        <w:autoSpaceDN w:val="0"/>
        <w:adjustRightInd w:val="0"/>
        <w:spacing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 xml:space="preserve">Gan neatkarīgu ekspertu veiktajos izvērtējumos gan LM veiktajos politikas izvērtējumos kā būtisks trūkums dzīvokļa pabalsta piešķiršanā ir identificēta atšķirīgā pieeja pašvaldībās, </w:t>
      </w:r>
      <w:r w:rsidRPr="002F5278">
        <w:rPr>
          <w:rFonts w:ascii="Times New Roman" w:hAnsi="Times New Roman" w:cs="Times New Roman"/>
          <w:sz w:val="24"/>
          <w:szCs w:val="24"/>
        </w:rPr>
        <w:t>atbalsta atkarība no katras pašvaldības finansiālajām iespējām, kā rezultātā ģimenes/ personas ar līdzvērtīgu ienākumu un materiāla stāvokļa līmeni nesaņem līdzvērtīgu pašvald</w:t>
      </w:r>
      <w:r w:rsidRPr="008C6388">
        <w:rPr>
          <w:rFonts w:ascii="Times New Roman" w:hAnsi="Times New Roman" w:cs="Times New Roman"/>
          <w:sz w:val="24"/>
          <w:szCs w:val="24"/>
        </w:rPr>
        <w:t>ību sociālo palīdzību un atbalstu, kā arī saistīto valsts atbalstu.</w:t>
      </w:r>
      <w:r w:rsidRPr="007157D3">
        <w:rPr>
          <w:rStyle w:val="FootnoteReference"/>
          <w:rFonts w:ascii="Times New Roman" w:hAnsi="Times New Roman" w:cs="Times New Roman"/>
          <w:sz w:val="24"/>
          <w:szCs w:val="24"/>
        </w:rPr>
        <w:footnoteReference w:id="78"/>
      </w:r>
      <w:r w:rsidRPr="007157D3">
        <w:rPr>
          <w:rFonts w:ascii="Times New Roman" w:hAnsi="Times New Roman" w:cs="Times New Roman"/>
          <w:sz w:val="24"/>
          <w:szCs w:val="24"/>
        </w:rPr>
        <w:t xml:space="preserve"> </w:t>
      </w:r>
    </w:p>
    <w:p w14:paraId="1DDD5956" w14:textId="7F30ED39" w:rsidR="00D36870" w:rsidRPr="007157D3" w:rsidRDefault="00D36870" w:rsidP="00CC5DD9">
      <w:pPr>
        <w:autoSpaceDE w:val="0"/>
        <w:autoSpaceDN w:val="0"/>
        <w:adjustRightInd w:val="0"/>
        <w:spacing w:before="120" w:after="0" w:line="240" w:lineRule="auto"/>
        <w:ind w:firstLine="720"/>
        <w:jc w:val="both"/>
        <w:rPr>
          <w:rFonts w:ascii="Arial" w:hAnsi="Arial" w:cs="Arial"/>
          <w:sz w:val="20"/>
          <w:szCs w:val="20"/>
          <w:shd w:val="clear" w:color="auto" w:fill="FFFFFF"/>
        </w:rPr>
      </w:pPr>
      <w:r w:rsidRPr="007157D3">
        <w:rPr>
          <w:rFonts w:ascii="Times New Roman" w:hAnsi="Times New Roman" w:cs="Times New Roman"/>
          <w:sz w:val="24"/>
          <w:szCs w:val="24"/>
        </w:rPr>
        <w:t>Pašvaldību nodrošināto pabalstu un sociālās palīdzības piešķiršan</w:t>
      </w:r>
      <w:r w:rsidRPr="008D3DCF">
        <w:rPr>
          <w:rFonts w:ascii="Times New Roman" w:hAnsi="Times New Roman" w:cs="Times New Roman"/>
          <w:sz w:val="24"/>
          <w:szCs w:val="24"/>
        </w:rPr>
        <w:t>as, t.sk. dzīvokļa pabalsta, noteiktie kritē</w:t>
      </w:r>
      <w:r w:rsidR="008057B3">
        <w:rPr>
          <w:rFonts w:ascii="Times New Roman" w:hAnsi="Times New Roman" w:cs="Times New Roman"/>
          <w:sz w:val="24"/>
          <w:szCs w:val="24"/>
        </w:rPr>
        <w:t>r</w:t>
      </w:r>
      <w:r w:rsidRPr="008D3DCF">
        <w:rPr>
          <w:rFonts w:ascii="Times New Roman" w:hAnsi="Times New Roman" w:cs="Times New Roman"/>
          <w:sz w:val="24"/>
          <w:szCs w:val="24"/>
        </w:rPr>
        <w:t>iji nav vienoti, to saņemšanai pašvaldībās tiek izmantoti dažādi lielumi un/vai kritēriji un pašvaldības to apmērus var noteikt pēc saviem ieskatiem. Valsts kontrole 2014.gada un 2020.gada revīzijas ziņojumos</w:t>
      </w:r>
      <w:r w:rsidRPr="007157D3">
        <w:rPr>
          <w:rStyle w:val="FootnoteReference"/>
          <w:rFonts w:ascii="Times New Roman" w:hAnsi="Times New Roman" w:cs="Times New Roman"/>
          <w:sz w:val="24"/>
          <w:szCs w:val="24"/>
        </w:rPr>
        <w:footnoteReference w:id="79"/>
      </w:r>
      <w:r w:rsidRPr="007157D3">
        <w:rPr>
          <w:rFonts w:ascii="Times New Roman" w:hAnsi="Times New Roman" w:cs="Times New Roman"/>
          <w:sz w:val="24"/>
          <w:szCs w:val="24"/>
        </w:rPr>
        <w:t xml:space="preserve"> ir secinājusi, ka nepieciešams vienādot kritērijus starp pašvaldību nodrošinātajiem sociālās palīdzības atbalsta pasākumiem, lai mazinātu nevienlīdzīgo attieksmi pret pabalsta pieprasītājiem pašvaldību starpā.</w:t>
      </w:r>
    </w:p>
    <w:p w14:paraId="61EC4AEC" w14:textId="07D81DBD" w:rsidR="00013CA6" w:rsidRPr="008D3DCF" w:rsidRDefault="00D36870" w:rsidP="00CC5DD9">
      <w:pPr>
        <w:autoSpaceDE w:val="0"/>
        <w:autoSpaceDN w:val="0"/>
        <w:adjustRightInd w:val="0"/>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sz w:val="24"/>
          <w:szCs w:val="24"/>
          <w:shd w:val="clear" w:color="auto" w:fill="FFFFFF"/>
        </w:rPr>
        <w:t xml:space="preserve">Latvijas Republikas Satversmes tiesas 2020.gada 25.jūnija spriedumā ir secināts, ka, lai gan dzīvokļa pabalsts </w:t>
      </w:r>
      <w:r w:rsidR="00B20717">
        <w:rPr>
          <w:rFonts w:ascii="Times New Roman" w:hAnsi="Times New Roman" w:cs="Times New Roman"/>
          <w:sz w:val="24"/>
          <w:szCs w:val="24"/>
          <w:shd w:val="clear" w:color="auto" w:fill="FFFFFF"/>
        </w:rPr>
        <w:t>Sociālo pakalpojumu un sociālās palīdzības likumā (turpmāk – SPSPL)</w:t>
      </w:r>
      <w:r w:rsidRPr="002F5278">
        <w:rPr>
          <w:rFonts w:ascii="Times New Roman" w:hAnsi="Times New Roman" w:cs="Times New Roman"/>
          <w:sz w:val="24"/>
          <w:szCs w:val="24"/>
          <w:shd w:val="clear" w:color="auto" w:fill="FFFFFF"/>
        </w:rPr>
        <w:t xml:space="preserve"> </w:t>
      </w:r>
      <w:r w:rsidRPr="002F5278">
        <w:rPr>
          <w:rFonts w:ascii="Times New Roman" w:hAnsi="Times New Roman" w:cs="Times New Roman"/>
          <w:sz w:val="24"/>
          <w:szCs w:val="24"/>
          <w:shd w:val="clear" w:color="auto" w:fill="FFFFFF"/>
        </w:rPr>
        <w:lastRenderedPageBreak/>
        <w:t>ir noteikts kā obligāti izmaks</w:t>
      </w:r>
      <w:r w:rsidRPr="008C6388">
        <w:rPr>
          <w:rFonts w:ascii="Times New Roman" w:hAnsi="Times New Roman" w:cs="Times New Roman"/>
          <w:sz w:val="24"/>
          <w:szCs w:val="24"/>
          <w:shd w:val="clear" w:color="auto" w:fill="FFFFFF"/>
        </w:rPr>
        <w:t>ājams pabalsts trūcīgām personām, tomēr, tā kā š</w:t>
      </w:r>
      <w:r w:rsidR="00DB391B" w:rsidRPr="0025422D">
        <w:rPr>
          <w:rFonts w:ascii="Times New Roman" w:hAnsi="Times New Roman" w:cs="Times New Roman"/>
          <w:sz w:val="24"/>
          <w:szCs w:val="24"/>
          <w:shd w:val="clear" w:color="auto" w:fill="FFFFFF"/>
        </w:rPr>
        <w:t>ī</w:t>
      </w:r>
      <w:r w:rsidRPr="0025422D">
        <w:rPr>
          <w:rFonts w:ascii="Times New Roman" w:hAnsi="Times New Roman" w:cs="Times New Roman"/>
          <w:sz w:val="24"/>
          <w:szCs w:val="24"/>
          <w:shd w:val="clear" w:color="auto" w:fill="FFFFFF"/>
        </w:rPr>
        <w:t xml:space="preserve"> pabalsta aprēķināšanas metodika, apmērs un piešķiršanas kārtība katrā pašvaldībā ir regulēta atšķirīgi un ne visās pašvaldībās dzīvokļa pabalsts tiek piešķirts katru mēnesi, tāpēc saņemtās pabalstu summas i</w:t>
      </w:r>
      <w:r w:rsidRPr="00A857F2">
        <w:rPr>
          <w:rFonts w:ascii="Times New Roman" w:hAnsi="Times New Roman" w:cs="Times New Roman"/>
          <w:sz w:val="24"/>
          <w:szCs w:val="24"/>
          <w:shd w:val="clear" w:color="auto" w:fill="FFFFFF"/>
        </w:rPr>
        <w:t>r atšķirīgas.</w:t>
      </w:r>
      <w:r w:rsidRPr="00662D1E">
        <w:rPr>
          <w:rStyle w:val="FootnoteReference"/>
          <w:rFonts w:ascii="Times New Roman" w:hAnsi="Times New Roman" w:cs="Times New Roman"/>
          <w:sz w:val="24"/>
          <w:szCs w:val="24"/>
          <w:shd w:val="clear" w:color="auto" w:fill="FFFFFF"/>
        </w:rPr>
        <w:t xml:space="preserve"> </w:t>
      </w:r>
      <w:r w:rsidRPr="007157D3">
        <w:rPr>
          <w:rStyle w:val="FootnoteReference"/>
          <w:rFonts w:ascii="Times New Roman" w:hAnsi="Times New Roman" w:cs="Times New Roman"/>
          <w:sz w:val="24"/>
          <w:szCs w:val="24"/>
          <w:shd w:val="clear" w:color="auto" w:fill="FFFFFF"/>
        </w:rPr>
        <w:footnoteReference w:id="80"/>
      </w:r>
      <w:r w:rsidRPr="007157D3">
        <w:t xml:space="preserve"> </w:t>
      </w:r>
      <w:r w:rsidR="00013CA6" w:rsidRPr="007157D3">
        <w:rPr>
          <w:rFonts w:ascii="Times New Roman" w:hAnsi="Times New Roman" w:cs="Times New Roman"/>
          <w:sz w:val="24"/>
          <w:szCs w:val="24"/>
        </w:rPr>
        <w:t xml:space="preserve">Esošais tiesiskais regulējums rada nevienlīdzīgu situāciju iedzīvotājiem nabadzīgākajās un bagātākajās pašvaldībās.    </w:t>
      </w:r>
    </w:p>
    <w:p w14:paraId="3ED76E7D" w14:textId="31A02704" w:rsidR="00F762BE" w:rsidRPr="002F5278" w:rsidRDefault="00F762BE" w:rsidP="00134319">
      <w:pPr>
        <w:spacing w:after="0" w:line="240" w:lineRule="auto"/>
        <w:jc w:val="both"/>
        <w:rPr>
          <w:rFonts w:ascii="Times New Roman" w:hAnsi="Times New Roman" w:cs="Times New Roman"/>
          <w:sz w:val="24"/>
          <w:szCs w:val="24"/>
        </w:rPr>
      </w:pPr>
    </w:p>
    <w:p w14:paraId="6805803E" w14:textId="457C284F" w:rsidR="00134319" w:rsidRPr="0025422D" w:rsidRDefault="00134319" w:rsidP="001101F7">
      <w:pPr>
        <w:pStyle w:val="Heading3"/>
      </w:pPr>
      <w:bookmarkStart w:id="30" w:name="_Toc55316071"/>
      <w:r w:rsidRPr="0025422D">
        <w:t>Eiropas Atbalsta Fonda vistrūcīgākām personām sniegtais atbalsts</w:t>
      </w:r>
      <w:bookmarkEnd w:id="30"/>
    </w:p>
    <w:p w14:paraId="4E9F40D9" w14:textId="2CA47EA9" w:rsidR="006E6C03" w:rsidRPr="007157D3" w:rsidRDefault="006E6C03" w:rsidP="00CC5DD9">
      <w:pPr>
        <w:spacing w:before="120" w:after="0" w:line="240" w:lineRule="auto"/>
        <w:ind w:firstLine="709"/>
        <w:jc w:val="both"/>
        <w:rPr>
          <w:rFonts w:ascii="Times New Roman" w:hAnsi="Times New Roman" w:cs="Times New Roman"/>
          <w:sz w:val="24"/>
          <w:szCs w:val="24"/>
        </w:rPr>
      </w:pPr>
      <w:r w:rsidRPr="00A857F2">
        <w:rPr>
          <w:rFonts w:ascii="Times New Roman" w:hAnsi="Times New Roman" w:cs="Times New Roman"/>
          <w:sz w:val="24"/>
          <w:szCs w:val="24"/>
        </w:rPr>
        <w:t>No 2015</w:t>
      </w:r>
      <w:r w:rsidRPr="00662D1E">
        <w:rPr>
          <w:rFonts w:ascii="Times New Roman" w:hAnsi="Times New Roman" w:cs="Times New Roman"/>
          <w:sz w:val="24"/>
          <w:szCs w:val="24"/>
        </w:rPr>
        <w:t>.gada Latvijā tiek īstenota Eiropas Atbalsta Fonda vistrūcīgākajām personām (turpmāk – EAFVP) un valsts budžeta līdzfinansētā darbības programma “Pārtikas un pamata materiālās palīdzības sniegšana vistrūcīgākajām personām 2014.-2020. gada plānošanas period</w:t>
      </w:r>
      <w:r w:rsidRPr="009703E6">
        <w:rPr>
          <w:rFonts w:ascii="Times New Roman" w:hAnsi="Times New Roman" w:cs="Times New Roman"/>
          <w:sz w:val="24"/>
          <w:szCs w:val="24"/>
        </w:rPr>
        <w:t>ā”</w:t>
      </w:r>
      <w:r w:rsidRPr="007157D3">
        <w:rPr>
          <w:rStyle w:val="FootnoteReference"/>
          <w:rFonts w:ascii="Times New Roman" w:hAnsi="Times New Roman" w:cs="Times New Roman"/>
          <w:sz w:val="24"/>
          <w:szCs w:val="24"/>
        </w:rPr>
        <w:footnoteReference w:id="81"/>
      </w:r>
      <w:r w:rsidRPr="007157D3">
        <w:rPr>
          <w:rFonts w:ascii="Times New Roman" w:hAnsi="Times New Roman" w:cs="Times New Roman"/>
          <w:sz w:val="24"/>
          <w:szCs w:val="24"/>
        </w:rPr>
        <w:t xml:space="preserve"> (turpmāk – Darbības programma). Darbības programmas mērķis ir mazināt pārtikas un pamata materiālo nenodrošinātību, vienlaikus mazinot vistrūcīgāko iedzīvotāju sociālo atstumtību.</w:t>
      </w:r>
    </w:p>
    <w:p w14:paraId="4E87A663" w14:textId="5AE083CD" w:rsidR="006E6C03" w:rsidRPr="0015154B" w:rsidRDefault="00313607" w:rsidP="00CC5DD9">
      <w:pPr>
        <w:spacing w:before="120" w:after="0" w:line="240" w:lineRule="auto"/>
        <w:ind w:firstLine="709"/>
        <w:jc w:val="both"/>
        <w:rPr>
          <w:rFonts w:ascii="Times New Roman" w:hAnsi="Times New Roman" w:cs="Times New Roman"/>
          <w:sz w:val="24"/>
          <w:szCs w:val="24"/>
        </w:rPr>
      </w:pPr>
      <w:r w:rsidRPr="007157D3">
        <w:rPr>
          <w:rFonts w:ascii="Times New Roman" w:hAnsi="Times New Roman" w:cs="Times New Roman"/>
          <w:sz w:val="24"/>
          <w:szCs w:val="24"/>
        </w:rPr>
        <w:t>Līdz 2018.gada 1.aprīlim</w:t>
      </w:r>
      <w:r w:rsidR="006E6C03" w:rsidRPr="008D3DCF">
        <w:rPr>
          <w:rFonts w:ascii="Times New Roman" w:hAnsi="Times New Roman" w:cs="Times New Roman"/>
          <w:sz w:val="24"/>
          <w:szCs w:val="24"/>
        </w:rPr>
        <w:t xml:space="preserve"> atbalstu var</w:t>
      </w:r>
      <w:r w:rsidRPr="002F5278">
        <w:rPr>
          <w:rFonts w:ascii="Times New Roman" w:hAnsi="Times New Roman" w:cs="Times New Roman"/>
          <w:sz w:val="24"/>
          <w:szCs w:val="24"/>
        </w:rPr>
        <w:t>ēja</w:t>
      </w:r>
      <w:r w:rsidR="006E6C03" w:rsidRPr="008C6388">
        <w:rPr>
          <w:rFonts w:ascii="Times New Roman" w:hAnsi="Times New Roman" w:cs="Times New Roman"/>
          <w:sz w:val="24"/>
          <w:szCs w:val="24"/>
        </w:rPr>
        <w:t xml:space="preserve"> saņemt ģimene (persona), kurai sociālais dienests ir izsniedzis izziņu par trū</w:t>
      </w:r>
      <w:r w:rsidR="006E6C03" w:rsidRPr="0025422D">
        <w:rPr>
          <w:rFonts w:ascii="Times New Roman" w:hAnsi="Times New Roman" w:cs="Times New Roman"/>
          <w:sz w:val="24"/>
          <w:szCs w:val="24"/>
        </w:rPr>
        <w:t xml:space="preserve">cīgās personas statusu vai nonākšanu krīzes situācijā. </w:t>
      </w:r>
      <w:r w:rsidRPr="0025422D">
        <w:rPr>
          <w:rFonts w:ascii="Times New Roman" w:hAnsi="Times New Roman" w:cs="Times New Roman"/>
          <w:sz w:val="24"/>
          <w:szCs w:val="24"/>
        </w:rPr>
        <w:t>N</w:t>
      </w:r>
      <w:r w:rsidR="006E6C03" w:rsidRPr="00A857F2">
        <w:rPr>
          <w:rFonts w:ascii="Times New Roman" w:hAnsi="Times New Roman" w:cs="Times New Roman"/>
          <w:sz w:val="24"/>
          <w:szCs w:val="24"/>
        </w:rPr>
        <w:t>o 2018.gada 1.aprīļa atbalst</w:t>
      </w:r>
      <w:r w:rsidRPr="009703E6">
        <w:rPr>
          <w:rFonts w:ascii="Times New Roman" w:hAnsi="Times New Roman" w:cs="Times New Roman"/>
          <w:sz w:val="24"/>
          <w:szCs w:val="24"/>
        </w:rPr>
        <w:t>a saņēmēju loks tika paplašināts, iekļaujot arī tās</w:t>
      </w:r>
      <w:r w:rsidR="006E6C03" w:rsidRPr="009703E6">
        <w:rPr>
          <w:rFonts w:ascii="Times New Roman" w:hAnsi="Times New Roman" w:cs="Times New Roman"/>
          <w:sz w:val="24"/>
          <w:szCs w:val="24"/>
        </w:rPr>
        <w:t xml:space="preserve"> ģimene</w:t>
      </w:r>
      <w:r w:rsidRPr="009703E6">
        <w:rPr>
          <w:rFonts w:ascii="Times New Roman" w:hAnsi="Times New Roman" w:cs="Times New Roman"/>
          <w:sz w:val="24"/>
          <w:szCs w:val="24"/>
        </w:rPr>
        <w:t>s</w:t>
      </w:r>
      <w:r w:rsidR="006E6C03" w:rsidRPr="0015154B">
        <w:rPr>
          <w:rFonts w:ascii="Times New Roman" w:hAnsi="Times New Roman" w:cs="Times New Roman"/>
          <w:sz w:val="24"/>
          <w:szCs w:val="24"/>
        </w:rPr>
        <w:t xml:space="preserve"> (persona</w:t>
      </w:r>
      <w:r w:rsidRPr="0015154B">
        <w:rPr>
          <w:rFonts w:ascii="Times New Roman" w:hAnsi="Times New Roman" w:cs="Times New Roman"/>
          <w:sz w:val="24"/>
          <w:szCs w:val="24"/>
        </w:rPr>
        <w:t>s</w:t>
      </w:r>
      <w:r w:rsidR="006E6C03" w:rsidRPr="0015154B">
        <w:rPr>
          <w:rFonts w:ascii="Times New Roman" w:hAnsi="Times New Roman" w:cs="Times New Roman"/>
          <w:sz w:val="24"/>
          <w:szCs w:val="24"/>
        </w:rPr>
        <w:t>), kur</w:t>
      </w:r>
      <w:r w:rsidRPr="0015154B">
        <w:rPr>
          <w:rFonts w:ascii="Times New Roman" w:hAnsi="Times New Roman" w:cs="Times New Roman"/>
          <w:sz w:val="24"/>
          <w:szCs w:val="24"/>
        </w:rPr>
        <w:t>ām</w:t>
      </w:r>
      <w:r w:rsidR="006E6C03" w:rsidRPr="0015154B">
        <w:rPr>
          <w:rFonts w:ascii="Times New Roman" w:hAnsi="Times New Roman" w:cs="Times New Roman"/>
          <w:sz w:val="24"/>
          <w:szCs w:val="24"/>
        </w:rPr>
        <w:t xml:space="preserve"> sociālais dienests ir izsniedzis izziņu par maznodrošinātās personas (ar ienākumiem līdz 188 e</w:t>
      </w:r>
      <w:r w:rsidR="006545F7" w:rsidRPr="0015154B">
        <w:rPr>
          <w:rFonts w:ascii="Times New Roman" w:hAnsi="Times New Roman" w:cs="Times New Roman"/>
          <w:sz w:val="24"/>
          <w:szCs w:val="24"/>
        </w:rPr>
        <w:t>i</w:t>
      </w:r>
      <w:r w:rsidR="006E6C03" w:rsidRPr="0015154B">
        <w:rPr>
          <w:rFonts w:ascii="Times New Roman" w:hAnsi="Times New Roman" w:cs="Times New Roman"/>
          <w:sz w:val="24"/>
          <w:szCs w:val="24"/>
        </w:rPr>
        <w:t>ro mēnesī) statusu, bet no 2019.gada 1.janvāra – izziņu par maznodrošinātās personas (ar ienākumiem līdz 242 e</w:t>
      </w:r>
      <w:r w:rsidR="006545F7" w:rsidRPr="0015154B">
        <w:rPr>
          <w:rFonts w:ascii="Times New Roman" w:hAnsi="Times New Roman" w:cs="Times New Roman"/>
          <w:sz w:val="24"/>
          <w:szCs w:val="24"/>
        </w:rPr>
        <w:t>i</w:t>
      </w:r>
      <w:r w:rsidR="006E6C03" w:rsidRPr="0015154B">
        <w:rPr>
          <w:rFonts w:ascii="Times New Roman" w:hAnsi="Times New Roman" w:cs="Times New Roman"/>
          <w:sz w:val="24"/>
          <w:szCs w:val="24"/>
        </w:rPr>
        <w:t>ro mēnesī) statusu. Izmaiņas atbalsta saņemšanas nosacījumos, 2018. un 2019. gadā paaugstinot ienākumu slieksni, ļauj atbalstīt lielāku skaitu ģimeņu</w:t>
      </w:r>
      <w:r w:rsidRPr="0015154B">
        <w:rPr>
          <w:rFonts w:ascii="Times New Roman" w:hAnsi="Times New Roman" w:cs="Times New Roman"/>
          <w:sz w:val="24"/>
          <w:szCs w:val="24"/>
        </w:rPr>
        <w:t>/ personu</w:t>
      </w:r>
      <w:r w:rsidR="006E6C03" w:rsidRPr="0015154B">
        <w:rPr>
          <w:rFonts w:ascii="Times New Roman" w:hAnsi="Times New Roman" w:cs="Times New Roman"/>
          <w:sz w:val="24"/>
          <w:szCs w:val="24"/>
        </w:rPr>
        <w:t xml:space="preserve"> ar zemiem ienākumiem. Ik gadu atbalstu Latvijā saņem aptuveni 70 tūkstoši unikālo personu </w:t>
      </w:r>
      <w:r w:rsidR="00026CEE" w:rsidRPr="0015154B">
        <w:rPr>
          <w:rFonts w:ascii="Times New Roman" w:hAnsi="Times New Roman" w:cs="Times New Roman"/>
          <w:sz w:val="24"/>
          <w:szCs w:val="24"/>
        </w:rPr>
        <w:t>(</w:t>
      </w:r>
      <w:r w:rsidR="006E6C03" w:rsidRPr="0015154B">
        <w:rPr>
          <w:rFonts w:ascii="Times New Roman" w:hAnsi="Times New Roman" w:cs="Times New Roman"/>
          <w:sz w:val="24"/>
          <w:szCs w:val="24"/>
          <w:highlight w:val="yellow"/>
        </w:rPr>
        <w:t xml:space="preserve">skat. 3. pielikuma </w:t>
      </w:r>
      <w:r w:rsidR="00026CEE" w:rsidRPr="0015154B">
        <w:rPr>
          <w:rFonts w:ascii="Times New Roman" w:hAnsi="Times New Roman" w:cs="Times New Roman"/>
          <w:sz w:val="24"/>
          <w:szCs w:val="24"/>
          <w:highlight w:val="yellow"/>
        </w:rPr>
        <w:t>7.</w:t>
      </w:r>
      <w:r w:rsidR="006E6C03" w:rsidRPr="0015154B">
        <w:rPr>
          <w:rFonts w:ascii="Times New Roman" w:hAnsi="Times New Roman" w:cs="Times New Roman"/>
          <w:sz w:val="24"/>
          <w:szCs w:val="24"/>
          <w:highlight w:val="yellow"/>
        </w:rPr>
        <w:t>tabulu</w:t>
      </w:r>
      <w:r w:rsidR="00026CEE" w:rsidRPr="0015154B">
        <w:rPr>
          <w:rFonts w:ascii="Times New Roman" w:hAnsi="Times New Roman" w:cs="Times New Roman"/>
          <w:sz w:val="24"/>
          <w:szCs w:val="24"/>
        </w:rPr>
        <w:t>)</w:t>
      </w:r>
      <w:r w:rsidR="006E6C03" w:rsidRPr="0015154B">
        <w:rPr>
          <w:rFonts w:ascii="Times New Roman" w:hAnsi="Times New Roman" w:cs="Times New Roman"/>
          <w:sz w:val="24"/>
          <w:szCs w:val="24"/>
        </w:rPr>
        <w:t xml:space="preserve">. COVID-19 uzliesmojuma pirmajos 3 mēnešos EAFVP atbalsta gala saņēmēju skaits – zemu ienākumu mājsaimniecības </w:t>
      </w:r>
      <w:r w:rsidR="00AC790D" w:rsidRPr="0015154B">
        <w:rPr>
          <w:rFonts w:ascii="Times New Roman" w:hAnsi="Times New Roman" w:cs="Times New Roman"/>
          <w:sz w:val="24"/>
          <w:szCs w:val="24"/>
        </w:rPr>
        <w:t xml:space="preserve">- </w:t>
      </w:r>
      <w:r w:rsidR="006E6C03" w:rsidRPr="0015154B">
        <w:rPr>
          <w:rFonts w:ascii="Times New Roman" w:hAnsi="Times New Roman" w:cs="Times New Roman"/>
          <w:sz w:val="24"/>
          <w:szCs w:val="24"/>
        </w:rPr>
        <w:t xml:space="preserve">palielinājies par 7%, kā arī strauji pieauga krīzes situācijā nonākušo personu skaits. </w:t>
      </w:r>
    </w:p>
    <w:p w14:paraId="450710D6" w14:textId="0841DADC" w:rsidR="006E6C03" w:rsidRPr="0015154B" w:rsidRDefault="00F171B5" w:rsidP="00CC5DD9">
      <w:pPr>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EAFVP atbalsta</w:t>
      </w:r>
      <w:r w:rsidR="006E6C03" w:rsidRPr="0015154B">
        <w:rPr>
          <w:rFonts w:ascii="Times New Roman" w:hAnsi="Times New Roman" w:cs="Times New Roman"/>
          <w:sz w:val="24"/>
          <w:szCs w:val="24"/>
        </w:rPr>
        <w:t xml:space="preserve"> ietvaros attiecīgā ģimene (persona) visā Latvijas teritorijā (aptuveni 450 izdales vietās) var saņemt šādus komplektus:</w:t>
      </w:r>
    </w:p>
    <w:p w14:paraId="3B1DB8A9" w14:textId="77777777" w:rsidR="006E6C03" w:rsidRPr="0015154B" w:rsidRDefault="006E6C03" w:rsidP="00974071">
      <w:pPr>
        <w:pStyle w:val="ListParagraph"/>
        <w:numPr>
          <w:ilvl w:val="0"/>
          <w:numId w:val="37"/>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pārtikas preču komplektus visas personas bez vecuma ierobežojumiem (komplekta saturs pilnveidots 2016. un 2019. gadā, kas</w:t>
      </w:r>
      <w:r w:rsidRPr="0015154B">
        <w:t xml:space="preserve"> </w:t>
      </w:r>
      <w:r w:rsidRPr="0015154B">
        <w:rPr>
          <w:rFonts w:ascii="Times New Roman" w:hAnsi="Times New Roman" w:cs="Times New Roman"/>
          <w:sz w:val="24"/>
          <w:szCs w:val="24"/>
        </w:rPr>
        <w:t>ļauj nodrošināt zemu ienākumu mājsaimniecību vajadzībām nepieciešamu un atbilstošu atbalstu);</w:t>
      </w:r>
    </w:p>
    <w:p w14:paraId="7E41F9D7" w14:textId="6BF024A4" w:rsidR="006E6C03" w:rsidRPr="0015154B" w:rsidRDefault="006E6C03" w:rsidP="00974071">
      <w:pPr>
        <w:pStyle w:val="ListParagraph"/>
        <w:numPr>
          <w:ilvl w:val="0"/>
          <w:numId w:val="37"/>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higiēnas un saimniecības preču komplektus visas personas bez vecuma ierobežojuma (līdz 2018.gada beigām šo komplektu saņēmēji bija tikai ģimenes ar bērniem līdz 18 gadiem);</w:t>
      </w:r>
    </w:p>
    <w:p w14:paraId="441AB420" w14:textId="77777777" w:rsidR="006E6C03" w:rsidRPr="0015154B" w:rsidRDefault="006E6C03" w:rsidP="00974071">
      <w:pPr>
        <w:pStyle w:val="ListParagraph"/>
        <w:numPr>
          <w:ilvl w:val="0"/>
          <w:numId w:val="37"/>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papildus pārtikas preču komplektus maziem bērniem no 7 mēnešu līdz 2 gadu vecumam (3 komplektu veidi atkarībā no bērna vecuma);</w:t>
      </w:r>
    </w:p>
    <w:p w14:paraId="4F7D15C0" w14:textId="77777777" w:rsidR="006E6C03" w:rsidRPr="0015154B" w:rsidRDefault="006E6C03" w:rsidP="00974071">
      <w:pPr>
        <w:pStyle w:val="ListParagraph"/>
        <w:numPr>
          <w:ilvl w:val="0"/>
          <w:numId w:val="37"/>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papildus higiēnas preču komplektus maziem bērniem līdz 2 gadu vecumam (4 komplektu veidi atkarībā no bērna vecuma);</w:t>
      </w:r>
    </w:p>
    <w:p w14:paraId="0CB856B2" w14:textId="77777777" w:rsidR="006E6C03" w:rsidRPr="0015154B" w:rsidRDefault="006E6C03" w:rsidP="00974071">
      <w:pPr>
        <w:pStyle w:val="ListParagraph"/>
        <w:numPr>
          <w:ilvl w:val="0"/>
          <w:numId w:val="37"/>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skolas piederumu komplektus (bērniem vecumā no 5 līdz 16 gadiem).</w:t>
      </w:r>
    </w:p>
    <w:p w14:paraId="10FBC42E" w14:textId="4A9C5EDD" w:rsidR="006E6C03" w:rsidRPr="0015154B" w:rsidRDefault="006E6C03" w:rsidP="007A3CF5">
      <w:pPr>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Papildus ģimene (persona) var piedalīties Darbības programmas partnerorganizāciju organizētajos papildpasākumos, kas pamatā ir neformāli izglītojošie, konsultatīvie un socializēšanās pasākumi.</w:t>
      </w:r>
      <w:r w:rsidR="00F171B5"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Vienlaikus </w:t>
      </w:r>
      <w:r w:rsidR="00F171B5" w:rsidRPr="0015154B">
        <w:rPr>
          <w:rFonts w:ascii="Times New Roman" w:hAnsi="Times New Roman" w:cs="Times New Roman"/>
          <w:sz w:val="24"/>
          <w:szCs w:val="24"/>
        </w:rPr>
        <w:t xml:space="preserve">EAFVP atbalsta </w:t>
      </w:r>
      <w:r w:rsidRPr="0015154B">
        <w:rPr>
          <w:rFonts w:ascii="Times New Roman" w:hAnsi="Times New Roman" w:cs="Times New Roman"/>
          <w:sz w:val="24"/>
          <w:szCs w:val="24"/>
        </w:rPr>
        <w:t>ietvaros Latvijā 23 zupas virtuves nodrošina maltīšu izsniegšanu. Maltīšu saņemšanai nav nepieciešama trūcīgās vai maznodrošinātās personas statusu apliecinošā izziņa.</w:t>
      </w:r>
    </w:p>
    <w:p w14:paraId="3A8C571C" w14:textId="77777777" w:rsidR="006E6C03" w:rsidRPr="007157D3" w:rsidRDefault="006E6C03" w:rsidP="007A3CF5">
      <w:pPr>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Balstoties uz 2014. - 2020. gada plānošanas periodā veiktās ikgadējās EAFVP ieviešanas novērtēšanas rezultātiem</w:t>
      </w:r>
      <w:r w:rsidRPr="007157D3">
        <w:rPr>
          <w:rStyle w:val="FootnoteReference"/>
          <w:rFonts w:ascii="Times New Roman" w:hAnsi="Times New Roman" w:cs="Times New Roman"/>
          <w:sz w:val="24"/>
          <w:szCs w:val="24"/>
        </w:rPr>
        <w:footnoteReference w:id="82"/>
      </w:r>
      <w:r w:rsidRPr="007157D3">
        <w:rPr>
          <w:rFonts w:ascii="Times New Roman" w:hAnsi="Times New Roman" w:cs="Times New Roman"/>
          <w:sz w:val="24"/>
          <w:szCs w:val="24"/>
        </w:rPr>
        <w:t xml:space="preserve"> var secināt, ka EAFVP pārtikas un pamata materiālās </w:t>
      </w:r>
      <w:r w:rsidRPr="007157D3">
        <w:rPr>
          <w:rFonts w:ascii="Times New Roman" w:hAnsi="Times New Roman" w:cs="Times New Roman"/>
          <w:sz w:val="24"/>
          <w:szCs w:val="24"/>
        </w:rPr>
        <w:lastRenderedPageBreak/>
        <w:t>palīdzības atbalsts ir atvieglojis vistrūcīgāko iedzīvotāju un mājsaimniecību budžeta slogu, ietaupītos līdzekļus ļaujot novirzīt citiem ģimenei nepieciešamajiem tēriņiem, tādiem kā papildu pārtikas, apavu un apģērbu iegādei, ārsta apmeklējumam un medikamentu iegādei, bērnu ārpusskolas nodarbību apmaksai.</w:t>
      </w:r>
    </w:p>
    <w:p w14:paraId="34F699C0" w14:textId="77777777" w:rsidR="006E6C03" w:rsidRPr="007157D3" w:rsidRDefault="006E6C03" w:rsidP="007A3CF5">
      <w:pPr>
        <w:spacing w:before="120" w:after="0" w:line="240" w:lineRule="auto"/>
        <w:ind w:firstLine="709"/>
        <w:jc w:val="both"/>
        <w:rPr>
          <w:rFonts w:ascii="Times New Roman" w:hAnsi="Times New Roman" w:cs="Times New Roman"/>
          <w:sz w:val="24"/>
          <w:szCs w:val="24"/>
        </w:rPr>
      </w:pPr>
      <w:r w:rsidRPr="007157D3">
        <w:rPr>
          <w:rFonts w:ascii="Times New Roman" w:hAnsi="Times New Roman" w:cs="Times New Roman"/>
          <w:sz w:val="24"/>
          <w:szCs w:val="24"/>
        </w:rPr>
        <w:t>Vienlaikus 2014. - 2020. gada plānošanas perioda EAFVP ieviešanas vidusposma novērtējuma rezultāti liecina, ka atbalstītie pārtikas nodrošināšanas, materiā</w:t>
      </w:r>
      <w:r w:rsidRPr="002F5278">
        <w:rPr>
          <w:rFonts w:ascii="Times New Roman" w:hAnsi="Times New Roman" w:cs="Times New Roman"/>
          <w:sz w:val="24"/>
          <w:szCs w:val="24"/>
        </w:rPr>
        <w:t>lās palīdzības sniegšanas un sociālās iekļaušanas pasākumi būtiski palīdz vistrūcīgākajām personām, tostarp tām, kuras ci</w:t>
      </w:r>
      <w:r w:rsidRPr="008C6388">
        <w:rPr>
          <w:rFonts w:ascii="Times New Roman" w:hAnsi="Times New Roman" w:cs="Times New Roman"/>
          <w:sz w:val="24"/>
          <w:szCs w:val="24"/>
        </w:rPr>
        <w:t>tādi nesaņemtu vispārējo sociālo palīdzību vai kurām nepieciešams tūlītējs atbalsts</w:t>
      </w:r>
      <w:r w:rsidRPr="007157D3">
        <w:rPr>
          <w:rStyle w:val="FootnoteReference"/>
          <w:rFonts w:ascii="Times New Roman" w:hAnsi="Times New Roman" w:cs="Times New Roman"/>
          <w:sz w:val="24"/>
          <w:szCs w:val="24"/>
        </w:rPr>
        <w:footnoteReference w:id="83"/>
      </w:r>
      <w:r w:rsidRPr="007157D3">
        <w:rPr>
          <w:rFonts w:ascii="Times New Roman" w:hAnsi="Times New Roman" w:cs="Times New Roman"/>
          <w:sz w:val="24"/>
          <w:szCs w:val="24"/>
        </w:rPr>
        <w:t>. Tāpat būtiska ir Darbības programmas nosacījumu piemērošana vienlīdzīgi visā Latvijas teritorijā, neatkarīgi no pašvaldību, kurā dzīvo persona, iespējas atbalstīt savus iedzīvotājus.</w:t>
      </w:r>
    </w:p>
    <w:p w14:paraId="7058AE94" w14:textId="3CC5A11F" w:rsidR="006E6C03" w:rsidRPr="008C6388" w:rsidRDefault="006E6C03" w:rsidP="007A3CF5">
      <w:pPr>
        <w:spacing w:before="120" w:after="0" w:line="240" w:lineRule="auto"/>
        <w:ind w:firstLine="709"/>
        <w:jc w:val="both"/>
        <w:rPr>
          <w:rFonts w:ascii="Times New Roman" w:hAnsi="Times New Roman" w:cs="Times New Roman"/>
          <w:sz w:val="24"/>
          <w:szCs w:val="24"/>
        </w:rPr>
      </w:pPr>
      <w:r w:rsidRPr="007157D3">
        <w:rPr>
          <w:rFonts w:ascii="Times New Roman" w:hAnsi="Times New Roman" w:cs="Times New Roman"/>
          <w:sz w:val="24"/>
          <w:szCs w:val="24"/>
        </w:rPr>
        <w:t>Atbilstoši EK secinājumiem, kas iekļauti investīciju pamatnostādnēs Latvijai par Kohēzijas politikas finansējumu 2021. – 2</w:t>
      </w:r>
      <w:r w:rsidRPr="002F5278">
        <w:rPr>
          <w:rFonts w:ascii="Times New Roman" w:hAnsi="Times New Roman" w:cs="Times New Roman"/>
          <w:sz w:val="24"/>
          <w:szCs w:val="24"/>
        </w:rPr>
        <w:t>027. gadam valsts ziņojumā 2019. gadā</w:t>
      </w:r>
      <w:r w:rsidRPr="007157D3">
        <w:rPr>
          <w:rStyle w:val="FootnoteReference"/>
          <w:rFonts w:ascii="Times New Roman" w:hAnsi="Times New Roman" w:cs="Times New Roman"/>
          <w:sz w:val="24"/>
          <w:szCs w:val="24"/>
        </w:rPr>
        <w:footnoteReference w:id="84"/>
      </w:r>
      <w:r w:rsidRPr="007157D3">
        <w:rPr>
          <w:rFonts w:ascii="Times New Roman" w:hAnsi="Times New Roman" w:cs="Times New Roman"/>
          <w:sz w:val="24"/>
          <w:szCs w:val="24"/>
        </w:rPr>
        <w:t>, nabadzības un sociālās atstumtības līmenis joprojām ir augsts, jo īpaši cilvēkiem ar invaliditāti, vecāka gadagājuma cilvēkiem un bezdarbniekiem. Tāpēc ir noteiktas augstas prioritātes investīciju vajadzības, lai sekmētu aktīvu iekļaušanu un mazinātu materiālo nenodrošinātību, izmantojot pārtikas un minimālo materiālo palīdzību, t.sk. papildpasākumus.</w:t>
      </w:r>
      <w:r w:rsidR="00313607" w:rsidRPr="008D3DCF">
        <w:rPr>
          <w:rFonts w:ascii="Times New Roman" w:hAnsi="Times New Roman" w:cs="Times New Roman"/>
          <w:sz w:val="24"/>
          <w:szCs w:val="24"/>
        </w:rPr>
        <w:t xml:space="preserve"> </w:t>
      </w:r>
      <w:r w:rsidRPr="002F5278">
        <w:rPr>
          <w:rFonts w:ascii="Times New Roman" w:hAnsi="Times New Roman" w:cs="Times New Roman"/>
          <w:sz w:val="24"/>
          <w:szCs w:val="24"/>
        </w:rPr>
        <w:t>Iepriekš minēto novērtējumu rezultāti un EK secinājumi liecina par joprojām nepieciešamo atbalstu pārtikas un materiālās nenodrošinātības mazināšanai personām zemu ienākumu mājsaimniecībās, īpaši tiem, kuri nevar vai kuriem ir apgrūtinātas</w:t>
      </w:r>
      <w:r w:rsidRPr="008C6388">
        <w:rPr>
          <w:rFonts w:ascii="Times New Roman" w:hAnsi="Times New Roman" w:cs="Times New Roman"/>
          <w:sz w:val="24"/>
          <w:szCs w:val="24"/>
        </w:rPr>
        <w:t xml:space="preserve"> iespējas mainīt savu situāciju.  </w:t>
      </w:r>
    </w:p>
    <w:p w14:paraId="23602DC1" w14:textId="77777777" w:rsidR="00C95000" w:rsidRPr="0025422D" w:rsidRDefault="00C95000" w:rsidP="00200837">
      <w:pPr>
        <w:autoSpaceDE w:val="0"/>
        <w:autoSpaceDN w:val="0"/>
        <w:adjustRightInd w:val="0"/>
        <w:spacing w:after="0" w:line="240" w:lineRule="auto"/>
        <w:jc w:val="both"/>
        <w:rPr>
          <w:rFonts w:ascii="Times New Roman" w:hAnsi="Times New Roman" w:cs="Times New Roman"/>
          <w:sz w:val="24"/>
          <w:szCs w:val="24"/>
          <w:highlight w:val="yellow"/>
        </w:rPr>
      </w:pPr>
    </w:p>
    <w:p w14:paraId="3EA326ED" w14:textId="78B68AAA" w:rsidR="00DC422A" w:rsidRPr="00662D1E" w:rsidRDefault="00DC422A" w:rsidP="00DA5144">
      <w:pPr>
        <w:pStyle w:val="Heading2"/>
      </w:pPr>
      <w:bookmarkStart w:id="31" w:name="_Toc55316072"/>
      <w:r w:rsidRPr="00A857F2">
        <w:t xml:space="preserve">Minimālo atbalsta sliekšņu </w:t>
      </w:r>
      <w:r w:rsidR="00C95000" w:rsidRPr="003B5C85">
        <w:t>paaugstināšana</w:t>
      </w:r>
      <w:bookmarkEnd w:id="31"/>
    </w:p>
    <w:p w14:paraId="35AE211E" w14:textId="5A658814" w:rsidR="00200837" w:rsidRPr="0015154B"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9703E6">
        <w:rPr>
          <w:rFonts w:ascii="Times New Roman" w:hAnsi="Times New Roman" w:cs="Times New Roman"/>
          <w:sz w:val="24"/>
          <w:szCs w:val="24"/>
        </w:rPr>
        <w:t xml:space="preserve">Lai noteiktu vienotu, metodoloģiski pamatotu un sociālekonomiskajai situācijai atbilstošu minimālo ienākumu līmeni, kas būtu atskaites punkts valsts sociālo pabalstu, sociālās apdrošināšanas pakalpojumu un sociālās palīdzības pilnveidošanai, Ministru kabinets 2014.gadā apstiprināja </w:t>
      </w:r>
      <w:r w:rsidR="004B0588">
        <w:rPr>
          <w:rFonts w:ascii="Times New Roman" w:hAnsi="Times New Roman" w:cs="Times New Roman"/>
          <w:sz w:val="24"/>
          <w:szCs w:val="24"/>
        </w:rPr>
        <w:t>LM</w:t>
      </w:r>
      <w:r w:rsidRPr="009703E6">
        <w:rPr>
          <w:rFonts w:ascii="Times New Roman" w:hAnsi="Times New Roman" w:cs="Times New Roman"/>
          <w:sz w:val="24"/>
          <w:szCs w:val="24"/>
        </w:rPr>
        <w:t xml:space="preserve"> izstrādāto koncepciju “Par minimālā ienākuma līmeņa noteikšanu”, kas paredz</w:t>
      </w:r>
      <w:r w:rsidR="003F19D3" w:rsidRPr="0015154B">
        <w:rPr>
          <w:rFonts w:ascii="Times New Roman" w:hAnsi="Times New Roman" w:cs="Times New Roman"/>
          <w:sz w:val="24"/>
          <w:szCs w:val="24"/>
        </w:rPr>
        <w:t xml:space="preserve"> minimālo ienākumu līmeni noteikt 40% apmērā no mājsaimniecību rīcībā esošo ienākumu mediānas, pārrēķinātas uz ekvivalento patērētāju, piemērojot ekvivalences skalu (1; 0,7; 0,7), ņemot vērā Latvijas demogrāfisko situāciju un piešķirot lielāku ekvivalento svaru bērniem. Koncepcija tāpat paredz izvērtēt esošos valsts sociālo pabalstu apmērus, to noteikšanas mērķus un efektivitāti attiecībā uz noteiktām sociālo pabalstu saņēmēju mērķgrupām un, kur nepieciešams, sasaistīt ar minimālā ienākuma līmeni un plānotajām izmaiņām darbaspēku nodokļu sistēmā un sociālajā palīdzībā.</w:t>
      </w:r>
    </w:p>
    <w:p w14:paraId="46DB4274" w14:textId="0B7992F0" w:rsidR="00C36BF7" w:rsidRPr="00A857F2" w:rsidRDefault="00852226"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Koncepcijas ieviešana bija</w:t>
      </w:r>
      <w:r w:rsidR="00BD7A13" w:rsidRPr="0015154B">
        <w:rPr>
          <w:rFonts w:ascii="Times New Roman" w:hAnsi="Times New Roman" w:cs="Times New Roman"/>
          <w:sz w:val="24"/>
          <w:szCs w:val="24"/>
        </w:rPr>
        <w:t xml:space="preserve"> vērst</w:t>
      </w:r>
      <w:r w:rsidRPr="0015154B">
        <w:rPr>
          <w:rFonts w:ascii="Times New Roman" w:hAnsi="Times New Roman" w:cs="Times New Roman"/>
          <w:sz w:val="24"/>
          <w:szCs w:val="24"/>
        </w:rPr>
        <w:t>a arī</w:t>
      </w:r>
      <w:r w:rsidR="00BD7A13" w:rsidRPr="0015154B">
        <w:rPr>
          <w:rFonts w:ascii="Times New Roman" w:hAnsi="Times New Roman" w:cs="Times New Roman"/>
          <w:sz w:val="24"/>
          <w:szCs w:val="24"/>
        </w:rPr>
        <w:t xml:space="preserve"> uz ES Padomes valstu specifisko rekomendāciju Latvijai 2018.-2019.gadam izpildes nodrošināšanu, t.i., uzlabot minimālo ienākumu pabalstu, minimālo vecuma pensiju un cilvēkiem ar invaliditāti paredzētā ienākumu atbalsta adekvātumu. </w:t>
      </w:r>
      <w:r w:rsidR="004B0588">
        <w:rPr>
          <w:rFonts w:ascii="Times New Roman" w:hAnsi="Times New Roman" w:cs="Times New Roman"/>
          <w:sz w:val="24"/>
          <w:szCs w:val="24"/>
        </w:rPr>
        <w:t>EK</w:t>
      </w:r>
      <w:r w:rsidR="00BD7A13" w:rsidRPr="0015154B">
        <w:rPr>
          <w:rFonts w:ascii="Times New Roman" w:hAnsi="Times New Roman" w:cs="Times New Roman"/>
          <w:sz w:val="24"/>
          <w:szCs w:val="24"/>
        </w:rPr>
        <w:t xml:space="preserve"> Latvijai jau vairākkārt ir norādījusi, ka nabadzības vai sociālās atstumtības riskam pakļauto personu lielais īpatsvars atspoguļo sociālās drošības tīkla nepilnības un problēmas saistībā ar minimālo ienākumu, pensijām un personu ar invaliditāti iekļaušanu. </w:t>
      </w:r>
      <w:r w:rsidRPr="0015154B">
        <w:rPr>
          <w:rFonts w:ascii="Times New Roman" w:hAnsi="Times New Roman" w:cs="Times New Roman"/>
          <w:sz w:val="24"/>
          <w:szCs w:val="24"/>
        </w:rPr>
        <w:t xml:space="preserve">Neraugoties uz </w:t>
      </w:r>
      <w:r w:rsidR="004B0588">
        <w:rPr>
          <w:rFonts w:ascii="Times New Roman" w:hAnsi="Times New Roman" w:cs="Times New Roman"/>
          <w:sz w:val="24"/>
          <w:szCs w:val="24"/>
        </w:rPr>
        <w:t>EK</w:t>
      </w:r>
      <w:r w:rsidRPr="008C6388">
        <w:rPr>
          <w:rFonts w:ascii="Times New Roman" w:hAnsi="Times New Roman" w:cs="Times New Roman"/>
          <w:sz w:val="24"/>
          <w:szCs w:val="24"/>
        </w:rPr>
        <w:t xml:space="preserve"> veltīto kritiku Latvijai par to, ka 2014.gadā paziņotā minimālo ienākumu līmeņa reforma netiek īstenota, un vairākus gadus pēc kārtas sniegto negatīvo novērtējumu par Latvijas pro</w:t>
      </w:r>
      <w:r w:rsidRPr="0025422D">
        <w:rPr>
          <w:rFonts w:ascii="Times New Roman" w:hAnsi="Times New Roman" w:cs="Times New Roman"/>
          <w:sz w:val="24"/>
          <w:szCs w:val="24"/>
        </w:rPr>
        <w:t xml:space="preserve">gresu sociālās jomas rekomendāciju izpildē,  </w:t>
      </w:r>
      <w:r w:rsidR="00200837" w:rsidRPr="0025422D">
        <w:rPr>
          <w:rFonts w:ascii="Times New Roman" w:hAnsi="Times New Roman" w:cs="Times New Roman"/>
          <w:sz w:val="24"/>
          <w:szCs w:val="24"/>
        </w:rPr>
        <w:t xml:space="preserve">Koncepcijas īstenošana fiskālu ierobežojumu dēļ tika vairākkārt atlikta. </w:t>
      </w:r>
    </w:p>
    <w:p w14:paraId="74DBE796" w14:textId="2A73C320" w:rsidR="00C36BF7" w:rsidRPr="0025422D" w:rsidRDefault="00C36BF7" w:rsidP="007A3CF5">
      <w:pPr>
        <w:spacing w:before="120" w:after="0" w:line="240" w:lineRule="auto"/>
        <w:ind w:firstLine="633"/>
        <w:jc w:val="both"/>
        <w:rPr>
          <w:rFonts w:ascii="Times New Roman" w:hAnsi="Times New Roman" w:cs="Times New Roman"/>
          <w:sz w:val="24"/>
          <w:szCs w:val="24"/>
        </w:rPr>
      </w:pPr>
      <w:r w:rsidRPr="009703E6">
        <w:rPr>
          <w:rFonts w:ascii="Times New Roman" w:hAnsi="Times New Roman" w:cs="Times New Roman"/>
          <w:sz w:val="24"/>
          <w:szCs w:val="24"/>
        </w:rPr>
        <w:t xml:space="preserve">2019.gadā Koncepcijas pakāpeniskai īstenošanai tika izstrādāts politikas plānošanas dokuments “Plāns minimālo ienākumu atbalsta sistēmas pilnveidošanai 2020.-2021.gadam” </w:t>
      </w:r>
      <w:r w:rsidRPr="009703E6">
        <w:rPr>
          <w:rFonts w:ascii="Times New Roman" w:hAnsi="Times New Roman" w:cs="Times New Roman"/>
          <w:sz w:val="24"/>
          <w:szCs w:val="24"/>
        </w:rPr>
        <w:lastRenderedPageBreak/>
        <w:t>(turpmāk – Plāns), kurš paredzēja solidāru pasākumu kopumu starp valsts un pašvaldības sniegto atbalstu iedzīvotājiem ar zemiem un ļoti zemiem ienākumiem.</w:t>
      </w:r>
      <w:r w:rsidR="005E77BE"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Valsts fiskālās telpas ierobežojumu dēļ Plānā noteiktos pasākumus nevarēja  īstenot pilnā apmērā, tādēļ </w:t>
      </w:r>
      <w:r w:rsidR="005E77BE" w:rsidRPr="0015154B">
        <w:rPr>
          <w:rFonts w:ascii="Times New Roman" w:hAnsi="Times New Roman" w:cs="Times New Roman"/>
          <w:sz w:val="24"/>
          <w:szCs w:val="24"/>
        </w:rPr>
        <w:t>p</w:t>
      </w:r>
      <w:r w:rsidRPr="0015154B">
        <w:rPr>
          <w:rFonts w:ascii="Times New Roman" w:hAnsi="Times New Roman" w:cs="Times New Roman"/>
          <w:sz w:val="24"/>
          <w:szCs w:val="24"/>
        </w:rPr>
        <w:t xml:space="preserve">rioritāri tika virzīti pasākumi valsts atbalsta palielināšanai pensijas vecuma cilvēkiem, kuri saņem minimālo vecuma pensiju, un personām ar invaliditāti, kuras ir gan </w:t>
      </w:r>
      <w:r w:rsidR="008C6388">
        <w:rPr>
          <w:rFonts w:ascii="Times New Roman" w:hAnsi="Times New Roman" w:cs="Times New Roman"/>
          <w:sz w:val="24"/>
          <w:szCs w:val="24"/>
        </w:rPr>
        <w:t>VSNP</w:t>
      </w:r>
      <w:r w:rsidRPr="008C6388">
        <w:rPr>
          <w:rFonts w:ascii="Times New Roman" w:hAnsi="Times New Roman" w:cs="Times New Roman"/>
          <w:sz w:val="24"/>
          <w:szCs w:val="24"/>
        </w:rPr>
        <w:t xml:space="preserve"> saņēmējas, gan minimālo in</w:t>
      </w:r>
      <w:r w:rsidRPr="0025422D">
        <w:rPr>
          <w:rFonts w:ascii="Times New Roman" w:hAnsi="Times New Roman" w:cs="Times New Roman"/>
          <w:sz w:val="24"/>
          <w:szCs w:val="24"/>
        </w:rPr>
        <w:t xml:space="preserve">validitātes pensiju saņēmējas. </w:t>
      </w:r>
    </w:p>
    <w:p w14:paraId="33505AFB" w14:textId="77777777" w:rsidR="00C36BF7" w:rsidRPr="00A857F2" w:rsidRDefault="00C36BF7" w:rsidP="007A3CF5">
      <w:pPr>
        <w:spacing w:before="120" w:after="0" w:line="240" w:lineRule="auto"/>
        <w:ind w:firstLine="720"/>
        <w:jc w:val="both"/>
        <w:rPr>
          <w:rFonts w:ascii="Times New Roman" w:hAnsi="Times New Roman" w:cs="Times New Roman"/>
          <w:sz w:val="24"/>
          <w:szCs w:val="24"/>
        </w:rPr>
      </w:pPr>
      <w:r w:rsidRPr="00A857F2">
        <w:rPr>
          <w:rFonts w:ascii="Times New Roman" w:hAnsi="Times New Roman" w:cs="Times New Roman"/>
          <w:sz w:val="24"/>
          <w:szCs w:val="24"/>
        </w:rPr>
        <w:t>Līdz ar to no 2020.gada 1.janvāra ir:</w:t>
      </w:r>
    </w:p>
    <w:p w14:paraId="2CBF21D5" w14:textId="469D47DC" w:rsidR="00C36BF7" w:rsidRPr="0015154B" w:rsidRDefault="00C36BF7" w:rsidP="00974071">
      <w:pPr>
        <w:pStyle w:val="ListParagraph"/>
        <w:numPr>
          <w:ilvl w:val="0"/>
          <w:numId w:val="38"/>
        </w:numPr>
        <w:spacing w:after="0" w:line="240" w:lineRule="auto"/>
        <w:jc w:val="both"/>
        <w:rPr>
          <w:rFonts w:ascii="Times New Roman" w:hAnsi="Times New Roman" w:cs="Times New Roman"/>
          <w:sz w:val="24"/>
          <w:szCs w:val="24"/>
        </w:rPr>
      </w:pPr>
      <w:r w:rsidRPr="009703E6">
        <w:rPr>
          <w:rFonts w:ascii="Times New Roman" w:hAnsi="Times New Roman" w:cs="Times New Roman"/>
          <w:sz w:val="24"/>
          <w:szCs w:val="24"/>
        </w:rPr>
        <w:t>noteikta minimālās vecuma pensijas aprēķina bāze 80 e</w:t>
      </w:r>
      <w:r w:rsidR="00EE7401" w:rsidRPr="009703E6">
        <w:rPr>
          <w:rFonts w:ascii="Times New Roman" w:hAnsi="Times New Roman" w:cs="Times New Roman"/>
          <w:sz w:val="24"/>
          <w:szCs w:val="24"/>
        </w:rPr>
        <w:t>i</w:t>
      </w:r>
      <w:r w:rsidRPr="009703E6">
        <w:rPr>
          <w:rFonts w:ascii="Times New Roman" w:hAnsi="Times New Roman" w:cs="Times New Roman"/>
          <w:sz w:val="24"/>
          <w:szCs w:val="24"/>
        </w:rPr>
        <w:t>ro apmērā, personām ar invaliditāti kopš bērnības - 122,69 e</w:t>
      </w:r>
      <w:r w:rsidR="00EE7401" w:rsidRPr="0015154B">
        <w:rPr>
          <w:rFonts w:ascii="Times New Roman" w:hAnsi="Times New Roman" w:cs="Times New Roman"/>
          <w:sz w:val="24"/>
          <w:szCs w:val="24"/>
        </w:rPr>
        <w:t>i</w:t>
      </w:r>
      <w:r w:rsidRPr="0015154B">
        <w:rPr>
          <w:rFonts w:ascii="Times New Roman" w:hAnsi="Times New Roman" w:cs="Times New Roman"/>
          <w:sz w:val="24"/>
          <w:szCs w:val="24"/>
        </w:rPr>
        <w:t>ro apmērā;</w:t>
      </w:r>
    </w:p>
    <w:p w14:paraId="3B81A944" w14:textId="0CD3D910" w:rsidR="00C36BF7" w:rsidRPr="0015154B" w:rsidRDefault="00C36BF7" w:rsidP="00974071">
      <w:pPr>
        <w:pStyle w:val="ListParagraph"/>
        <w:numPr>
          <w:ilvl w:val="0"/>
          <w:numId w:val="38"/>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paaugstināta minimālās invaliditātes pensijas aprēķina bāze no līdzšinējiem 64,03 līdz 80 e</w:t>
      </w:r>
      <w:r w:rsidR="00EE7401" w:rsidRPr="0015154B">
        <w:rPr>
          <w:rFonts w:ascii="Times New Roman" w:hAnsi="Times New Roman" w:cs="Times New Roman"/>
          <w:sz w:val="24"/>
          <w:szCs w:val="24"/>
        </w:rPr>
        <w:t>i</w:t>
      </w:r>
      <w:r w:rsidRPr="0015154B">
        <w:rPr>
          <w:rFonts w:ascii="Times New Roman" w:hAnsi="Times New Roman" w:cs="Times New Roman"/>
          <w:sz w:val="24"/>
          <w:szCs w:val="24"/>
        </w:rPr>
        <w:t>ro, personām ar invaliditāti kopš bērnības no līdzšinējiem 106,72 e</w:t>
      </w:r>
      <w:r w:rsidR="00EE7401" w:rsidRPr="0015154B">
        <w:rPr>
          <w:rFonts w:ascii="Times New Roman" w:hAnsi="Times New Roman" w:cs="Times New Roman"/>
          <w:sz w:val="24"/>
          <w:szCs w:val="24"/>
        </w:rPr>
        <w:t>i</w:t>
      </w:r>
      <w:r w:rsidRPr="0015154B">
        <w:rPr>
          <w:rFonts w:ascii="Times New Roman" w:hAnsi="Times New Roman" w:cs="Times New Roman"/>
          <w:sz w:val="24"/>
          <w:szCs w:val="24"/>
        </w:rPr>
        <w:t>ro līdz 122,69 e</w:t>
      </w:r>
      <w:r w:rsidR="00EE7401" w:rsidRPr="0015154B">
        <w:rPr>
          <w:rFonts w:ascii="Times New Roman" w:hAnsi="Times New Roman" w:cs="Times New Roman"/>
          <w:sz w:val="24"/>
          <w:szCs w:val="24"/>
        </w:rPr>
        <w:t>i</w:t>
      </w:r>
      <w:r w:rsidRPr="0015154B">
        <w:rPr>
          <w:rFonts w:ascii="Times New Roman" w:hAnsi="Times New Roman" w:cs="Times New Roman"/>
          <w:sz w:val="24"/>
          <w:szCs w:val="24"/>
        </w:rPr>
        <w:t>ro;</w:t>
      </w:r>
    </w:p>
    <w:p w14:paraId="78477B14" w14:textId="7BBDAF59" w:rsidR="00C36BF7" w:rsidRPr="0015154B" w:rsidRDefault="00C36BF7" w:rsidP="00974071">
      <w:pPr>
        <w:pStyle w:val="ListParagraph"/>
        <w:numPr>
          <w:ilvl w:val="0"/>
          <w:numId w:val="38"/>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 xml:space="preserve">paaugstināts </w:t>
      </w:r>
      <w:r w:rsidR="00573B49">
        <w:rPr>
          <w:rFonts w:ascii="Times New Roman" w:hAnsi="Times New Roman" w:cs="Times New Roman"/>
          <w:sz w:val="24"/>
          <w:szCs w:val="24"/>
        </w:rPr>
        <w:t>VSNP</w:t>
      </w:r>
      <w:r w:rsidRPr="00573B49">
        <w:rPr>
          <w:rFonts w:ascii="Times New Roman" w:hAnsi="Times New Roman" w:cs="Times New Roman"/>
          <w:sz w:val="24"/>
          <w:szCs w:val="24"/>
        </w:rPr>
        <w:t xml:space="preserve"> apmērs personām ar invaliditāti vispārējā gadījumā no līdzšinējiem 64,03 e</w:t>
      </w:r>
      <w:r w:rsidR="00EE7401" w:rsidRPr="0025422D">
        <w:rPr>
          <w:rFonts w:ascii="Times New Roman" w:hAnsi="Times New Roman" w:cs="Times New Roman"/>
          <w:sz w:val="24"/>
          <w:szCs w:val="24"/>
        </w:rPr>
        <w:t>i</w:t>
      </w:r>
      <w:r w:rsidRPr="0025422D">
        <w:rPr>
          <w:rFonts w:ascii="Times New Roman" w:hAnsi="Times New Roman" w:cs="Times New Roman"/>
          <w:sz w:val="24"/>
          <w:szCs w:val="24"/>
        </w:rPr>
        <w:t>ro līdz 80 e</w:t>
      </w:r>
      <w:r w:rsidR="00EE7401" w:rsidRPr="0025422D">
        <w:rPr>
          <w:rFonts w:ascii="Times New Roman" w:hAnsi="Times New Roman" w:cs="Times New Roman"/>
          <w:sz w:val="24"/>
          <w:szCs w:val="24"/>
        </w:rPr>
        <w:t>i</w:t>
      </w:r>
      <w:r w:rsidRPr="0025422D">
        <w:rPr>
          <w:rFonts w:ascii="Times New Roman" w:hAnsi="Times New Roman" w:cs="Times New Roman"/>
          <w:sz w:val="24"/>
          <w:szCs w:val="24"/>
        </w:rPr>
        <w:t>ro un personām ar invaliditāti kopš bērnības no līdzšinējiem 106,72 e</w:t>
      </w:r>
      <w:r w:rsidR="00EE7401" w:rsidRPr="00A857F2">
        <w:rPr>
          <w:rFonts w:ascii="Times New Roman" w:hAnsi="Times New Roman" w:cs="Times New Roman"/>
          <w:sz w:val="24"/>
          <w:szCs w:val="24"/>
        </w:rPr>
        <w:t>i</w:t>
      </w:r>
      <w:r w:rsidRPr="003B5C85">
        <w:rPr>
          <w:rFonts w:ascii="Times New Roman" w:hAnsi="Times New Roman" w:cs="Times New Roman"/>
          <w:sz w:val="24"/>
          <w:szCs w:val="24"/>
        </w:rPr>
        <w:t>ro līdz 122,69 e</w:t>
      </w:r>
      <w:r w:rsidR="00EE7401" w:rsidRPr="00662D1E">
        <w:rPr>
          <w:rFonts w:ascii="Times New Roman" w:hAnsi="Times New Roman" w:cs="Times New Roman"/>
          <w:sz w:val="24"/>
          <w:szCs w:val="24"/>
        </w:rPr>
        <w:t>i</w:t>
      </w:r>
      <w:r w:rsidRPr="00662D1E">
        <w:rPr>
          <w:rFonts w:ascii="Times New Roman" w:hAnsi="Times New Roman" w:cs="Times New Roman"/>
          <w:sz w:val="24"/>
          <w:szCs w:val="24"/>
        </w:rPr>
        <w:t>ro. Personām ar I un II invaliditātes grupu, aprēķinot valsts sociālā nodrošinājuma pabalstu, attiecīgi tiek piemērots koeficients 1</w:t>
      </w:r>
      <w:r w:rsidR="00EE7401" w:rsidRPr="009703E6">
        <w:rPr>
          <w:rFonts w:ascii="Times New Roman" w:hAnsi="Times New Roman" w:cs="Times New Roman"/>
          <w:sz w:val="24"/>
          <w:szCs w:val="24"/>
        </w:rPr>
        <w:t>,</w:t>
      </w:r>
      <w:r w:rsidRPr="009703E6">
        <w:rPr>
          <w:rFonts w:ascii="Times New Roman" w:hAnsi="Times New Roman" w:cs="Times New Roman"/>
          <w:sz w:val="24"/>
          <w:szCs w:val="24"/>
        </w:rPr>
        <w:t>3 un 1</w:t>
      </w:r>
      <w:r w:rsidR="00EE7401" w:rsidRPr="009703E6">
        <w:rPr>
          <w:rFonts w:ascii="Times New Roman" w:hAnsi="Times New Roman" w:cs="Times New Roman"/>
          <w:sz w:val="24"/>
          <w:szCs w:val="24"/>
        </w:rPr>
        <w:t>,</w:t>
      </w:r>
      <w:r w:rsidRPr="0015154B">
        <w:rPr>
          <w:rFonts w:ascii="Times New Roman" w:hAnsi="Times New Roman" w:cs="Times New Roman"/>
          <w:sz w:val="24"/>
          <w:szCs w:val="24"/>
        </w:rPr>
        <w:t xml:space="preserve">2. </w:t>
      </w:r>
    </w:p>
    <w:p w14:paraId="4C28DB01" w14:textId="359C4425" w:rsidR="00C36BF7" w:rsidRDefault="00C36BF7" w:rsidP="00573B49">
      <w:pPr>
        <w:pStyle w:val="Default"/>
        <w:spacing w:before="120"/>
        <w:ind w:firstLine="720"/>
        <w:jc w:val="both"/>
      </w:pPr>
      <w:r w:rsidRPr="0015154B">
        <w:t xml:space="preserve">Neraugoties uz prioritāri izvirzītajiem pasākumiem valsts atbalsta palielināšanai no 2020.gada 1.janvāra, Latvijas Republikas </w:t>
      </w:r>
      <w:r w:rsidR="00E334E6" w:rsidRPr="0015154B">
        <w:t>T</w:t>
      </w:r>
      <w:r w:rsidRPr="0015154B">
        <w:t>iesībsarg</w:t>
      </w:r>
      <w:r w:rsidR="00573B49">
        <w:t>a birojs</w:t>
      </w:r>
      <w:r w:rsidRPr="00573B49">
        <w:t xml:space="preserve"> pieteica vairākus pieteikumus Latvijas </w:t>
      </w:r>
      <w:r w:rsidR="00534FDB" w:rsidRPr="00573B49">
        <w:t>R</w:t>
      </w:r>
      <w:r w:rsidRPr="00573B49">
        <w:t>epublikas Satversmes tiesā, kuros tika apstrīdēti minimālo ienākumu sliekšņi:</w:t>
      </w:r>
    </w:p>
    <w:p w14:paraId="46EF09B2" w14:textId="5B53CBBA" w:rsidR="00573B49" w:rsidRDefault="00573B49" w:rsidP="00573B49">
      <w:pPr>
        <w:pStyle w:val="Default"/>
        <w:spacing w:before="120"/>
        <w:ind w:firstLine="720"/>
        <w:jc w:val="both"/>
      </w:pPr>
    </w:p>
    <w:tbl>
      <w:tblPr>
        <w:tblStyle w:val="TableGrid"/>
        <w:tblW w:w="0" w:type="auto"/>
        <w:tblInd w:w="704" w:type="dxa"/>
        <w:tblBorders>
          <w:top w:val="none" w:sz="0" w:space="0" w:color="auto"/>
          <w:left w:val="single" w:sz="18" w:space="0" w:color="549E39"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573B49" w14:paraId="4320E01F" w14:textId="77777777" w:rsidTr="0025422D">
        <w:tc>
          <w:tcPr>
            <w:tcW w:w="7938" w:type="dxa"/>
          </w:tcPr>
          <w:p w14:paraId="6704EDBA" w14:textId="281EF967" w:rsidR="00573B49" w:rsidRDefault="00573B49" w:rsidP="0025422D">
            <w:pPr>
              <w:pStyle w:val="Default"/>
              <w:spacing w:before="120" w:after="120"/>
              <w:jc w:val="both"/>
            </w:pPr>
            <w:r w:rsidRPr="00573B49">
              <w:t>par Ministru kabineta 2012.gada 18.decembra noteikumu Nr.913 “</w:t>
            </w:r>
            <w:r w:rsidRPr="00573B49">
              <w:rPr>
                <w:bCs/>
                <w:color w:val="414142"/>
                <w:shd w:val="clear" w:color="auto" w:fill="FFFFFF"/>
              </w:rPr>
              <w:t xml:space="preserve">Noteikumi par </w:t>
            </w:r>
            <w:r w:rsidRPr="0025422D">
              <w:rPr>
                <w:b/>
                <w:bCs/>
                <w:color w:val="002060"/>
                <w:shd w:val="clear" w:color="auto" w:fill="FFFFFF"/>
              </w:rPr>
              <w:t>garantēto minimālo ienākumu līmeni</w:t>
            </w:r>
            <w:r w:rsidRPr="00573B49">
              <w:rPr>
                <w:bCs/>
                <w:color w:val="414142"/>
                <w:shd w:val="clear" w:color="auto" w:fill="FFFFFF"/>
              </w:rPr>
              <w:t>”</w:t>
            </w:r>
            <w:r w:rsidRPr="00573B49">
              <w:t xml:space="preserve"> 2.punkta atbilstību Latvijas Republikas Satversmes 1. un 109.pantam ( Satversmes tiesas lieta Nr.2019-24-03 – spriedums lietā pieņemts 2020.gada 25.jūnijā</w:t>
            </w:r>
            <w:r w:rsidRPr="007157D3">
              <w:rPr>
                <w:rStyle w:val="FootnoteReference"/>
              </w:rPr>
              <w:footnoteReference w:id="85"/>
            </w:r>
            <w:r w:rsidRPr="007157D3">
              <w:t>)</w:t>
            </w:r>
          </w:p>
        </w:tc>
      </w:tr>
      <w:tr w:rsidR="00573B49" w14:paraId="7FDF2657" w14:textId="77777777" w:rsidTr="0025422D">
        <w:tc>
          <w:tcPr>
            <w:tcW w:w="7938" w:type="dxa"/>
          </w:tcPr>
          <w:p w14:paraId="4D7AECE7" w14:textId="19F39C33" w:rsidR="00573B49" w:rsidRPr="00573B49" w:rsidRDefault="0025422D" w:rsidP="0025422D">
            <w:pPr>
              <w:pStyle w:val="Default"/>
              <w:spacing w:before="120" w:after="120"/>
              <w:jc w:val="both"/>
            </w:pPr>
            <w:r w:rsidRPr="0025422D">
              <w:t xml:space="preserve">Par Ministru kabineta 2010.gada 30.marta noteikumu Nr. 299 “Noteikumi par ģimenes vai atsevišķi dzīvojošas </w:t>
            </w:r>
            <w:r w:rsidRPr="0025422D">
              <w:rPr>
                <w:b/>
                <w:color w:val="002060"/>
              </w:rPr>
              <w:t>personas atzīšanu par trūcīgu</w:t>
            </w:r>
            <w:r w:rsidRPr="0025422D">
              <w:t>” 2. punkta vārdu “ja tās vidējie ienākumi katram ģimenes loceklim mēnesī pēdējo triju mēnešu laikā nepārsniedz 128,06 e</w:t>
            </w:r>
            <w:r w:rsidR="00AC7FB3">
              <w:t>i</w:t>
            </w:r>
            <w:r w:rsidRPr="0025422D">
              <w:t>ro” atbilstību Latvijas Republikas Satversmes 1. un 109. pantam</w:t>
            </w:r>
            <w:r w:rsidRPr="00573B49">
              <w:t xml:space="preserve"> </w:t>
            </w:r>
            <w:r w:rsidR="00573B49" w:rsidRPr="00573B49">
              <w:t>(Satversmes tiesas lieta Nr.2019-25-03 – spriedums lietā pieņemts 20</w:t>
            </w:r>
            <w:r w:rsidR="00573B49">
              <w:t>2</w:t>
            </w:r>
            <w:r w:rsidR="00573B49" w:rsidRPr="00573B49">
              <w:t>0.gada 16.jūlijā</w:t>
            </w:r>
            <w:r w:rsidR="00573B49" w:rsidRPr="007157D3">
              <w:rPr>
                <w:rStyle w:val="FootnoteReference"/>
              </w:rPr>
              <w:footnoteReference w:id="86"/>
            </w:r>
            <w:r w:rsidR="00573B49" w:rsidRPr="007157D3">
              <w:t>)</w:t>
            </w:r>
          </w:p>
        </w:tc>
      </w:tr>
      <w:tr w:rsidR="00573B49" w14:paraId="568A9439" w14:textId="77777777" w:rsidTr="0025422D">
        <w:tc>
          <w:tcPr>
            <w:tcW w:w="7938" w:type="dxa"/>
          </w:tcPr>
          <w:p w14:paraId="22E2169F" w14:textId="4587BDB0" w:rsidR="00573B49" w:rsidRPr="00573B49" w:rsidRDefault="00573B49" w:rsidP="0025422D">
            <w:pPr>
              <w:pStyle w:val="Default"/>
              <w:spacing w:before="120" w:after="120"/>
              <w:jc w:val="both"/>
            </w:pPr>
            <w:r w:rsidRPr="007157D3">
              <w:rPr>
                <w:iCs/>
              </w:rPr>
              <w:t xml:space="preserve">par Ministru kabineta 2009.gada 22.decembra noteikumu Nr.1605 "Noteikumi par </w:t>
            </w:r>
            <w:r w:rsidRPr="0025422D">
              <w:rPr>
                <w:b/>
                <w:iCs/>
                <w:color w:val="002060"/>
              </w:rPr>
              <w:t>valsts sociālā nodrošinājuma pabalsta</w:t>
            </w:r>
            <w:r w:rsidRPr="0025422D">
              <w:rPr>
                <w:iCs/>
                <w:color w:val="002060"/>
              </w:rPr>
              <w:t xml:space="preserve"> </w:t>
            </w:r>
            <w:r w:rsidRPr="007157D3">
              <w:rPr>
                <w:iCs/>
              </w:rPr>
              <w:t>un apbedīšanas pabalsta apmēru, tā pārskatīšanas kārtību un pabalstu piešķiršanas un izmaksas kārtību" 2.pu</w:t>
            </w:r>
            <w:r w:rsidRPr="002F5278">
              <w:rPr>
                <w:iCs/>
              </w:rPr>
              <w:t xml:space="preserve">nkta atbilstību Latvijas Republikas Satversmes 1.pantam, 91.panta otrajam teikumam un 109. pantam </w:t>
            </w:r>
            <w:r w:rsidRPr="008C6388">
              <w:t>(Satversmes tiesas lieta Nr.2019-27-03 – spriedums lietā pieņemts 2020.gada 9.jūlijā</w:t>
            </w:r>
            <w:r w:rsidRPr="007157D3">
              <w:rPr>
                <w:rStyle w:val="FootnoteReference"/>
              </w:rPr>
              <w:footnoteReference w:id="87"/>
            </w:r>
            <w:r w:rsidRPr="007157D3">
              <w:t>)</w:t>
            </w:r>
          </w:p>
        </w:tc>
      </w:tr>
      <w:tr w:rsidR="00573B49" w14:paraId="67BA6DC3" w14:textId="77777777" w:rsidTr="0025422D">
        <w:tc>
          <w:tcPr>
            <w:tcW w:w="7938" w:type="dxa"/>
          </w:tcPr>
          <w:p w14:paraId="4D704957" w14:textId="6AC80DC3" w:rsidR="00573B49" w:rsidRPr="00573B49" w:rsidRDefault="0025422D" w:rsidP="0025422D">
            <w:pPr>
              <w:pStyle w:val="Default"/>
              <w:spacing w:before="120" w:after="120"/>
              <w:jc w:val="both"/>
            </w:pPr>
            <w:r w:rsidRPr="007157D3">
              <w:t xml:space="preserve">Par </w:t>
            </w:r>
            <w:r w:rsidRPr="008D3DCF">
              <w:rPr>
                <w:rFonts w:eastAsia="Times New Roman"/>
              </w:rPr>
              <w:t>Ministru kabineta 2011.gada 5.decembra noteikumu Nr.924 “Noteikumi</w:t>
            </w:r>
            <w:r w:rsidRPr="002F5278">
              <w:rPr>
                <w:rFonts w:eastAsia="Times New Roman"/>
              </w:rPr>
              <w:t xml:space="preserve"> par </w:t>
            </w:r>
            <w:r w:rsidRPr="0025422D">
              <w:rPr>
                <w:rFonts w:eastAsia="Times New Roman"/>
                <w:b/>
                <w:color w:val="002060"/>
              </w:rPr>
              <w:t>vecuma pensijas minimālo apmēru</w:t>
            </w:r>
            <w:r w:rsidRPr="002F5278">
              <w:rPr>
                <w:rFonts w:eastAsia="Times New Roman"/>
              </w:rPr>
              <w:t>” 2.2.apakšpunkta, Ministru kabineta 2009.gada 22.decembra noteikumu Nr.1605 „Noteiku</w:t>
            </w:r>
            <w:r w:rsidRPr="008C6388">
              <w:rPr>
                <w:rFonts w:eastAsia="Times New Roman"/>
              </w:rPr>
              <w:t xml:space="preserve">mi par valsts sociālā nodrošinājuma pabalsta un apbedīšanas pabalsta apmēru, tā pārskatīšanas kārtību un pabalstu piešķiršanas un izmaksas kārtību” 2.1.apakšpunkta, kā arī Ministru </w:t>
            </w:r>
            <w:r w:rsidRPr="008C6388">
              <w:rPr>
                <w:rFonts w:eastAsia="Times New Roman"/>
              </w:rPr>
              <w:lastRenderedPageBreak/>
              <w:t>kabineta 2019.gada 3.decembra noteikumu Nr.579 “Noteikumi par minimālās val</w:t>
            </w:r>
            <w:r w:rsidRPr="00573B49">
              <w:rPr>
                <w:rFonts w:eastAsia="Times New Roman"/>
              </w:rPr>
              <w:t>sts vecuma pensijas apmēru” 2.punkta un 3.2.apakšpunkta atbilstību Latvijas Republikas Satversmes 109.pantam” (Satversmes tiesas lieta Nr.</w:t>
            </w:r>
            <w:r w:rsidRPr="00573B49">
              <w:t xml:space="preserve"> 2020-07-03 – izskatīšanā)</w:t>
            </w:r>
          </w:p>
        </w:tc>
      </w:tr>
      <w:tr w:rsidR="00573B49" w14:paraId="450C2EAA" w14:textId="77777777" w:rsidTr="0025422D">
        <w:tc>
          <w:tcPr>
            <w:tcW w:w="7938" w:type="dxa"/>
          </w:tcPr>
          <w:p w14:paraId="6C70F8F8" w14:textId="327B171B" w:rsidR="00573B49" w:rsidRPr="00573B49" w:rsidRDefault="0025422D" w:rsidP="0025422D">
            <w:pPr>
              <w:pStyle w:val="Default"/>
              <w:spacing w:before="120" w:after="120"/>
              <w:jc w:val="both"/>
            </w:pPr>
            <w:r>
              <w:rPr>
                <w:iCs/>
              </w:rPr>
              <w:lastRenderedPageBreak/>
              <w:t>p</w:t>
            </w:r>
            <w:r w:rsidRPr="00573B49">
              <w:rPr>
                <w:iCs/>
              </w:rPr>
              <w:t>ar likuma „</w:t>
            </w:r>
            <w:r w:rsidRPr="0025422D">
              <w:rPr>
                <w:b/>
                <w:iCs/>
                <w:color w:val="002060"/>
              </w:rPr>
              <w:t>Par valsts pensijām</w:t>
            </w:r>
            <w:r w:rsidRPr="00573B49">
              <w:rPr>
                <w:iCs/>
              </w:rPr>
              <w:t>” 16.panta pirmās daļas 2.punkta un otrās daļas, kā arī Mi</w:t>
            </w:r>
            <w:r w:rsidRPr="0025422D">
              <w:rPr>
                <w:iCs/>
              </w:rPr>
              <w:t>nistru kabineta 2009.gada 22.decembra noteikumu Nr.1605 „Noteikumi par valsts sociālā nodrošinājuma pabalsta un apbedīšanas pabalsta apmēru, tā pārskatīšanas kārtību un pabalstu piešķiršanas un izmaksas kārtību” 2.2. un 2.3.apakšpunkta atbilstību Latvijas Republikas Satversmes 1.pantam, 91.panta otrajam teikumam un 109.pantam” (Satversmes tiesas lieta Nr.2020-19-0103 – izskatīšanā)</w:t>
            </w:r>
          </w:p>
        </w:tc>
      </w:tr>
    </w:tbl>
    <w:p w14:paraId="38BB8526" w14:textId="77777777" w:rsidR="00573B49" w:rsidRPr="00573B49" w:rsidRDefault="00573B49" w:rsidP="00573B49">
      <w:pPr>
        <w:pStyle w:val="Default"/>
        <w:spacing w:before="120"/>
        <w:ind w:firstLine="720"/>
        <w:jc w:val="both"/>
      </w:pPr>
    </w:p>
    <w:p w14:paraId="0B8EA8DC" w14:textId="77777777" w:rsidR="00534FDB" w:rsidRPr="0015154B" w:rsidRDefault="00C36BF7" w:rsidP="00534FDB">
      <w:pPr>
        <w:pStyle w:val="Default"/>
        <w:shd w:val="clear" w:color="auto" w:fill="FFFFFF"/>
        <w:ind w:firstLine="720"/>
        <w:jc w:val="both"/>
      </w:pPr>
      <w:r w:rsidRPr="0025422D">
        <w:t xml:space="preserve">Satversmes tiesa savos spriedumos lietās Nr. 2019-24-03, Nr. 2019-25-03, Nr.2019-27-03 ir uzsvērusi, ka valstij ir pienākums regulāri vērtēt </w:t>
      </w:r>
      <w:r w:rsidR="00534FDB" w:rsidRPr="0025422D">
        <w:t>atbalsta</w:t>
      </w:r>
      <w:r w:rsidRPr="0025422D">
        <w:t xml:space="preserve"> pietiekamību, lai garantētu, ka tas ir cieņpilns, atbilst sociālajai realitātei un iedzīvotājiem ar zemiem ienākumiem tiek nodrošināta nepieciešamā palīdzība. Satversmes tiesas spriedum</w:t>
      </w:r>
      <w:r w:rsidR="00534FDB" w:rsidRPr="00A857F2">
        <w:t>os izdarītie secinājumi lielā mērā saskan ar MIL koncepcijas izst</w:t>
      </w:r>
      <w:r w:rsidR="00534FDB" w:rsidRPr="009703E6">
        <w:t>rādes pamatojumā un citos pētījumos un izvērtējumos identificētajām problēmām, īpaši uzsverot, ka</w:t>
      </w:r>
      <w:r w:rsidRPr="009703E6">
        <w:t>:</w:t>
      </w:r>
    </w:p>
    <w:p w14:paraId="60374DAB" w14:textId="705C36CD" w:rsidR="00C36BF7" w:rsidRPr="0015154B" w:rsidRDefault="00FB5025" w:rsidP="00974071">
      <w:pPr>
        <w:pStyle w:val="Default"/>
        <w:numPr>
          <w:ilvl w:val="0"/>
          <w:numId w:val="47"/>
        </w:numPr>
        <w:shd w:val="clear" w:color="auto" w:fill="FFFFFF"/>
        <w:jc w:val="both"/>
      </w:pPr>
      <w:r w:rsidRPr="0015154B">
        <w:t>sociālās drošības sistēmai ir jābūt taisnīgai, motivējošai un vērstai uz valsts ilgtspējīgu attīstību, turklāt sociālās nevienlīdzības mazināšana ir būtisks aspekts sabiedrības ilgtspējai</w:t>
      </w:r>
      <w:r w:rsidR="00C36BF7" w:rsidRPr="0015154B">
        <w:t>;</w:t>
      </w:r>
    </w:p>
    <w:p w14:paraId="1CAF43F2" w14:textId="1144E953" w:rsidR="00FB5025" w:rsidRPr="0015154B" w:rsidRDefault="00FB5025" w:rsidP="00974071">
      <w:pPr>
        <w:pStyle w:val="Default"/>
        <w:numPr>
          <w:ilvl w:val="0"/>
          <w:numId w:val="47"/>
        </w:numPr>
        <w:shd w:val="clear" w:color="auto" w:fill="FFFFFF"/>
        <w:jc w:val="both"/>
      </w:pPr>
      <w:r w:rsidRPr="0015154B">
        <w:t>pašvaldību atšķirīgā pieeja sociālās palīdzības sniegšanā un atšķirīgās finansiālās iespējas nevar ietekmēt sociālās palīdzības minimuma nodrošināšanu, tādēļ likumdevēja pienākums ir noregulēt būtiskākos, ar sociālās palīdzības minimuma nodrošināšanu saistītus jautājumus;</w:t>
      </w:r>
    </w:p>
    <w:p w14:paraId="73EF01CA" w14:textId="15531A61" w:rsidR="00FB5025" w:rsidRPr="0015154B" w:rsidRDefault="00FB5025" w:rsidP="00974071">
      <w:pPr>
        <w:pStyle w:val="Default"/>
        <w:numPr>
          <w:ilvl w:val="0"/>
          <w:numId w:val="47"/>
        </w:numPr>
        <w:shd w:val="clear" w:color="auto" w:fill="FFFFFF"/>
        <w:jc w:val="both"/>
      </w:pPr>
      <w:r w:rsidRPr="0015154B">
        <w:t>minimālo ienākumu sliekšņus jāpiesaista konkrētam sociālekonomiskajam rādītājam, pamatojoties uz zinātniski pamatotu metodi, lai nodrošinātu atbalsta adekvātumu attiecībā pret reālo sociālekonomisko situāciju valstī. Nav pieļaujama minimālā atbalsta apmēra noteikšana, balstoties uz politisku vienošanos vai valsts budžeta finansiālajām iespējām;</w:t>
      </w:r>
    </w:p>
    <w:p w14:paraId="3027C14C" w14:textId="3EFBE166" w:rsidR="00FB5025" w:rsidRPr="0015154B" w:rsidRDefault="00FB5025" w:rsidP="00974071">
      <w:pPr>
        <w:pStyle w:val="Default"/>
        <w:numPr>
          <w:ilvl w:val="0"/>
          <w:numId w:val="47"/>
        </w:numPr>
        <w:shd w:val="clear" w:color="auto" w:fill="FFFFFF"/>
        <w:jc w:val="both"/>
      </w:pPr>
      <w:r w:rsidRPr="0015154B">
        <w:t>jābūt skaidri definētam atbalsta mērķim, proti, pamatvajadzību apmēram, ko nodrošina konkrētā atbalsta sniegšana</w:t>
      </w:r>
    </w:p>
    <w:p w14:paraId="44AB77AF" w14:textId="04B53395" w:rsidR="00C36BF7" w:rsidRPr="0015154B" w:rsidRDefault="00FB5025" w:rsidP="00974071">
      <w:pPr>
        <w:pStyle w:val="Default"/>
        <w:numPr>
          <w:ilvl w:val="0"/>
          <w:numId w:val="47"/>
        </w:numPr>
        <w:shd w:val="clear" w:color="auto" w:fill="FFFFFF"/>
        <w:jc w:val="both"/>
      </w:pPr>
      <w:r w:rsidRPr="0015154B">
        <w:t xml:space="preserve">būtiska </w:t>
      </w:r>
      <w:r w:rsidR="00C36BF7" w:rsidRPr="0015154B">
        <w:t>līdzsvara saglabāšana starp personas un sabiedrības vajadzībām</w:t>
      </w:r>
      <w:r w:rsidRPr="0015154B">
        <w:t>.</w:t>
      </w:r>
    </w:p>
    <w:p w14:paraId="11E0F7EC" w14:textId="2BBC4E1A" w:rsidR="00F171B5" w:rsidRPr="0015154B" w:rsidRDefault="00EE7401" w:rsidP="007A3CF5">
      <w:pPr>
        <w:autoSpaceDE w:val="0"/>
        <w:autoSpaceDN w:val="0"/>
        <w:adjustRightInd w:val="0"/>
        <w:spacing w:before="120" w:after="0" w:line="240" w:lineRule="auto"/>
        <w:ind w:firstLine="720"/>
        <w:jc w:val="both"/>
        <w:rPr>
          <w:rFonts w:ascii="Times New Roman" w:eastAsia="Times New Roman" w:hAnsi="Times New Roman" w:cs="Times New Roman"/>
          <w:sz w:val="24"/>
          <w:szCs w:val="24"/>
        </w:rPr>
      </w:pPr>
      <w:r w:rsidRPr="0015154B">
        <w:rPr>
          <w:rFonts w:ascii="Times New Roman" w:hAnsi="Times New Roman" w:cs="Times New Roman"/>
          <w:sz w:val="24"/>
          <w:szCs w:val="24"/>
        </w:rPr>
        <w:t>Lai nodrošinātu Satversmes tiesas spriedumu īstenošanu un minimālo</w:t>
      </w:r>
      <w:r w:rsidR="00C36BF7" w:rsidRPr="0015154B">
        <w:rPr>
          <w:rFonts w:ascii="Times New Roman" w:hAnsi="Times New Roman" w:cs="Times New Roman"/>
          <w:sz w:val="24"/>
          <w:szCs w:val="24"/>
        </w:rPr>
        <w:t xml:space="preserve"> ienākumu sliekšņu pār</w:t>
      </w:r>
      <w:r w:rsidRPr="0015154B">
        <w:rPr>
          <w:rFonts w:ascii="Times New Roman" w:hAnsi="Times New Roman" w:cs="Times New Roman"/>
          <w:sz w:val="24"/>
          <w:szCs w:val="24"/>
        </w:rPr>
        <w:t>sk</w:t>
      </w:r>
      <w:r w:rsidR="00C36BF7" w:rsidRPr="0015154B">
        <w:rPr>
          <w:rFonts w:ascii="Times New Roman" w:hAnsi="Times New Roman" w:cs="Times New Roman"/>
          <w:sz w:val="24"/>
          <w:szCs w:val="24"/>
        </w:rPr>
        <w:t>atīšan</w:t>
      </w:r>
      <w:r w:rsidRPr="0015154B">
        <w:rPr>
          <w:rFonts w:ascii="Times New Roman" w:hAnsi="Times New Roman" w:cs="Times New Roman"/>
          <w:sz w:val="24"/>
          <w:szCs w:val="24"/>
        </w:rPr>
        <w:t>u un adekvātuma palielināšanu</w:t>
      </w:r>
      <w:r w:rsidR="00C36BF7" w:rsidRPr="0015154B">
        <w:rPr>
          <w:rFonts w:ascii="Times New Roman" w:hAnsi="Times New Roman" w:cs="Times New Roman"/>
          <w:sz w:val="24"/>
          <w:szCs w:val="24"/>
        </w:rPr>
        <w:t>,</w:t>
      </w:r>
      <w:r w:rsidR="00C36BF7" w:rsidRPr="0015154B">
        <w:rPr>
          <w:rFonts w:ascii="Times New Roman" w:eastAsia="Times New Roman" w:hAnsi="Times New Roman" w:cs="Times New Roman"/>
          <w:sz w:val="24"/>
          <w:szCs w:val="24"/>
        </w:rPr>
        <w:t xml:space="preserve"> </w:t>
      </w:r>
      <w:r w:rsidRPr="0015154B">
        <w:rPr>
          <w:rFonts w:ascii="Times New Roman" w:eastAsia="Times New Roman" w:hAnsi="Times New Roman" w:cs="Times New Roman"/>
          <w:sz w:val="24"/>
          <w:szCs w:val="24"/>
        </w:rPr>
        <w:t xml:space="preserve">no 2021.gada paredzēta </w:t>
      </w:r>
      <w:r w:rsidR="00C36BF7" w:rsidRPr="0015154B">
        <w:rPr>
          <w:rFonts w:ascii="Times New Roman" w:eastAsia="Times New Roman" w:hAnsi="Times New Roman" w:cs="Times New Roman"/>
          <w:sz w:val="24"/>
          <w:szCs w:val="24"/>
        </w:rPr>
        <w:t>metodoloģiski pamatot</w:t>
      </w:r>
      <w:r w:rsidRPr="0015154B">
        <w:rPr>
          <w:rFonts w:ascii="Times New Roman" w:eastAsia="Times New Roman" w:hAnsi="Times New Roman" w:cs="Times New Roman"/>
          <w:sz w:val="24"/>
          <w:szCs w:val="24"/>
        </w:rPr>
        <w:t>a</w:t>
      </w:r>
      <w:r w:rsidR="00C36BF7" w:rsidRPr="0015154B">
        <w:rPr>
          <w:rFonts w:ascii="Times New Roman" w:eastAsia="Times New Roman" w:hAnsi="Times New Roman" w:cs="Times New Roman"/>
          <w:sz w:val="24"/>
          <w:szCs w:val="24"/>
        </w:rPr>
        <w:t xml:space="preserve"> un sociālekonomiskajai realitātei atbilstoš</w:t>
      </w:r>
      <w:r w:rsidRPr="0015154B">
        <w:rPr>
          <w:rFonts w:ascii="Times New Roman" w:eastAsia="Times New Roman" w:hAnsi="Times New Roman" w:cs="Times New Roman"/>
          <w:sz w:val="24"/>
          <w:szCs w:val="24"/>
        </w:rPr>
        <w:t>a</w:t>
      </w:r>
      <w:r w:rsidR="00C36BF7" w:rsidRPr="0015154B">
        <w:rPr>
          <w:rFonts w:ascii="Times New Roman" w:eastAsia="Times New Roman" w:hAnsi="Times New Roman" w:cs="Times New Roman"/>
          <w:sz w:val="24"/>
          <w:szCs w:val="24"/>
        </w:rPr>
        <w:t xml:space="preserve"> </w:t>
      </w:r>
      <w:r w:rsidRPr="0015154B">
        <w:rPr>
          <w:rFonts w:ascii="Times New Roman" w:eastAsia="Times New Roman" w:hAnsi="Times New Roman" w:cs="Times New Roman"/>
          <w:sz w:val="24"/>
          <w:szCs w:val="24"/>
        </w:rPr>
        <w:t>valsts un pašvaldību atbalsta sliekšņa noteikšana, paredzot gan regulāru tā pārskatīšanas mehānismu, gan atbalsta saņemšanas kritēriju definēšanu.</w:t>
      </w:r>
      <w:r w:rsidR="00FB5025" w:rsidRPr="0015154B">
        <w:rPr>
          <w:rFonts w:ascii="Times New Roman" w:eastAsia="Times New Roman" w:hAnsi="Times New Roman" w:cs="Times New Roman"/>
          <w:sz w:val="24"/>
          <w:szCs w:val="24"/>
        </w:rPr>
        <w:t xml:space="preserve"> </w:t>
      </w:r>
      <w:r w:rsidR="00296F87" w:rsidRPr="0015154B">
        <w:rPr>
          <w:rFonts w:ascii="Times New Roman" w:eastAsia="Times New Roman" w:hAnsi="Times New Roman" w:cs="Times New Roman"/>
          <w:sz w:val="24"/>
          <w:szCs w:val="24"/>
        </w:rPr>
        <w:t>Ņemot vērā, ka arī iepriekš normatīvajos aktos bija paredzēta viena no minimālā atbalsta veidiem- VSNP apmēra pārskatīšana atbilstoši sociāli ekonomiskās situācijas izmaiņām, bet fiskālu ierobežojumu dēļ tas netika īstenots sistemātiskā un visa</w:t>
      </w:r>
      <w:r w:rsidR="004B0588">
        <w:rPr>
          <w:rFonts w:ascii="Times New Roman" w:eastAsia="Times New Roman" w:hAnsi="Times New Roman" w:cs="Times New Roman"/>
          <w:sz w:val="24"/>
          <w:szCs w:val="24"/>
        </w:rPr>
        <w:t>p</w:t>
      </w:r>
      <w:r w:rsidR="00296F87" w:rsidRPr="0015154B">
        <w:rPr>
          <w:rFonts w:ascii="Times New Roman" w:eastAsia="Times New Roman" w:hAnsi="Times New Roman" w:cs="Times New Roman"/>
          <w:sz w:val="24"/>
          <w:szCs w:val="24"/>
        </w:rPr>
        <w:t xml:space="preserve">tverošā veidā, viens no lielākajiem izaicinājumiem nākotnē būs saistīts ar regulāru minimālo ienākumu sliekšņu apmēru pārskatīšanu </w:t>
      </w:r>
      <w:r w:rsidR="00296F87" w:rsidRPr="004B0588">
        <w:rPr>
          <w:rFonts w:ascii="Times New Roman" w:eastAsia="Times New Roman" w:hAnsi="Times New Roman" w:cs="Times New Roman"/>
          <w:i/>
          <w:sz w:val="24"/>
          <w:szCs w:val="24"/>
        </w:rPr>
        <w:t>de facto</w:t>
      </w:r>
      <w:r w:rsidR="00296F87" w:rsidRPr="0015154B">
        <w:rPr>
          <w:rFonts w:ascii="Times New Roman" w:eastAsia="Times New Roman" w:hAnsi="Times New Roman" w:cs="Times New Roman"/>
          <w:sz w:val="24"/>
          <w:szCs w:val="24"/>
        </w:rPr>
        <w:t xml:space="preserve"> un paaugstināšanu pilnā apmērā visām mērķa grupām.</w:t>
      </w:r>
    </w:p>
    <w:p w14:paraId="0BACFC91" w14:textId="77777777" w:rsidR="00296F87" w:rsidRPr="0015154B" w:rsidRDefault="00296F87" w:rsidP="00FB5025">
      <w:pPr>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49230D15" w14:textId="4E4999E3" w:rsidR="003F19D3" w:rsidRPr="007157D3" w:rsidRDefault="003F19D3" w:rsidP="00C36BF7">
      <w:pPr>
        <w:autoSpaceDE w:val="0"/>
        <w:autoSpaceDN w:val="0"/>
        <w:adjustRightInd w:val="0"/>
        <w:jc w:val="both"/>
        <w:rPr>
          <w:rFonts w:ascii="Times New Roman" w:eastAsia="Times New Roman" w:hAnsi="Times New Roman" w:cs="Times New Roman"/>
          <w:sz w:val="24"/>
          <w:szCs w:val="24"/>
        </w:rPr>
      </w:pPr>
      <w:r w:rsidRPr="008057B3">
        <w:rPr>
          <w:rFonts w:ascii="Times New Roman" w:eastAsia="Times New Roman" w:hAnsi="Times New Roman" w:cs="Times New Roman"/>
          <w:noProof/>
          <w:sz w:val="24"/>
          <w:szCs w:val="24"/>
        </w:rPr>
        <w:lastRenderedPageBreak/>
        <mc:AlternateContent>
          <mc:Choice Requires="wpg">
            <w:drawing>
              <wp:inline distT="0" distB="0" distL="0" distR="0" wp14:anchorId="22694AAE" wp14:editId="5BF34438">
                <wp:extent cx="5288692" cy="2137559"/>
                <wp:effectExtent l="0" t="0" r="7620" b="15240"/>
                <wp:docPr id="22" name="Group 22"/>
                <wp:cNvGraphicFramePr/>
                <a:graphic xmlns:a="http://schemas.openxmlformats.org/drawingml/2006/main">
                  <a:graphicData uri="http://schemas.microsoft.com/office/word/2010/wordprocessingGroup">
                    <wpg:wgp>
                      <wpg:cNvGrpSpPr/>
                      <wpg:grpSpPr>
                        <a:xfrm>
                          <a:off x="0" y="0"/>
                          <a:ext cx="5288692" cy="2137559"/>
                          <a:chOff x="0" y="0"/>
                          <a:chExt cx="3567448" cy="1739272"/>
                        </a:xfrm>
                      </wpg:grpSpPr>
                      <wps:wsp>
                        <wps:cNvPr id="24" name="Rectangle 24"/>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00F61A" w14:textId="5DF66D85" w:rsidR="00D67CF6" w:rsidRPr="00DA731D" w:rsidRDefault="00D67CF6">
                              <w:pPr>
                                <w:jc w:val="center"/>
                                <w:rPr>
                                  <w:rFonts w:ascii="Times New Roman" w:eastAsiaTheme="majorEastAsia" w:hAnsi="Times New Roman" w:cs="Times New Roman"/>
                                  <w:b/>
                                  <w:color w:val="FFFFFF" w:themeColor="background1"/>
                                  <w:sz w:val="24"/>
                                  <w:szCs w:val="24"/>
                                </w:rPr>
                              </w:pPr>
                              <w:r w:rsidRPr="00DA731D">
                                <w:rPr>
                                  <w:rFonts w:ascii="Times New Roman" w:eastAsiaTheme="majorEastAsia" w:hAnsi="Times New Roman" w:cs="Times New Roman"/>
                                  <w:b/>
                                  <w:color w:val="FFFFFF" w:themeColor="background1"/>
                                  <w:sz w:val="24"/>
                                  <w:szCs w:val="24"/>
                                </w:rPr>
                                <w:t>IZAICINĀJUMI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0" y="252588"/>
                            <a:ext cx="3567448" cy="14866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833396" w14:textId="63576974"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Neadekvāti</w:t>
                              </w:r>
                              <w:r>
                                <w:rPr>
                                  <w:rFonts w:ascii="Times New Roman" w:hAnsi="Times New Roman" w:cs="Times New Roman"/>
                                  <w:color w:val="3E762A" w:themeColor="accent1" w:themeShade="BF"/>
                                  <w:sz w:val="24"/>
                                  <w:szCs w:val="24"/>
                                </w:rPr>
                                <w:t xml:space="preserve"> </w:t>
                              </w:r>
                              <w:r w:rsidRPr="002D5516">
                                <w:rPr>
                                  <w:rFonts w:ascii="Times New Roman" w:hAnsi="Times New Roman" w:cs="Times New Roman"/>
                                  <w:color w:val="3E762A" w:themeColor="accent1" w:themeShade="BF"/>
                                  <w:sz w:val="24"/>
                                  <w:szCs w:val="24"/>
                                </w:rPr>
                                <w:t>minimālie pensiju un pabalstu sliekšņi</w:t>
                              </w:r>
                              <w:r>
                                <w:rPr>
                                  <w:rFonts w:ascii="Times New Roman" w:hAnsi="Times New Roman" w:cs="Times New Roman"/>
                                  <w:color w:val="3E762A" w:themeColor="accent1" w:themeShade="BF"/>
                                  <w:sz w:val="24"/>
                                  <w:szCs w:val="24"/>
                                </w:rPr>
                                <w:t>, to sasaistes trūkums ar pamatotiem sociāli ekonomiskiem rādītājiem</w:t>
                              </w:r>
                            </w:p>
                            <w:p w14:paraId="56564A1F" w14:textId="686AA4EF"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Zems pensiju adekvātums</w:t>
                              </w:r>
                            </w:p>
                            <w:p w14:paraId="5E4651FE" w14:textId="3DED5FF6"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Augsts nodarbināto īpatsvars, kas valsts sociālās apdrošināšanas iemaksas veic no zemiem ienākumiem</w:t>
                              </w:r>
                            </w:p>
                            <w:p w14:paraId="56874572" w14:textId="46FAE954"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Nep</w:t>
                              </w:r>
                              <w:r>
                                <w:rPr>
                                  <w:rFonts w:ascii="Times New Roman" w:hAnsi="Times New Roman" w:cs="Times New Roman"/>
                                  <w:color w:val="3E762A" w:themeColor="accent1" w:themeShade="BF"/>
                                  <w:sz w:val="24"/>
                                  <w:szCs w:val="24"/>
                                </w:rPr>
                                <w:t>i</w:t>
                              </w:r>
                              <w:r w:rsidRPr="002D5516">
                                <w:rPr>
                                  <w:rFonts w:ascii="Times New Roman" w:hAnsi="Times New Roman" w:cs="Times New Roman"/>
                                  <w:color w:val="3E762A" w:themeColor="accent1" w:themeShade="BF"/>
                                  <w:sz w:val="24"/>
                                  <w:szCs w:val="24"/>
                                </w:rPr>
                                <w:t>etiekama atvieglotajos nodokļu režīmos nodarbināto personu sociālā aizsardzība kā īstermiņa, tā ilgtermiņa sociāl</w:t>
                              </w:r>
                              <w:r>
                                <w:rPr>
                                  <w:rFonts w:ascii="Times New Roman" w:hAnsi="Times New Roman" w:cs="Times New Roman"/>
                                  <w:color w:val="3E762A" w:themeColor="accent1" w:themeShade="BF"/>
                                  <w:sz w:val="24"/>
                                  <w:szCs w:val="24"/>
                                </w:rPr>
                                <w:t>a</w:t>
                              </w:r>
                              <w:r w:rsidRPr="002D5516">
                                <w:rPr>
                                  <w:rFonts w:ascii="Times New Roman" w:hAnsi="Times New Roman" w:cs="Times New Roman"/>
                                  <w:color w:val="3E762A" w:themeColor="accent1" w:themeShade="BF"/>
                                  <w:sz w:val="24"/>
                                  <w:szCs w:val="24"/>
                                </w:rPr>
                                <w:t xml:space="preserve"> risk</w:t>
                              </w:r>
                              <w:r>
                                <w:rPr>
                                  <w:rFonts w:ascii="Times New Roman" w:hAnsi="Times New Roman" w:cs="Times New Roman"/>
                                  <w:color w:val="3E762A" w:themeColor="accent1" w:themeShade="BF"/>
                                  <w:sz w:val="24"/>
                                  <w:szCs w:val="24"/>
                                </w:rPr>
                                <w:t>a</w:t>
                              </w:r>
                              <w:r w:rsidRPr="002D5516">
                                <w:rPr>
                                  <w:rFonts w:ascii="Times New Roman" w:hAnsi="Times New Roman" w:cs="Times New Roman"/>
                                  <w:color w:val="3E762A" w:themeColor="accent1" w:themeShade="BF"/>
                                  <w:sz w:val="24"/>
                                  <w:szCs w:val="24"/>
                                </w:rPr>
                                <w:t xml:space="preserve"> situācijā</w:t>
                              </w:r>
                            </w:p>
                            <w:p w14:paraId="175E3F2D" w14:textId="6F08E4BF" w:rsidR="00D67CF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Atšķirīga pieeja pašvaldību sociālās palīdzības piešķiršanā</w:t>
                              </w:r>
                            </w:p>
                            <w:p w14:paraId="433C5372" w14:textId="2D4A50A6"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Neadekvāti zems finansiālais atbalsts trūcīgākajiem iedzīvotājiem</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22694AAE" id="Group 22" o:spid="_x0000_s1039" style="width:416.45pt;height:168.3pt;mso-position-horizontal-relative:char;mso-position-vertical-relative:line" coordsize="35674,17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">
                <v:rect id="Rectangle 24" o:spid="_x0000_s1040"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" fillcolor="#549e39 [3204]" stroked="f" strokeweight="1pt">
                  <v:textbox>
                    <w:txbxContent>
                      <w:p w14:paraId="7C00F61A" w14:textId="5DF66D85" w:rsidR="00D67CF6" w:rsidRPr="00DA731D" w:rsidRDefault="00D67CF6">
                        <w:pPr>
                          <w:jc w:val="center"/>
                          <w:rPr>
                            <w:rFonts w:ascii="Times New Roman" w:eastAsiaTheme="majorEastAsia" w:hAnsi="Times New Roman" w:cs="Times New Roman"/>
                            <w:b/>
                            <w:color w:val="FFFFFF" w:themeColor="background1"/>
                            <w:sz w:val="24"/>
                            <w:szCs w:val="24"/>
                          </w:rPr>
                        </w:pPr>
                        <w:r w:rsidRPr="00DA731D">
                          <w:rPr>
                            <w:rFonts w:ascii="Times New Roman" w:eastAsiaTheme="majorEastAsia" w:hAnsi="Times New Roman" w:cs="Times New Roman"/>
                            <w:b/>
                            <w:color w:val="FFFFFF" w:themeColor="background1"/>
                            <w:sz w:val="24"/>
                            <w:szCs w:val="24"/>
                          </w:rPr>
                          <w:t>IZAICINĀJUMI</w:t>
                        </w:r>
                      </w:p>
                    </w:txbxContent>
                  </v:textbox>
                </v:rect>
                <v:shape id="Text Box 29" o:spid="_x0000_s1041" type="#_x0000_t202" style="position:absolute;top:2525;width:35674;height:14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" filled="f" stroked="f" strokeweight=".5pt">
                  <v:textbox inset=",7.2pt,,0">
                    <w:txbxContent>
                      <w:p w14:paraId="10833396" w14:textId="63576974"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Neadekvāti</w:t>
                        </w:r>
                        <w:r>
                          <w:rPr>
                            <w:rFonts w:ascii="Times New Roman" w:hAnsi="Times New Roman" w:cs="Times New Roman"/>
                            <w:color w:val="3E762A" w:themeColor="accent1" w:themeShade="BF"/>
                            <w:sz w:val="24"/>
                            <w:szCs w:val="24"/>
                          </w:rPr>
                          <w:t xml:space="preserve"> </w:t>
                        </w:r>
                        <w:r w:rsidRPr="002D5516">
                          <w:rPr>
                            <w:rFonts w:ascii="Times New Roman" w:hAnsi="Times New Roman" w:cs="Times New Roman"/>
                            <w:color w:val="3E762A" w:themeColor="accent1" w:themeShade="BF"/>
                            <w:sz w:val="24"/>
                            <w:szCs w:val="24"/>
                          </w:rPr>
                          <w:t>minimālie pensiju un pabalstu sliekšņi</w:t>
                        </w:r>
                        <w:r>
                          <w:rPr>
                            <w:rFonts w:ascii="Times New Roman" w:hAnsi="Times New Roman" w:cs="Times New Roman"/>
                            <w:color w:val="3E762A" w:themeColor="accent1" w:themeShade="BF"/>
                            <w:sz w:val="24"/>
                            <w:szCs w:val="24"/>
                          </w:rPr>
                          <w:t>, to sasaistes trūkums ar pamatotiem sociāli ekonomiskiem rādītājiem</w:t>
                        </w:r>
                      </w:p>
                      <w:p w14:paraId="56564A1F" w14:textId="686AA4EF"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Zems pensiju adekvātums</w:t>
                        </w:r>
                      </w:p>
                      <w:p w14:paraId="5E4651FE" w14:textId="3DED5FF6"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Augsts nodarbināto īpatsvars, kas valsts sociālās apdrošināšanas iemaksas veic no zemiem ienākumiem</w:t>
                        </w:r>
                      </w:p>
                      <w:p w14:paraId="56874572" w14:textId="46FAE954"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Nep</w:t>
                        </w:r>
                        <w:r>
                          <w:rPr>
                            <w:rFonts w:ascii="Times New Roman" w:hAnsi="Times New Roman" w:cs="Times New Roman"/>
                            <w:color w:val="3E762A" w:themeColor="accent1" w:themeShade="BF"/>
                            <w:sz w:val="24"/>
                            <w:szCs w:val="24"/>
                          </w:rPr>
                          <w:t>i</w:t>
                        </w:r>
                        <w:r w:rsidRPr="002D5516">
                          <w:rPr>
                            <w:rFonts w:ascii="Times New Roman" w:hAnsi="Times New Roman" w:cs="Times New Roman"/>
                            <w:color w:val="3E762A" w:themeColor="accent1" w:themeShade="BF"/>
                            <w:sz w:val="24"/>
                            <w:szCs w:val="24"/>
                          </w:rPr>
                          <w:t>etiekama atvieglotajos nodokļu režīmos nodarbināto personu sociālā aizsardzība kā īstermiņa, tā ilgtermiņa sociāl</w:t>
                        </w:r>
                        <w:r>
                          <w:rPr>
                            <w:rFonts w:ascii="Times New Roman" w:hAnsi="Times New Roman" w:cs="Times New Roman"/>
                            <w:color w:val="3E762A" w:themeColor="accent1" w:themeShade="BF"/>
                            <w:sz w:val="24"/>
                            <w:szCs w:val="24"/>
                          </w:rPr>
                          <w:t>a</w:t>
                        </w:r>
                        <w:r w:rsidRPr="002D5516">
                          <w:rPr>
                            <w:rFonts w:ascii="Times New Roman" w:hAnsi="Times New Roman" w:cs="Times New Roman"/>
                            <w:color w:val="3E762A" w:themeColor="accent1" w:themeShade="BF"/>
                            <w:sz w:val="24"/>
                            <w:szCs w:val="24"/>
                          </w:rPr>
                          <w:t xml:space="preserve"> risk</w:t>
                        </w:r>
                        <w:r>
                          <w:rPr>
                            <w:rFonts w:ascii="Times New Roman" w:hAnsi="Times New Roman" w:cs="Times New Roman"/>
                            <w:color w:val="3E762A" w:themeColor="accent1" w:themeShade="BF"/>
                            <w:sz w:val="24"/>
                            <w:szCs w:val="24"/>
                          </w:rPr>
                          <w:t>a</w:t>
                        </w:r>
                        <w:r w:rsidRPr="002D5516">
                          <w:rPr>
                            <w:rFonts w:ascii="Times New Roman" w:hAnsi="Times New Roman" w:cs="Times New Roman"/>
                            <w:color w:val="3E762A" w:themeColor="accent1" w:themeShade="BF"/>
                            <w:sz w:val="24"/>
                            <w:szCs w:val="24"/>
                          </w:rPr>
                          <w:t xml:space="preserve"> situācijā</w:t>
                        </w:r>
                      </w:p>
                      <w:p w14:paraId="175E3F2D" w14:textId="6F08E4BF" w:rsidR="00D67CF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sidRPr="002D5516">
                          <w:rPr>
                            <w:rFonts w:ascii="Times New Roman" w:hAnsi="Times New Roman" w:cs="Times New Roman"/>
                            <w:color w:val="3E762A" w:themeColor="accent1" w:themeShade="BF"/>
                            <w:sz w:val="24"/>
                            <w:szCs w:val="24"/>
                          </w:rPr>
                          <w:t>Atšķirīga pieeja pašvaldību sociālās palīdzības piešķiršanā</w:t>
                        </w:r>
                      </w:p>
                      <w:p w14:paraId="433C5372" w14:textId="2D4A50A6" w:rsidR="00D67CF6" w:rsidRPr="002D5516" w:rsidRDefault="00D67CF6" w:rsidP="00974071">
                        <w:pPr>
                          <w:pStyle w:val="ListParagraph"/>
                          <w:numPr>
                            <w:ilvl w:val="0"/>
                            <w:numId w:val="39"/>
                          </w:numPr>
                          <w:spacing w:after="0" w:line="240" w:lineRule="auto"/>
                          <w:jc w:val="both"/>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Neadekvāti zems finansiālais atbalsts trūcīgākajiem iedzīvotājiem</w:t>
                        </w:r>
                      </w:p>
                    </w:txbxContent>
                  </v:textbox>
                </v:shape>
                <w10:anchorlock/>
              </v:group>
            </w:pict>
          </mc:Fallback>
        </mc:AlternateContent>
      </w:r>
    </w:p>
    <w:p w14:paraId="175CC3E4" w14:textId="77777777" w:rsidR="00F36B71" w:rsidRPr="007157D3" w:rsidRDefault="00F36B71" w:rsidP="00200837">
      <w:pPr>
        <w:spacing w:after="0" w:line="240" w:lineRule="auto"/>
        <w:jc w:val="both"/>
        <w:rPr>
          <w:rFonts w:ascii="Times New Roman" w:hAnsi="Times New Roman" w:cs="Times New Roman"/>
          <w:b/>
          <w:sz w:val="28"/>
          <w:szCs w:val="28"/>
        </w:rPr>
      </w:pPr>
    </w:p>
    <w:p w14:paraId="2E112CCE" w14:textId="77777777" w:rsidR="006D741D" w:rsidRPr="007157D3" w:rsidRDefault="006D741D">
      <w:pPr>
        <w:rPr>
          <w:rFonts w:ascii="Times New Roman" w:hAnsi="Times New Roman" w:cs="Times New Roman"/>
          <w:b/>
          <w:sz w:val="28"/>
          <w:szCs w:val="28"/>
        </w:rPr>
      </w:pPr>
      <w:r w:rsidRPr="007157D3">
        <w:rPr>
          <w:rFonts w:ascii="Times New Roman" w:hAnsi="Times New Roman" w:cs="Times New Roman"/>
          <w:b/>
          <w:sz w:val="28"/>
          <w:szCs w:val="28"/>
        </w:rPr>
        <w:br w:type="page"/>
      </w:r>
    </w:p>
    <w:p w14:paraId="29209DA2" w14:textId="3FDE965D" w:rsidR="00200837" w:rsidRDefault="0026365F" w:rsidP="00EC7537">
      <w:pPr>
        <w:pStyle w:val="Heading1"/>
      </w:pPr>
      <w:bookmarkStart w:id="32" w:name="_Toc55316073"/>
      <w:r w:rsidRPr="007157D3">
        <w:lastRenderedPageBreak/>
        <w:t>Valsts sociālās apdrošināšanas sistēmas ilgtspēja un stabilitāte</w:t>
      </w:r>
      <w:bookmarkEnd w:id="32"/>
    </w:p>
    <w:p w14:paraId="634C16BB" w14:textId="2CCFEDB2" w:rsidR="00200837" w:rsidRPr="00573B49" w:rsidRDefault="00364B06" w:rsidP="00DA5144">
      <w:pPr>
        <w:pStyle w:val="Heading2"/>
      </w:pPr>
      <w:bookmarkStart w:id="33" w:name="_Toc55316074"/>
      <w:r w:rsidRPr="00573B49">
        <w:t>Finansiālā stabilitāte</w:t>
      </w:r>
      <w:bookmarkEnd w:id="33"/>
      <w:r w:rsidRPr="00573B49">
        <w:t xml:space="preserve"> </w:t>
      </w:r>
    </w:p>
    <w:p w14:paraId="7910FDB0" w14:textId="22D01356" w:rsidR="00200837" w:rsidRPr="0015154B" w:rsidRDefault="00200837" w:rsidP="00200837">
      <w:pPr>
        <w:pStyle w:val="NormalWeb"/>
        <w:shd w:val="clear" w:color="auto" w:fill="FFFFFF"/>
        <w:spacing w:before="0" w:beforeAutospacing="0" w:after="0" w:afterAutospacing="0"/>
        <w:ind w:firstLine="720"/>
        <w:jc w:val="both"/>
        <w:rPr>
          <w:rFonts w:ascii="Times New Roman" w:hAnsi="Times New Roman"/>
          <w:sz w:val="24"/>
          <w:szCs w:val="24"/>
        </w:rPr>
      </w:pPr>
      <w:r w:rsidRPr="00573B49">
        <w:rPr>
          <w:rFonts w:ascii="Times New Roman" w:hAnsi="Times New Roman"/>
          <w:sz w:val="24"/>
          <w:szCs w:val="24"/>
        </w:rPr>
        <w:t>Apzinoties sabiedrības novecošanās ietekmi uz pensiju shēmu finansiālo stabilitāti un ilgtspēju, kā arī pēdējās ekonomiskās un finanšu krīzes negatīvo ietekmi uz sociālās apdrošināšanas sistēmas spēju nodrošināt adekvātu un ilgtspējīgu aizsardzību pret nabadzību un sociālo atstumtību, daudzas ES dalībvalstis pēdējo desmit gadu laikā ir veikušas pensiju sistēmu reformas. Pensiju sistēmas 1.līmeņa uzkrājumu veidošanu daudzas dalībvalstis atzīst par ļoti nozīmīgu risinājumu, lai nodrošinātu adekvātus sociālās apdrošināšanas pa</w:t>
      </w:r>
      <w:r w:rsidRPr="0025422D">
        <w:rPr>
          <w:rFonts w:ascii="Times New Roman" w:hAnsi="Times New Roman"/>
          <w:sz w:val="24"/>
          <w:szCs w:val="24"/>
        </w:rPr>
        <w:t xml:space="preserve">kalpojumus augstas demogrāfiskās noslodzes un deficīta situācijā </w:t>
      </w:r>
      <w:r w:rsidR="0025422D">
        <w:rPr>
          <w:rFonts w:ascii="Times New Roman" w:hAnsi="Times New Roman"/>
          <w:sz w:val="24"/>
          <w:szCs w:val="24"/>
        </w:rPr>
        <w:t>(</w:t>
      </w:r>
      <w:r w:rsidRPr="0025422D">
        <w:rPr>
          <w:rFonts w:ascii="Times New Roman" w:hAnsi="Times New Roman"/>
          <w:sz w:val="24"/>
          <w:szCs w:val="24"/>
        </w:rPr>
        <w:t>pensijas</w:t>
      </w:r>
      <w:r w:rsidR="0025422D">
        <w:rPr>
          <w:rFonts w:ascii="Times New Roman" w:hAnsi="Times New Roman"/>
          <w:sz w:val="24"/>
          <w:szCs w:val="24"/>
        </w:rPr>
        <w:t>)</w:t>
      </w:r>
      <w:r w:rsidRPr="0025422D">
        <w:rPr>
          <w:rFonts w:ascii="Times New Roman" w:hAnsi="Times New Roman"/>
          <w:sz w:val="24"/>
          <w:szCs w:val="24"/>
        </w:rPr>
        <w:t xml:space="preserve"> un vienlaikus izvairoties no nepieciešamības nākotnē palielināt nodokļu slogu arvien sarūkošam darbspējīgo iedzīvotāju skaitam. </w:t>
      </w:r>
      <w:r w:rsidR="004B0588">
        <w:rPr>
          <w:rFonts w:ascii="Times New Roman" w:hAnsi="Times New Roman"/>
          <w:sz w:val="24"/>
          <w:szCs w:val="24"/>
        </w:rPr>
        <w:t>ES</w:t>
      </w:r>
      <w:r w:rsidRPr="0025422D">
        <w:rPr>
          <w:rFonts w:ascii="Times New Roman" w:hAnsi="Times New Roman"/>
          <w:sz w:val="24"/>
          <w:szCs w:val="24"/>
        </w:rPr>
        <w:t xml:space="preserve"> un OECD valstu pieeja </w:t>
      </w:r>
      <w:r w:rsidRPr="00A857F2">
        <w:rPr>
          <w:rFonts w:ascii="Times New Roman" w:hAnsi="Times New Roman"/>
          <w:b/>
          <w:sz w:val="24"/>
          <w:szCs w:val="24"/>
        </w:rPr>
        <w:t>rezerves fonda</w:t>
      </w:r>
      <w:r w:rsidRPr="00662D1E">
        <w:rPr>
          <w:rFonts w:ascii="Times New Roman" w:hAnsi="Times New Roman"/>
          <w:sz w:val="24"/>
          <w:szCs w:val="24"/>
        </w:rPr>
        <w:t xml:space="preserve"> izveidošanā variē, taču to izveides mērķi un izlietojuma principi neatšķiras, t.i., nodrošināt nepieciešamo uzkrājumu veikšanu arvien pieaugošu sociālās apdrošināšanas maksājumu (galvenokārt, pensiju) dēļ, garantēt un nodrošināt pensiju sistēmas darbību ilgtermiņā, nodrošināt ma</w:t>
      </w:r>
      <w:r w:rsidRPr="009703E6">
        <w:rPr>
          <w:rFonts w:ascii="Times New Roman" w:hAnsi="Times New Roman"/>
          <w:sz w:val="24"/>
          <w:szCs w:val="24"/>
        </w:rPr>
        <w:t>ksājumu veikšanu no rezerves fonda negatīvas sociālās apdrošināšanas gadījumā (</w:t>
      </w:r>
      <w:r w:rsidRPr="009703E6">
        <w:rPr>
          <w:rFonts w:ascii="Times New Roman" w:hAnsi="Times New Roman"/>
          <w:sz w:val="24"/>
          <w:szCs w:val="24"/>
          <w:highlight w:val="yellow"/>
        </w:rPr>
        <w:t>skat.</w:t>
      </w:r>
      <w:r w:rsidR="00A55F08" w:rsidRPr="0015154B">
        <w:rPr>
          <w:rFonts w:ascii="Times New Roman" w:hAnsi="Times New Roman"/>
          <w:sz w:val="24"/>
          <w:szCs w:val="24"/>
          <w:highlight w:val="yellow"/>
        </w:rPr>
        <w:t xml:space="preserve"> 10</w:t>
      </w:r>
      <w:r w:rsidRPr="0015154B">
        <w:rPr>
          <w:rFonts w:ascii="Times New Roman" w:hAnsi="Times New Roman"/>
          <w:sz w:val="24"/>
          <w:szCs w:val="24"/>
          <w:highlight w:val="yellow"/>
        </w:rPr>
        <w:t>.tabulu</w:t>
      </w:r>
      <w:r w:rsidRPr="0015154B">
        <w:rPr>
          <w:rFonts w:ascii="Times New Roman" w:hAnsi="Times New Roman"/>
          <w:sz w:val="24"/>
          <w:szCs w:val="24"/>
        </w:rPr>
        <w:t xml:space="preserve">). </w:t>
      </w:r>
    </w:p>
    <w:p w14:paraId="1BE14F83" w14:textId="77777777" w:rsidR="00200837" w:rsidRPr="0015154B" w:rsidRDefault="00200837" w:rsidP="00200837">
      <w:pPr>
        <w:autoSpaceDE w:val="0"/>
        <w:autoSpaceDN w:val="0"/>
        <w:adjustRightInd w:val="0"/>
        <w:spacing w:after="0" w:line="240" w:lineRule="auto"/>
        <w:jc w:val="both"/>
        <w:rPr>
          <w:rFonts w:ascii="Times New Roman" w:hAnsi="Times New Roman" w:cs="Times New Roman"/>
          <w:sz w:val="24"/>
          <w:szCs w:val="24"/>
        </w:rPr>
      </w:pPr>
    </w:p>
    <w:p w14:paraId="2DB410C2" w14:textId="51A38DA9" w:rsidR="00200837" w:rsidRPr="0015154B" w:rsidRDefault="00A55F08" w:rsidP="00200837">
      <w:pPr>
        <w:autoSpaceDE w:val="0"/>
        <w:autoSpaceDN w:val="0"/>
        <w:adjustRightInd w:val="0"/>
        <w:spacing w:after="0" w:line="240" w:lineRule="auto"/>
        <w:rPr>
          <w:rFonts w:ascii="Times New Roman" w:hAnsi="Times New Roman" w:cs="Times New Roman"/>
          <w:sz w:val="24"/>
          <w:szCs w:val="24"/>
        </w:rPr>
      </w:pPr>
      <w:r w:rsidRPr="0015154B">
        <w:rPr>
          <w:rFonts w:ascii="Times New Roman" w:hAnsi="Times New Roman" w:cs="Times New Roman"/>
          <w:sz w:val="24"/>
          <w:szCs w:val="24"/>
        </w:rPr>
        <w:t>10</w:t>
      </w:r>
      <w:r w:rsidR="00200837" w:rsidRPr="0015154B">
        <w:rPr>
          <w:rFonts w:ascii="Times New Roman" w:hAnsi="Times New Roman" w:cs="Times New Roman"/>
          <w:sz w:val="24"/>
          <w:szCs w:val="24"/>
        </w:rPr>
        <w:t>.tabula</w:t>
      </w:r>
    </w:p>
    <w:p w14:paraId="6FF3B6D8" w14:textId="77777777" w:rsidR="00200837" w:rsidRPr="0015154B" w:rsidRDefault="00200837" w:rsidP="00A55F08">
      <w:pPr>
        <w:autoSpaceDE w:val="0"/>
        <w:autoSpaceDN w:val="0"/>
        <w:adjustRightInd w:val="0"/>
        <w:spacing w:after="0" w:line="240" w:lineRule="auto"/>
        <w:ind w:firstLine="720"/>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Rezerves fondi atsevišķās OECD Eiropas valstīs 2017.gadā</w:t>
      </w:r>
    </w:p>
    <w:p w14:paraId="73BA6A89" w14:textId="77777777" w:rsidR="00200837" w:rsidRPr="0015154B" w:rsidRDefault="00200837" w:rsidP="00200837">
      <w:pPr>
        <w:autoSpaceDE w:val="0"/>
        <w:autoSpaceDN w:val="0"/>
        <w:adjustRightInd w:val="0"/>
        <w:spacing w:after="0" w:line="240" w:lineRule="auto"/>
        <w:rPr>
          <w:rFonts w:ascii="Times New Roman" w:hAnsi="Times New Roman" w:cs="Times New Roman"/>
          <w:sz w:val="24"/>
          <w:szCs w:val="24"/>
        </w:rPr>
      </w:pPr>
    </w:p>
    <w:tbl>
      <w:tblPr>
        <w:tblStyle w:val="GridTable7Colorful-Accent31"/>
        <w:tblW w:w="0" w:type="auto"/>
        <w:tblLook w:val="04A0" w:firstRow="1" w:lastRow="0" w:firstColumn="1" w:lastColumn="0" w:noHBand="0" w:noVBand="1"/>
      </w:tblPr>
      <w:tblGrid>
        <w:gridCol w:w="2410"/>
        <w:gridCol w:w="3119"/>
        <w:gridCol w:w="2767"/>
      </w:tblGrid>
      <w:tr w:rsidR="00DA731D" w:rsidRPr="0015154B" w14:paraId="5CC46DEB" w14:textId="77777777" w:rsidTr="00DA73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0" w:type="dxa"/>
          </w:tcPr>
          <w:p w14:paraId="51960387" w14:textId="77777777" w:rsidR="00200837" w:rsidRPr="0015154B" w:rsidRDefault="00200837" w:rsidP="0026365F">
            <w:pPr>
              <w:autoSpaceDE w:val="0"/>
              <w:autoSpaceDN w:val="0"/>
              <w:adjustRightInd w:val="0"/>
              <w:jc w:val="center"/>
              <w:rPr>
                <w:i w:val="0"/>
                <w:color w:val="002060"/>
                <w:sz w:val="24"/>
                <w:szCs w:val="24"/>
              </w:rPr>
            </w:pPr>
            <w:r w:rsidRPr="0015154B">
              <w:rPr>
                <w:i w:val="0"/>
                <w:color w:val="002060"/>
                <w:sz w:val="24"/>
                <w:szCs w:val="24"/>
              </w:rPr>
              <w:t>Valsts</w:t>
            </w:r>
          </w:p>
        </w:tc>
        <w:tc>
          <w:tcPr>
            <w:tcW w:w="3119" w:type="dxa"/>
          </w:tcPr>
          <w:p w14:paraId="03123254" w14:textId="77777777" w:rsidR="00200837" w:rsidRPr="0015154B" w:rsidRDefault="00200837" w:rsidP="0026365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002060"/>
                <w:sz w:val="24"/>
                <w:szCs w:val="24"/>
              </w:rPr>
            </w:pPr>
            <w:r w:rsidRPr="0015154B">
              <w:rPr>
                <w:color w:val="002060"/>
                <w:sz w:val="24"/>
                <w:szCs w:val="24"/>
              </w:rPr>
              <w:t>Rezerves fonda izveidošanas gads</w:t>
            </w:r>
          </w:p>
        </w:tc>
        <w:tc>
          <w:tcPr>
            <w:tcW w:w="2767" w:type="dxa"/>
          </w:tcPr>
          <w:p w14:paraId="6C2183A6" w14:textId="77777777" w:rsidR="00200837" w:rsidRPr="0015154B" w:rsidRDefault="00200837" w:rsidP="0026365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002060"/>
                <w:sz w:val="24"/>
                <w:szCs w:val="24"/>
              </w:rPr>
            </w:pPr>
            <w:r w:rsidRPr="0015154B">
              <w:rPr>
                <w:color w:val="002060"/>
                <w:sz w:val="24"/>
                <w:szCs w:val="24"/>
              </w:rPr>
              <w:t>Uzkrājuma apjoms, % no IKP</w:t>
            </w:r>
          </w:p>
        </w:tc>
      </w:tr>
      <w:tr w:rsidR="00200837" w:rsidRPr="0015154B" w14:paraId="6E27ACD9" w14:textId="77777777" w:rsidTr="00DA7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6B9AF74"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Bulgārija</w:t>
            </w:r>
          </w:p>
        </w:tc>
        <w:tc>
          <w:tcPr>
            <w:tcW w:w="3119" w:type="dxa"/>
          </w:tcPr>
          <w:p w14:paraId="4C8CE23C"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2007</w:t>
            </w:r>
          </w:p>
        </w:tc>
        <w:tc>
          <w:tcPr>
            <w:tcW w:w="2767" w:type="dxa"/>
          </w:tcPr>
          <w:p w14:paraId="53D0039E"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2,8</w:t>
            </w:r>
          </w:p>
        </w:tc>
      </w:tr>
      <w:tr w:rsidR="00200837" w:rsidRPr="0015154B" w14:paraId="18419759" w14:textId="77777777" w:rsidTr="00DA731D">
        <w:tc>
          <w:tcPr>
            <w:cnfStyle w:val="001000000000" w:firstRow="0" w:lastRow="0" w:firstColumn="1" w:lastColumn="0" w:oddVBand="0" w:evenVBand="0" w:oddHBand="0" w:evenHBand="0" w:firstRowFirstColumn="0" w:firstRowLastColumn="0" w:lastRowFirstColumn="0" w:lastRowLastColumn="0"/>
            <w:tcW w:w="2410" w:type="dxa"/>
          </w:tcPr>
          <w:p w14:paraId="031EE29E"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Francija</w:t>
            </w:r>
          </w:p>
        </w:tc>
        <w:tc>
          <w:tcPr>
            <w:tcW w:w="3119" w:type="dxa"/>
          </w:tcPr>
          <w:p w14:paraId="52E87C86"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n/d</w:t>
            </w:r>
          </w:p>
        </w:tc>
        <w:tc>
          <w:tcPr>
            <w:tcW w:w="2767" w:type="dxa"/>
          </w:tcPr>
          <w:p w14:paraId="3BFDF234"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4,2</w:t>
            </w:r>
          </w:p>
        </w:tc>
      </w:tr>
      <w:tr w:rsidR="00200837" w:rsidRPr="0015154B" w14:paraId="0567D1E1" w14:textId="77777777" w:rsidTr="00DA7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757FEBC"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Luksemburga</w:t>
            </w:r>
          </w:p>
        </w:tc>
        <w:tc>
          <w:tcPr>
            <w:tcW w:w="3119" w:type="dxa"/>
          </w:tcPr>
          <w:p w14:paraId="75D43E1F"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2004</w:t>
            </w:r>
          </w:p>
        </w:tc>
        <w:tc>
          <w:tcPr>
            <w:tcW w:w="2767" w:type="dxa"/>
          </w:tcPr>
          <w:p w14:paraId="6A602492"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32,7</w:t>
            </w:r>
          </w:p>
        </w:tc>
      </w:tr>
      <w:tr w:rsidR="00200837" w:rsidRPr="0015154B" w14:paraId="3C154205" w14:textId="77777777" w:rsidTr="00DA731D">
        <w:tc>
          <w:tcPr>
            <w:cnfStyle w:val="001000000000" w:firstRow="0" w:lastRow="0" w:firstColumn="1" w:lastColumn="0" w:oddVBand="0" w:evenVBand="0" w:oddHBand="0" w:evenHBand="0" w:firstRowFirstColumn="0" w:firstRowLastColumn="0" w:lastRowFirstColumn="0" w:lastRowLastColumn="0"/>
            <w:tcW w:w="2410" w:type="dxa"/>
          </w:tcPr>
          <w:p w14:paraId="7AEB5A3C"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Norvēģija</w:t>
            </w:r>
          </w:p>
        </w:tc>
        <w:tc>
          <w:tcPr>
            <w:tcW w:w="3119" w:type="dxa"/>
          </w:tcPr>
          <w:p w14:paraId="31F1A429"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2001</w:t>
            </w:r>
          </w:p>
        </w:tc>
        <w:tc>
          <w:tcPr>
            <w:tcW w:w="2767" w:type="dxa"/>
          </w:tcPr>
          <w:p w14:paraId="1E33962F"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7,3</w:t>
            </w:r>
          </w:p>
        </w:tc>
      </w:tr>
      <w:tr w:rsidR="00200837" w:rsidRPr="0015154B" w14:paraId="2D04E2C0" w14:textId="77777777" w:rsidTr="00DA7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6929575"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Polija</w:t>
            </w:r>
          </w:p>
        </w:tc>
        <w:tc>
          <w:tcPr>
            <w:tcW w:w="3119" w:type="dxa"/>
          </w:tcPr>
          <w:p w14:paraId="107C629A"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2002</w:t>
            </w:r>
          </w:p>
        </w:tc>
        <w:tc>
          <w:tcPr>
            <w:tcW w:w="2767" w:type="dxa"/>
          </w:tcPr>
          <w:p w14:paraId="0EDF7129"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1,3</w:t>
            </w:r>
          </w:p>
        </w:tc>
      </w:tr>
      <w:tr w:rsidR="00200837" w:rsidRPr="0015154B" w14:paraId="34FF5858" w14:textId="77777777" w:rsidTr="00DA731D">
        <w:tc>
          <w:tcPr>
            <w:cnfStyle w:val="001000000000" w:firstRow="0" w:lastRow="0" w:firstColumn="1" w:lastColumn="0" w:oddVBand="0" w:evenVBand="0" w:oddHBand="0" w:evenHBand="0" w:firstRowFirstColumn="0" w:firstRowLastColumn="0" w:lastRowFirstColumn="0" w:lastRowLastColumn="0"/>
            <w:tcW w:w="2410" w:type="dxa"/>
          </w:tcPr>
          <w:p w14:paraId="2F7BA3B6"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Portugāle</w:t>
            </w:r>
          </w:p>
        </w:tc>
        <w:tc>
          <w:tcPr>
            <w:tcW w:w="3119" w:type="dxa"/>
          </w:tcPr>
          <w:p w14:paraId="35444D4B"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1977</w:t>
            </w:r>
          </w:p>
        </w:tc>
        <w:tc>
          <w:tcPr>
            <w:tcW w:w="2767" w:type="dxa"/>
          </w:tcPr>
          <w:p w14:paraId="1855F75D"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8,1</w:t>
            </w:r>
          </w:p>
        </w:tc>
      </w:tr>
      <w:tr w:rsidR="00200837" w:rsidRPr="0015154B" w14:paraId="49FAC23F" w14:textId="77777777" w:rsidTr="00DA7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2ECEC3B"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Spānija</w:t>
            </w:r>
          </w:p>
        </w:tc>
        <w:tc>
          <w:tcPr>
            <w:tcW w:w="3119" w:type="dxa"/>
          </w:tcPr>
          <w:p w14:paraId="162F591F"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1997</w:t>
            </w:r>
          </w:p>
        </w:tc>
        <w:tc>
          <w:tcPr>
            <w:tcW w:w="2767" w:type="dxa"/>
          </w:tcPr>
          <w:p w14:paraId="317AAAE4"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0,7</w:t>
            </w:r>
          </w:p>
        </w:tc>
      </w:tr>
      <w:tr w:rsidR="00200837" w:rsidRPr="0015154B" w14:paraId="17CDAA89" w14:textId="77777777" w:rsidTr="00DA731D">
        <w:tc>
          <w:tcPr>
            <w:cnfStyle w:val="001000000000" w:firstRow="0" w:lastRow="0" w:firstColumn="1" w:lastColumn="0" w:oddVBand="0" w:evenVBand="0" w:oddHBand="0" w:evenHBand="0" w:firstRowFirstColumn="0" w:firstRowLastColumn="0" w:lastRowFirstColumn="0" w:lastRowLastColumn="0"/>
            <w:tcW w:w="2410" w:type="dxa"/>
          </w:tcPr>
          <w:p w14:paraId="33FAC76D"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Somija</w:t>
            </w:r>
          </w:p>
        </w:tc>
        <w:tc>
          <w:tcPr>
            <w:tcW w:w="3119" w:type="dxa"/>
          </w:tcPr>
          <w:p w14:paraId="36C16096"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1997</w:t>
            </w:r>
          </w:p>
        </w:tc>
        <w:tc>
          <w:tcPr>
            <w:tcW w:w="2767" w:type="dxa"/>
          </w:tcPr>
          <w:p w14:paraId="33A338FA"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8,7</w:t>
            </w:r>
          </w:p>
        </w:tc>
      </w:tr>
      <w:tr w:rsidR="00200837" w:rsidRPr="0015154B" w14:paraId="356C07E5" w14:textId="77777777" w:rsidTr="00DA73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81409D5"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Vācija</w:t>
            </w:r>
          </w:p>
        </w:tc>
        <w:tc>
          <w:tcPr>
            <w:tcW w:w="3119" w:type="dxa"/>
          </w:tcPr>
          <w:p w14:paraId="43CA15D5"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1972</w:t>
            </w:r>
          </w:p>
        </w:tc>
        <w:tc>
          <w:tcPr>
            <w:tcW w:w="2767" w:type="dxa"/>
          </w:tcPr>
          <w:p w14:paraId="3AB463F9" w14:textId="77777777" w:rsidR="00200837" w:rsidRPr="0015154B" w:rsidRDefault="00200837" w:rsidP="0026365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15154B">
              <w:rPr>
                <w:color w:val="auto"/>
                <w:sz w:val="24"/>
                <w:szCs w:val="24"/>
              </w:rPr>
              <w:t>1,0</w:t>
            </w:r>
          </w:p>
        </w:tc>
      </w:tr>
      <w:tr w:rsidR="00200837" w:rsidRPr="0015154B" w14:paraId="6783DFA7" w14:textId="77777777" w:rsidTr="00DA731D">
        <w:tc>
          <w:tcPr>
            <w:cnfStyle w:val="001000000000" w:firstRow="0" w:lastRow="0" w:firstColumn="1" w:lastColumn="0" w:oddVBand="0" w:evenVBand="0" w:oddHBand="0" w:evenHBand="0" w:firstRowFirstColumn="0" w:firstRowLastColumn="0" w:lastRowFirstColumn="0" w:lastRowLastColumn="0"/>
            <w:tcW w:w="2410" w:type="dxa"/>
          </w:tcPr>
          <w:p w14:paraId="0C77BE20" w14:textId="77777777" w:rsidR="00200837" w:rsidRPr="0015154B" w:rsidRDefault="00200837" w:rsidP="0026365F">
            <w:pPr>
              <w:autoSpaceDE w:val="0"/>
              <w:autoSpaceDN w:val="0"/>
              <w:adjustRightInd w:val="0"/>
              <w:rPr>
                <w:color w:val="auto"/>
                <w:sz w:val="24"/>
                <w:szCs w:val="24"/>
              </w:rPr>
            </w:pPr>
            <w:r w:rsidRPr="0015154B">
              <w:rPr>
                <w:color w:val="auto"/>
                <w:sz w:val="24"/>
                <w:szCs w:val="24"/>
              </w:rPr>
              <w:t>Zviedrija</w:t>
            </w:r>
          </w:p>
        </w:tc>
        <w:tc>
          <w:tcPr>
            <w:tcW w:w="3119" w:type="dxa"/>
          </w:tcPr>
          <w:p w14:paraId="68C5949C"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2000</w:t>
            </w:r>
          </w:p>
        </w:tc>
        <w:tc>
          <w:tcPr>
            <w:tcW w:w="2767" w:type="dxa"/>
          </w:tcPr>
          <w:p w14:paraId="7EE30D58" w14:textId="77777777" w:rsidR="00200837" w:rsidRPr="0015154B" w:rsidRDefault="00200837" w:rsidP="0026365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15154B">
              <w:rPr>
                <w:color w:val="auto"/>
                <w:sz w:val="24"/>
                <w:szCs w:val="24"/>
              </w:rPr>
              <w:t>28,6</w:t>
            </w:r>
          </w:p>
        </w:tc>
      </w:tr>
    </w:tbl>
    <w:p w14:paraId="4927FF15" w14:textId="77777777" w:rsidR="00200837" w:rsidRPr="007157D3" w:rsidRDefault="00200837" w:rsidP="00200837">
      <w:pPr>
        <w:autoSpaceDE w:val="0"/>
        <w:autoSpaceDN w:val="0"/>
        <w:adjustRightInd w:val="0"/>
        <w:spacing w:after="0" w:line="240" w:lineRule="auto"/>
        <w:rPr>
          <w:rFonts w:ascii="Times New Roman" w:hAnsi="Times New Roman" w:cs="Times New Roman"/>
          <w:sz w:val="20"/>
          <w:szCs w:val="20"/>
        </w:rPr>
      </w:pPr>
      <w:r w:rsidRPr="0015154B">
        <w:rPr>
          <w:rFonts w:ascii="Times New Roman" w:hAnsi="Times New Roman" w:cs="Times New Roman"/>
          <w:sz w:val="20"/>
          <w:szCs w:val="20"/>
        </w:rPr>
        <w:t xml:space="preserve">Datu avots: OECD (2019), Annual Survey of Large Pension Funds and Public Pension Reserve Funds, </w:t>
      </w:r>
      <w:hyperlink r:id="rId23" w:history="1">
        <w:r w:rsidRPr="007157D3">
          <w:rPr>
            <w:rFonts w:ascii="Times New Roman" w:hAnsi="Times New Roman" w:cs="Times New Roman"/>
            <w:sz w:val="20"/>
            <w:szCs w:val="20"/>
          </w:rPr>
          <w:t>www.oecd.org/finance/survey-large-pension-funds.htm</w:t>
        </w:r>
      </w:hyperlink>
    </w:p>
    <w:p w14:paraId="1E71944F" w14:textId="77777777" w:rsidR="00200837" w:rsidRPr="007157D3" w:rsidRDefault="00200837" w:rsidP="00200837">
      <w:pPr>
        <w:autoSpaceDE w:val="0"/>
        <w:autoSpaceDN w:val="0"/>
        <w:adjustRightInd w:val="0"/>
        <w:spacing w:after="0" w:line="240" w:lineRule="auto"/>
        <w:rPr>
          <w:rFonts w:ascii="Times New Roman" w:hAnsi="Times New Roman" w:cs="Times New Roman"/>
          <w:sz w:val="24"/>
          <w:szCs w:val="24"/>
        </w:rPr>
      </w:pPr>
    </w:p>
    <w:p w14:paraId="06535FB6" w14:textId="2194954D" w:rsidR="00200837" w:rsidRPr="007157D3"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Pietiekamas finanšu līdzekļu rezerves izveidošana kā viens no pensiju sistēmas stabilitātes nodrošināšanas aspektiem tika norādīts, jau uzsākot pensiju sistēmas reformu 1996.gadā</w:t>
      </w:r>
      <w:r w:rsidR="00A55F08" w:rsidRPr="002F5278">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88"/>
      </w:r>
      <w:r w:rsidRPr="007157D3">
        <w:rPr>
          <w:rFonts w:ascii="Times New Roman" w:hAnsi="Times New Roman" w:cs="Times New Roman"/>
          <w:sz w:val="24"/>
          <w:szCs w:val="24"/>
        </w:rPr>
        <w:t xml:space="preserve"> Arvien pieaugošā demogrāfiskā slodze, piedzīvoto ekonomisko un finanšu krīžu un sociālo satricinājumu radītā ietekme (1998.gada Krievijas ekonomiskā krīze, 2008.-2010.gada ekonomiskā un finanšu krīze Eiropā, 2020.gada koronavīrusa COVID-19 globālā pandēmija) uz sociālās apdrošināšanas izmaksu pieaugumu un speciālā budžeta iespējām segt šos izdevumus arī vidējā un ilgtermiņā regulāri aktualizē jautājumu par sociālās apdrošināšanas sistēmas ilgtspējas riskiem un rezerves fonda izveides nepieciešamību Latvijā.</w:t>
      </w:r>
    </w:p>
    <w:p w14:paraId="478B87C2" w14:textId="56035969" w:rsidR="00200837" w:rsidRPr="0015154B"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sz w:val="24"/>
          <w:szCs w:val="24"/>
        </w:rPr>
        <w:t>Jau 1995.gadā sociālās apdrošināšanas budžetam bija līdzekļu pārpalikums un 1997.gada beigās uzkrātā budžeta rezerve sasniedza 37,4 milj.</w:t>
      </w:r>
      <w:r w:rsidR="0026365F" w:rsidRPr="008C6388">
        <w:rPr>
          <w:rFonts w:ascii="Times New Roman" w:hAnsi="Times New Roman" w:cs="Times New Roman"/>
          <w:sz w:val="24"/>
          <w:szCs w:val="24"/>
        </w:rPr>
        <w:t xml:space="preserve"> </w:t>
      </w:r>
      <w:r w:rsidRPr="008C6388">
        <w:rPr>
          <w:rFonts w:ascii="Times New Roman" w:hAnsi="Times New Roman" w:cs="Times New Roman"/>
          <w:sz w:val="24"/>
          <w:szCs w:val="24"/>
        </w:rPr>
        <w:t>e</w:t>
      </w:r>
      <w:r w:rsidR="00A55F08" w:rsidRPr="00573B49">
        <w:rPr>
          <w:rFonts w:ascii="Times New Roman" w:hAnsi="Times New Roman" w:cs="Times New Roman"/>
          <w:sz w:val="24"/>
          <w:szCs w:val="24"/>
        </w:rPr>
        <w:t>i</w:t>
      </w:r>
      <w:r w:rsidRPr="00573B49">
        <w:rPr>
          <w:rFonts w:ascii="Times New Roman" w:hAnsi="Times New Roman" w:cs="Times New Roman"/>
          <w:sz w:val="24"/>
          <w:szCs w:val="24"/>
        </w:rPr>
        <w:t xml:space="preserve">ro. 1998.gada Krievijas krīzes ietekmē sociālās apdrošināšanas sistēma piedzīvoja strauju valsts sociālās apdrošināšanas </w:t>
      </w:r>
      <w:r w:rsidRPr="00573B49">
        <w:rPr>
          <w:rFonts w:ascii="Times New Roman" w:hAnsi="Times New Roman" w:cs="Times New Roman"/>
          <w:sz w:val="24"/>
          <w:szCs w:val="24"/>
        </w:rPr>
        <w:lastRenderedPageBreak/>
        <w:t>obligāto iemaksu samazinājumu un būtisku speciālā budžeta deficītu 1998.-2001.gadā. Sociālās apdrošināšanas sistēmas pakalpojumu nodrošināšanai speciālā budžeta deficīta apstākļos tika saņemts 116,68 milj</w:t>
      </w:r>
      <w:r w:rsidR="0026365F" w:rsidRPr="00573B49">
        <w:rPr>
          <w:rFonts w:ascii="Times New Roman" w:hAnsi="Times New Roman" w:cs="Times New Roman"/>
          <w:sz w:val="24"/>
          <w:szCs w:val="24"/>
        </w:rPr>
        <w:t>.</w:t>
      </w:r>
      <w:r w:rsidRPr="00573B49">
        <w:rPr>
          <w:rFonts w:ascii="Times New Roman" w:hAnsi="Times New Roman" w:cs="Times New Roman"/>
          <w:sz w:val="24"/>
          <w:szCs w:val="24"/>
        </w:rPr>
        <w:t xml:space="preserve"> e</w:t>
      </w:r>
      <w:r w:rsidR="00A55F08" w:rsidRPr="0025422D">
        <w:rPr>
          <w:rFonts w:ascii="Times New Roman" w:hAnsi="Times New Roman" w:cs="Times New Roman"/>
          <w:sz w:val="24"/>
          <w:szCs w:val="24"/>
        </w:rPr>
        <w:t>i</w:t>
      </w:r>
      <w:r w:rsidRPr="0025422D">
        <w:rPr>
          <w:rFonts w:ascii="Times New Roman" w:hAnsi="Times New Roman" w:cs="Times New Roman"/>
          <w:sz w:val="24"/>
          <w:szCs w:val="24"/>
        </w:rPr>
        <w:t>ro aizdevums no valsts pamatbudžeta, kura pilnīga atmaksa, ieskaitot papildu 40,79 milj</w:t>
      </w:r>
      <w:r w:rsidR="0026365F" w:rsidRPr="00A857F2">
        <w:rPr>
          <w:rFonts w:ascii="Times New Roman" w:hAnsi="Times New Roman" w:cs="Times New Roman"/>
          <w:sz w:val="24"/>
          <w:szCs w:val="24"/>
        </w:rPr>
        <w:t>.</w:t>
      </w:r>
      <w:r w:rsidRPr="00662D1E">
        <w:rPr>
          <w:rFonts w:ascii="Times New Roman" w:hAnsi="Times New Roman" w:cs="Times New Roman"/>
          <w:sz w:val="24"/>
          <w:szCs w:val="24"/>
        </w:rPr>
        <w:t xml:space="preserve"> e</w:t>
      </w:r>
      <w:r w:rsidR="00A55F08" w:rsidRPr="00662D1E">
        <w:rPr>
          <w:rFonts w:ascii="Times New Roman" w:hAnsi="Times New Roman" w:cs="Times New Roman"/>
          <w:sz w:val="24"/>
          <w:szCs w:val="24"/>
        </w:rPr>
        <w:t>i</w:t>
      </w:r>
      <w:r w:rsidRPr="009703E6">
        <w:rPr>
          <w:rFonts w:ascii="Times New Roman" w:hAnsi="Times New Roman" w:cs="Times New Roman"/>
          <w:sz w:val="24"/>
          <w:szCs w:val="24"/>
        </w:rPr>
        <w:t>ro procentu maksājumus no sociālās apdrošināšanas speciālā budžeta līdzekļiem, tika veikta tikai 2007.gadā. Paaugstinoties valsts ekonomiskās izaugsmes tempiem un iedzīvotāju ekonomiskai aktivitātei un līdzd</w:t>
      </w:r>
      <w:r w:rsidR="0026365F" w:rsidRPr="0015154B">
        <w:rPr>
          <w:rFonts w:ascii="Times New Roman" w:hAnsi="Times New Roman" w:cs="Times New Roman"/>
          <w:sz w:val="24"/>
          <w:szCs w:val="24"/>
        </w:rPr>
        <w:t>a</w:t>
      </w:r>
      <w:r w:rsidRPr="0015154B">
        <w:rPr>
          <w:rFonts w:ascii="Times New Roman" w:hAnsi="Times New Roman" w:cs="Times New Roman"/>
          <w:sz w:val="24"/>
          <w:szCs w:val="24"/>
        </w:rPr>
        <w:t xml:space="preserve">lībai darba tirgū, tajā ienākot skaitliski lielajai kohortai (80-tajos gados dzimušajiem), no 2002.gada budžetā pamazām veidojās pārpalikums un tika uzsākta budžeta parāda saistību kārtošana (skat. </w:t>
      </w:r>
      <w:r w:rsidR="004570DD" w:rsidRPr="0015154B">
        <w:rPr>
          <w:rFonts w:ascii="Times New Roman" w:hAnsi="Times New Roman" w:cs="Times New Roman"/>
          <w:sz w:val="24"/>
          <w:szCs w:val="24"/>
        </w:rPr>
        <w:t>13.attēlu</w:t>
      </w:r>
      <w:r w:rsidRPr="0015154B">
        <w:rPr>
          <w:rFonts w:ascii="Times New Roman" w:hAnsi="Times New Roman" w:cs="Times New Roman"/>
          <w:sz w:val="24"/>
          <w:szCs w:val="24"/>
        </w:rPr>
        <w:t xml:space="preserve">). </w:t>
      </w:r>
    </w:p>
    <w:p w14:paraId="4EE3F19F" w14:textId="558F23CA" w:rsidR="00200837" w:rsidRPr="008C6388"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Nākamais izaicinājums valsts sociālās apdrošināšanas sistēmas ilgtspējai un stabilitātei bija 2009.-2011.gada finanšu un ekonomiskā krīze. Speciālā budžeta saistību izpilde tika nodrošināta gan izmantojot pirmskrīzes laikā izveidojušos speciālā budžeta uzkrājumu, gan ieviešot būtiskus valsts sociālās apdrošināšanas pakalpojumu apmēru ierobežojumus laika periodā no 2010.-2012.gadam</w:t>
      </w:r>
      <w:r w:rsidR="004570DD" w:rsidRPr="0015154B">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89"/>
      </w:r>
      <w:r w:rsidRPr="007157D3">
        <w:rPr>
          <w:rFonts w:ascii="Times New Roman" w:hAnsi="Times New Roman" w:cs="Times New Roman"/>
          <w:sz w:val="24"/>
          <w:szCs w:val="24"/>
        </w:rPr>
        <w:t xml:space="preserve"> 2014.gadā, pirmo reizi kopš 2009.gada, sociālās apdrošināšanas budžeta ieņēmumi pārsniedza izdevumus, un gads noslēdzās ar pozitīvu bilanci (</w:t>
      </w:r>
      <w:r w:rsidRPr="007157D3">
        <w:rPr>
          <w:rFonts w:ascii="Times New Roman" w:hAnsi="Times New Roman" w:cs="Times New Roman"/>
          <w:sz w:val="24"/>
          <w:szCs w:val="24"/>
          <w:highlight w:val="yellow"/>
        </w:rPr>
        <w:t xml:space="preserve">skat. </w:t>
      </w:r>
      <w:r w:rsidR="004570DD" w:rsidRPr="008D3DCF">
        <w:rPr>
          <w:rFonts w:ascii="Times New Roman" w:hAnsi="Times New Roman" w:cs="Times New Roman"/>
          <w:sz w:val="24"/>
          <w:szCs w:val="24"/>
          <w:highlight w:val="yellow"/>
        </w:rPr>
        <w:t>1</w:t>
      </w:r>
      <w:r w:rsidR="004B0588">
        <w:rPr>
          <w:rFonts w:ascii="Times New Roman" w:hAnsi="Times New Roman" w:cs="Times New Roman"/>
          <w:sz w:val="24"/>
          <w:szCs w:val="24"/>
          <w:highlight w:val="yellow"/>
        </w:rPr>
        <w:t>5</w:t>
      </w:r>
      <w:r w:rsidRPr="002F5278">
        <w:rPr>
          <w:rFonts w:ascii="Times New Roman" w:hAnsi="Times New Roman" w:cs="Times New Roman"/>
          <w:sz w:val="24"/>
          <w:szCs w:val="24"/>
          <w:highlight w:val="yellow"/>
        </w:rPr>
        <w:t>.</w:t>
      </w:r>
      <w:r w:rsidR="0026365F" w:rsidRPr="008C6388">
        <w:rPr>
          <w:rFonts w:ascii="Times New Roman" w:hAnsi="Times New Roman" w:cs="Times New Roman"/>
          <w:sz w:val="24"/>
          <w:szCs w:val="24"/>
          <w:highlight w:val="yellow"/>
        </w:rPr>
        <w:t>attēlu</w:t>
      </w:r>
      <w:r w:rsidRPr="008C6388">
        <w:rPr>
          <w:rFonts w:ascii="Times New Roman" w:hAnsi="Times New Roman" w:cs="Times New Roman"/>
          <w:sz w:val="24"/>
          <w:szCs w:val="24"/>
        </w:rPr>
        <w:t xml:space="preserve">). </w:t>
      </w:r>
    </w:p>
    <w:p w14:paraId="5F3132B8" w14:textId="7D739C13" w:rsidR="00A55F08" w:rsidRPr="0025422D" w:rsidRDefault="00A55F08" w:rsidP="007A3CF5">
      <w:pPr>
        <w:autoSpaceDE w:val="0"/>
        <w:autoSpaceDN w:val="0"/>
        <w:adjustRightInd w:val="0"/>
        <w:spacing w:before="120" w:after="0" w:line="240" w:lineRule="auto"/>
        <w:ind w:firstLine="720"/>
        <w:jc w:val="both"/>
        <w:rPr>
          <w:rFonts w:ascii="Arial" w:hAnsi="Arial" w:cs="Arial"/>
          <w:sz w:val="20"/>
          <w:szCs w:val="20"/>
        </w:rPr>
      </w:pPr>
      <w:r w:rsidRPr="00573B49">
        <w:rPr>
          <w:rFonts w:ascii="Times New Roman" w:hAnsi="Times New Roman" w:cs="Times New Roman"/>
          <w:bCs/>
          <w:sz w:val="24"/>
          <w:szCs w:val="24"/>
        </w:rPr>
        <w:t>Līdz šim pozitīvas speciālā budžeta bilances veidošanos ir veicinājusi virkne ne tikai uz īstermiņu, bet arī uz ilgtermiņu vērstu finansiāli stabilizējošu pasākumu: piemaksu finansēšanas avota maiņa uz pamatbudžetu, pensionēšanās vecuma pakāpeniska celšana, minimālā apdrošināšanas stāža tiesību iegūšanai uz vecuma pensiju paaugstināšana, sociālo iemaksu griestu atjaunošana, valsts sociālās apdrošināšanas obligāto iemaksu veikšanas nosacījumu pilnveidošana un iemaksu veicēju loka paplašināšana.</w:t>
      </w:r>
    </w:p>
    <w:p w14:paraId="19B939EE" w14:textId="77777777" w:rsidR="00200837" w:rsidRPr="00A857F2" w:rsidRDefault="00200837" w:rsidP="00200837">
      <w:pPr>
        <w:autoSpaceDE w:val="0"/>
        <w:autoSpaceDN w:val="0"/>
        <w:adjustRightInd w:val="0"/>
        <w:spacing w:after="0" w:line="240" w:lineRule="auto"/>
        <w:jc w:val="both"/>
        <w:rPr>
          <w:rFonts w:ascii="Times New Roman" w:hAnsi="Times New Roman" w:cs="Times New Roman"/>
          <w:sz w:val="24"/>
          <w:szCs w:val="24"/>
        </w:rPr>
      </w:pPr>
    </w:p>
    <w:p w14:paraId="22F388C6" w14:textId="5A141D8A" w:rsidR="00200837" w:rsidRPr="009703E6" w:rsidRDefault="004570DD" w:rsidP="0026365F">
      <w:pPr>
        <w:pStyle w:val="NormalWeb"/>
        <w:shd w:val="clear" w:color="auto" w:fill="FFFFFF"/>
        <w:spacing w:before="0" w:beforeAutospacing="0" w:after="0" w:afterAutospacing="0"/>
        <w:rPr>
          <w:rFonts w:ascii="Times New Roman" w:hAnsi="Times New Roman"/>
          <w:sz w:val="24"/>
          <w:szCs w:val="24"/>
        </w:rPr>
      </w:pPr>
      <w:r w:rsidRPr="009703E6">
        <w:rPr>
          <w:rFonts w:ascii="Times New Roman" w:hAnsi="Times New Roman"/>
          <w:sz w:val="24"/>
          <w:szCs w:val="24"/>
        </w:rPr>
        <w:t>1</w:t>
      </w:r>
      <w:r w:rsidR="004B0588">
        <w:rPr>
          <w:rFonts w:ascii="Times New Roman" w:hAnsi="Times New Roman"/>
          <w:sz w:val="24"/>
          <w:szCs w:val="24"/>
        </w:rPr>
        <w:t>5</w:t>
      </w:r>
      <w:r w:rsidRPr="009703E6">
        <w:rPr>
          <w:rFonts w:ascii="Times New Roman" w:hAnsi="Times New Roman"/>
          <w:sz w:val="24"/>
          <w:szCs w:val="24"/>
        </w:rPr>
        <w:t>.</w:t>
      </w:r>
      <w:r w:rsidR="0026365F" w:rsidRPr="009703E6">
        <w:rPr>
          <w:rFonts w:ascii="Times New Roman" w:hAnsi="Times New Roman"/>
          <w:sz w:val="24"/>
          <w:szCs w:val="24"/>
        </w:rPr>
        <w:t>attēls</w:t>
      </w:r>
    </w:p>
    <w:p w14:paraId="7BB98A1A" w14:textId="77777777" w:rsidR="00200837" w:rsidRPr="0015154B" w:rsidRDefault="00200837" w:rsidP="00200837">
      <w:pPr>
        <w:pStyle w:val="NormalWeb"/>
        <w:shd w:val="clear" w:color="auto" w:fill="FFFFFF"/>
        <w:spacing w:before="0" w:beforeAutospacing="0" w:after="0" w:afterAutospacing="0"/>
        <w:ind w:firstLine="300"/>
        <w:jc w:val="both"/>
        <w:rPr>
          <w:rFonts w:ascii="Times New Roman" w:hAnsi="Times New Roman"/>
          <w:sz w:val="20"/>
          <w:szCs w:val="20"/>
          <w:highlight w:val="yellow"/>
        </w:rPr>
      </w:pPr>
    </w:p>
    <w:p w14:paraId="42095F33" w14:textId="77777777" w:rsidR="00200837" w:rsidRPr="007157D3" w:rsidRDefault="00200837" w:rsidP="00200837">
      <w:pPr>
        <w:autoSpaceDE w:val="0"/>
        <w:autoSpaceDN w:val="0"/>
        <w:adjustRightInd w:val="0"/>
        <w:spacing w:after="0" w:line="240" w:lineRule="auto"/>
        <w:jc w:val="both"/>
        <w:rPr>
          <w:rFonts w:ascii="Times New Roman" w:hAnsi="Times New Roman" w:cs="Times New Roman"/>
          <w:bCs/>
          <w:sz w:val="24"/>
          <w:szCs w:val="24"/>
        </w:rPr>
      </w:pPr>
      <w:r w:rsidRPr="008057B3">
        <w:t xml:space="preserve"> </w:t>
      </w:r>
      <w:r w:rsidRPr="008057B3">
        <w:rPr>
          <w:noProof/>
          <w:lang w:eastAsia="lv-LV"/>
        </w:rPr>
        <w:drawing>
          <wp:inline distT="0" distB="0" distL="0" distR="0" wp14:anchorId="1035CEAB" wp14:editId="57403FC3">
            <wp:extent cx="5639435" cy="3000375"/>
            <wp:effectExtent l="0" t="0" r="0" b="0"/>
            <wp:docPr id="2" name="Chart 2">
              <a:extLst xmlns:a="http://schemas.openxmlformats.org/drawingml/2006/main">
                <a:ext uri="{FF2B5EF4-FFF2-40B4-BE49-F238E27FC236}">
                  <a16:creationId xmlns:a16="http://schemas.microsoft.com/office/drawing/2014/main" id="{9DECA3E0-1E24-4463-95B9-293DBF5DC3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95FCB8" w14:textId="56D5F61A" w:rsidR="00200837" w:rsidRPr="007157D3" w:rsidRDefault="0026365F" w:rsidP="00200837">
      <w:pPr>
        <w:autoSpaceDE w:val="0"/>
        <w:autoSpaceDN w:val="0"/>
        <w:adjustRightInd w:val="0"/>
        <w:spacing w:after="0" w:line="240" w:lineRule="auto"/>
        <w:jc w:val="both"/>
        <w:rPr>
          <w:rFonts w:ascii="Times New Roman" w:hAnsi="Times New Roman" w:cs="Times New Roman"/>
          <w:bCs/>
          <w:sz w:val="20"/>
          <w:szCs w:val="20"/>
        </w:rPr>
      </w:pPr>
      <w:r w:rsidRPr="007157D3">
        <w:rPr>
          <w:rFonts w:ascii="Times New Roman" w:hAnsi="Times New Roman" w:cs="Times New Roman"/>
          <w:bCs/>
          <w:sz w:val="20"/>
          <w:szCs w:val="20"/>
        </w:rPr>
        <w:t>Datu avots: LM</w:t>
      </w:r>
    </w:p>
    <w:p w14:paraId="210D0CD7" w14:textId="07DB52AB" w:rsidR="00200837" w:rsidRPr="002F5278" w:rsidRDefault="00200837" w:rsidP="00200837">
      <w:pPr>
        <w:autoSpaceDE w:val="0"/>
        <w:autoSpaceDN w:val="0"/>
        <w:adjustRightInd w:val="0"/>
        <w:spacing w:after="0" w:line="240" w:lineRule="auto"/>
        <w:jc w:val="both"/>
        <w:rPr>
          <w:rFonts w:ascii="Times New Roman" w:hAnsi="Times New Roman" w:cs="Times New Roman"/>
          <w:bCs/>
          <w:sz w:val="24"/>
          <w:szCs w:val="24"/>
        </w:rPr>
      </w:pPr>
    </w:p>
    <w:p w14:paraId="41241590" w14:textId="32477DDD" w:rsidR="00200837" w:rsidRPr="0015154B" w:rsidRDefault="00200837" w:rsidP="007A3CF5">
      <w:pPr>
        <w:autoSpaceDE w:val="0"/>
        <w:autoSpaceDN w:val="0"/>
        <w:adjustRightInd w:val="0"/>
        <w:spacing w:before="120" w:after="0" w:line="240" w:lineRule="auto"/>
        <w:ind w:firstLine="720"/>
        <w:jc w:val="both"/>
        <w:rPr>
          <w:rFonts w:ascii="Times New Roman" w:hAnsi="Times New Roman" w:cs="Times New Roman"/>
          <w:bCs/>
          <w:sz w:val="24"/>
          <w:szCs w:val="24"/>
        </w:rPr>
      </w:pPr>
      <w:r w:rsidRPr="00573B49">
        <w:rPr>
          <w:rFonts w:ascii="Times New Roman" w:hAnsi="Times New Roman" w:cs="Times New Roman"/>
          <w:bCs/>
          <w:sz w:val="24"/>
          <w:szCs w:val="24"/>
        </w:rPr>
        <w:t>COVID-19 vīrusa pandēmijas radīt</w:t>
      </w:r>
      <w:r w:rsidR="00E43592" w:rsidRPr="00573B49">
        <w:rPr>
          <w:rFonts w:ascii="Times New Roman" w:hAnsi="Times New Roman" w:cs="Times New Roman"/>
          <w:bCs/>
          <w:sz w:val="24"/>
          <w:szCs w:val="24"/>
        </w:rPr>
        <w:t>ā</w:t>
      </w:r>
      <w:r w:rsidRPr="00573B49">
        <w:rPr>
          <w:rFonts w:ascii="Times New Roman" w:hAnsi="Times New Roman" w:cs="Times New Roman"/>
          <w:bCs/>
          <w:sz w:val="24"/>
          <w:szCs w:val="24"/>
        </w:rPr>
        <w:t xml:space="preserve"> ietekm</w:t>
      </w:r>
      <w:r w:rsidR="00E43592" w:rsidRPr="00573B49">
        <w:rPr>
          <w:rFonts w:ascii="Times New Roman" w:hAnsi="Times New Roman" w:cs="Times New Roman"/>
          <w:bCs/>
          <w:sz w:val="24"/>
          <w:szCs w:val="24"/>
        </w:rPr>
        <w:t>e</w:t>
      </w:r>
      <w:r w:rsidRPr="00573B49">
        <w:rPr>
          <w:rFonts w:ascii="Times New Roman" w:hAnsi="Times New Roman" w:cs="Times New Roman"/>
          <w:bCs/>
          <w:sz w:val="24"/>
          <w:szCs w:val="24"/>
        </w:rPr>
        <w:t xml:space="preserve"> uz ekonomiku</w:t>
      </w:r>
      <w:r w:rsidR="00E43592" w:rsidRPr="00573B49">
        <w:rPr>
          <w:rFonts w:ascii="Times New Roman" w:hAnsi="Times New Roman" w:cs="Times New Roman"/>
          <w:bCs/>
          <w:sz w:val="24"/>
          <w:szCs w:val="24"/>
        </w:rPr>
        <w:t xml:space="preserve"> ir atstājusi arī negatīvu</w:t>
      </w:r>
      <w:r w:rsidRPr="00573B49">
        <w:rPr>
          <w:rFonts w:ascii="Times New Roman" w:hAnsi="Times New Roman" w:cs="Times New Roman"/>
          <w:bCs/>
          <w:sz w:val="24"/>
          <w:szCs w:val="24"/>
        </w:rPr>
        <w:t xml:space="preserve"> </w:t>
      </w:r>
      <w:r w:rsidR="00E43592" w:rsidRPr="0025422D">
        <w:rPr>
          <w:rFonts w:ascii="Times New Roman" w:hAnsi="Times New Roman" w:cs="Times New Roman"/>
          <w:bCs/>
          <w:sz w:val="24"/>
          <w:szCs w:val="24"/>
        </w:rPr>
        <w:t>iespaidu</w:t>
      </w:r>
      <w:r w:rsidRPr="0025422D">
        <w:rPr>
          <w:rFonts w:ascii="Times New Roman" w:hAnsi="Times New Roman" w:cs="Times New Roman"/>
          <w:bCs/>
          <w:sz w:val="24"/>
          <w:szCs w:val="24"/>
        </w:rPr>
        <w:t xml:space="preserve"> uz speciālā budžeta finansiālo bilanci. Saistībā ar ieņēmumu samazināj</w:t>
      </w:r>
      <w:r w:rsidRPr="00A857F2">
        <w:rPr>
          <w:rFonts w:ascii="Times New Roman" w:hAnsi="Times New Roman" w:cs="Times New Roman"/>
          <w:bCs/>
          <w:sz w:val="24"/>
          <w:szCs w:val="24"/>
        </w:rPr>
        <w:t>umu speciālajā budžetā no</w:t>
      </w:r>
      <w:r w:rsidRPr="009703E6">
        <w:rPr>
          <w:rFonts w:ascii="Times New Roman" w:hAnsi="Times New Roman" w:cs="Times New Roman"/>
          <w:bCs/>
          <w:sz w:val="24"/>
          <w:szCs w:val="24"/>
        </w:rPr>
        <w:t xml:space="preserve"> valsts sociālās apdrošināšanas obligātajām iemaksām un saistībā ar pieaugošiem izdevumiem bezdarbnieka pabalsta izmaksai, 2020.gada sešu mēnešu izpilde noslēgusies ar </w:t>
      </w:r>
      <w:r w:rsidRPr="009703E6">
        <w:rPr>
          <w:rFonts w:ascii="Times New Roman" w:hAnsi="Times New Roman" w:cs="Times New Roman"/>
          <w:bCs/>
          <w:sz w:val="24"/>
          <w:szCs w:val="24"/>
        </w:rPr>
        <w:lastRenderedPageBreak/>
        <w:t>negatīvu finansiālo bilanci – izdevumi par 44,6 milj.e</w:t>
      </w:r>
      <w:r w:rsidR="00E07E75">
        <w:rPr>
          <w:rFonts w:ascii="Times New Roman" w:hAnsi="Times New Roman" w:cs="Times New Roman"/>
          <w:bCs/>
          <w:sz w:val="24"/>
          <w:szCs w:val="24"/>
        </w:rPr>
        <w:t>i</w:t>
      </w:r>
      <w:r w:rsidRPr="009703E6">
        <w:rPr>
          <w:rFonts w:ascii="Times New Roman" w:hAnsi="Times New Roman" w:cs="Times New Roman"/>
          <w:bCs/>
          <w:sz w:val="24"/>
          <w:szCs w:val="24"/>
        </w:rPr>
        <w:t xml:space="preserve">ro pārsniedz ieņēmumus. </w:t>
      </w:r>
      <w:r w:rsidR="00E43592" w:rsidRPr="009703E6">
        <w:rPr>
          <w:rFonts w:ascii="Times New Roman" w:hAnsi="Times New Roman" w:cs="Times New Roman"/>
          <w:bCs/>
          <w:sz w:val="24"/>
          <w:szCs w:val="24"/>
        </w:rPr>
        <w:t>Ņemot vēr</w:t>
      </w:r>
      <w:r w:rsidR="00E43592" w:rsidRPr="0015154B">
        <w:rPr>
          <w:rFonts w:ascii="Times New Roman" w:hAnsi="Times New Roman" w:cs="Times New Roman"/>
          <w:bCs/>
          <w:sz w:val="24"/>
          <w:szCs w:val="24"/>
        </w:rPr>
        <w:t>ā 2020.gada faktisko</w:t>
      </w:r>
      <w:r w:rsidRPr="0015154B">
        <w:rPr>
          <w:rFonts w:ascii="Times New Roman" w:hAnsi="Times New Roman" w:cs="Times New Roman"/>
          <w:bCs/>
          <w:sz w:val="24"/>
          <w:szCs w:val="24"/>
        </w:rPr>
        <w:t xml:space="preserve"> izpildi speciālajā budžetā, kā arī FM sniegt</w:t>
      </w:r>
      <w:r w:rsidR="00E43592" w:rsidRPr="0015154B">
        <w:rPr>
          <w:rFonts w:ascii="Times New Roman" w:hAnsi="Times New Roman" w:cs="Times New Roman"/>
          <w:bCs/>
          <w:sz w:val="24"/>
          <w:szCs w:val="24"/>
        </w:rPr>
        <w:t>ās</w:t>
      </w:r>
      <w:r w:rsidRPr="0015154B">
        <w:rPr>
          <w:rFonts w:ascii="Times New Roman" w:hAnsi="Times New Roman" w:cs="Times New Roman"/>
          <w:bCs/>
          <w:sz w:val="24"/>
          <w:szCs w:val="24"/>
        </w:rPr>
        <w:t xml:space="preserve"> makroekonomisko rādītāju prognoz</w:t>
      </w:r>
      <w:r w:rsidR="00E43592" w:rsidRPr="0015154B">
        <w:rPr>
          <w:rFonts w:ascii="Times New Roman" w:hAnsi="Times New Roman" w:cs="Times New Roman"/>
          <w:bCs/>
          <w:sz w:val="24"/>
          <w:szCs w:val="24"/>
        </w:rPr>
        <w:t xml:space="preserve">es, </w:t>
      </w:r>
      <w:r w:rsidRPr="0015154B">
        <w:rPr>
          <w:rFonts w:ascii="Times New Roman" w:hAnsi="Times New Roman" w:cs="Times New Roman"/>
          <w:bCs/>
          <w:sz w:val="24"/>
          <w:szCs w:val="24"/>
        </w:rPr>
        <w:t xml:space="preserve">Labklājības ministrija prognozē, ka </w:t>
      </w:r>
      <w:r w:rsidR="00E43592" w:rsidRPr="0015154B">
        <w:rPr>
          <w:rFonts w:ascii="Times New Roman" w:hAnsi="Times New Roman" w:cs="Times New Roman"/>
          <w:bCs/>
          <w:sz w:val="24"/>
          <w:szCs w:val="24"/>
        </w:rPr>
        <w:t xml:space="preserve">tuvākajos gados būs negatīva </w:t>
      </w:r>
      <w:r w:rsidRPr="0015154B">
        <w:rPr>
          <w:rFonts w:ascii="Times New Roman" w:hAnsi="Times New Roman" w:cs="Times New Roman"/>
          <w:bCs/>
          <w:sz w:val="24"/>
          <w:szCs w:val="24"/>
        </w:rPr>
        <w:t>speciālā budžeta bilance, līdz ar ko jau tiek un tiks tērēts speciālā budžeta esošais uzkrājums.</w:t>
      </w:r>
    </w:p>
    <w:p w14:paraId="6BDE6AE2" w14:textId="1A0FB067" w:rsidR="00200837" w:rsidRPr="007157D3"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Ņemot vērā ilgtermiņā pieaugošu demogrāfisko slodzi, nākamajās desmitgadēs paredzamo speciālā budžeta deficītu un nepieciešamību iespējamo ekonomisko krīžu vai citu satricinājumu laikā nodrošināt normatīvajos aktos paredzēto valsts sociālās apdrošināšanas pakalpojumu izmaksu, 2005.gadā </w:t>
      </w:r>
      <w:r w:rsidR="00E47D6E">
        <w:rPr>
          <w:rFonts w:ascii="Times New Roman" w:hAnsi="Times New Roman" w:cs="Times New Roman"/>
          <w:sz w:val="24"/>
          <w:szCs w:val="24"/>
        </w:rPr>
        <w:t>LM</w:t>
      </w:r>
      <w:r w:rsidRPr="0015154B">
        <w:rPr>
          <w:rFonts w:ascii="Times New Roman" w:hAnsi="Times New Roman" w:cs="Times New Roman"/>
          <w:sz w:val="24"/>
          <w:szCs w:val="24"/>
        </w:rPr>
        <w:t xml:space="preserve"> izstrādāja koncepcijas projektu “Par valsts sociālās apdrošināšanas finanšu resursu rezerves fondu”, piedāvājot ar 2008.gadu izveidot sociālās apdrošināšanas speciālā budžeta rezerves fondu un noteikt katru gadu noteikt rezerves fondā ieskaitāmo līdzekļu apmēru</w:t>
      </w:r>
      <w:r w:rsidRPr="007157D3">
        <w:rPr>
          <w:rStyle w:val="FootnoteReference"/>
          <w:rFonts w:ascii="Times New Roman" w:hAnsi="Times New Roman" w:cs="Times New Roman"/>
          <w:sz w:val="24"/>
          <w:szCs w:val="24"/>
        </w:rPr>
        <w:footnoteReference w:id="90"/>
      </w:r>
      <w:r w:rsidRPr="007157D3">
        <w:rPr>
          <w:rFonts w:ascii="Times New Roman" w:hAnsi="Times New Roman" w:cs="Times New Roman"/>
          <w:sz w:val="24"/>
          <w:szCs w:val="24"/>
        </w:rPr>
        <w:t xml:space="preserve">. Diemžēl </w:t>
      </w:r>
      <w:r w:rsidR="00E47D6E">
        <w:rPr>
          <w:rFonts w:ascii="Times New Roman" w:hAnsi="Times New Roman" w:cs="Times New Roman"/>
          <w:sz w:val="24"/>
          <w:szCs w:val="24"/>
        </w:rPr>
        <w:t>LM</w:t>
      </w:r>
      <w:r w:rsidRPr="007157D3">
        <w:rPr>
          <w:rFonts w:ascii="Times New Roman" w:hAnsi="Times New Roman" w:cs="Times New Roman"/>
          <w:sz w:val="24"/>
          <w:szCs w:val="24"/>
        </w:rPr>
        <w:t xml:space="preserve"> izstrādātais koncepcijas projekts netika atbalstīts. Speciālā budžeta līdzekļu uzkrājuma izmantošanu nosaka Finanšu ministrijas izstrādātā koncepcija “Par valsts sociālās apdrošināšanas finanšu resursu pārvaldīšanu līdz 2012.gadam”</w:t>
      </w:r>
      <w:r w:rsidRPr="007157D3">
        <w:rPr>
          <w:rStyle w:val="FootnoteReference"/>
          <w:rFonts w:ascii="Times New Roman" w:hAnsi="Times New Roman" w:cs="Times New Roman"/>
          <w:sz w:val="24"/>
          <w:szCs w:val="24"/>
        </w:rPr>
        <w:footnoteReference w:id="91"/>
      </w:r>
      <w:r w:rsidRPr="007157D3">
        <w:rPr>
          <w:rFonts w:ascii="Times New Roman" w:hAnsi="Times New Roman" w:cs="Times New Roman"/>
          <w:sz w:val="24"/>
          <w:szCs w:val="24"/>
        </w:rPr>
        <w:t xml:space="preserve"> (turpmāk - FM koncepcija). Saskaņā ar FM koncepciju sociālās apdrošināšanas speciālā budžeta pārpalikumu (atkarībā no pārpalikuma apmēra konkrētā brīdī) analogi iepriekšējai praksei nogulda depozītos Valsts kasē un šie līdzekļi ir pieejami valsts pamatbudžeta deficīta finansēšanai (pamatbudžets aizņemas līdzekļus no speciālā budžeta, maksājot par to noteiktus procentus) un izvietošanai noguldījumos Latvijas Bankā. Vērtējot pensiju sistēmas ilgtspēju un politikas efektivitāti ilgtspējas nodrošināšanā, tika saņemts aizrādījums, ka sociā</w:t>
      </w:r>
      <w:r w:rsidRPr="002F5278">
        <w:rPr>
          <w:rFonts w:ascii="Times New Roman" w:hAnsi="Times New Roman" w:cs="Times New Roman"/>
          <w:sz w:val="24"/>
          <w:szCs w:val="24"/>
        </w:rPr>
        <w:t>lās apdrošināšanas speciālā budžeta pārpalikuma noguldīšana Valsts kasē turpinās vēl arvien, lai gan FM koncepcijas darbī</w:t>
      </w:r>
      <w:r w:rsidRPr="00573B49">
        <w:rPr>
          <w:rFonts w:ascii="Times New Roman" w:hAnsi="Times New Roman" w:cs="Times New Roman"/>
          <w:sz w:val="24"/>
          <w:szCs w:val="24"/>
        </w:rPr>
        <w:t>ba bija paredzēta tikai līdz 2012.gadam</w:t>
      </w:r>
      <w:r w:rsidRPr="007157D3">
        <w:rPr>
          <w:rStyle w:val="FootnoteReference"/>
          <w:rFonts w:ascii="Times New Roman" w:hAnsi="Times New Roman" w:cs="Times New Roman"/>
          <w:sz w:val="24"/>
          <w:szCs w:val="24"/>
        </w:rPr>
        <w:footnoteReference w:id="92"/>
      </w:r>
      <w:r w:rsidRPr="007157D3">
        <w:rPr>
          <w:rFonts w:ascii="Times New Roman" w:hAnsi="Times New Roman" w:cs="Times New Roman"/>
          <w:sz w:val="24"/>
          <w:szCs w:val="24"/>
        </w:rPr>
        <w:t>.</w:t>
      </w:r>
    </w:p>
    <w:p w14:paraId="4EB74913" w14:textId="77777777" w:rsidR="00200837" w:rsidRPr="007157D3"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bCs/>
          <w:sz w:val="24"/>
          <w:szCs w:val="24"/>
        </w:rPr>
        <w:t>Saskaņā ar Valsts kontroles lietderības revīzijā konstatēto, esošais l</w:t>
      </w:r>
      <w:r w:rsidRPr="007157D3">
        <w:rPr>
          <w:rFonts w:ascii="Times New Roman" w:hAnsi="Times New Roman" w:cs="Times New Roman"/>
          <w:sz w:val="24"/>
          <w:szCs w:val="24"/>
        </w:rPr>
        <w:t>ikuma “Par valsts sociā</w:t>
      </w:r>
      <w:r w:rsidRPr="002F5278">
        <w:rPr>
          <w:rFonts w:ascii="Times New Roman" w:hAnsi="Times New Roman" w:cs="Times New Roman"/>
          <w:sz w:val="24"/>
          <w:szCs w:val="24"/>
        </w:rPr>
        <w:t xml:space="preserve">lo apdrošināšanu” </w:t>
      </w:r>
      <w:r w:rsidRPr="008C6388">
        <w:rPr>
          <w:rFonts w:ascii="Times New Roman" w:hAnsi="Times New Roman" w:cs="Times New Roman"/>
          <w:bCs/>
          <w:sz w:val="24"/>
          <w:szCs w:val="24"/>
        </w:rPr>
        <w:t xml:space="preserve">un </w:t>
      </w:r>
      <w:r w:rsidRPr="008C6388">
        <w:rPr>
          <w:rFonts w:ascii="Times New Roman" w:hAnsi="Times New Roman" w:cs="Times New Roman"/>
          <w:sz w:val="24"/>
          <w:szCs w:val="24"/>
        </w:rPr>
        <w:t xml:space="preserve">Likuma par budžetu un finanšu vadību regulējums: </w:t>
      </w:r>
      <w:r w:rsidRPr="00573B49">
        <w:rPr>
          <w:rFonts w:ascii="Times New Roman" w:hAnsi="Times New Roman" w:cs="Times New Roman"/>
          <w:i/>
          <w:sz w:val="24"/>
          <w:szCs w:val="24"/>
        </w:rPr>
        <w:t>“....</w:t>
      </w:r>
      <w:r w:rsidRPr="00573B49">
        <w:rPr>
          <w:rFonts w:ascii="Times New Roman" w:hAnsi="Times New Roman" w:cs="Times New Roman"/>
          <w:bCs/>
          <w:i/>
          <w:sz w:val="24"/>
          <w:szCs w:val="24"/>
        </w:rPr>
        <w:t xml:space="preserve">nodrošina, ka sociālās apdrošināšanas speciālā budžeta līdzekļus, tajā skaitā izveidojušos pārpalikumu, var izmantot tikai sociālās apdrošināšanas pakalpojumu finansēšanai. Tomēr, tā kā nav noteikti ierobežojumi iepriekšējā gada budžeta pārpalikuma izmantošanai, likums nepasargā uzkrātos speciālā budžeta līdzekļus no to izmantošanas esošo pakalpojumu palielināšanai vai pat jaunu pakalpojumu ieviešanai. </w:t>
      </w:r>
      <w:r w:rsidRPr="00573B49">
        <w:rPr>
          <w:rFonts w:ascii="Times New Roman" w:hAnsi="Times New Roman" w:cs="Times New Roman"/>
          <w:bCs/>
          <w:i/>
          <w:sz w:val="24"/>
          <w:szCs w:val="24"/>
          <w:u w:val="single"/>
        </w:rPr>
        <w:t>Tāpēc pastāv risks</w:t>
      </w:r>
      <w:r w:rsidRPr="00573B49">
        <w:rPr>
          <w:rFonts w:ascii="Times New Roman" w:hAnsi="Times New Roman" w:cs="Times New Roman"/>
          <w:bCs/>
          <w:i/>
          <w:sz w:val="24"/>
          <w:szCs w:val="24"/>
        </w:rPr>
        <w:t>, ka speciālā budžeta pārpalikums var radīt maldīgu priekšstatu par sociālās apdrošināšanas speciālā budžeta iespējām un veicināt poli</w:t>
      </w:r>
      <w:r w:rsidRPr="0025422D">
        <w:rPr>
          <w:rFonts w:ascii="Times New Roman" w:hAnsi="Times New Roman" w:cs="Times New Roman"/>
          <w:bCs/>
          <w:i/>
          <w:sz w:val="24"/>
          <w:szCs w:val="24"/>
        </w:rPr>
        <w:t>tiķu vēlmi, izdabājot sabiedrības spiedienam, uzņemties jaunas saistības, nerēķinoties ar ilgtermiņa sekām</w:t>
      </w:r>
      <w:r w:rsidRPr="00A857F2">
        <w:rPr>
          <w:rFonts w:ascii="Times New Roman" w:hAnsi="Times New Roman" w:cs="Times New Roman"/>
          <w:bCs/>
          <w:sz w:val="24"/>
          <w:szCs w:val="24"/>
        </w:rPr>
        <w:t>.”</w:t>
      </w:r>
      <w:r w:rsidRPr="007157D3">
        <w:rPr>
          <w:rStyle w:val="FootnoteReference"/>
          <w:rFonts w:ascii="Times New Roman" w:hAnsi="Times New Roman" w:cs="Times New Roman"/>
          <w:bCs/>
          <w:sz w:val="24"/>
          <w:szCs w:val="24"/>
        </w:rPr>
        <w:footnoteReference w:id="93"/>
      </w:r>
      <w:r w:rsidRPr="007157D3">
        <w:rPr>
          <w:rFonts w:ascii="Times New Roman" w:hAnsi="Times New Roman" w:cs="Times New Roman"/>
          <w:bCs/>
          <w:sz w:val="24"/>
          <w:szCs w:val="24"/>
        </w:rPr>
        <w:t xml:space="preserve"> Tāpēc jautājums par speciālā budžeta rezerves fonda izveidi,  </w:t>
      </w:r>
      <w:r w:rsidRPr="007157D3">
        <w:rPr>
          <w:rFonts w:ascii="Times New Roman" w:hAnsi="Times New Roman" w:cs="Times New Roman"/>
          <w:sz w:val="24"/>
          <w:szCs w:val="24"/>
        </w:rPr>
        <w:t>nosakot tā izveidošanas un izlietošanas kārtību,</w:t>
      </w:r>
      <w:r w:rsidRPr="002F5278">
        <w:rPr>
          <w:rFonts w:ascii="Times New Roman" w:hAnsi="Times New Roman" w:cs="Times New Roman"/>
          <w:bCs/>
          <w:sz w:val="24"/>
          <w:szCs w:val="24"/>
        </w:rPr>
        <w:t xml:space="preserve"> joprojām nav zaudējis savu aktualit</w:t>
      </w:r>
      <w:r w:rsidRPr="008C6388">
        <w:rPr>
          <w:rFonts w:ascii="Times New Roman" w:hAnsi="Times New Roman" w:cs="Times New Roman"/>
          <w:bCs/>
          <w:sz w:val="24"/>
          <w:szCs w:val="24"/>
        </w:rPr>
        <w:t xml:space="preserve">āti. </w:t>
      </w:r>
      <w:r w:rsidRPr="008C6388">
        <w:rPr>
          <w:rFonts w:ascii="Times New Roman" w:hAnsi="Times New Roman" w:cs="Times New Roman"/>
          <w:sz w:val="24"/>
          <w:szCs w:val="24"/>
        </w:rPr>
        <w:t>Uz sociālās apdrošināšanas speciālā budžeta rezerves fonda nepieciešamību ir norādījuši ne tikai Valsts kontroles revidenti, bet arī starptautiskie eksperti</w:t>
      </w:r>
      <w:r w:rsidRPr="007157D3">
        <w:rPr>
          <w:rStyle w:val="FootnoteReference"/>
          <w:rFonts w:ascii="Times New Roman" w:hAnsi="Times New Roman" w:cs="Times New Roman"/>
          <w:sz w:val="24"/>
          <w:szCs w:val="24"/>
        </w:rPr>
        <w:footnoteReference w:id="94"/>
      </w:r>
      <w:r w:rsidRPr="007157D3">
        <w:rPr>
          <w:rFonts w:ascii="Times New Roman" w:hAnsi="Times New Roman" w:cs="Times New Roman"/>
          <w:sz w:val="24"/>
          <w:szCs w:val="24"/>
        </w:rPr>
        <w:t xml:space="preserve">. </w:t>
      </w:r>
    </w:p>
    <w:p w14:paraId="3A6318B5" w14:textId="50C4D879" w:rsidR="004D49EC" w:rsidRPr="009703E6" w:rsidRDefault="00200837" w:rsidP="007A3CF5">
      <w:pPr>
        <w:autoSpaceDE w:val="0"/>
        <w:autoSpaceDN w:val="0"/>
        <w:adjustRightInd w:val="0"/>
        <w:spacing w:before="120" w:after="0" w:line="240" w:lineRule="auto"/>
        <w:ind w:firstLine="720"/>
        <w:jc w:val="both"/>
        <w:rPr>
          <w:rFonts w:ascii="Times New Roman" w:hAnsi="Times New Roman" w:cs="Times New Roman"/>
          <w:bCs/>
          <w:sz w:val="24"/>
          <w:szCs w:val="24"/>
        </w:rPr>
      </w:pPr>
      <w:r w:rsidRPr="007157D3">
        <w:rPr>
          <w:rFonts w:ascii="Times New Roman" w:hAnsi="Times New Roman" w:cs="Times New Roman"/>
          <w:bCs/>
          <w:sz w:val="24"/>
          <w:szCs w:val="24"/>
        </w:rPr>
        <w:t xml:space="preserve">Saskaņā ar </w:t>
      </w:r>
      <w:r w:rsidRPr="002F5278">
        <w:rPr>
          <w:rFonts w:ascii="Times New Roman" w:hAnsi="Times New Roman" w:cs="Times New Roman"/>
          <w:sz w:val="24"/>
          <w:szCs w:val="24"/>
        </w:rPr>
        <w:t>Deklarācijā par Artura Krišjāņa Kariņa vadītā Ministru kabineta iecerēto darbību</w:t>
      </w:r>
      <w:r w:rsidRPr="00573B49">
        <w:rPr>
          <w:rFonts w:ascii="Times New Roman" w:hAnsi="Times New Roman" w:cs="Times New Roman"/>
          <w:sz w:val="24"/>
          <w:szCs w:val="24"/>
        </w:rPr>
        <w:t xml:space="preserve"> un NAP2027 noteikto viens no sociālās apdrošināšanas sistēmas ilgtspējas nodrošināšanas uzdevumiem ir priekšlikumu izstrāde par speciālā budžeta rezerves fonda izveidi. Līdzšinējā Latvijas, kā arī</w:t>
      </w:r>
      <w:r w:rsidR="00E43592" w:rsidRPr="00573B49">
        <w:rPr>
          <w:rFonts w:ascii="Times New Roman" w:hAnsi="Times New Roman" w:cs="Times New Roman"/>
          <w:sz w:val="24"/>
          <w:szCs w:val="24"/>
        </w:rPr>
        <w:t xml:space="preserve"> </w:t>
      </w:r>
      <w:r w:rsidRPr="00573B49">
        <w:rPr>
          <w:rFonts w:ascii="Times New Roman" w:hAnsi="Times New Roman" w:cs="Times New Roman"/>
          <w:sz w:val="24"/>
          <w:szCs w:val="24"/>
        </w:rPr>
        <w:t xml:space="preserve">citu valstu pieredze liecina, ka uzkrātajai rezervei būtu jāspēj nodrošināt sociālās apdrošināšanas speciālā budžeta izdevumu segšanu 2,5 gadiem, t.i., tai būtu jābūt 6,9 miljardu </w:t>
      </w:r>
      <w:r w:rsidRPr="0025422D">
        <w:rPr>
          <w:rFonts w:ascii="Times New Roman" w:hAnsi="Times New Roman" w:cs="Times New Roman"/>
          <w:i/>
          <w:iCs/>
          <w:sz w:val="24"/>
          <w:szCs w:val="24"/>
        </w:rPr>
        <w:t>e</w:t>
      </w:r>
      <w:r w:rsidR="004570DD" w:rsidRPr="0025422D">
        <w:rPr>
          <w:rFonts w:ascii="Times New Roman" w:hAnsi="Times New Roman" w:cs="Times New Roman"/>
          <w:i/>
          <w:iCs/>
          <w:sz w:val="24"/>
          <w:szCs w:val="24"/>
        </w:rPr>
        <w:t>i</w:t>
      </w:r>
      <w:r w:rsidRPr="00A857F2">
        <w:rPr>
          <w:rFonts w:ascii="Times New Roman" w:hAnsi="Times New Roman" w:cs="Times New Roman"/>
          <w:i/>
          <w:iCs/>
          <w:sz w:val="24"/>
          <w:szCs w:val="24"/>
        </w:rPr>
        <w:t xml:space="preserve">ro </w:t>
      </w:r>
      <w:r w:rsidRPr="00662D1E">
        <w:rPr>
          <w:rFonts w:ascii="Times New Roman" w:hAnsi="Times New Roman" w:cs="Times New Roman"/>
          <w:sz w:val="24"/>
          <w:szCs w:val="24"/>
        </w:rPr>
        <w:t>apmērā atbilstoši datiem par speciālā budžeta līdzekļu izlietojumu 2019.gadā.</w:t>
      </w:r>
      <w:r w:rsidR="004D49EC" w:rsidRPr="009703E6">
        <w:rPr>
          <w:rFonts w:ascii="Times New Roman" w:hAnsi="Times New Roman" w:cs="Times New Roman"/>
          <w:bCs/>
          <w:sz w:val="24"/>
          <w:szCs w:val="24"/>
        </w:rPr>
        <w:t xml:space="preserve"> </w:t>
      </w:r>
    </w:p>
    <w:p w14:paraId="687B4A2C" w14:textId="695389E7" w:rsidR="00200837" w:rsidRPr="0015154B" w:rsidRDefault="00C54B81"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9703E6">
        <w:rPr>
          <w:rFonts w:ascii="Times New Roman" w:hAnsi="Times New Roman" w:cs="Times New Roman"/>
          <w:bCs/>
          <w:sz w:val="24"/>
          <w:szCs w:val="24"/>
        </w:rPr>
        <w:lastRenderedPageBreak/>
        <w:t>Jāņem vērā, ka</w:t>
      </w:r>
      <w:r w:rsidR="004D49EC" w:rsidRPr="009703E6">
        <w:rPr>
          <w:rFonts w:ascii="Times New Roman" w:hAnsi="Times New Roman" w:cs="Times New Roman"/>
          <w:bCs/>
          <w:sz w:val="24"/>
          <w:szCs w:val="24"/>
        </w:rPr>
        <w:t xml:space="preserve"> Covid 19 ietekmē sociālās apdrošināšanas budžeta rezerve samazinās, un </w:t>
      </w:r>
      <w:r w:rsidR="004D49EC" w:rsidRPr="0015154B">
        <w:rPr>
          <w:rFonts w:ascii="Times New Roman" w:eastAsia="Calibri" w:hAnsi="Times New Roman" w:cs="Times New Roman"/>
          <w:color w:val="000000" w:themeColor="text1"/>
          <w:sz w:val="24"/>
          <w:szCs w:val="24"/>
          <w:u w:color="000000"/>
          <w:bdr w:val="nil"/>
          <w:lang w:eastAsia="lv-LV"/>
        </w:rPr>
        <w:t>nodokļu pamatnostādņu 2021.-2025.gadam kontekstā tiek virzīti priekšlikumi par VSAOI likmes mazināšanu</w:t>
      </w:r>
      <w:r w:rsidRPr="0015154B">
        <w:rPr>
          <w:rFonts w:ascii="Times New Roman" w:eastAsia="Calibri" w:hAnsi="Times New Roman" w:cs="Times New Roman"/>
          <w:color w:val="000000" w:themeColor="text1"/>
          <w:sz w:val="24"/>
          <w:szCs w:val="24"/>
          <w:u w:color="000000"/>
          <w:bdr w:val="nil"/>
          <w:lang w:eastAsia="lv-LV"/>
        </w:rPr>
        <w:t>.</w:t>
      </w:r>
      <w:r w:rsidR="004D49EC" w:rsidRPr="0015154B">
        <w:rPr>
          <w:rFonts w:ascii="Times New Roman" w:eastAsia="Calibri" w:hAnsi="Times New Roman" w:cs="Times New Roman"/>
          <w:color w:val="000000" w:themeColor="text1"/>
          <w:sz w:val="24"/>
          <w:szCs w:val="24"/>
          <w:u w:color="000000"/>
          <w:bdr w:val="nil"/>
          <w:lang w:eastAsia="lv-LV"/>
        </w:rPr>
        <w:t xml:space="preserve"> </w:t>
      </w:r>
      <w:r w:rsidRPr="0015154B">
        <w:rPr>
          <w:rFonts w:ascii="Times New Roman" w:eastAsia="Calibri" w:hAnsi="Times New Roman" w:cs="Times New Roman"/>
          <w:color w:val="000000" w:themeColor="text1"/>
          <w:sz w:val="24"/>
          <w:szCs w:val="24"/>
          <w:u w:color="000000"/>
          <w:bdr w:val="nil"/>
          <w:lang w:eastAsia="lv-LV"/>
        </w:rPr>
        <w:t xml:space="preserve">Tādējādi </w:t>
      </w:r>
      <w:r w:rsidR="004D49EC" w:rsidRPr="0015154B">
        <w:rPr>
          <w:rFonts w:ascii="Times New Roman" w:hAnsi="Times New Roman" w:cs="Times New Roman"/>
          <w:bCs/>
          <w:sz w:val="24"/>
          <w:szCs w:val="24"/>
        </w:rPr>
        <w:t>jautājums par rezerves fonda veidošanu var zaudēt savu aktualitāti, jo vairs nebūs brīvu līdzekļu, ko uzkrāt – īpaši, ņemot vērā to, ka ar 2025.gadu būs noslēgusies pensionēšanās vecuma paaugstināšanās un strauji sāks pieaugt vecuma pensionāru skaits.</w:t>
      </w:r>
    </w:p>
    <w:p w14:paraId="41232FE5" w14:textId="77777777" w:rsidR="00FE3DEA" w:rsidRPr="0015154B" w:rsidRDefault="00FE3DEA" w:rsidP="00200837">
      <w:pPr>
        <w:autoSpaceDE w:val="0"/>
        <w:autoSpaceDN w:val="0"/>
        <w:adjustRightInd w:val="0"/>
        <w:spacing w:after="0" w:line="240" w:lineRule="auto"/>
        <w:rPr>
          <w:rFonts w:ascii="Times New Roman" w:hAnsi="Times New Roman" w:cs="Times New Roman"/>
          <w:sz w:val="24"/>
          <w:szCs w:val="24"/>
          <w:highlight w:val="green"/>
        </w:rPr>
      </w:pPr>
    </w:p>
    <w:p w14:paraId="0D0FD951" w14:textId="77D2D029" w:rsidR="00FE3DEA" w:rsidRPr="0015154B" w:rsidRDefault="00FE3DEA" w:rsidP="00DA5144">
      <w:pPr>
        <w:pStyle w:val="Heading2"/>
      </w:pPr>
      <w:bookmarkStart w:id="34" w:name="_Toc55316075"/>
      <w:r w:rsidRPr="0015154B">
        <w:t>Fondētā pensiju līmeņa pilnveid</w:t>
      </w:r>
      <w:r w:rsidR="007063DF">
        <w:t>e</w:t>
      </w:r>
      <w:bookmarkEnd w:id="34"/>
    </w:p>
    <w:p w14:paraId="3410B4E5" w14:textId="26121958" w:rsidR="00FE3DEA" w:rsidRDefault="00FE3DEA" w:rsidP="00FE3DEA">
      <w:pPr>
        <w:spacing w:after="0" w:line="240" w:lineRule="auto"/>
        <w:ind w:firstLine="720"/>
        <w:jc w:val="both"/>
        <w:rPr>
          <w:rFonts w:ascii="Times New Roman" w:hAnsi="Times New Roman" w:cs="Times New Roman"/>
          <w:sz w:val="24"/>
          <w:szCs w:val="24"/>
        </w:rPr>
      </w:pPr>
      <w:r w:rsidRPr="0015154B">
        <w:rPr>
          <w:rStyle w:val="Strong"/>
          <w:rFonts w:ascii="Times New Roman" w:hAnsi="Times New Roman" w:cs="Times New Roman"/>
          <w:sz w:val="24"/>
          <w:szCs w:val="24"/>
        </w:rPr>
        <w:t>Pensiju sistēmas 2. līmenis</w:t>
      </w:r>
      <w:r w:rsidRPr="0015154B">
        <w:rPr>
          <w:rFonts w:ascii="Times New Roman" w:hAnsi="Times New Roman" w:cs="Times New Roman"/>
          <w:sz w:val="24"/>
          <w:szCs w:val="24"/>
        </w:rPr>
        <w:t xml:space="preserve"> (ieviests no 01.07.2001) </w:t>
      </w:r>
      <w:r w:rsidRPr="0015154B">
        <w:rPr>
          <w:rStyle w:val="Strong"/>
          <w:rFonts w:ascii="Times New Roman" w:hAnsi="Times New Roman" w:cs="Times New Roman"/>
          <w:sz w:val="24"/>
          <w:szCs w:val="24"/>
        </w:rPr>
        <w:t>ir obligāts tiem</w:t>
      </w:r>
      <w:r w:rsidRPr="0015154B">
        <w:rPr>
          <w:rFonts w:ascii="Times New Roman" w:hAnsi="Times New Roman" w:cs="Times New Roman"/>
          <w:sz w:val="24"/>
          <w:szCs w:val="24"/>
        </w:rPr>
        <w:t xml:space="preserve">, kas līdz 2001.gada 1.jūlijam nebija sasnieguši 30 gadu vecumu (dzimuši pēc 1971.gada 1.jūlija). Savukārt tie, </w:t>
      </w:r>
      <w:r w:rsidR="00662D1E">
        <w:rPr>
          <w:rFonts w:ascii="Times New Roman" w:hAnsi="Times New Roman" w:cs="Times New Roman"/>
          <w:sz w:val="24"/>
          <w:szCs w:val="24"/>
        </w:rPr>
        <w:t>kur</w:t>
      </w:r>
      <w:r w:rsidRPr="00662D1E">
        <w:rPr>
          <w:rFonts w:ascii="Times New Roman" w:hAnsi="Times New Roman" w:cs="Times New Roman"/>
          <w:sz w:val="24"/>
          <w:szCs w:val="24"/>
        </w:rPr>
        <w:t xml:space="preserve"> bija no 30 līdz 49 gadu vecumā (dzimuši no 1951.gada 2. jūlija līdz 1971.gada 1.jūlijam ieskaitot), varēja un joprojām var pievienoties šim līmenim brīvprātīgi. Pensiju s</w:t>
      </w:r>
      <w:r w:rsidRPr="009703E6">
        <w:rPr>
          <w:rFonts w:ascii="Times New Roman" w:hAnsi="Times New Roman" w:cs="Times New Roman"/>
          <w:sz w:val="24"/>
          <w:szCs w:val="24"/>
        </w:rPr>
        <w:t>istēmas 2.līmenī, </w:t>
      </w:r>
      <w:r w:rsidRPr="00662D1E">
        <w:rPr>
          <w:rStyle w:val="Strong"/>
          <w:rFonts w:ascii="Times New Roman" w:hAnsi="Times New Roman" w:cs="Times New Roman"/>
          <w:b w:val="0"/>
          <w:sz w:val="24"/>
          <w:szCs w:val="24"/>
        </w:rPr>
        <w:t xml:space="preserve">iesaistīto dalībnieku veiktās sociālās apdrošināšanas iemaksas ar viņu izvēlētā līdzekļu pārvaldītāja starpniecību, tiek </w:t>
      </w:r>
      <w:r w:rsidRPr="00662D1E">
        <w:rPr>
          <w:rStyle w:val="Strong"/>
          <w:rFonts w:ascii="Times New Roman" w:hAnsi="Times New Roman" w:cs="Times New Roman"/>
          <w:sz w:val="24"/>
          <w:szCs w:val="24"/>
        </w:rPr>
        <w:t>ieguldītas finanšu tirgū un uzkrātas konkrētā cilvēka pensijai</w:t>
      </w:r>
      <w:r w:rsidRPr="00662D1E">
        <w:rPr>
          <w:rStyle w:val="Strong"/>
          <w:rFonts w:ascii="Times New Roman" w:hAnsi="Times New Roman" w:cs="Times New Roman"/>
          <w:b w:val="0"/>
          <w:sz w:val="24"/>
          <w:szCs w:val="24"/>
        </w:rPr>
        <w:t>.</w:t>
      </w:r>
      <w:r w:rsidRPr="00662D1E">
        <w:rPr>
          <w:rFonts w:ascii="Times New Roman" w:hAnsi="Times New Roman" w:cs="Times New Roman"/>
          <w:sz w:val="24"/>
          <w:szCs w:val="24"/>
        </w:rPr>
        <w:t xml:space="preserve"> Iesaistoties pensiju sistēmas 2. līmenī, papildu sociālās apdrošināšanas iemaksas nav jāveic. Kopējais iemaksu apjoms pensijas kapitālam (20% no ienākumiem) paliek nemainīgs, bet tas tiek pārdalīts starp pensiju sistēmas 1.līmeni un 2.līmeni</w:t>
      </w:r>
      <w:r w:rsidR="00E47D6E">
        <w:rPr>
          <w:rFonts w:ascii="Times New Roman" w:hAnsi="Times New Roman" w:cs="Times New Roman"/>
          <w:sz w:val="24"/>
          <w:szCs w:val="24"/>
        </w:rPr>
        <w:t xml:space="preserve"> (</w:t>
      </w:r>
      <w:r w:rsidR="00E47D6E" w:rsidRPr="00463B4E">
        <w:rPr>
          <w:rFonts w:ascii="Times New Roman" w:hAnsi="Times New Roman" w:cs="Times New Roman"/>
          <w:sz w:val="24"/>
          <w:szCs w:val="24"/>
          <w:highlight w:val="yellow"/>
        </w:rPr>
        <w:t>skat.11.tabulu</w:t>
      </w:r>
      <w:r w:rsidR="00E47D6E">
        <w:rPr>
          <w:rFonts w:ascii="Times New Roman" w:hAnsi="Times New Roman" w:cs="Times New Roman"/>
          <w:sz w:val="24"/>
          <w:szCs w:val="24"/>
        </w:rPr>
        <w:t>)</w:t>
      </w:r>
      <w:r w:rsidRPr="00662D1E">
        <w:rPr>
          <w:rFonts w:ascii="Times New Roman" w:hAnsi="Times New Roman" w:cs="Times New Roman"/>
          <w:sz w:val="24"/>
          <w:szCs w:val="24"/>
        </w:rPr>
        <w:t xml:space="preserve">: </w:t>
      </w:r>
    </w:p>
    <w:p w14:paraId="409AFDE0" w14:textId="150A5843" w:rsidR="00E47D6E" w:rsidRDefault="00E47D6E" w:rsidP="00E47D6E">
      <w:pPr>
        <w:spacing w:after="0" w:line="240" w:lineRule="auto"/>
        <w:jc w:val="both"/>
        <w:rPr>
          <w:rFonts w:ascii="Times New Roman" w:hAnsi="Times New Roman" w:cs="Times New Roman"/>
          <w:sz w:val="24"/>
          <w:szCs w:val="24"/>
        </w:rPr>
      </w:pPr>
    </w:p>
    <w:p w14:paraId="48E8CCAB" w14:textId="1D641BF9" w:rsidR="00E47D6E" w:rsidRPr="007157D3" w:rsidRDefault="00E47D6E" w:rsidP="00E47D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11.tabula</w:t>
      </w:r>
    </w:p>
    <w:p w14:paraId="7FF87F11" w14:textId="77777777" w:rsidR="00FE3DEA" w:rsidRPr="007157D3" w:rsidRDefault="00FE3DEA" w:rsidP="00FE3DEA">
      <w:pPr>
        <w:spacing w:after="0" w:line="240" w:lineRule="auto"/>
        <w:ind w:firstLine="720"/>
        <w:jc w:val="both"/>
        <w:rPr>
          <w:rFonts w:ascii="Times New Roman" w:hAnsi="Times New Roman" w:cs="Times New Roman"/>
          <w:sz w:val="24"/>
          <w:szCs w:val="24"/>
        </w:rPr>
      </w:pPr>
    </w:p>
    <w:tbl>
      <w:tblPr>
        <w:tblStyle w:val="Krsainssarakstsizclums21"/>
        <w:tblW w:w="0" w:type="auto"/>
        <w:tblLook w:val="04A0" w:firstRow="1" w:lastRow="0" w:firstColumn="1" w:lastColumn="0" w:noHBand="0" w:noVBand="1"/>
      </w:tblPr>
      <w:tblGrid>
        <w:gridCol w:w="2773"/>
        <w:gridCol w:w="2761"/>
        <w:gridCol w:w="2762"/>
      </w:tblGrid>
      <w:tr w:rsidR="00FE3DEA" w:rsidRPr="0015154B" w14:paraId="2B436479" w14:textId="77777777" w:rsidTr="00427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3" w:type="dxa"/>
          </w:tcPr>
          <w:p w14:paraId="7B2FB31F" w14:textId="77777777" w:rsidR="00FE3DEA" w:rsidRPr="002F5278" w:rsidRDefault="00FE3DEA" w:rsidP="00123959">
            <w:pPr>
              <w:contextualSpacing/>
              <w:jc w:val="center"/>
              <w:rPr>
                <w:sz w:val="24"/>
                <w:szCs w:val="24"/>
                <w:lang w:eastAsia="lv-LV"/>
              </w:rPr>
            </w:pPr>
            <w:r w:rsidRPr="007157D3">
              <w:rPr>
                <w:sz w:val="24"/>
                <w:szCs w:val="24"/>
              </w:rPr>
              <w:t>Gadi</w:t>
            </w:r>
          </w:p>
        </w:tc>
        <w:tc>
          <w:tcPr>
            <w:tcW w:w="2761" w:type="dxa"/>
          </w:tcPr>
          <w:p w14:paraId="6FF7A784" w14:textId="77777777" w:rsidR="00FE3DEA" w:rsidRPr="00573B49" w:rsidRDefault="00FE3DEA" w:rsidP="00123959">
            <w:pPr>
              <w:contextualSpacing/>
              <w:jc w:val="center"/>
              <w:cnfStyle w:val="100000000000" w:firstRow="1" w:lastRow="0" w:firstColumn="0" w:lastColumn="0" w:oddVBand="0" w:evenVBand="0" w:oddHBand="0" w:evenHBand="0" w:firstRowFirstColumn="0" w:firstRowLastColumn="0" w:lastRowFirstColumn="0" w:lastRowLastColumn="0"/>
              <w:rPr>
                <w:sz w:val="24"/>
                <w:szCs w:val="24"/>
                <w:lang w:eastAsia="lv-LV"/>
              </w:rPr>
            </w:pPr>
            <w:r w:rsidRPr="00573B49">
              <w:rPr>
                <w:sz w:val="24"/>
                <w:szCs w:val="24"/>
              </w:rPr>
              <w:t>1. līmenis</w:t>
            </w:r>
          </w:p>
        </w:tc>
        <w:tc>
          <w:tcPr>
            <w:tcW w:w="2762" w:type="dxa"/>
          </w:tcPr>
          <w:p w14:paraId="0AE26B84" w14:textId="77777777" w:rsidR="00FE3DEA" w:rsidRPr="00573B49" w:rsidRDefault="00FE3DEA" w:rsidP="00123959">
            <w:pPr>
              <w:contextualSpacing/>
              <w:jc w:val="center"/>
              <w:cnfStyle w:val="100000000000" w:firstRow="1" w:lastRow="0" w:firstColumn="0" w:lastColumn="0" w:oddVBand="0" w:evenVBand="0" w:oddHBand="0" w:evenHBand="0" w:firstRowFirstColumn="0" w:firstRowLastColumn="0" w:lastRowFirstColumn="0" w:lastRowLastColumn="0"/>
              <w:rPr>
                <w:sz w:val="24"/>
                <w:szCs w:val="24"/>
                <w:lang w:eastAsia="lv-LV"/>
              </w:rPr>
            </w:pPr>
            <w:r w:rsidRPr="00573B49">
              <w:rPr>
                <w:sz w:val="24"/>
                <w:szCs w:val="24"/>
              </w:rPr>
              <w:t>2. līmenis</w:t>
            </w:r>
          </w:p>
        </w:tc>
      </w:tr>
      <w:tr w:rsidR="00FE3DEA" w:rsidRPr="0015154B" w14:paraId="58A41FF2" w14:textId="77777777" w:rsidTr="0042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3" w:type="dxa"/>
          </w:tcPr>
          <w:p w14:paraId="53722E4D" w14:textId="77777777" w:rsidR="00FE3DEA" w:rsidRPr="0015154B" w:rsidRDefault="00FE3DEA" w:rsidP="00123959">
            <w:pPr>
              <w:contextualSpacing/>
              <w:rPr>
                <w:sz w:val="24"/>
                <w:szCs w:val="24"/>
                <w:lang w:eastAsia="lv-LV"/>
              </w:rPr>
            </w:pPr>
            <w:r w:rsidRPr="0015154B">
              <w:rPr>
                <w:sz w:val="24"/>
                <w:szCs w:val="24"/>
              </w:rPr>
              <w:t>2001 – 2006</w:t>
            </w:r>
          </w:p>
        </w:tc>
        <w:tc>
          <w:tcPr>
            <w:tcW w:w="2761" w:type="dxa"/>
          </w:tcPr>
          <w:p w14:paraId="5E673097" w14:textId="77777777" w:rsidR="00FE3DEA" w:rsidRPr="0015154B" w:rsidRDefault="00FE3DEA" w:rsidP="00123959">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lv-LV"/>
              </w:rPr>
            </w:pPr>
            <w:r w:rsidRPr="0015154B">
              <w:rPr>
                <w:sz w:val="24"/>
                <w:szCs w:val="24"/>
              </w:rPr>
              <w:t>18%</w:t>
            </w:r>
          </w:p>
        </w:tc>
        <w:tc>
          <w:tcPr>
            <w:tcW w:w="2762" w:type="dxa"/>
          </w:tcPr>
          <w:p w14:paraId="37BFEAEC" w14:textId="77777777" w:rsidR="00FE3DEA" w:rsidRPr="0015154B" w:rsidRDefault="00FE3DEA" w:rsidP="00123959">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lv-LV"/>
              </w:rPr>
            </w:pPr>
            <w:r w:rsidRPr="0015154B">
              <w:rPr>
                <w:sz w:val="24"/>
                <w:szCs w:val="24"/>
              </w:rPr>
              <w:t>2%</w:t>
            </w:r>
          </w:p>
        </w:tc>
      </w:tr>
      <w:tr w:rsidR="00FE3DEA" w:rsidRPr="0015154B" w14:paraId="7A91BC83" w14:textId="77777777" w:rsidTr="00427B7B">
        <w:tc>
          <w:tcPr>
            <w:cnfStyle w:val="001000000000" w:firstRow="0" w:lastRow="0" w:firstColumn="1" w:lastColumn="0" w:oddVBand="0" w:evenVBand="0" w:oddHBand="0" w:evenHBand="0" w:firstRowFirstColumn="0" w:firstRowLastColumn="0" w:lastRowFirstColumn="0" w:lastRowLastColumn="0"/>
            <w:tcW w:w="2773" w:type="dxa"/>
          </w:tcPr>
          <w:p w14:paraId="2B6A7A4E" w14:textId="77777777" w:rsidR="00FE3DEA" w:rsidRPr="0015154B" w:rsidRDefault="00FE3DEA" w:rsidP="00123959">
            <w:pPr>
              <w:contextualSpacing/>
              <w:rPr>
                <w:sz w:val="24"/>
                <w:szCs w:val="24"/>
                <w:lang w:eastAsia="lv-LV"/>
              </w:rPr>
            </w:pPr>
            <w:r w:rsidRPr="0015154B">
              <w:rPr>
                <w:sz w:val="24"/>
                <w:szCs w:val="24"/>
              </w:rPr>
              <w:t>2007</w:t>
            </w:r>
          </w:p>
        </w:tc>
        <w:tc>
          <w:tcPr>
            <w:tcW w:w="2761" w:type="dxa"/>
          </w:tcPr>
          <w:p w14:paraId="2EE2D1B0" w14:textId="77777777" w:rsidR="00FE3DEA" w:rsidRPr="0015154B" w:rsidRDefault="00FE3DEA" w:rsidP="00123959">
            <w:pPr>
              <w:contextualSpacing/>
              <w:jc w:val="center"/>
              <w:cnfStyle w:val="000000000000" w:firstRow="0" w:lastRow="0" w:firstColumn="0" w:lastColumn="0" w:oddVBand="0" w:evenVBand="0" w:oddHBand="0" w:evenHBand="0" w:firstRowFirstColumn="0" w:firstRowLastColumn="0" w:lastRowFirstColumn="0" w:lastRowLastColumn="0"/>
              <w:rPr>
                <w:sz w:val="24"/>
                <w:szCs w:val="24"/>
                <w:lang w:eastAsia="lv-LV"/>
              </w:rPr>
            </w:pPr>
            <w:r w:rsidRPr="0015154B">
              <w:rPr>
                <w:sz w:val="24"/>
                <w:szCs w:val="24"/>
              </w:rPr>
              <w:t>16%</w:t>
            </w:r>
          </w:p>
        </w:tc>
        <w:tc>
          <w:tcPr>
            <w:tcW w:w="2762" w:type="dxa"/>
          </w:tcPr>
          <w:p w14:paraId="4E930E20" w14:textId="77777777" w:rsidR="00FE3DEA" w:rsidRPr="0015154B" w:rsidRDefault="00FE3DEA" w:rsidP="00123959">
            <w:pPr>
              <w:contextualSpacing/>
              <w:jc w:val="center"/>
              <w:cnfStyle w:val="000000000000" w:firstRow="0" w:lastRow="0" w:firstColumn="0" w:lastColumn="0" w:oddVBand="0" w:evenVBand="0" w:oddHBand="0" w:evenHBand="0" w:firstRowFirstColumn="0" w:firstRowLastColumn="0" w:lastRowFirstColumn="0" w:lastRowLastColumn="0"/>
              <w:rPr>
                <w:sz w:val="24"/>
                <w:szCs w:val="24"/>
                <w:lang w:eastAsia="lv-LV"/>
              </w:rPr>
            </w:pPr>
            <w:r w:rsidRPr="0015154B">
              <w:rPr>
                <w:sz w:val="24"/>
                <w:szCs w:val="24"/>
              </w:rPr>
              <w:t>4%</w:t>
            </w:r>
          </w:p>
        </w:tc>
      </w:tr>
      <w:tr w:rsidR="00FE3DEA" w:rsidRPr="0015154B" w14:paraId="02E70305" w14:textId="77777777" w:rsidTr="0042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3" w:type="dxa"/>
          </w:tcPr>
          <w:p w14:paraId="43F9D418" w14:textId="77777777" w:rsidR="00FE3DEA" w:rsidRPr="0015154B" w:rsidRDefault="00FE3DEA" w:rsidP="00123959">
            <w:pPr>
              <w:contextualSpacing/>
              <w:rPr>
                <w:sz w:val="24"/>
                <w:szCs w:val="24"/>
                <w:lang w:eastAsia="lv-LV"/>
              </w:rPr>
            </w:pPr>
            <w:r w:rsidRPr="0015154B">
              <w:rPr>
                <w:sz w:val="24"/>
                <w:szCs w:val="24"/>
              </w:rPr>
              <w:t>2008</w:t>
            </w:r>
          </w:p>
        </w:tc>
        <w:tc>
          <w:tcPr>
            <w:tcW w:w="2761" w:type="dxa"/>
          </w:tcPr>
          <w:p w14:paraId="624A62C6" w14:textId="77777777" w:rsidR="00FE3DEA" w:rsidRPr="0015154B" w:rsidRDefault="00FE3DEA" w:rsidP="00123959">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lv-LV"/>
              </w:rPr>
            </w:pPr>
            <w:r w:rsidRPr="0015154B">
              <w:rPr>
                <w:sz w:val="24"/>
                <w:szCs w:val="24"/>
              </w:rPr>
              <w:t>12%</w:t>
            </w:r>
          </w:p>
        </w:tc>
        <w:tc>
          <w:tcPr>
            <w:tcW w:w="2762" w:type="dxa"/>
          </w:tcPr>
          <w:p w14:paraId="5ABC3FC3" w14:textId="77777777" w:rsidR="00FE3DEA" w:rsidRPr="0015154B" w:rsidRDefault="00FE3DEA" w:rsidP="00123959">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lv-LV"/>
              </w:rPr>
            </w:pPr>
            <w:r w:rsidRPr="0015154B">
              <w:rPr>
                <w:sz w:val="24"/>
                <w:szCs w:val="24"/>
              </w:rPr>
              <w:t>8%</w:t>
            </w:r>
          </w:p>
        </w:tc>
      </w:tr>
      <w:tr w:rsidR="00FE3DEA" w:rsidRPr="0015154B" w14:paraId="67C41BBB" w14:textId="77777777" w:rsidTr="00427B7B">
        <w:tc>
          <w:tcPr>
            <w:cnfStyle w:val="001000000000" w:firstRow="0" w:lastRow="0" w:firstColumn="1" w:lastColumn="0" w:oddVBand="0" w:evenVBand="0" w:oddHBand="0" w:evenHBand="0" w:firstRowFirstColumn="0" w:firstRowLastColumn="0" w:lastRowFirstColumn="0" w:lastRowLastColumn="0"/>
            <w:tcW w:w="2773" w:type="dxa"/>
          </w:tcPr>
          <w:p w14:paraId="736B8EDC" w14:textId="77777777" w:rsidR="00FE3DEA" w:rsidRPr="0015154B" w:rsidRDefault="00FE3DEA" w:rsidP="00123959">
            <w:pPr>
              <w:contextualSpacing/>
              <w:rPr>
                <w:sz w:val="24"/>
                <w:szCs w:val="24"/>
                <w:lang w:eastAsia="lv-LV"/>
              </w:rPr>
            </w:pPr>
            <w:r w:rsidRPr="0015154B">
              <w:rPr>
                <w:sz w:val="24"/>
                <w:szCs w:val="24"/>
              </w:rPr>
              <w:t>2009 – 2012</w:t>
            </w:r>
          </w:p>
        </w:tc>
        <w:tc>
          <w:tcPr>
            <w:tcW w:w="2761" w:type="dxa"/>
          </w:tcPr>
          <w:p w14:paraId="00548909" w14:textId="77777777" w:rsidR="00FE3DEA" w:rsidRPr="0015154B" w:rsidRDefault="00FE3DEA" w:rsidP="00123959">
            <w:pPr>
              <w:contextualSpacing/>
              <w:jc w:val="center"/>
              <w:cnfStyle w:val="000000000000" w:firstRow="0" w:lastRow="0" w:firstColumn="0" w:lastColumn="0" w:oddVBand="0" w:evenVBand="0" w:oddHBand="0" w:evenHBand="0" w:firstRowFirstColumn="0" w:firstRowLastColumn="0" w:lastRowFirstColumn="0" w:lastRowLastColumn="0"/>
              <w:rPr>
                <w:sz w:val="24"/>
                <w:szCs w:val="24"/>
                <w:lang w:eastAsia="lv-LV"/>
              </w:rPr>
            </w:pPr>
            <w:r w:rsidRPr="0015154B">
              <w:rPr>
                <w:sz w:val="24"/>
                <w:szCs w:val="24"/>
              </w:rPr>
              <w:t>18%</w:t>
            </w:r>
          </w:p>
        </w:tc>
        <w:tc>
          <w:tcPr>
            <w:tcW w:w="2762" w:type="dxa"/>
          </w:tcPr>
          <w:p w14:paraId="4619D318" w14:textId="77777777" w:rsidR="00FE3DEA" w:rsidRPr="0015154B" w:rsidRDefault="00FE3DEA" w:rsidP="00123959">
            <w:pPr>
              <w:contextualSpacing/>
              <w:jc w:val="center"/>
              <w:cnfStyle w:val="000000000000" w:firstRow="0" w:lastRow="0" w:firstColumn="0" w:lastColumn="0" w:oddVBand="0" w:evenVBand="0" w:oddHBand="0" w:evenHBand="0" w:firstRowFirstColumn="0" w:firstRowLastColumn="0" w:lastRowFirstColumn="0" w:lastRowLastColumn="0"/>
              <w:rPr>
                <w:sz w:val="24"/>
                <w:szCs w:val="24"/>
                <w:lang w:eastAsia="lv-LV"/>
              </w:rPr>
            </w:pPr>
            <w:r w:rsidRPr="0015154B">
              <w:rPr>
                <w:sz w:val="24"/>
                <w:szCs w:val="24"/>
              </w:rPr>
              <w:t>2%</w:t>
            </w:r>
          </w:p>
        </w:tc>
      </w:tr>
      <w:tr w:rsidR="00FE3DEA" w:rsidRPr="0015154B" w14:paraId="588A4226" w14:textId="77777777" w:rsidTr="0042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3" w:type="dxa"/>
          </w:tcPr>
          <w:p w14:paraId="6968BF41" w14:textId="77777777" w:rsidR="00FE3DEA" w:rsidRPr="0015154B" w:rsidRDefault="00FE3DEA" w:rsidP="00123959">
            <w:pPr>
              <w:contextualSpacing/>
              <w:rPr>
                <w:sz w:val="24"/>
                <w:szCs w:val="24"/>
                <w:lang w:eastAsia="lv-LV"/>
              </w:rPr>
            </w:pPr>
            <w:r w:rsidRPr="0015154B">
              <w:rPr>
                <w:sz w:val="24"/>
                <w:szCs w:val="24"/>
              </w:rPr>
              <w:t>2013 – 2014</w:t>
            </w:r>
          </w:p>
        </w:tc>
        <w:tc>
          <w:tcPr>
            <w:tcW w:w="2761" w:type="dxa"/>
          </w:tcPr>
          <w:p w14:paraId="727E1726" w14:textId="77777777" w:rsidR="00FE3DEA" w:rsidRPr="0015154B" w:rsidRDefault="00FE3DEA" w:rsidP="00123959">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lv-LV"/>
              </w:rPr>
            </w:pPr>
            <w:r w:rsidRPr="0015154B">
              <w:rPr>
                <w:sz w:val="24"/>
                <w:szCs w:val="24"/>
              </w:rPr>
              <w:t>16%</w:t>
            </w:r>
          </w:p>
        </w:tc>
        <w:tc>
          <w:tcPr>
            <w:tcW w:w="2762" w:type="dxa"/>
          </w:tcPr>
          <w:p w14:paraId="6A4AF447" w14:textId="77777777" w:rsidR="00FE3DEA" w:rsidRPr="0015154B" w:rsidRDefault="00FE3DEA" w:rsidP="00123959">
            <w:pPr>
              <w:contextualSpacing/>
              <w:jc w:val="center"/>
              <w:cnfStyle w:val="000000100000" w:firstRow="0" w:lastRow="0" w:firstColumn="0" w:lastColumn="0" w:oddVBand="0" w:evenVBand="0" w:oddHBand="1" w:evenHBand="0" w:firstRowFirstColumn="0" w:firstRowLastColumn="0" w:lastRowFirstColumn="0" w:lastRowLastColumn="0"/>
              <w:rPr>
                <w:sz w:val="24"/>
                <w:szCs w:val="24"/>
                <w:lang w:eastAsia="lv-LV"/>
              </w:rPr>
            </w:pPr>
            <w:r w:rsidRPr="0015154B">
              <w:rPr>
                <w:sz w:val="24"/>
                <w:szCs w:val="24"/>
              </w:rPr>
              <w:t>4%</w:t>
            </w:r>
          </w:p>
        </w:tc>
      </w:tr>
      <w:tr w:rsidR="00FE3DEA" w:rsidRPr="0015154B" w14:paraId="6E8F1019" w14:textId="77777777" w:rsidTr="00427B7B">
        <w:tc>
          <w:tcPr>
            <w:cnfStyle w:val="001000000000" w:firstRow="0" w:lastRow="0" w:firstColumn="1" w:lastColumn="0" w:oddVBand="0" w:evenVBand="0" w:oddHBand="0" w:evenHBand="0" w:firstRowFirstColumn="0" w:firstRowLastColumn="0" w:lastRowFirstColumn="0" w:lastRowLastColumn="0"/>
            <w:tcW w:w="2773" w:type="dxa"/>
          </w:tcPr>
          <w:p w14:paraId="4B189D65" w14:textId="77777777" w:rsidR="00FE3DEA" w:rsidRPr="0015154B" w:rsidRDefault="00FE3DEA" w:rsidP="00123959">
            <w:pPr>
              <w:contextualSpacing/>
              <w:rPr>
                <w:sz w:val="24"/>
                <w:szCs w:val="24"/>
                <w:lang w:eastAsia="lv-LV"/>
              </w:rPr>
            </w:pPr>
            <w:r w:rsidRPr="0015154B">
              <w:rPr>
                <w:sz w:val="24"/>
                <w:szCs w:val="24"/>
              </w:rPr>
              <w:t>2015</w:t>
            </w:r>
          </w:p>
        </w:tc>
        <w:tc>
          <w:tcPr>
            <w:tcW w:w="2761" w:type="dxa"/>
          </w:tcPr>
          <w:p w14:paraId="0A5B139F" w14:textId="77777777" w:rsidR="00FE3DEA" w:rsidRPr="0015154B" w:rsidRDefault="00FE3DEA" w:rsidP="00123959">
            <w:pPr>
              <w:contextualSpacing/>
              <w:jc w:val="center"/>
              <w:cnfStyle w:val="000000000000" w:firstRow="0" w:lastRow="0" w:firstColumn="0" w:lastColumn="0" w:oddVBand="0" w:evenVBand="0" w:oddHBand="0" w:evenHBand="0" w:firstRowFirstColumn="0" w:firstRowLastColumn="0" w:lastRowFirstColumn="0" w:lastRowLastColumn="0"/>
              <w:rPr>
                <w:sz w:val="24"/>
                <w:szCs w:val="24"/>
                <w:lang w:eastAsia="lv-LV"/>
              </w:rPr>
            </w:pPr>
            <w:r w:rsidRPr="0015154B">
              <w:rPr>
                <w:sz w:val="24"/>
                <w:szCs w:val="24"/>
              </w:rPr>
              <w:t>15%</w:t>
            </w:r>
          </w:p>
        </w:tc>
        <w:tc>
          <w:tcPr>
            <w:tcW w:w="2762" w:type="dxa"/>
          </w:tcPr>
          <w:p w14:paraId="630C6BC3" w14:textId="77777777" w:rsidR="00FE3DEA" w:rsidRPr="0015154B" w:rsidRDefault="00FE3DEA" w:rsidP="00123959">
            <w:pPr>
              <w:contextualSpacing/>
              <w:jc w:val="center"/>
              <w:cnfStyle w:val="000000000000" w:firstRow="0" w:lastRow="0" w:firstColumn="0" w:lastColumn="0" w:oddVBand="0" w:evenVBand="0" w:oddHBand="0" w:evenHBand="0" w:firstRowFirstColumn="0" w:firstRowLastColumn="0" w:lastRowFirstColumn="0" w:lastRowLastColumn="0"/>
              <w:rPr>
                <w:sz w:val="24"/>
                <w:szCs w:val="24"/>
                <w:lang w:eastAsia="lv-LV"/>
              </w:rPr>
            </w:pPr>
            <w:r w:rsidRPr="0015154B">
              <w:rPr>
                <w:sz w:val="24"/>
                <w:szCs w:val="24"/>
              </w:rPr>
              <w:t>5%</w:t>
            </w:r>
          </w:p>
        </w:tc>
      </w:tr>
      <w:tr w:rsidR="00FE3DEA" w:rsidRPr="0015154B" w14:paraId="461A3B07" w14:textId="77777777" w:rsidTr="00427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3" w:type="dxa"/>
          </w:tcPr>
          <w:p w14:paraId="01697D61" w14:textId="77777777" w:rsidR="00FE3DEA" w:rsidRPr="0015154B" w:rsidRDefault="00FE3DEA" w:rsidP="00123959">
            <w:pPr>
              <w:rPr>
                <w:sz w:val="24"/>
                <w:szCs w:val="24"/>
                <w:lang w:eastAsia="lv-LV"/>
              </w:rPr>
            </w:pPr>
            <w:r w:rsidRPr="0015154B">
              <w:rPr>
                <w:sz w:val="24"/>
                <w:szCs w:val="24"/>
              </w:rPr>
              <w:t>2016 un turpmāk</w:t>
            </w:r>
          </w:p>
        </w:tc>
        <w:tc>
          <w:tcPr>
            <w:tcW w:w="2761" w:type="dxa"/>
          </w:tcPr>
          <w:p w14:paraId="46FBB41A" w14:textId="77777777" w:rsidR="00FE3DEA" w:rsidRPr="0015154B" w:rsidRDefault="00FE3DEA" w:rsidP="00123959">
            <w:pPr>
              <w:jc w:val="center"/>
              <w:cnfStyle w:val="000000100000" w:firstRow="0" w:lastRow="0" w:firstColumn="0" w:lastColumn="0" w:oddVBand="0" w:evenVBand="0" w:oddHBand="1" w:evenHBand="0" w:firstRowFirstColumn="0" w:firstRowLastColumn="0" w:lastRowFirstColumn="0" w:lastRowLastColumn="0"/>
              <w:rPr>
                <w:sz w:val="24"/>
                <w:szCs w:val="24"/>
                <w:lang w:eastAsia="lv-LV"/>
              </w:rPr>
            </w:pPr>
            <w:r w:rsidRPr="0015154B">
              <w:rPr>
                <w:sz w:val="24"/>
                <w:szCs w:val="24"/>
              </w:rPr>
              <w:t>14%</w:t>
            </w:r>
          </w:p>
        </w:tc>
        <w:tc>
          <w:tcPr>
            <w:tcW w:w="2762" w:type="dxa"/>
          </w:tcPr>
          <w:p w14:paraId="41391653" w14:textId="77777777" w:rsidR="00FE3DEA" w:rsidRPr="0015154B" w:rsidRDefault="00FE3DEA" w:rsidP="00123959">
            <w:pPr>
              <w:jc w:val="center"/>
              <w:cnfStyle w:val="000000100000" w:firstRow="0" w:lastRow="0" w:firstColumn="0" w:lastColumn="0" w:oddVBand="0" w:evenVBand="0" w:oddHBand="1" w:evenHBand="0" w:firstRowFirstColumn="0" w:firstRowLastColumn="0" w:lastRowFirstColumn="0" w:lastRowLastColumn="0"/>
              <w:rPr>
                <w:sz w:val="24"/>
                <w:szCs w:val="24"/>
                <w:lang w:eastAsia="lv-LV"/>
              </w:rPr>
            </w:pPr>
            <w:r w:rsidRPr="0015154B">
              <w:rPr>
                <w:sz w:val="24"/>
                <w:szCs w:val="24"/>
              </w:rPr>
              <w:t>6%</w:t>
            </w:r>
          </w:p>
        </w:tc>
      </w:tr>
    </w:tbl>
    <w:p w14:paraId="77576351" w14:textId="57ACB846" w:rsidR="00FE3DEA" w:rsidRPr="00E47D6E" w:rsidRDefault="00E47D6E" w:rsidP="00FE3DEA">
      <w:pPr>
        <w:spacing w:after="0" w:line="240" w:lineRule="auto"/>
        <w:jc w:val="both"/>
        <w:rPr>
          <w:rFonts w:ascii="Times New Roman" w:eastAsia="Times New Roman" w:hAnsi="Times New Roman" w:cs="Times New Roman"/>
          <w:iCs/>
          <w:color w:val="000000" w:themeColor="text1"/>
          <w:sz w:val="20"/>
          <w:szCs w:val="20"/>
          <w:lang w:eastAsia="lv-LV"/>
        </w:rPr>
      </w:pPr>
      <w:r w:rsidRPr="00E47D6E">
        <w:rPr>
          <w:rFonts w:ascii="Times New Roman" w:eastAsia="Times New Roman" w:hAnsi="Times New Roman" w:cs="Times New Roman"/>
          <w:iCs/>
          <w:color w:val="000000" w:themeColor="text1"/>
          <w:sz w:val="20"/>
          <w:szCs w:val="20"/>
          <w:lang w:eastAsia="lv-LV"/>
        </w:rPr>
        <w:t>Datu avots: LM</w:t>
      </w:r>
    </w:p>
    <w:p w14:paraId="6E8A0A37" w14:textId="77777777" w:rsidR="00FE3DEA" w:rsidRPr="0015154B" w:rsidRDefault="00FE3DEA" w:rsidP="007A3CF5">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 xml:space="preserve">Šobrīd no pensiju sistēmas 2.līmeņa izstāties nevar, arī tad, ja persona tai ir brīvprātīgi pievienojusies. Līdz ar to aktuāls jautājums, uz ko virzīties nākotnē, ir par iespēju personām izstāties no šīs shēmas dalības, līdzīgi kā tas ir citās valstīs. </w:t>
      </w:r>
    </w:p>
    <w:p w14:paraId="40B6E07C" w14:textId="4752BDE8" w:rsidR="00FE3DEA" w:rsidRPr="00662D1E" w:rsidRDefault="00FE3DEA" w:rsidP="007A3CF5">
      <w:pPr>
        <w:spacing w:before="120" w:after="0" w:line="240" w:lineRule="auto"/>
        <w:ind w:firstLine="720"/>
        <w:jc w:val="both"/>
        <w:rPr>
          <w:rFonts w:ascii="Times New Roman" w:eastAsia="Times New Roman" w:hAnsi="Times New Roman" w:cs="Times New Roman"/>
          <w:iCs/>
          <w:color w:val="000000" w:themeColor="text1"/>
          <w:sz w:val="24"/>
          <w:szCs w:val="24"/>
          <w:lang w:eastAsia="lv-LV"/>
        </w:rPr>
      </w:pPr>
      <w:r w:rsidRPr="0015154B">
        <w:rPr>
          <w:rFonts w:ascii="Times New Roman" w:eastAsia="Times New Roman" w:hAnsi="Times New Roman" w:cs="Times New Roman"/>
          <w:iCs/>
          <w:color w:val="000000" w:themeColor="text1"/>
          <w:sz w:val="24"/>
          <w:szCs w:val="24"/>
          <w:lang w:eastAsia="lv-LV"/>
        </w:rPr>
        <w:t>Pēc VSAA datiem 2018.gadā piešķirtas 19,1 tūkst. vecuma pensijas, no tām 82% bija uzkrāts fondētās pensijas kapitāls. Šo kapitālu 56% pievienoja nefondētajam pensijas kapitālam, 21% - izvēlējās iegādāties mūža pensijas polisi un 23% - turpina dalību fondētaj</w:t>
      </w:r>
      <w:r w:rsidR="00662D1E">
        <w:rPr>
          <w:rFonts w:ascii="Times New Roman" w:eastAsia="Times New Roman" w:hAnsi="Times New Roman" w:cs="Times New Roman"/>
          <w:iCs/>
          <w:color w:val="000000" w:themeColor="text1"/>
          <w:sz w:val="24"/>
          <w:szCs w:val="24"/>
          <w:lang w:eastAsia="lv-LV"/>
        </w:rPr>
        <w:t>ā</w:t>
      </w:r>
      <w:r w:rsidRPr="00662D1E">
        <w:rPr>
          <w:rFonts w:ascii="Times New Roman" w:eastAsia="Times New Roman" w:hAnsi="Times New Roman" w:cs="Times New Roman"/>
          <w:iCs/>
          <w:color w:val="000000" w:themeColor="text1"/>
          <w:sz w:val="24"/>
          <w:szCs w:val="24"/>
          <w:lang w:eastAsia="lv-LV"/>
        </w:rPr>
        <w:t xml:space="preserve"> pensiju shēmā.</w:t>
      </w:r>
    </w:p>
    <w:p w14:paraId="101ACC36" w14:textId="492CCFD4" w:rsidR="00FE3DEA" w:rsidRPr="00573B49" w:rsidRDefault="00FE3DEA" w:rsidP="001B6FD9">
      <w:pPr>
        <w:suppressAutoHyphens/>
        <w:autoSpaceDE w:val="0"/>
        <w:autoSpaceDN w:val="0"/>
        <w:spacing w:before="120" w:after="0" w:line="240" w:lineRule="auto"/>
        <w:ind w:firstLine="720"/>
        <w:jc w:val="both"/>
        <w:textAlignment w:val="baseline"/>
        <w:rPr>
          <w:rFonts w:ascii="Times New Roman" w:eastAsia="Times New Roman" w:hAnsi="Times New Roman" w:cs="Times New Roman"/>
          <w:sz w:val="24"/>
          <w:szCs w:val="24"/>
          <w:lang w:eastAsia="lv-LV"/>
        </w:rPr>
      </w:pPr>
      <w:r w:rsidRPr="009703E6">
        <w:rPr>
          <w:rFonts w:ascii="Times New Roman" w:hAnsi="Times New Roman" w:cs="Times New Roman"/>
          <w:bCs/>
          <w:color w:val="000000"/>
          <w:sz w:val="24"/>
          <w:szCs w:val="24"/>
          <w:lang w:eastAsia="lv-LV"/>
        </w:rPr>
        <w:t>No 2020.gada pensiju sistēmas 2.līmeņa jeb valsts fondētās pensijas kapitālu ir iespēja atstāt mantojumā vai pievienot konkrēti norādītas personas pensijas kapitālam, ja cilvēks nomirs pirms pensijas vecuma</w:t>
      </w:r>
      <w:r w:rsidR="00907F80">
        <w:rPr>
          <w:rFonts w:ascii="Times New Roman" w:hAnsi="Times New Roman" w:cs="Times New Roman"/>
          <w:bCs/>
          <w:color w:val="000000"/>
          <w:sz w:val="24"/>
          <w:szCs w:val="24"/>
          <w:lang w:eastAsia="lv-LV"/>
        </w:rPr>
        <w:t xml:space="preserve"> (</w:t>
      </w:r>
      <w:r w:rsidR="00907F80" w:rsidRPr="00463B4E">
        <w:rPr>
          <w:rFonts w:ascii="Times New Roman" w:hAnsi="Times New Roman" w:cs="Times New Roman"/>
          <w:bCs/>
          <w:color w:val="000000"/>
          <w:sz w:val="24"/>
          <w:szCs w:val="24"/>
          <w:highlight w:val="yellow"/>
          <w:lang w:eastAsia="lv-LV"/>
        </w:rPr>
        <w:t>skat. 12.tabulu</w:t>
      </w:r>
      <w:r w:rsidR="00907F80">
        <w:rPr>
          <w:rFonts w:ascii="Times New Roman" w:hAnsi="Times New Roman" w:cs="Times New Roman"/>
          <w:bCs/>
          <w:color w:val="000000"/>
          <w:sz w:val="24"/>
          <w:szCs w:val="24"/>
          <w:lang w:eastAsia="lv-LV"/>
        </w:rPr>
        <w:t>)</w:t>
      </w:r>
      <w:r w:rsidRPr="009703E6">
        <w:rPr>
          <w:rFonts w:ascii="Times New Roman" w:hAnsi="Times New Roman" w:cs="Times New Roman"/>
          <w:bCs/>
          <w:color w:val="000000"/>
          <w:sz w:val="24"/>
          <w:szCs w:val="24"/>
          <w:lang w:eastAsia="lv-LV"/>
        </w:rPr>
        <w:t>. 2.pensiju līmenī uzkrātā kapitāla mantošanas iespēja ir noteikta ar </w:t>
      </w:r>
      <w:hyperlink r:id="rId25" w:tgtFrame="_blank" w:history="1">
        <w:r w:rsidRPr="007157D3">
          <w:rPr>
            <w:rFonts w:ascii="Times New Roman" w:hAnsi="Times New Roman" w:cs="Times New Roman"/>
            <w:bCs/>
            <w:color w:val="000000"/>
            <w:sz w:val="24"/>
            <w:szCs w:val="24"/>
            <w:lang w:eastAsia="lv-LV"/>
          </w:rPr>
          <w:t>Valsts fondēto pensiju likuma grozījumiem</w:t>
        </w:r>
      </w:hyperlink>
      <w:r w:rsidRPr="007157D3">
        <w:rPr>
          <w:rFonts w:ascii="Times New Roman" w:hAnsi="Times New Roman" w:cs="Times New Roman"/>
          <w:bCs/>
          <w:color w:val="000000"/>
          <w:sz w:val="24"/>
          <w:szCs w:val="24"/>
          <w:lang w:eastAsia="lv-LV"/>
        </w:rPr>
        <w:t>.</w:t>
      </w:r>
      <w:r w:rsidRPr="007157D3">
        <w:rPr>
          <w:rFonts w:ascii="Times New Roman" w:hAnsi="Times New Roman" w:cs="Times New Roman"/>
          <w:sz w:val="24"/>
          <w:szCs w:val="24"/>
          <w:vertAlign w:val="superscript"/>
          <w:lang w:eastAsia="lv-LV"/>
        </w:rPr>
        <w:footnoteReference w:id="95"/>
      </w:r>
      <w:r w:rsidRPr="007157D3">
        <w:rPr>
          <w:rFonts w:ascii="Times New Roman" w:hAnsi="Times New Roman" w:cs="Times New Roman"/>
          <w:bCs/>
          <w:color w:val="000000"/>
          <w:sz w:val="24"/>
          <w:szCs w:val="24"/>
          <w:lang w:eastAsia="lv-LV"/>
        </w:rPr>
        <w:t xml:space="preserve"> Pašreiz pensiju 2.līmeņa kapitālu var izmantot, tikai sasniedzot pensijas vecumu, vai nu pievienojot savu 2.līmeņa kapitālu pirmajā līmenī uzkrātajam, vai nu par uzkrāto 2.līmeņa kapitālu iegādājoties dzīvības apdrošināšanas (mūža pensijas) polisi. </w:t>
      </w:r>
      <w:r w:rsidRPr="002F5278">
        <w:rPr>
          <w:rFonts w:ascii="Times New Roman" w:eastAsia="Times New Roman" w:hAnsi="Times New Roman" w:cs="Times New Roman"/>
          <w:sz w:val="24"/>
          <w:szCs w:val="24"/>
          <w:lang w:eastAsia="lv-LV"/>
        </w:rPr>
        <w:t>No 2020.gada 1.janvāra jebkuram pensiju 2.līmeņa dalībniekam, kuram vēl nav piešķirta vecuma pensija, ir tiesības izvēlēties, kā tiks izmantots viņa pensiju 2.līmenī uzkrātais kapitāls viņa nāves gadījumā.  Proti, persona var izvēlēt</w:t>
      </w:r>
      <w:r w:rsidRPr="00573B49">
        <w:rPr>
          <w:rFonts w:ascii="Times New Roman" w:eastAsia="Times New Roman" w:hAnsi="Times New Roman" w:cs="Times New Roman"/>
          <w:sz w:val="24"/>
          <w:szCs w:val="24"/>
          <w:lang w:eastAsia="lv-LV"/>
        </w:rPr>
        <w:t>ies savu pensiju 2.līmeņa kapitālu:</w:t>
      </w:r>
    </w:p>
    <w:p w14:paraId="6F18FF38" w14:textId="77777777" w:rsidR="00FE3DEA" w:rsidRPr="00573B49" w:rsidRDefault="00FE3DEA" w:rsidP="007A3CF5">
      <w:pPr>
        <w:numPr>
          <w:ilvl w:val="0"/>
          <w:numId w:val="20"/>
        </w:numPr>
        <w:spacing w:before="120" w:after="0" w:line="240" w:lineRule="auto"/>
        <w:rPr>
          <w:rFonts w:ascii="Times New Roman" w:eastAsia="Times New Roman" w:hAnsi="Times New Roman" w:cs="Times New Roman"/>
          <w:sz w:val="24"/>
          <w:szCs w:val="24"/>
          <w:lang w:eastAsia="lv-LV"/>
        </w:rPr>
      </w:pPr>
      <w:r w:rsidRPr="00573B49">
        <w:rPr>
          <w:rFonts w:ascii="Times New Roman" w:eastAsia="Times New Roman" w:hAnsi="Times New Roman" w:cs="Times New Roman"/>
          <w:sz w:val="24"/>
          <w:szCs w:val="24"/>
          <w:lang w:eastAsia="lv-LV"/>
        </w:rPr>
        <w:t>ieskaitīt valsts pensiju speciālajā budžetā;</w:t>
      </w:r>
    </w:p>
    <w:p w14:paraId="2D03EBC0" w14:textId="77777777" w:rsidR="00FE3DEA" w:rsidRPr="00573B49" w:rsidRDefault="00FE3DEA" w:rsidP="007A3CF5">
      <w:pPr>
        <w:numPr>
          <w:ilvl w:val="0"/>
          <w:numId w:val="20"/>
        </w:numPr>
        <w:spacing w:before="120" w:after="0" w:line="240" w:lineRule="auto"/>
        <w:contextualSpacing/>
        <w:rPr>
          <w:rFonts w:ascii="Times New Roman" w:eastAsia="Times New Roman" w:hAnsi="Times New Roman" w:cs="Times New Roman"/>
          <w:sz w:val="24"/>
          <w:szCs w:val="24"/>
          <w:lang w:eastAsia="lv-LV"/>
        </w:rPr>
      </w:pPr>
      <w:r w:rsidRPr="00573B49">
        <w:rPr>
          <w:rFonts w:ascii="Times New Roman" w:eastAsia="Times New Roman" w:hAnsi="Times New Roman" w:cs="Times New Roman"/>
          <w:sz w:val="24"/>
          <w:szCs w:val="24"/>
          <w:lang w:eastAsia="lv-LV"/>
        </w:rPr>
        <w:lastRenderedPageBreak/>
        <w:t>pievienot norādītās personas pensiju 2.līmenī uzkrātajam kapitālam;</w:t>
      </w:r>
    </w:p>
    <w:p w14:paraId="34F9605C" w14:textId="3B74A793" w:rsidR="00FE3DEA" w:rsidRDefault="00FE3DEA" w:rsidP="00E47D6E">
      <w:pPr>
        <w:numPr>
          <w:ilvl w:val="0"/>
          <w:numId w:val="20"/>
        </w:numPr>
        <w:spacing w:before="120" w:after="0" w:line="240" w:lineRule="auto"/>
        <w:contextualSpacing/>
        <w:rPr>
          <w:rFonts w:ascii="Times New Roman" w:eastAsia="Times New Roman" w:hAnsi="Times New Roman" w:cs="Times New Roman"/>
          <w:sz w:val="24"/>
          <w:szCs w:val="24"/>
          <w:lang w:eastAsia="lv-LV"/>
        </w:rPr>
      </w:pPr>
      <w:r w:rsidRPr="00573B49">
        <w:rPr>
          <w:rFonts w:ascii="Times New Roman" w:eastAsia="Times New Roman" w:hAnsi="Times New Roman" w:cs="Times New Roman"/>
          <w:sz w:val="24"/>
          <w:szCs w:val="24"/>
          <w:lang w:eastAsia="lv-LV"/>
        </w:rPr>
        <w:t xml:space="preserve">atstāt mantojumā </w:t>
      </w:r>
      <w:hyperlink r:id="rId26" w:tgtFrame="_blank" w:history="1">
        <w:r w:rsidRPr="007157D3">
          <w:rPr>
            <w:rFonts w:ascii="Times New Roman" w:eastAsia="Times New Roman" w:hAnsi="Times New Roman" w:cs="Times New Roman"/>
            <w:sz w:val="24"/>
            <w:szCs w:val="24"/>
            <w:lang w:eastAsia="lv-LV"/>
          </w:rPr>
          <w:t>Civillikumā</w:t>
        </w:r>
      </w:hyperlink>
      <w:r w:rsidRPr="007157D3">
        <w:rPr>
          <w:rFonts w:ascii="Times New Roman" w:eastAsia="Times New Roman" w:hAnsi="Times New Roman" w:cs="Times New Roman"/>
          <w:sz w:val="24"/>
          <w:szCs w:val="24"/>
          <w:lang w:eastAsia="lv-LV"/>
        </w:rPr>
        <w:t xml:space="preserve"> noteiktajā kārtībā.</w:t>
      </w:r>
    </w:p>
    <w:p w14:paraId="054D9037" w14:textId="46770C51" w:rsidR="00E47D6E" w:rsidRDefault="00E47D6E" w:rsidP="00E47D6E">
      <w:pPr>
        <w:spacing w:before="120" w:after="0" w:line="240" w:lineRule="auto"/>
        <w:contextualSpacing/>
        <w:rPr>
          <w:rFonts w:ascii="Times New Roman" w:eastAsia="Times New Roman" w:hAnsi="Times New Roman" w:cs="Times New Roman"/>
          <w:sz w:val="24"/>
          <w:szCs w:val="24"/>
          <w:lang w:eastAsia="lv-LV"/>
        </w:rPr>
      </w:pPr>
    </w:p>
    <w:p w14:paraId="60204C60" w14:textId="2828E91C" w:rsidR="00E47D6E" w:rsidRPr="00E47D6E" w:rsidRDefault="00E47D6E" w:rsidP="00E47D6E">
      <w:pPr>
        <w:spacing w:before="120"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12.tabulu</w:t>
      </w:r>
    </w:p>
    <w:p w14:paraId="5DF2861B" w14:textId="1E7DEA81" w:rsidR="00FE3DEA" w:rsidRPr="002F5278" w:rsidRDefault="00FE3DEA" w:rsidP="00FE3DEA">
      <w:pPr>
        <w:autoSpaceDE w:val="0"/>
        <w:autoSpaceDN w:val="0"/>
        <w:adjustRightInd w:val="0"/>
        <w:spacing w:after="0" w:line="240" w:lineRule="auto"/>
        <w:contextualSpacing/>
        <w:jc w:val="center"/>
        <w:rPr>
          <w:rFonts w:ascii="Times New Roman" w:eastAsia="Calibri" w:hAnsi="Times New Roman" w:cs="Times New Roman"/>
          <w:b/>
          <w:color w:val="002060"/>
          <w:sz w:val="24"/>
          <w:szCs w:val="24"/>
        </w:rPr>
      </w:pPr>
      <w:r w:rsidRPr="007157D3">
        <w:rPr>
          <w:rFonts w:ascii="Times New Roman" w:eastAsia="Times New Roman" w:hAnsi="Times New Roman" w:cs="Times New Roman"/>
          <w:b/>
          <w:color w:val="002060"/>
          <w:sz w:val="24"/>
          <w:szCs w:val="24"/>
          <w:lang w:eastAsia="lv-LV"/>
        </w:rPr>
        <w:t>Dati par V</w:t>
      </w:r>
      <w:r w:rsidRPr="002F5278">
        <w:rPr>
          <w:rFonts w:ascii="Times New Roman" w:eastAsia="Calibri" w:hAnsi="Times New Roman" w:cs="Times New Roman"/>
          <w:b/>
          <w:color w:val="002060"/>
          <w:sz w:val="24"/>
          <w:szCs w:val="24"/>
        </w:rPr>
        <w:t xml:space="preserve">alsts fondēto pensiju shēmas dalībnieku izvēli izmantot </w:t>
      </w:r>
    </w:p>
    <w:p w14:paraId="3C0FAE19" w14:textId="77777777" w:rsidR="00FE3DEA" w:rsidRPr="007157D3" w:rsidRDefault="00FE3DEA" w:rsidP="00FE3DEA">
      <w:pPr>
        <w:autoSpaceDE w:val="0"/>
        <w:autoSpaceDN w:val="0"/>
        <w:adjustRightInd w:val="0"/>
        <w:spacing w:after="0" w:line="240" w:lineRule="auto"/>
        <w:contextualSpacing/>
        <w:jc w:val="center"/>
        <w:rPr>
          <w:rFonts w:ascii="Times New Roman" w:eastAsia="Calibri" w:hAnsi="Times New Roman" w:cs="Times New Roman"/>
          <w:b/>
          <w:color w:val="002060"/>
          <w:sz w:val="24"/>
          <w:szCs w:val="24"/>
        </w:rPr>
      </w:pPr>
      <w:r w:rsidRPr="00573B49">
        <w:rPr>
          <w:rFonts w:ascii="Times New Roman" w:eastAsia="Calibri" w:hAnsi="Times New Roman" w:cs="Times New Roman"/>
          <w:b/>
          <w:color w:val="002060"/>
          <w:sz w:val="24"/>
          <w:szCs w:val="24"/>
        </w:rPr>
        <w:t>valsts fondētās pensijas kapitālu (2020.gada 1.pusgads)</w:t>
      </w:r>
    </w:p>
    <w:tbl>
      <w:tblPr>
        <w:tblW w:w="9912"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0"/>
        <w:gridCol w:w="1046"/>
        <w:gridCol w:w="1417"/>
        <w:gridCol w:w="1560"/>
        <w:gridCol w:w="1417"/>
        <w:gridCol w:w="996"/>
        <w:gridCol w:w="1276"/>
      </w:tblGrid>
      <w:tr w:rsidR="006C7759" w:rsidRPr="0015154B" w14:paraId="65DA65D3" w14:textId="77777777" w:rsidTr="00AF6D84">
        <w:trPr>
          <w:trHeight w:val="1485"/>
        </w:trPr>
        <w:tc>
          <w:tcPr>
            <w:tcW w:w="2200" w:type="dxa"/>
            <w:shd w:val="clear" w:color="auto" w:fill="E8F3D3" w:themeFill="accent2" w:themeFillTint="33"/>
            <w:noWrap/>
            <w:tcMar>
              <w:top w:w="0" w:type="dxa"/>
              <w:left w:w="108" w:type="dxa"/>
              <w:bottom w:w="0" w:type="dxa"/>
              <w:right w:w="108" w:type="dxa"/>
            </w:tcMar>
            <w:vAlign w:val="center"/>
            <w:hideMark/>
          </w:tcPr>
          <w:p w14:paraId="4096CB53" w14:textId="77777777" w:rsidR="00FE3DEA" w:rsidRPr="007157D3" w:rsidRDefault="00FE3DEA" w:rsidP="00123959">
            <w:pPr>
              <w:spacing w:after="0" w:line="240" w:lineRule="auto"/>
              <w:jc w:val="center"/>
              <w:rPr>
                <w:rFonts w:ascii="Times New Roman" w:eastAsia="Calibri" w:hAnsi="Times New Roman" w:cs="Times New Roman"/>
                <w:b/>
                <w:color w:val="002060"/>
                <w:lang w:eastAsia="lv-LV"/>
              </w:rPr>
            </w:pPr>
            <w:r w:rsidRPr="007157D3">
              <w:rPr>
                <w:rFonts w:ascii="Times New Roman" w:eastAsia="Calibri" w:hAnsi="Times New Roman" w:cs="Times New Roman"/>
                <w:b/>
                <w:color w:val="002060"/>
                <w:lang w:eastAsia="lv-LV"/>
              </w:rPr>
              <w:t>Personas dzimušas</w:t>
            </w:r>
          </w:p>
        </w:tc>
        <w:tc>
          <w:tcPr>
            <w:tcW w:w="1050" w:type="dxa"/>
            <w:shd w:val="clear" w:color="auto" w:fill="E8F3D3" w:themeFill="accent2" w:themeFillTint="33"/>
            <w:vAlign w:val="center"/>
          </w:tcPr>
          <w:p w14:paraId="74030B9C" w14:textId="77777777" w:rsidR="00FE3DEA" w:rsidRPr="007157D3" w:rsidRDefault="00FE3DEA" w:rsidP="00123959">
            <w:pPr>
              <w:spacing w:after="0" w:line="240" w:lineRule="auto"/>
              <w:jc w:val="center"/>
              <w:rPr>
                <w:rFonts w:ascii="Times New Roman" w:eastAsia="Calibri" w:hAnsi="Times New Roman" w:cs="Times New Roman"/>
                <w:b/>
                <w:color w:val="002060"/>
                <w:lang w:eastAsia="lv-LV"/>
              </w:rPr>
            </w:pPr>
            <w:r w:rsidRPr="007157D3">
              <w:rPr>
                <w:rFonts w:ascii="Times New Roman" w:eastAsia="Calibri" w:hAnsi="Times New Roman" w:cs="Times New Roman"/>
                <w:b/>
                <w:color w:val="002060"/>
                <w:lang w:eastAsia="lv-LV"/>
              </w:rPr>
              <w:t>Vecums (gadi)</w:t>
            </w:r>
          </w:p>
        </w:tc>
        <w:tc>
          <w:tcPr>
            <w:tcW w:w="1417" w:type="dxa"/>
            <w:shd w:val="clear" w:color="auto" w:fill="E8F3D3" w:themeFill="accent2" w:themeFillTint="33"/>
            <w:tcMar>
              <w:top w:w="0" w:type="dxa"/>
              <w:left w:w="108" w:type="dxa"/>
              <w:bottom w:w="0" w:type="dxa"/>
              <w:right w:w="108" w:type="dxa"/>
            </w:tcMar>
            <w:vAlign w:val="center"/>
            <w:hideMark/>
          </w:tcPr>
          <w:p w14:paraId="33E1656C" w14:textId="77777777" w:rsidR="00FE3DEA" w:rsidRPr="002F5278" w:rsidRDefault="00FE3DEA" w:rsidP="00123959">
            <w:pPr>
              <w:spacing w:after="0" w:line="240" w:lineRule="auto"/>
              <w:jc w:val="center"/>
              <w:rPr>
                <w:rFonts w:ascii="Times New Roman" w:eastAsia="Calibri" w:hAnsi="Times New Roman" w:cs="Times New Roman"/>
                <w:b/>
                <w:color w:val="002060"/>
                <w:lang w:eastAsia="lv-LV"/>
              </w:rPr>
            </w:pPr>
            <w:r w:rsidRPr="002F5278">
              <w:rPr>
                <w:rFonts w:ascii="Times New Roman" w:eastAsia="Calibri" w:hAnsi="Times New Roman" w:cs="Times New Roman"/>
                <w:b/>
                <w:color w:val="002060"/>
                <w:lang w:eastAsia="lv-LV"/>
              </w:rPr>
              <w:t>Ieskaitīt valsts pensiju speciālajā budžetā</w:t>
            </w:r>
          </w:p>
        </w:tc>
        <w:tc>
          <w:tcPr>
            <w:tcW w:w="1560" w:type="dxa"/>
            <w:shd w:val="clear" w:color="auto" w:fill="E8F3D3" w:themeFill="accent2" w:themeFillTint="33"/>
            <w:tcMar>
              <w:top w:w="0" w:type="dxa"/>
              <w:left w:w="108" w:type="dxa"/>
              <w:bottom w:w="0" w:type="dxa"/>
              <w:right w:w="108" w:type="dxa"/>
            </w:tcMar>
            <w:vAlign w:val="center"/>
            <w:hideMark/>
          </w:tcPr>
          <w:p w14:paraId="68FC9C8D" w14:textId="77777777" w:rsidR="00FE3DEA" w:rsidRPr="00573B49" w:rsidRDefault="00FE3DEA" w:rsidP="00123959">
            <w:pPr>
              <w:spacing w:after="0" w:line="240" w:lineRule="auto"/>
              <w:jc w:val="center"/>
              <w:rPr>
                <w:rFonts w:ascii="Times New Roman" w:eastAsia="Calibri" w:hAnsi="Times New Roman" w:cs="Times New Roman"/>
                <w:b/>
                <w:color w:val="002060"/>
                <w:lang w:eastAsia="lv-LV"/>
              </w:rPr>
            </w:pPr>
            <w:r w:rsidRPr="00573B49">
              <w:rPr>
                <w:rFonts w:ascii="Times New Roman" w:eastAsia="Calibri" w:hAnsi="Times New Roman" w:cs="Times New Roman"/>
                <w:b/>
                <w:color w:val="002060"/>
                <w:lang w:eastAsia="lv-LV"/>
              </w:rPr>
              <w:t>Pievienot norādītās personas valsts fondētās pensijas kapitālam</w:t>
            </w:r>
          </w:p>
        </w:tc>
        <w:tc>
          <w:tcPr>
            <w:tcW w:w="1417" w:type="dxa"/>
            <w:shd w:val="clear" w:color="auto" w:fill="E8F3D3" w:themeFill="accent2" w:themeFillTint="33"/>
            <w:tcMar>
              <w:top w:w="0" w:type="dxa"/>
              <w:left w:w="108" w:type="dxa"/>
              <w:bottom w:w="0" w:type="dxa"/>
              <w:right w:w="108" w:type="dxa"/>
            </w:tcMar>
            <w:vAlign w:val="center"/>
            <w:hideMark/>
          </w:tcPr>
          <w:p w14:paraId="3E0EAF87" w14:textId="77777777" w:rsidR="00FE3DEA" w:rsidRPr="00573B49" w:rsidRDefault="00FE3DEA" w:rsidP="00123959">
            <w:pPr>
              <w:spacing w:after="0" w:line="240" w:lineRule="auto"/>
              <w:jc w:val="center"/>
              <w:rPr>
                <w:rFonts w:ascii="Times New Roman" w:eastAsia="Calibri" w:hAnsi="Times New Roman" w:cs="Times New Roman"/>
                <w:b/>
                <w:color w:val="002060"/>
                <w:lang w:eastAsia="lv-LV"/>
              </w:rPr>
            </w:pPr>
            <w:r w:rsidRPr="00573B49">
              <w:rPr>
                <w:rFonts w:ascii="Times New Roman" w:eastAsia="Calibri" w:hAnsi="Times New Roman" w:cs="Times New Roman"/>
                <w:b/>
                <w:color w:val="002060"/>
                <w:lang w:eastAsia="lv-LV"/>
              </w:rPr>
              <w:t>Nodot mantošanai Civillikumā noteiktajā kārtībā</w:t>
            </w:r>
          </w:p>
        </w:tc>
        <w:tc>
          <w:tcPr>
            <w:tcW w:w="992" w:type="dxa"/>
            <w:shd w:val="clear" w:color="auto" w:fill="E8F3D3" w:themeFill="accent2" w:themeFillTint="33"/>
            <w:tcMar>
              <w:top w:w="0" w:type="dxa"/>
              <w:left w:w="108" w:type="dxa"/>
              <w:bottom w:w="0" w:type="dxa"/>
              <w:right w:w="108" w:type="dxa"/>
            </w:tcMar>
            <w:vAlign w:val="center"/>
            <w:hideMark/>
          </w:tcPr>
          <w:p w14:paraId="5470B3DF" w14:textId="77777777" w:rsidR="00FE3DEA" w:rsidRPr="0025422D" w:rsidRDefault="00FE3DEA" w:rsidP="00123959">
            <w:pPr>
              <w:spacing w:after="0" w:line="240" w:lineRule="auto"/>
              <w:jc w:val="center"/>
              <w:rPr>
                <w:rFonts w:ascii="Times New Roman" w:eastAsia="Calibri" w:hAnsi="Times New Roman" w:cs="Times New Roman"/>
                <w:b/>
                <w:bCs/>
                <w:color w:val="002060"/>
                <w:lang w:eastAsia="lv-LV"/>
              </w:rPr>
            </w:pPr>
            <w:r w:rsidRPr="0025422D">
              <w:rPr>
                <w:rFonts w:ascii="Times New Roman" w:eastAsia="Calibri" w:hAnsi="Times New Roman" w:cs="Times New Roman"/>
                <w:b/>
                <w:bCs/>
                <w:color w:val="002060"/>
                <w:lang w:eastAsia="lv-LV"/>
              </w:rPr>
              <w:t>Kopā</w:t>
            </w:r>
          </w:p>
        </w:tc>
        <w:tc>
          <w:tcPr>
            <w:tcW w:w="1276" w:type="dxa"/>
            <w:shd w:val="clear" w:color="auto" w:fill="E8F3D3" w:themeFill="accent2" w:themeFillTint="33"/>
            <w:vAlign w:val="center"/>
          </w:tcPr>
          <w:p w14:paraId="02B14616" w14:textId="77777777" w:rsidR="00FE3DEA" w:rsidRPr="00A857F2" w:rsidRDefault="00FE3DEA" w:rsidP="00123959">
            <w:pPr>
              <w:spacing w:after="0" w:line="240" w:lineRule="auto"/>
              <w:jc w:val="center"/>
              <w:rPr>
                <w:rFonts w:ascii="Times New Roman" w:eastAsia="Calibri" w:hAnsi="Times New Roman" w:cs="Times New Roman"/>
                <w:b/>
                <w:bCs/>
                <w:color w:val="002060"/>
                <w:lang w:eastAsia="lv-LV"/>
              </w:rPr>
            </w:pPr>
            <w:r w:rsidRPr="00A857F2">
              <w:rPr>
                <w:rFonts w:ascii="Times New Roman" w:eastAsia="Calibri" w:hAnsi="Times New Roman" w:cs="Times New Roman"/>
                <w:b/>
                <w:bCs/>
                <w:color w:val="002060"/>
                <w:lang w:eastAsia="lv-LV"/>
              </w:rPr>
              <w:t>% no attiecīgajā vecuma grupā fondētās pensiju shēmas dalībniekiem</w:t>
            </w:r>
          </w:p>
        </w:tc>
      </w:tr>
      <w:tr w:rsidR="00FE3DEA" w:rsidRPr="0015154B" w14:paraId="32A426F9" w14:textId="77777777" w:rsidTr="00AF6D84">
        <w:trPr>
          <w:trHeight w:val="315"/>
        </w:trPr>
        <w:tc>
          <w:tcPr>
            <w:tcW w:w="2200" w:type="dxa"/>
            <w:shd w:val="clear" w:color="auto" w:fill="E8F3D3" w:themeFill="accent2" w:themeFillTint="33"/>
            <w:noWrap/>
            <w:tcMar>
              <w:top w:w="0" w:type="dxa"/>
              <w:left w:w="108" w:type="dxa"/>
              <w:bottom w:w="0" w:type="dxa"/>
              <w:right w:w="108" w:type="dxa"/>
            </w:tcMar>
            <w:vAlign w:val="center"/>
            <w:hideMark/>
          </w:tcPr>
          <w:p w14:paraId="06813377" w14:textId="77777777" w:rsidR="00FE3DEA" w:rsidRPr="0015154B" w:rsidRDefault="00FE3DEA" w:rsidP="00123959">
            <w:pPr>
              <w:spacing w:after="0" w:line="240" w:lineRule="auto"/>
              <w:rPr>
                <w:rFonts w:ascii="Times New Roman" w:eastAsia="Calibri" w:hAnsi="Times New Roman" w:cs="Times New Roman"/>
                <w:color w:val="002060"/>
                <w:sz w:val="24"/>
                <w:szCs w:val="24"/>
                <w:lang w:eastAsia="lv-LV"/>
              </w:rPr>
            </w:pPr>
            <w:r w:rsidRPr="0015154B">
              <w:rPr>
                <w:rFonts w:ascii="Times New Roman" w:eastAsia="Calibri" w:hAnsi="Times New Roman" w:cs="Times New Roman"/>
                <w:color w:val="002060"/>
                <w:sz w:val="24"/>
                <w:szCs w:val="24"/>
                <w:lang w:eastAsia="lv-LV"/>
              </w:rPr>
              <w:t>līdz 1959. gadam</w:t>
            </w:r>
          </w:p>
        </w:tc>
        <w:tc>
          <w:tcPr>
            <w:tcW w:w="1050" w:type="dxa"/>
          </w:tcPr>
          <w:p w14:paraId="259FFE40" w14:textId="77777777" w:rsidR="00FE3DEA" w:rsidRPr="0015154B" w:rsidRDefault="00FE3DEA" w:rsidP="00123959">
            <w:pPr>
              <w:spacing w:after="0" w:line="240" w:lineRule="auto"/>
              <w:jc w:val="center"/>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61+</w:t>
            </w:r>
          </w:p>
        </w:tc>
        <w:tc>
          <w:tcPr>
            <w:tcW w:w="1417" w:type="dxa"/>
            <w:noWrap/>
            <w:tcMar>
              <w:top w:w="0" w:type="dxa"/>
              <w:left w:w="108" w:type="dxa"/>
              <w:bottom w:w="0" w:type="dxa"/>
              <w:right w:w="108" w:type="dxa"/>
            </w:tcMar>
            <w:vAlign w:val="center"/>
            <w:hideMark/>
          </w:tcPr>
          <w:p w14:paraId="05E9A290"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141</w:t>
            </w:r>
          </w:p>
        </w:tc>
        <w:tc>
          <w:tcPr>
            <w:tcW w:w="1560" w:type="dxa"/>
            <w:noWrap/>
            <w:tcMar>
              <w:top w:w="0" w:type="dxa"/>
              <w:left w:w="108" w:type="dxa"/>
              <w:bottom w:w="0" w:type="dxa"/>
              <w:right w:w="108" w:type="dxa"/>
            </w:tcMar>
            <w:vAlign w:val="center"/>
            <w:hideMark/>
          </w:tcPr>
          <w:p w14:paraId="6F0E2276"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4 446</w:t>
            </w:r>
          </w:p>
        </w:tc>
        <w:tc>
          <w:tcPr>
            <w:tcW w:w="1417" w:type="dxa"/>
            <w:noWrap/>
            <w:tcMar>
              <w:top w:w="0" w:type="dxa"/>
              <w:left w:w="108" w:type="dxa"/>
              <w:bottom w:w="0" w:type="dxa"/>
              <w:right w:w="108" w:type="dxa"/>
            </w:tcMar>
            <w:vAlign w:val="center"/>
            <w:hideMark/>
          </w:tcPr>
          <w:p w14:paraId="0C4CF2E5"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8 889</w:t>
            </w:r>
          </w:p>
        </w:tc>
        <w:tc>
          <w:tcPr>
            <w:tcW w:w="992" w:type="dxa"/>
            <w:noWrap/>
            <w:tcMar>
              <w:top w:w="0" w:type="dxa"/>
              <w:left w:w="108" w:type="dxa"/>
              <w:bottom w:w="0" w:type="dxa"/>
              <w:right w:w="108" w:type="dxa"/>
            </w:tcMar>
            <w:vAlign w:val="bottom"/>
            <w:hideMark/>
          </w:tcPr>
          <w:p w14:paraId="7F0EEF90"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13 476</w:t>
            </w:r>
          </w:p>
        </w:tc>
        <w:tc>
          <w:tcPr>
            <w:tcW w:w="1276" w:type="dxa"/>
          </w:tcPr>
          <w:p w14:paraId="7B09663D" w14:textId="77777777" w:rsidR="00FE3DEA" w:rsidRPr="0015154B" w:rsidRDefault="00FE3DEA" w:rsidP="00123959">
            <w:pPr>
              <w:spacing w:after="0" w:line="240" w:lineRule="auto"/>
              <w:jc w:val="center"/>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17%</w:t>
            </w:r>
          </w:p>
        </w:tc>
      </w:tr>
      <w:tr w:rsidR="00FE3DEA" w:rsidRPr="0015154B" w14:paraId="6B092491" w14:textId="77777777" w:rsidTr="00AF6D84">
        <w:trPr>
          <w:trHeight w:val="315"/>
        </w:trPr>
        <w:tc>
          <w:tcPr>
            <w:tcW w:w="2200" w:type="dxa"/>
            <w:shd w:val="clear" w:color="auto" w:fill="E8F3D3" w:themeFill="accent2" w:themeFillTint="33"/>
            <w:noWrap/>
            <w:tcMar>
              <w:top w:w="0" w:type="dxa"/>
              <w:left w:w="108" w:type="dxa"/>
              <w:bottom w:w="0" w:type="dxa"/>
              <w:right w:w="108" w:type="dxa"/>
            </w:tcMar>
            <w:vAlign w:val="center"/>
            <w:hideMark/>
          </w:tcPr>
          <w:p w14:paraId="5E77FF30" w14:textId="77777777" w:rsidR="00FE3DEA" w:rsidRPr="0015154B" w:rsidRDefault="00FE3DEA" w:rsidP="00123959">
            <w:pPr>
              <w:spacing w:after="0" w:line="240" w:lineRule="auto"/>
              <w:rPr>
                <w:rFonts w:ascii="Times New Roman" w:eastAsia="Calibri" w:hAnsi="Times New Roman" w:cs="Times New Roman"/>
                <w:color w:val="002060"/>
                <w:sz w:val="24"/>
                <w:szCs w:val="24"/>
                <w:lang w:eastAsia="lv-LV"/>
              </w:rPr>
            </w:pPr>
            <w:r w:rsidRPr="0015154B">
              <w:rPr>
                <w:rFonts w:ascii="Times New Roman" w:eastAsia="Calibri" w:hAnsi="Times New Roman" w:cs="Times New Roman"/>
                <w:color w:val="002060"/>
                <w:sz w:val="24"/>
                <w:szCs w:val="24"/>
                <w:lang w:eastAsia="lv-LV"/>
              </w:rPr>
              <w:t>1960.-1969.gadam</w:t>
            </w:r>
          </w:p>
        </w:tc>
        <w:tc>
          <w:tcPr>
            <w:tcW w:w="1050" w:type="dxa"/>
          </w:tcPr>
          <w:p w14:paraId="3C85C162" w14:textId="77777777" w:rsidR="00FE3DEA" w:rsidRPr="0015154B" w:rsidRDefault="00FE3DEA" w:rsidP="00123959">
            <w:pPr>
              <w:spacing w:after="0" w:line="240" w:lineRule="auto"/>
              <w:jc w:val="center"/>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51 -  60</w:t>
            </w:r>
          </w:p>
        </w:tc>
        <w:tc>
          <w:tcPr>
            <w:tcW w:w="1417" w:type="dxa"/>
            <w:noWrap/>
            <w:tcMar>
              <w:top w:w="0" w:type="dxa"/>
              <w:left w:w="108" w:type="dxa"/>
              <w:bottom w:w="0" w:type="dxa"/>
              <w:right w:w="108" w:type="dxa"/>
            </w:tcMar>
            <w:vAlign w:val="center"/>
            <w:hideMark/>
          </w:tcPr>
          <w:p w14:paraId="7258AA7C"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456</w:t>
            </w:r>
          </w:p>
        </w:tc>
        <w:tc>
          <w:tcPr>
            <w:tcW w:w="1560" w:type="dxa"/>
            <w:noWrap/>
            <w:tcMar>
              <w:top w:w="0" w:type="dxa"/>
              <w:left w:w="108" w:type="dxa"/>
              <w:bottom w:w="0" w:type="dxa"/>
              <w:right w:w="108" w:type="dxa"/>
            </w:tcMar>
            <w:vAlign w:val="center"/>
            <w:hideMark/>
          </w:tcPr>
          <w:p w14:paraId="4E9147BD"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12 681</w:t>
            </w:r>
          </w:p>
        </w:tc>
        <w:tc>
          <w:tcPr>
            <w:tcW w:w="1417" w:type="dxa"/>
            <w:noWrap/>
            <w:tcMar>
              <w:top w:w="0" w:type="dxa"/>
              <w:left w:w="108" w:type="dxa"/>
              <w:bottom w:w="0" w:type="dxa"/>
              <w:right w:w="108" w:type="dxa"/>
            </w:tcMar>
            <w:vAlign w:val="center"/>
            <w:hideMark/>
          </w:tcPr>
          <w:p w14:paraId="3679FEB1"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25 001</w:t>
            </w:r>
          </w:p>
        </w:tc>
        <w:tc>
          <w:tcPr>
            <w:tcW w:w="992" w:type="dxa"/>
            <w:noWrap/>
            <w:tcMar>
              <w:top w:w="0" w:type="dxa"/>
              <w:left w:w="108" w:type="dxa"/>
              <w:bottom w:w="0" w:type="dxa"/>
              <w:right w:w="108" w:type="dxa"/>
            </w:tcMar>
            <w:vAlign w:val="bottom"/>
            <w:hideMark/>
          </w:tcPr>
          <w:p w14:paraId="012CAEC3"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38 138</w:t>
            </w:r>
          </w:p>
        </w:tc>
        <w:tc>
          <w:tcPr>
            <w:tcW w:w="1276" w:type="dxa"/>
          </w:tcPr>
          <w:p w14:paraId="2A3915E1" w14:textId="77777777" w:rsidR="00FE3DEA" w:rsidRPr="0015154B" w:rsidRDefault="00FE3DEA" w:rsidP="00123959">
            <w:pPr>
              <w:spacing w:after="0" w:line="240" w:lineRule="auto"/>
              <w:jc w:val="center"/>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14%</w:t>
            </w:r>
          </w:p>
        </w:tc>
      </w:tr>
      <w:tr w:rsidR="00FE3DEA" w:rsidRPr="0015154B" w14:paraId="34EA3771" w14:textId="77777777" w:rsidTr="00AF6D84">
        <w:trPr>
          <w:trHeight w:val="315"/>
        </w:trPr>
        <w:tc>
          <w:tcPr>
            <w:tcW w:w="2200" w:type="dxa"/>
            <w:shd w:val="clear" w:color="auto" w:fill="E8F3D3" w:themeFill="accent2" w:themeFillTint="33"/>
            <w:noWrap/>
            <w:tcMar>
              <w:top w:w="0" w:type="dxa"/>
              <w:left w:w="108" w:type="dxa"/>
              <w:bottom w:w="0" w:type="dxa"/>
              <w:right w:w="108" w:type="dxa"/>
            </w:tcMar>
            <w:vAlign w:val="center"/>
            <w:hideMark/>
          </w:tcPr>
          <w:p w14:paraId="58CCAD1F" w14:textId="77777777" w:rsidR="00FE3DEA" w:rsidRPr="0015154B" w:rsidRDefault="00FE3DEA" w:rsidP="00123959">
            <w:pPr>
              <w:spacing w:after="0" w:line="240" w:lineRule="auto"/>
              <w:rPr>
                <w:rFonts w:ascii="Times New Roman" w:eastAsia="Calibri" w:hAnsi="Times New Roman" w:cs="Times New Roman"/>
                <w:color w:val="002060"/>
                <w:sz w:val="24"/>
                <w:szCs w:val="24"/>
                <w:lang w:eastAsia="lv-LV"/>
              </w:rPr>
            </w:pPr>
            <w:r w:rsidRPr="0015154B">
              <w:rPr>
                <w:rFonts w:ascii="Times New Roman" w:eastAsia="Calibri" w:hAnsi="Times New Roman" w:cs="Times New Roman"/>
                <w:color w:val="002060"/>
                <w:sz w:val="24"/>
                <w:szCs w:val="24"/>
                <w:lang w:eastAsia="lv-LV"/>
              </w:rPr>
              <w:t>1970.-1979.gadam</w:t>
            </w:r>
          </w:p>
        </w:tc>
        <w:tc>
          <w:tcPr>
            <w:tcW w:w="1050" w:type="dxa"/>
          </w:tcPr>
          <w:p w14:paraId="3F1A69C9" w14:textId="77777777" w:rsidR="00FE3DEA" w:rsidRPr="0015154B" w:rsidRDefault="00FE3DEA" w:rsidP="00123959">
            <w:pPr>
              <w:spacing w:after="0" w:line="240" w:lineRule="auto"/>
              <w:jc w:val="center"/>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41 - 50</w:t>
            </w:r>
          </w:p>
        </w:tc>
        <w:tc>
          <w:tcPr>
            <w:tcW w:w="1417" w:type="dxa"/>
            <w:noWrap/>
            <w:tcMar>
              <w:top w:w="0" w:type="dxa"/>
              <w:left w:w="108" w:type="dxa"/>
              <w:bottom w:w="0" w:type="dxa"/>
              <w:right w:w="108" w:type="dxa"/>
            </w:tcMar>
            <w:vAlign w:val="center"/>
            <w:hideMark/>
          </w:tcPr>
          <w:p w14:paraId="73591098"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594</w:t>
            </w:r>
          </w:p>
        </w:tc>
        <w:tc>
          <w:tcPr>
            <w:tcW w:w="1560" w:type="dxa"/>
            <w:noWrap/>
            <w:tcMar>
              <w:top w:w="0" w:type="dxa"/>
              <w:left w:w="108" w:type="dxa"/>
              <w:bottom w:w="0" w:type="dxa"/>
              <w:right w:w="108" w:type="dxa"/>
            </w:tcMar>
            <w:vAlign w:val="center"/>
            <w:hideMark/>
          </w:tcPr>
          <w:p w14:paraId="3ADE897C"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9 069</w:t>
            </w:r>
          </w:p>
        </w:tc>
        <w:tc>
          <w:tcPr>
            <w:tcW w:w="1417" w:type="dxa"/>
            <w:noWrap/>
            <w:tcMar>
              <w:top w:w="0" w:type="dxa"/>
              <w:left w:w="108" w:type="dxa"/>
              <w:bottom w:w="0" w:type="dxa"/>
              <w:right w:w="108" w:type="dxa"/>
            </w:tcMar>
            <w:vAlign w:val="center"/>
            <w:hideMark/>
          </w:tcPr>
          <w:p w14:paraId="064D340A"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21 601</w:t>
            </w:r>
          </w:p>
        </w:tc>
        <w:tc>
          <w:tcPr>
            <w:tcW w:w="992" w:type="dxa"/>
            <w:noWrap/>
            <w:tcMar>
              <w:top w:w="0" w:type="dxa"/>
              <w:left w:w="108" w:type="dxa"/>
              <w:bottom w:w="0" w:type="dxa"/>
              <w:right w:w="108" w:type="dxa"/>
            </w:tcMar>
            <w:vAlign w:val="bottom"/>
            <w:hideMark/>
          </w:tcPr>
          <w:p w14:paraId="5AD21CE0"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31 264</w:t>
            </w:r>
          </w:p>
        </w:tc>
        <w:tc>
          <w:tcPr>
            <w:tcW w:w="1276" w:type="dxa"/>
          </w:tcPr>
          <w:p w14:paraId="49AAB4E3" w14:textId="77777777" w:rsidR="00FE3DEA" w:rsidRPr="0015154B" w:rsidRDefault="00FE3DEA" w:rsidP="00123959">
            <w:pPr>
              <w:spacing w:after="0" w:line="240" w:lineRule="auto"/>
              <w:jc w:val="center"/>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10%</w:t>
            </w:r>
          </w:p>
        </w:tc>
      </w:tr>
      <w:tr w:rsidR="00FE3DEA" w:rsidRPr="0015154B" w14:paraId="0FD01ECC" w14:textId="77777777" w:rsidTr="00AF6D84">
        <w:trPr>
          <w:trHeight w:val="315"/>
        </w:trPr>
        <w:tc>
          <w:tcPr>
            <w:tcW w:w="2200" w:type="dxa"/>
            <w:shd w:val="clear" w:color="auto" w:fill="E8F3D3" w:themeFill="accent2" w:themeFillTint="33"/>
            <w:noWrap/>
            <w:tcMar>
              <w:top w:w="0" w:type="dxa"/>
              <w:left w:w="108" w:type="dxa"/>
              <w:bottom w:w="0" w:type="dxa"/>
              <w:right w:w="108" w:type="dxa"/>
            </w:tcMar>
            <w:vAlign w:val="center"/>
            <w:hideMark/>
          </w:tcPr>
          <w:p w14:paraId="185DAEC3" w14:textId="77777777" w:rsidR="00FE3DEA" w:rsidRPr="0015154B" w:rsidRDefault="00FE3DEA" w:rsidP="00123959">
            <w:pPr>
              <w:spacing w:after="0" w:line="240" w:lineRule="auto"/>
              <w:rPr>
                <w:rFonts w:ascii="Times New Roman" w:eastAsia="Calibri" w:hAnsi="Times New Roman" w:cs="Times New Roman"/>
                <w:color w:val="002060"/>
                <w:sz w:val="24"/>
                <w:szCs w:val="24"/>
                <w:lang w:eastAsia="lv-LV"/>
              </w:rPr>
            </w:pPr>
            <w:r w:rsidRPr="0015154B">
              <w:rPr>
                <w:rFonts w:ascii="Times New Roman" w:eastAsia="Calibri" w:hAnsi="Times New Roman" w:cs="Times New Roman"/>
                <w:color w:val="002060"/>
                <w:sz w:val="24"/>
                <w:szCs w:val="24"/>
                <w:lang w:eastAsia="lv-LV"/>
              </w:rPr>
              <w:t>1980.-1989.gadam</w:t>
            </w:r>
          </w:p>
        </w:tc>
        <w:tc>
          <w:tcPr>
            <w:tcW w:w="1050" w:type="dxa"/>
          </w:tcPr>
          <w:p w14:paraId="5D0637F8" w14:textId="77777777" w:rsidR="00FE3DEA" w:rsidRPr="0015154B" w:rsidRDefault="00FE3DEA" w:rsidP="00123959">
            <w:pPr>
              <w:spacing w:after="0" w:line="240" w:lineRule="auto"/>
              <w:jc w:val="center"/>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31 - 40</w:t>
            </w:r>
          </w:p>
        </w:tc>
        <w:tc>
          <w:tcPr>
            <w:tcW w:w="1417" w:type="dxa"/>
            <w:noWrap/>
            <w:tcMar>
              <w:top w:w="0" w:type="dxa"/>
              <w:left w:w="108" w:type="dxa"/>
              <w:bottom w:w="0" w:type="dxa"/>
              <w:right w:w="108" w:type="dxa"/>
            </w:tcMar>
            <w:vAlign w:val="center"/>
            <w:hideMark/>
          </w:tcPr>
          <w:p w14:paraId="529E09B9"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997</w:t>
            </w:r>
          </w:p>
        </w:tc>
        <w:tc>
          <w:tcPr>
            <w:tcW w:w="1560" w:type="dxa"/>
            <w:noWrap/>
            <w:tcMar>
              <w:top w:w="0" w:type="dxa"/>
              <w:left w:w="108" w:type="dxa"/>
              <w:bottom w:w="0" w:type="dxa"/>
              <w:right w:w="108" w:type="dxa"/>
            </w:tcMar>
            <w:vAlign w:val="center"/>
            <w:hideMark/>
          </w:tcPr>
          <w:p w14:paraId="13E7D5E0"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7 157</w:t>
            </w:r>
          </w:p>
        </w:tc>
        <w:tc>
          <w:tcPr>
            <w:tcW w:w="1417" w:type="dxa"/>
            <w:noWrap/>
            <w:tcMar>
              <w:top w:w="0" w:type="dxa"/>
              <w:left w:w="108" w:type="dxa"/>
              <w:bottom w:w="0" w:type="dxa"/>
              <w:right w:w="108" w:type="dxa"/>
            </w:tcMar>
            <w:vAlign w:val="center"/>
            <w:hideMark/>
          </w:tcPr>
          <w:p w14:paraId="4004B9C8"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19 631</w:t>
            </w:r>
          </w:p>
        </w:tc>
        <w:tc>
          <w:tcPr>
            <w:tcW w:w="992" w:type="dxa"/>
            <w:noWrap/>
            <w:tcMar>
              <w:top w:w="0" w:type="dxa"/>
              <w:left w:w="108" w:type="dxa"/>
              <w:bottom w:w="0" w:type="dxa"/>
              <w:right w:w="108" w:type="dxa"/>
            </w:tcMar>
            <w:vAlign w:val="bottom"/>
            <w:hideMark/>
          </w:tcPr>
          <w:p w14:paraId="10580B78"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27 785</w:t>
            </w:r>
          </w:p>
        </w:tc>
        <w:tc>
          <w:tcPr>
            <w:tcW w:w="1276" w:type="dxa"/>
          </w:tcPr>
          <w:p w14:paraId="1CBCBDF5" w14:textId="77777777" w:rsidR="00FE3DEA" w:rsidRPr="0015154B" w:rsidRDefault="00FE3DEA" w:rsidP="00123959">
            <w:pPr>
              <w:spacing w:after="0" w:line="240" w:lineRule="auto"/>
              <w:jc w:val="center"/>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8%</w:t>
            </w:r>
          </w:p>
        </w:tc>
      </w:tr>
      <w:tr w:rsidR="00FE3DEA" w:rsidRPr="0015154B" w14:paraId="0083B868" w14:textId="77777777" w:rsidTr="00AF6D84">
        <w:trPr>
          <w:trHeight w:val="315"/>
        </w:trPr>
        <w:tc>
          <w:tcPr>
            <w:tcW w:w="2200" w:type="dxa"/>
            <w:shd w:val="clear" w:color="auto" w:fill="E8F3D3" w:themeFill="accent2" w:themeFillTint="33"/>
            <w:noWrap/>
            <w:tcMar>
              <w:top w:w="0" w:type="dxa"/>
              <w:left w:w="108" w:type="dxa"/>
              <w:bottom w:w="0" w:type="dxa"/>
              <w:right w:w="108" w:type="dxa"/>
            </w:tcMar>
            <w:vAlign w:val="center"/>
            <w:hideMark/>
          </w:tcPr>
          <w:p w14:paraId="3E3A33D4" w14:textId="77777777" w:rsidR="00FE3DEA" w:rsidRPr="0015154B" w:rsidRDefault="00FE3DEA" w:rsidP="00123959">
            <w:pPr>
              <w:spacing w:after="0" w:line="240" w:lineRule="auto"/>
              <w:rPr>
                <w:rFonts w:ascii="Times New Roman" w:eastAsia="Calibri" w:hAnsi="Times New Roman" w:cs="Times New Roman"/>
                <w:color w:val="002060"/>
                <w:sz w:val="24"/>
                <w:szCs w:val="24"/>
                <w:lang w:eastAsia="lv-LV"/>
              </w:rPr>
            </w:pPr>
            <w:r w:rsidRPr="0015154B">
              <w:rPr>
                <w:rFonts w:ascii="Times New Roman" w:eastAsia="Calibri" w:hAnsi="Times New Roman" w:cs="Times New Roman"/>
                <w:color w:val="002060"/>
                <w:sz w:val="24"/>
                <w:szCs w:val="24"/>
                <w:lang w:eastAsia="lv-LV"/>
              </w:rPr>
              <w:t>1990.gadā un vēlāk</w:t>
            </w:r>
          </w:p>
        </w:tc>
        <w:tc>
          <w:tcPr>
            <w:tcW w:w="1050" w:type="dxa"/>
          </w:tcPr>
          <w:p w14:paraId="59E31CF0" w14:textId="77777777" w:rsidR="00FE3DEA" w:rsidRPr="0015154B" w:rsidRDefault="00FE3DEA" w:rsidP="00123959">
            <w:pPr>
              <w:spacing w:after="0" w:line="240" w:lineRule="auto"/>
              <w:jc w:val="center"/>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 xml:space="preserve"> līdz 30 </w:t>
            </w:r>
          </w:p>
        </w:tc>
        <w:tc>
          <w:tcPr>
            <w:tcW w:w="1417" w:type="dxa"/>
            <w:noWrap/>
            <w:tcMar>
              <w:top w:w="0" w:type="dxa"/>
              <w:left w:w="108" w:type="dxa"/>
              <w:bottom w:w="0" w:type="dxa"/>
              <w:right w:w="108" w:type="dxa"/>
            </w:tcMar>
            <w:vAlign w:val="center"/>
            <w:hideMark/>
          </w:tcPr>
          <w:p w14:paraId="78DA039E"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405</w:t>
            </w:r>
          </w:p>
        </w:tc>
        <w:tc>
          <w:tcPr>
            <w:tcW w:w="1560" w:type="dxa"/>
            <w:noWrap/>
            <w:tcMar>
              <w:top w:w="0" w:type="dxa"/>
              <w:left w:w="108" w:type="dxa"/>
              <w:bottom w:w="0" w:type="dxa"/>
              <w:right w:w="108" w:type="dxa"/>
            </w:tcMar>
            <w:vAlign w:val="center"/>
            <w:hideMark/>
          </w:tcPr>
          <w:p w14:paraId="5EC9BBD5"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2 328</w:t>
            </w:r>
          </w:p>
        </w:tc>
        <w:tc>
          <w:tcPr>
            <w:tcW w:w="1417" w:type="dxa"/>
            <w:noWrap/>
            <w:tcMar>
              <w:top w:w="0" w:type="dxa"/>
              <w:left w:w="108" w:type="dxa"/>
              <w:bottom w:w="0" w:type="dxa"/>
              <w:right w:w="108" w:type="dxa"/>
            </w:tcMar>
            <w:vAlign w:val="center"/>
            <w:hideMark/>
          </w:tcPr>
          <w:p w14:paraId="7C37C8E5" w14:textId="77777777" w:rsidR="00FE3DEA" w:rsidRPr="0015154B" w:rsidRDefault="00FE3DEA" w:rsidP="00123959">
            <w:pPr>
              <w:spacing w:after="0" w:line="240" w:lineRule="auto"/>
              <w:jc w:val="right"/>
              <w:rPr>
                <w:rFonts w:ascii="Times New Roman" w:eastAsia="Calibri" w:hAnsi="Times New Roman" w:cs="Times New Roman"/>
                <w:color w:val="000000"/>
                <w:sz w:val="24"/>
                <w:szCs w:val="24"/>
                <w:lang w:eastAsia="lv-LV"/>
              </w:rPr>
            </w:pPr>
            <w:r w:rsidRPr="0015154B">
              <w:rPr>
                <w:rFonts w:ascii="Times New Roman" w:eastAsia="Calibri" w:hAnsi="Times New Roman" w:cs="Times New Roman"/>
                <w:color w:val="000000"/>
                <w:sz w:val="24"/>
                <w:szCs w:val="24"/>
                <w:lang w:eastAsia="lv-LV"/>
              </w:rPr>
              <w:t>8 354</w:t>
            </w:r>
          </w:p>
        </w:tc>
        <w:tc>
          <w:tcPr>
            <w:tcW w:w="992" w:type="dxa"/>
            <w:noWrap/>
            <w:tcMar>
              <w:top w:w="0" w:type="dxa"/>
              <w:left w:w="108" w:type="dxa"/>
              <w:bottom w:w="0" w:type="dxa"/>
              <w:right w:w="108" w:type="dxa"/>
            </w:tcMar>
            <w:vAlign w:val="bottom"/>
            <w:hideMark/>
          </w:tcPr>
          <w:p w14:paraId="0322F653"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11 087</w:t>
            </w:r>
          </w:p>
        </w:tc>
        <w:tc>
          <w:tcPr>
            <w:tcW w:w="1276" w:type="dxa"/>
          </w:tcPr>
          <w:p w14:paraId="6F508ED0" w14:textId="77777777" w:rsidR="00FE3DEA" w:rsidRPr="0015154B" w:rsidRDefault="00FE3DEA" w:rsidP="00123959">
            <w:pPr>
              <w:spacing w:after="0" w:line="240" w:lineRule="auto"/>
              <w:jc w:val="center"/>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4%</w:t>
            </w:r>
          </w:p>
        </w:tc>
      </w:tr>
      <w:tr w:rsidR="00FE3DEA" w:rsidRPr="0015154B" w14:paraId="1DE061F5" w14:textId="77777777" w:rsidTr="00AF6D84">
        <w:trPr>
          <w:trHeight w:val="743"/>
        </w:trPr>
        <w:tc>
          <w:tcPr>
            <w:tcW w:w="2200" w:type="dxa"/>
            <w:shd w:val="clear" w:color="auto" w:fill="E8F3D3" w:themeFill="accent2" w:themeFillTint="33"/>
            <w:noWrap/>
            <w:tcMar>
              <w:top w:w="0" w:type="dxa"/>
              <w:left w:w="108" w:type="dxa"/>
              <w:bottom w:w="0" w:type="dxa"/>
              <w:right w:w="108" w:type="dxa"/>
            </w:tcMar>
            <w:vAlign w:val="center"/>
            <w:hideMark/>
          </w:tcPr>
          <w:p w14:paraId="5846151E" w14:textId="77777777" w:rsidR="00FE3DEA" w:rsidRPr="0015154B" w:rsidRDefault="00FE3DEA" w:rsidP="00123959">
            <w:pPr>
              <w:spacing w:after="0" w:line="240" w:lineRule="auto"/>
              <w:rPr>
                <w:rFonts w:ascii="Times New Roman" w:eastAsia="Calibri" w:hAnsi="Times New Roman" w:cs="Times New Roman"/>
                <w:bCs/>
                <w:color w:val="002060"/>
                <w:sz w:val="24"/>
                <w:szCs w:val="24"/>
                <w:lang w:eastAsia="lv-LV"/>
              </w:rPr>
            </w:pPr>
          </w:p>
          <w:p w14:paraId="13A5079A" w14:textId="77777777" w:rsidR="00FE3DEA" w:rsidRPr="0015154B" w:rsidRDefault="00FE3DEA" w:rsidP="00123959">
            <w:pPr>
              <w:spacing w:after="0" w:line="240" w:lineRule="auto"/>
              <w:rPr>
                <w:rFonts w:ascii="Times New Roman" w:eastAsia="Calibri" w:hAnsi="Times New Roman" w:cs="Times New Roman"/>
                <w:bCs/>
                <w:color w:val="002060"/>
                <w:sz w:val="24"/>
                <w:szCs w:val="24"/>
                <w:lang w:eastAsia="lv-LV"/>
              </w:rPr>
            </w:pPr>
            <w:r w:rsidRPr="0015154B">
              <w:rPr>
                <w:rFonts w:ascii="Times New Roman" w:eastAsia="Calibri" w:hAnsi="Times New Roman" w:cs="Times New Roman"/>
                <w:bCs/>
                <w:color w:val="002060"/>
                <w:sz w:val="24"/>
                <w:szCs w:val="24"/>
                <w:lang w:eastAsia="lv-LV"/>
              </w:rPr>
              <w:t>Kopā</w:t>
            </w:r>
          </w:p>
          <w:p w14:paraId="3D216CDF" w14:textId="77777777" w:rsidR="00FE3DEA" w:rsidRPr="0015154B" w:rsidRDefault="00FE3DEA" w:rsidP="00123959">
            <w:pPr>
              <w:spacing w:after="0" w:line="240" w:lineRule="auto"/>
              <w:rPr>
                <w:rFonts w:ascii="Times New Roman" w:eastAsia="Calibri" w:hAnsi="Times New Roman" w:cs="Times New Roman"/>
                <w:bCs/>
                <w:color w:val="002060"/>
                <w:sz w:val="24"/>
                <w:szCs w:val="24"/>
                <w:lang w:eastAsia="lv-LV"/>
              </w:rPr>
            </w:pPr>
          </w:p>
        </w:tc>
        <w:tc>
          <w:tcPr>
            <w:tcW w:w="1050" w:type="dxa"/>
            <w:vAlign w:val="center"/>
          </w:tcPr>
          <w:p w14:paraId="465A7D41"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p>
        </w:tc>
        <w:tc>
          <w:tcPr>
            <w:tcW w:w="1417" w:type="dxa"/>
            <w:noWrap/>
            <w:tcMar>
              <w:top w:w="0" w:type="dxa"/>
              <w:left w:w="108" w:type="dxa"/>
              <w:bottom w:w="0" w:type="dxa"/>
              <w:right w:w="108" w:type="dxa"/>
            </w:tcMar>
            <w:vAlign w:val="center"/>
            <w:hideMark/>
          </w:tcPr>
          <w:p w14:paraId="18840314"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p>
          <w:p w14:paraId="1B76CF4A"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2 593</w:t>
            </w:r>
          </w:p>
        </w:tc>
        <w:tc>
          <w:tcPr>
            <w:tcW w:w="1560" w:type="dxa"/>
            <w:noWrap/>
            <w:tcMar>
              <w:top w:w="0" w:type="dxa"/>
              <w:left w:w="108" w:type="dxa"/>
              <w:bottom w:w="0" w:type="dxa"/>
              <w:right w:w="108" w:type="dxa"/>
            </w:tcMar>
            <w:vAlign w:val="center"/>
            <w:hideMark/>
          </w:tcPr>
          <w:p w14:paraId="37FB0620"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p>
          <w:p w14:paraId="3426D4F7"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35 681</w:t>
            </w:r>
          </w:p>
        </w:tc>
        <w:tc>
          <w:tcPr>
            <w:tcW w:w="1417" w:type="dxa"/>
            <w:noWrap/>
            <w:tcMar>
              <w:top w:w="0" w:type="dxa"/>
              <w:left w:w="108" w:type="dxa"/>
              <w:bottom w:w="0" w:type="dxa"/>
              <w:right w:w="108" w:type="dxa"/>
            </w:tcMar>
            <w:vAlign w:val="center"/>
            <w:hideMark/>
          </w:tcPr>
          <w:p w14:paraId="50C4CB51"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p>
          <w:p w14:paraId="28B8B61F"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83 476</w:t>
            </w:r>
          </w:p>
        </w:tc>
        <w:tc>
          <w:tcPr>
            <w:tcW w:w="992" w:type="dxa"/>
            <w:noWrap/>
            <w:tcMar>
              <w:top w:w="0" w:type="dxa"/>
              <w:left w:w="108" w:type="dxa"/>
              <w:bottom w:w="0" w:type="dxa"/>
              <w:right w:w="108" w:type="dxa"/>
            </w:tcMar>
            <w:vAlign w:val="center"/>
            <w:hideMark/>
          </w:tcPr>
          <w:p w14:paraId="512F98FB"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p>
          <w:p w14:paraId="2A0CA73B" w14:textId="77777777" w:rsidR="00FE3DEA" w:rsidRPr="0015154B" w:rsidRDefault="00FE3DEA" w:rsidP="00123959">
            <w:pPr>
              <w:spacing w:after="0" w:line="240" w:lineRule="auto"/>
              <w:jc w:val="right"/>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121 750</w:t>
            </w:r>
          </w:p>
        </w:tc>
        <w:tc>
          <w:tcPr>
            <w:tcW w:w="1276" w:type="dxa"/>
            <w:vAlign w:val="center"/>
          </w:tcPr>
          <w:p w14:paraId="4278584D" w14:textId="77777777" w:rsidR="00FE3DEA" w:rsidRPr="0015154B" w:rsidRDefault="00FE3DEA" w:rsidP="00123959">
            <w:pPr>
              <w:spacing w:after="0" w:line="240" w:lineRule="auto"/>
              <w:jc w:val="center"/>
              <w:rPr>
                <w:rFonts w:ascii="Times New Roman" w:eastAsia="Calibri" w:hAnsi="Times New Roman" w:cs="Times New Roman"/>
                <w:bCs/>
                <w:color w:val="000000"/>
                <w:sz w:val="24"/>
                <w:szCs w:val="24"/>
                <w:lang w:eastAsia="lv-LV"/>
              </w:rPr>
            </w:pPr>
            <w:r w:rsidRPr="0015154B">
              <w:rPr>
                <w:rFonts w:ascii="Times New Roman" w:eastAsia="Calibri" w:hAnsi="Times New Roman" w:cs="Times New Roman"/>
                <w:bCs/>
                <w:color w:val="000000"/>
                <w:sz w:val="24"/>
                <w:szCs w:val="24"/>
                <w:lang w:eastAsia="lv-LV"/>
              </w:rPr>
              <w:t>9% no visiem dalībniekiem</w:t>
            </w:r>
          </w:p>
        </w:tc>
      </w:tr>
    </w:tbl>
    <w:p w14:paraId="441AC1A1" w14:textId="77777777" w:rsidR="00FE3DEA" w:rsidRPr="0015154B" w:rsidRDefault="00FE3DEA" w:rsidP="00FE3DEA">
      <w:pPr>
        <w:spacing w:after="0" w:line="240" w:lineRule="auto"/>
        <w:rPr>
          <w:rFonts w:ascii="Times New Roman" w:eastAsia="Calibri" w:hAnsi="Times New Roman" w:cs="Times New Roman"/>
          <w:color w:val="000000"/>
          <w:sz w:val="24"/>
          <w:szCs w:val="24"/>
        </w:rPr>
      </w:pPr>
      <w:r w:rsidRPr="0015154B">
        <w:rPr>
          <w:rFonts w:ascii="Times New Roman" w:eastAsia="Calibri" w:hAnsi="Times New Roman" w:cs="Times New Roman"/>
          <w:color w:val="000000"/>
          <w:sz w:val="24"/>
          <w:szCs w:val="24"/>
        </w:rPr>
        <w:t>*Ja persona ir mainījusi savas izvēles, viņa norādīta pie visām izvēlēm.</w:t>
      </w:r>
    </w:p>
    <w:p w14:paraId="51831E38" w14:textId="3B3C5FFB" w:rsidR="00FE3DEA" w:rsidRPr="00043B4D" w:rsidRDefault="00974F0C" w:rsidP="00974F0C">
      <w:pPr>
        <w:widowControl w:val="0"/>
        <w:spacing w:after="0" w:line="240" w:lineRule="auto"/>
        <w:jc w:val="both"/>
        <w:rPr>
          <w:rFonts w:ascii="Times New Roman" w:hAnsi="Times New Roman" w:cs="Times New Roman"/>
          <w:color w:val="000000"/>
          <w:sz w:val="20"/>
          <w:szCs w:val="20"/>
        </w:rPr>
      </w:pPr>
      <w:r w:rsidRPr="00043B4D">
        <w:rPr>
          <w:rFonts w:ascii="Times New Roman" w:hAnsi="Times New Roman" w:cs="Times New Roman"/>
          <w:color w:val="000000"/>
          <w:sz w:val="20"/>
          <w:szCs w:val="20"/>
        </w:rPr>
        <w:t>Datu avots: VSAA</w:t>
      </w:r>
    </w:p>
    <w:p w14:paraId="0BCA1525" w14:textId="097F177D" w:rsidR="00662D1E" w:rsidRDefault="00662D1E" w:rsidP="007A3CF5">
      <w:pPr>
        <w:widowControl w:val="0"/>
        <w:spacing w:before="120"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Uz 2020.gada oktobri savu izvēli veica tikai 9% no visiem dalībniekiem.</w:t>
      </w:r>
    </w:p>
    <w:p w14:paraId="2E2B374A" w14:textId="26F7CEED" w:rsidR="00FE3DEA" w:rsidRPr="00662D1E" w:rsidRDefault="00FE3DEA" w:rsidP="007A3CF5">
      <w:pPr>
        <w:widowControl w:val="0"/>
        <w:spacing w:before="120" w:after="0" w:line="240" w:lineRule="auto"/>
        <w:ind w:firstLine="720"/>
        <w:jc w:val="both"/>
        <w:rPr>
          <w:rFonts w:ascii="Times New Roman" w:eastAsia="Times New Roman" w:hAnsi="Times New Roman" w:cs="Times New Roman"/>
          <w:sz w:val="24"/>
          <w:szCs w:val="24"/>
          <w:lang w:eastAsia="lv-LV"/>
        </w:rPr>
      </w:pPr>
      <w:r w:rsidRPr="00662D1E">
        <w:rPr>
          <w:rFonts w:ascii="Times New Roman" w:hAnsi="Times New Roman" w:cs="Times New Roman"/>
          <w:color w:val="000000"/>
          <w:sz w:val="24"/>
          <w:szCs w:val="24"/>
        </w:rPr>
        <w:t>COVID-19</w:t>
      </w:r>
      <w:r w:rsidRPr="00662D1E">
        <w:rPr>
          <w:rFonts w:ascii="Times New Roman" w:hAnsi="Times New Roman" w:cs="Times New Roman"/>
          <w:bCs/>
          <w:sz w:val="24"/>
          <w:szCs w:val="24"/>
        </w:rPr>
        <w:t xml:space="preserve"> ietekmē notika svārstības finanšu tirgos, radot negatīvus rezultātus arī valsts fondēto pensiju plānos. </w:t>
      </w:r>
      <w:r w:rsidRPr="009703E6">
        <w:rPr>
          <w:rFonts w:ascii="Times New Roman" w:eastAsia="Times New Roman" w:hAnsi="Times New Roman" w:cs="Times New Roman"/>
          <w:sz w:val="24"/>
          <w:szCs w:val="24"/>
          <w:lang w:eastAsia="lv-LV"/>
        </w:rPr>
        <w:t>Lai pasargātu personas, kuras vecuma pensijas piešķiršanai nepieciešamo vecumu sasniedz šajā laikā, veiktas izmaiņas Valsts fondēto pensiju likumā, kas paredz, ka personai, pieprasot vecuma pensiju (arī priekšlaicīgi), ir tiesības uz laiku līdz 2021.gada 30.novembrim, t</w:t>
      </w:r>
      <w:r w:rsidRPr="0015154B">
        <w:rPr>
          <w:rFonts w:ascii="Times New Roman" w:eastAsia="Times New Roman" w:hAnsi="Times New Roman" w:cs="Times New Roman"/>
          <w:iCs/>
          <w:color w:val="000000" w:themeColor="text1"/>
          <w:sz w:val="24"/>
          <w:szCs w:val="24"/>
          <w:lang w:eastAsia="lv-LV"/>
        </w:rPr>
        <w:t xml:space="preserve">.i., līdz laikam, kad </w:t>
      </w:r>
      <w:r w:rsidRPr="0015154B">
        <w:rPr>
          <w:rFonts w:ascii="Times New Roman" w:hAnsi="Times New Roman" w:cs="Times New Roman"/>
          <w:color w:val="000000"/>
          <w:sz w:val="24"/>
          <w:szCs w:val="24"/>
        </w:rPr>
        <w:t>finanšu tirgi būs atguvušies no COVID-19 radītās lejupslīdes,</w:t>
      </w:r>
      <w:r w:rsidRPr="0015154B">
        <w:rPr>
          <w:rFonts w:ascii="Times New Roman" w:eastAsia="Times New Roman" w:hAnsi="Times New Roman" w:cs="Times New Roman"/>
          <w:sz w:val="24"/>
          <w:szCs w:val="24"/>
          <w:lang w:eastAsia="lv-LV"/>
        </w:rPr>
        <w:t xml:space="preserve"> atlikt izvēli par </w:t>
      </w:r>
      <w:r w:rsidRPr="0015154B">
        <w:rPr>
          <w:rFonts w:ascii="Times New Roman" w:eastAsia="Times New Roman" w:hAnsi="Times New Roman" w:cs="Times New Roman"/>
          <w:iCs/>
          <w:color w:val="000000" w:themeColor="text1"/>
          <w:sz w:val="24"/>
          <w:szCs w:val="24"/>
          <w:lang w:eastAsia="lv-LV"/>
        </w:rPr>
        <w:t>fondētās pensijas kapitāla izmantošanu.</w:t>
      </w:r>
      <w:r w:rsidRPr="0015154B">
        <w:rPr>
          <w:rFonts w:ascii="Times New Roman" w:eastAsia="Times New Roman" w:hAnsi="Times New Roman" w:cs="Times New Roman"/>
          <w:sz w:val="24"/>
          <w:szCs w:val="24"/>
          <w:lang w:eastAsia="lv-LV"/>
        </w:rPr>
        <w:t xml:space="preserve"> Ja persona šajā termiņā nebūs izdarījusi izvēli, tad ar 2022.gada 1.janvāri personas fondētās pensiju shēmas dalībnieka kontu slēgs un vecuma pensiju pārrēķinās, nefondētajam pensijas kapitālam pievienojot fondētās pensijas kapitālu. Ja līdz izvēles izdarīšanai persona nomirs, tad personas fondētās pensijas kapitālu ieskaita valsts pensiju speciālajā budžetā</w:t>
      </w:r>
      <w:r w:rsidRPr="00662D1E">
        <w:rPr>
          <w:rFonts w:ascii="Times New Roman" w:eastAsia="Times New Roman" w:hAnsi="Times New Roman" w:cs="Times New Roman"/>
          <w:sz w:val="24"/>
          <w:szCs w:val="24"/>
          <w:lang w:eastAsia="lv-LV"/>
        </w:rPr>
        <w:t>.</w:t>
      </w:r>
    </w:p>
    <w:p w14:paraId="4AF4EFC5" w14:textId="77777777" w:rsidR="00FE3DEA" w:rsidRPr="0015154B" w:rsidRDefault="00FE3DEA" w:rsidP="007A3CF5">
      <w:pPr>
        <w:suppressAutoHyphens/>
        <w:autoSpaceDE w:val="0"/>
        <w:autoSpaceDN w:val="0"/>
        <w:spacing w:before="120" w:after="0" w:line="240" w:lineRule="auto"/>
        <w:ind w:firstLine="720"/>
        <w:jc w:val="both"/>
        <w:textAlignment w:val="baseline"/>
        <w:rPr>
          <w:rFonts w:ascii="Times New Roman" w:hAnsi="Times New Roman" w:cs="Times New Roman"/>
          <w:sz w:val="24"/>
          <w:szCs w:val="24"/>
        </w:rPr>
      </w:pPr>
      <w:r w:rsidRPr="009703E6">
        <w:rPr>
          <w:rFonts w:ascii="Times New Roman" w:hAnsi="Times New Roman" w:cs="Times New Roman"/>
          <w:sz w:val="24"/>
          <w:szCs w:val="24"/>
        </w:rPr>
        <w:t>Minimālie vecuma pensijas apmēri tiek nodrošināti neatkarīgi no tā, vai persona, kura ir valsts fondētās pensijas shēmas dalībnieks, izvēlas fondētās pensijas kapitālu pievienot nefondētajam pensijas kapitālam, lai aprēķinātu vecuma pensiju, vai par uzkrāto fondētās pensijas kapitālu iegādāties mūža pensijas polisi. Tajā gadījumā, kad persona izvēlas par uzkrāto fondētās pensi</w:t>
      </w:r>
      <w:r w:rsidRPr="0015154B">
        <w:rPr>
          <w:rFonts w:ascii="Times New Roman" w:hAnsi="Times New Roman" w:cs="Times New Roman"/>
          <w:sz w:val="24"/>
          <w:szCs w:val="24"/>
        </w:rPr>
        <w:t xml:space="preserve">jas kapitālu iegādāties mūža pensijas polisi, vecuma pensija tiek aprēķināta, ņemot vērā tikai nefondēto pensijas kapitālu. Ja aprēķinātā vecuma pensija ir mazāka par likumā noteikto minimālo apmēru, tad pensija tiek paaugstināta līdz minimālajam apmēram. Turklāt šāda persona vēl saņem </w:t>
      </w:r>
      <w:bookmarkStart w:id="35" w:name="_Hlk47345340"/>
      <w:r w:rsidRPr="0015154B">
        <w:rPr>
          <w:rFonts w:ascii="Times New Roman" w:hAnsi="Times New Roman" w:cs="Times New Roman"/>
          <w:sz w:val="24"/>
          <w:szCs w:val="24"/>
        </w:rPr>
        <w:t xml:space="preserve">mūža pensijas polisi </w:t>
      </w:r>
      <w:bookmarkEnd w:id="35"/>
      <w:r w:rsidRPr="0015154B">
        <w:rPr>
          <w:rFonts w:ascii="Times New Roman" w:hAnsi="Times New Roman" w:cs="Times New Roman"/>
          <w:sz w:val="24"/>
          <w:szCs w:val="24"/>
        </w:rPr>
        <w:t xml:space="preserve">no dzīvības apdrošināšanas sabiedrības. Tajā pašā laikā, ja persona izvēlas fondētās pensijas kapitālu pievienot nefondētajam pensijas kapitālam, tad abi šie pensijas kapitāli tiek ņemti vērā, lai aprēķinātu vecuma pensiju. Arī šajā gadījumā, ja aprēķinātā vecuma pensija ir mazāka par likumā noteikto minimālo apmēru, tad pensija tiek paaugstināta līdz minimālajam apmēram. Bet šajā gadījumā persona nesaņem vēl papildus ienākumus no dzīvības apdrošināšanas sabiedrības. Līdz ar to veidojas nevienlīdzīga situācija atkarībā no tā, kā persona izvēlas vai arī ir spiesta (ja fondētās </w:t>
      </w:r>
      <w:r w:rsidRPr="0015154B">
        <w:rPr>
          <w:rFonts w:ascii="Times New Roman" w:hAnsi="Times New Roman" w:cs="Times New Roman"/>
          <w:sz w:val="24"/>
          <w:szCs w:val="24"/>
        </w:rPr>
        <w:lastRenderedPageBreak/>
        <w:t xml:space="preserve">pensijas kapitāls ir neliels un nevar iegādāties mūža pensijas polisi) izmantot fondētās pensijas kapitālu. </w:t>
      </w:r>
      <w:bookmarkStart w:id="36" w:name="_Hlk47345137"/>
    </w:p>
    <w:p w14:paraId="319F22E5" w14:textId="77777777" w:rsidR="00FE3DEA" w:rsidRPr="0015154B" w:rsidRDefault="00FE3DEA" w:rsidP="007A3CF5">
      <w:pPr>
        <w:suppressAutoHyphens/>
        <w:autoSpaceDE w:val="0"/>
        <w:autoSpaceDN w:val="0"/>
        <w:spacing w:before="120" w:after="0" w:line="240" w:lineRule="auto"/>
        <w:ind w:firstLine="720"/>
        <w:jc w:val="both"/>
        <w:textAlignment w:val="baseline"/>
        <w:rPr>
          <w:rFonts w:ascii="Times New Roman" w:hAnsi="Times New Roman" w:cs="Times New Roman"/>
          <w:sz w:val="24"/>
          <w:szCs w:val="24"/>
        </w:rPr>
      </w:pPr>
      <w:r w:rsidRPr="0015154B">
        <w:rPr>
          <w:rFonts w:ascii="Times New Roman" w:hAnsi="Times New Roman" w:cs="Times New Roman"/>
          <w:sz w:val="24"/>
          <w:szCs w:val="24"/>
        </w:rPr>
        <w:t xml:space="preserve">Lai risināto iepriekšminēto problēmu, ir sagatavotas izmaiņas normatīvajā regulējumā, kas paredz šādos gadījumos ņemt vērā arī mūža pensijas mēneša apmēru, kas noteikts atbilstoši dzīvības apdrošināšanas (mūža pensijas) līgumam par valsts fondēto pensiju shēmā uzkrātā fondētās pensijas kapitāla izmantošanu. </w:t>
      </w:r>
      <w:bookmarkEnd w:id="36"/>
    </w:p>
    <w:p w14:paraId="410A8C39" w14:textId="3F3E1FFB" w:rsidR="00FE3DEA" w:rsidRPr="0015154B" w:rsidRDefault="00FE3DEA" w:rsidP="007A3CF5">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Kā viens no izaicinājumiem sekmīgā 2.pensiju līmeņa pārvaldībā jāmin iedzīvotāju nepietiekamā izpratne un zināšanas par finanšu pārvaldību. Personas pasīvi iesaistās vai minimāli zin</w:t>
      </w:r>
      <w:r w:rsidR="00022B44">
        <w:rPr>
          <w:rFonts w:ascii="Times New Roman" w:eastAsia="Times New Roman" w:hAnsi="Times New Roman" w:cs="Times New Roman"/>
          <w:sz w:val="24"/>
          <w:szCs w:val="24"/>
          <w:lang w:eastAsia="lv-LV"/>
        </w:rPr>
        <w:t>a</w:t>
      </w:r>
      <w:r w:rsidRPr="0015154B">
        <w:rPr>
          <w:rFonts w:ascii="Times New Roman" w:eastAsia="Times New Roman" w:hAnsi="Times New Roman" w:cs="Times New Roman"/>
          <w:sz w:val="24"/>
          <w:szCs w:val="24"/>
          <w:lang w:eastAsia="lv-LV"/>
        </w:rPr>
        <w:t xml:space="preserve"> par pensiju 2.līmeņa pensiju kapitālu un iespēju līdzdarboties, lai šis kapitāls nestu peļņu, jo katram fondētās pensiju shēmas dalībniekam ir tiesības vienu reizi gadā mainīt līdzekļu pārvaldītāju, bet divas reizes gadā mainīt ieguldījumu plānu viena pārvaldītāja robežās. Tāpat jāizskata iespējas</w:t>
      </w:r>
      <w:r w:rsidR="00022B44">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sz w:val="24"/>
          <w:szCs w:val="24"/>
          <w:lang w:eastAsia="lv-LV"/>
        </w:rPr>
        <w:t>pilnveidot pensiju sistēmas 2.līmeņa darbību un 2.līmenī uzkrātā pensijas kapitāla izmantošanu.</w:t>
      </w:r>
    </w:p>
    <w:p w14:paraId="4CB2492A" w14:textId="028D054E" w:rsidR="00FE3DEA" w:rsidRPr="0015154B" w:rsidRDefault="00FE3DEA" w:rsidP="00FE3DEA">
      <w:pPr>
        <w:suppressAutoHyphens/>
        <w:autoSpaceDE w:val="0"/>
        <w:autoSpaceDN w:val="0"/>
        <w:spacing w:after="0" w:line="240" w:lineRule="auto"/>
        <w:ind w:firstLine="720"/>
        <w:jc w:val="both"/>
        <w:textAlignment w:val="baseline"/>
        <w:rPr>
          <w:rFonts w:ascii="Times New Roman" w:hAnsi="Times New Roman" w:cs="Times New Roman"/>
          <w:sz w:val="24"/>
          <w:szCs w:val="24"/>
        </w:rPr>
      </w:pPr>
    </w:p>
    <w:p w14:paraId="2A6D7F1A" w14:textId="565638A0" w:rsidR="00464B55" w:rsidRPr="0015154B" w:rsidRDefault="00464B55" w:rsidP="00DA5144">
      <w:pPr>
        <w:pStyle w:val="Heading2"/>
      </w:pPr>
      <w:bookmarkStart w:id="37" w:name="_Toc55316076"/>
      <w:r w:rsidRPr="0015154B">
        <w:t>Pensionēšanās nosacījumu pārskatīšana</w:t>
      </w:r>
      <w:bookmarkEnd w:id="37"/>
    </w:p>
    <w:p w14:paraId="545C9C58" w14:textId="0A71D69B" w:rsidR="004335DE" w:rsidRPr="0015154B" w:rsidRDefault="004335DE"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Demogrāfiskās tendences, radot izaicinājumu pensiju sistēmas </w:t>
      </w:r>
      <w:r w:rsidR="004A6572" w:rsidRPr="0015154B">
        <w:rPr>
          <w:rFonts w:ascii="Times New Roman" w:hAnsi="Times New Roman" w:cs="Times New Roman"/>
          <w:sz w:val="24"/>
          <w:szCs w:val="24"/>
        </w:rPr>
        <w:t>finansiālai</w:t>
      </w:r>
      <w:r w:rsidRPr="0015154B">
        <w:rPr>
          <w:rFonts w:ascii="Times New Roman" w:hAnsi="Times New Roman" w:cs="Times New Roman"/>
          <w:sz w:val="24"/>
          <w:szCs w:val="24"/>
        </w:rPr>
        <w:t xml:space="preserve"> ilgtspējai un pensiju sistēmas adekvātumam, ir pamats vispārējā </w:t>
      </w:r>
      <w:r w:rsidRPr="0015154B">
        <w:rPr>
          <w:rFonts w:ascii="Times New Roman" w:hAnsi="Times New Roman" w:cs="Times New Roman"/>
          <w:b/>
          <w:sz w:val="24"/>
          <w:szCs w:val="24"/>
        </w:rPr>
        <w:t>pensionēšanās vecuma</w:t>
      </w:r>
      <w:r w:rsidRPr="0015154B">
        <w:rPr>
          <w:rFonts w:ascii="Times New Roman" w:hAnsi="Times New Roman" w:cs="Times New Roman"/>
          <w:sz w:val="24"/>
          <w:szCs w:val="24"/>
        </w:rPr>
        <w:t xml:space="preserve"> paaugstināšanai kā Latvijā, tā citās ES dalībvalstīs. Gandrīz visas Eiropas valstis šobrīd palielina pensionēšanās vecumu. Vairākumā valstu tas ir 65 gadi, taču daudzviet jau tuvākajos gados šo vecumu paredzēts paaugstināt (piemēram, Francijā, Grieķijā, Islandē, Itālijā, Melnkalnē, Nīderlandē, Spānijā, Vācijā, Zviedrijā – līdz 67 gadiem, Apvienotajā Karalistē – līdz 68 gadiem 2039. gadā, Īrijā – līdz 68 gadiem 2028.gadā, Somijā – pat līdz 70 gadiem personām, kas dzimušas pēc 1962.gada). </w:t>
      </w:r>
    </w:p>
    <w:p w14:paraId="00237CAC" w14:textId="0D0E0390" w:rsidR="00C54B81" w:rsidRPr="0015154B" w:rsidRDefault="004335DE"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Latvijā pensionēšanās vecuma paaugstināšana ir notikusi pakāpeniski, vairākos posmos. No 1996.gada sievietēm tika noteikta pakāpeniska pensionēšanās vecuma paaugstināšana no 55 līdz 62 gadu vecumam, savukārt no 2000.gada vīriešiem no 60 līdz 62 gadiem. 2012.gada 14.jūnijā Saeima pieņēma grozījumus likumā „Par valsts pensijām”, kas nosaka vecuma pensijas piešķiršanai nepieciešamā vecuma paaugstināšanu no 62 līdz 65 gadiem, katru gadu vecumu paaugstinot par 3 mēnešiem, sākot ar 2014.gadu. Latvijā šobrīd pensionēšanās vecums joprojām pieaug, sasniedzot 65 gadu vecumu 2025.gadā.</w:t>
      </w:r>
    </w:p>
    <w:p w14:paraId="6DAB744A" w14:textId="00C8717C" w:rsidR="004335DE" w:rsidRPr="0015154B" w:rsidRDefault="004335DE"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Lai nodrošinātu, ka pensiju sistēma ilgtermiņā spēj sniegt adekvātu atbalstu un nodrošināt stabilu ienākumu atvietojumu pensijas vecuma iedzīvotājiem, būs nepieciešama pensionēšanās vecuma un iemaksu stāža pārskatīšana pēc 2025.gada.</w:t>
      </w:r>
    </w:p>
    <w:p w14:paraId="01941EC8" w14:textId="77777777" w:rsidR="00464B55" w:rsidRPr="0015154B" w:rsidRDefault="00464B55" w:rsidP="00200837">
      <w:pPr>
        <w:autoSpaceDE w:val="0"/>
        <w:autoSpaceDN w:val="0"/>
        <w:adjustRightInd w:val="0"/>
        <w:spacing w:after="0" w:line="240" w:lineRule="auto"/>
        <w:rPr>
          <w:rFonts w:ascii="Times New Roman" w:hAnsi="Times New Roman" w:cs="Times New Roman"/>
          <w:sz w:val="24"/>
          <w:szCs w:val="24"/>
        </w:rPr>
      </w:pPr>
    </w:p>
    <w:p w14:paraId="05A93798" w14:textId="273F1C4B" w:rsidR="00200837" w:rsidRPr="0015154B" w:rsidRDefault="00200837" w:rsidP="00DA5144">
      <w:pPr>
        <w:pStyle w:val="Heading2"/>
      </w:pPr>
      <w:bookmarkStart w:id="38" w:name="_Toc55316077"/>
      <w:r w:rsidRPr="0015154B">
        <w:t>Izdienas pensijas</w:t>
      </w:r>
      <w:bookmarkEnd w:id="38"/>
    </w:p>
    <w:p w14:paraId="47C662E3" w14:textId="215A065D" w:rsidR="00200837" w:rsidRPr="0015154B" w:rsidRDefault="00200837" w:rsidP="00200837">
      <w:pPr>
        <w:pStyle w:val="NormalWeb"/>
        <w:spacing w:before="0" w:beforeAutospacing="0" w:after="0" w:afterAutospacing="0"/>
        <w:ind w:firstLine="720"/>
        <w:jc w:val="both"/>
        <w:textAlignment w:val="baseline"/>
        <w:rPr>
          <w:rFonts w:ascii="Times New Roman" w:hAnsi="Times New Roman"/>
          <w:sz w:val="24"/>
          <w:szCs w:val="24"/>
        </w:rPr>
      </w:pPr>
      <w:r w:rsidRPr="0015154B">
        <w:rPr>
          <w:rFonts w:ascii="Times New Roman" w:hAnsi="Times New Roman"/>
          <w:sz w:val="24"/>
          <w:szCs w:val="24"/>
        </w:rPr>
        <w:t>Pensiju sistēmas vidēja un ilgtermiņa stabilitātes, kā arī valstī īstenotās pensiju politikas vienotības un vienlīdzības aspektā kritiski vērtējama ir esošā pieeja izdienas pensiju shēmu veidošanā. Līdztekus vispārējiem valsts sociālās apdrošināšanas sistēmas pamatprincipiem, valsts pensiju politikai Latvijā ir izveidota</w:t>
      </w:r>
      <w:r w:rsidR="00E43592" w:rsidRPr="0015154B">
        <w:rPr>
          <w:rFonts w:ascii="Times New Roman" w:hAnsi="Times New Roman"/>
          <w:sz w:val="24"/>
          <w:szCs w:val="24"/>
        </w:rPr>
        <w:t>s</w:t>
      </w:r>
      <w:r w:rsidRPr="0015154B">
        <w:rPr>
          <w:rFonts w:ascii="Times New Roman" w:hAnsi="Times New Roman"/>
          <w:sz w:val="24"/>
          <w:szCs w:val="24"/>
        </w:rPr>
        <w:t xml:space="preserve"> izdienas pensiju </w:t>
      </w:r>
      <w:r w:rsidR="00E43592" w:rsidRPr="0015154B">
        <w:rPr>
          <w:rFonts w:ascii="Times New Roman" w:hAnsi="Times New Roman"/>
          <w:sz w:val="24"/>
          <w:szCs w:val="24"/>
        </w:rPr>
        <w:t>shēmas</w:t>
      </w:r>
      <w:r w:rsidRPr="0015154B">
        <w:rPr>
          <w:rFonts w:ascii="Times New Roman" w:hAnsi="Times New Roman"/>
          <w:sz w:val="24"/>
          <w:szCs w:val="24"/>
        </w:rPr>
        <w:t xml:space="preserve">. </w:t>
      </w:r>
    </w:p>
    <w:p w14:paraId="20CC7FCD" w14:textId="77777777" w:rsidR="00200837" w:rsidRPr="0015154B" w:rsidRDefault="00200837" w:rsidP="00200837">
      <w:pPr>
        <w:pStyle w:val="NormalWeb"/>
        <w:spacing w:before="0" w:beforeAutospacing="0" w:after="0" w:afterAutospacing="0"/>
        <w:ind w:firstLine="720"/>
        <w:jc w:val="both"/>
        <w:textAlignment w:val="baseline"/>
        <w:rPr>
          <w:rFonts w:ascii="Times New Roman" w:hAnsi="Times New Roman"/>
          <w:sz w:val="24"/>
          <w:szCs w:val="24"/>
        </w:rPr>
      </w:pPr>
      <w:r w:rsidRPr="0015154B">
        <w:rPr>
          <w:rFonts w:ascii="Times New Roman" w:hAnsi="Times New Roman"/>
          <w:sz w:val="24"/>
          <w:szCs w:val="24"/>
        </w:rPr>
        <w:t xml:space="preserve">Latvijā </w:t>
      </w:r>
      <w:r w:rsidRPr="0015154B">
        <w:rPr>
          <w:rFonts w:ascii="Times New Roman" w:hAnsi="Times New Roman"/>
          <w:b/>
          <w:sz w:val="24"/>
          <w:szCs w:val="24"/>
        </w:rPr>
        <w:t>t</w:t>
      </w:r>
      <w:r w:rsidRPr="0015154B">
        <w:rPr>
          <w:rFonts w:ascii="Times New Roman" w:hAnsi="Times New Roman"/>
          <w:b/>
          <w:bCs/>
          <w:sz w:val="24"/>
          <w:szCs w:val="24"/>
        </w:rPr>
        <w:t>iesības saņemt</w:t>
      </w:r>
      <w:r w:rsidRPr="0015154B">
        <w:rPr>
          <w:rStyle w:val="Strong"/>
          <w:rFonts w:ascii="Times New Roman" w:eastAsia="SimSun" w:hAnsi="Times New Roman"/>
          <w:b w:val="0"/>
          <w:sz w:val="24"/>
          <w:szCs w:val="24"/>
        </w:rPr>
        <w:t xml:space="preserve"> izdienas pensiju</w:t>
      </w:r>
      <w:r w:rsidRPr="0015154B">
        <w:rPr>
          <w:rFonts w:ascii="Times New Roman" w:hAnsi="Times New Roman"/>
          <w:sz w:val="24"/>
          <w:szCs w:val="24"/>
        </w:rPr>
        <w:t> ir šādos amatos un profesijās strādājušajiem:</w:t>
      </w:r>
    </w:p>
    <w:p w14:paraId="604F8D13" w14:textId="77777777" w:rsidR="00200837" w:rsidRPr="007157D3" w:rsidRDefault="00200837" w:rsidP="00200837">
      <w:pPr>
        <w:pStyle w:val="NormalWeb"/>
        <w:numPr>
          <w:ilvl w:val="0"/>
          <w:numId w:val="4"/>
        </w:numPr>
        <w:spacing w:before="0" w:beforeAutospacing="0" w:after="0" w:afterAutospacing="0"/>
        <w:jc w:val="both"/>
        <w:textAlignment w:val="baseline"/>
        <w:rPr>
          <w:rFonts w:ascii="Times New Roman" w:hAnsi="Times New Roman"/>
          <w:sz w:val="24"/>
          <w:szCs w:val="24"/>
        </w:rPr>
      </w:pPr>
      <w:r w:rsidRPr="0015154B">
        <w:rPr>
          <w:rStyle w:val="Strong"/>
          <w:rFonts w:ascii="Times New Roman" w:eastAsia="SimSun" w:hAnsi="Times New Roman"/>
          <w:b w:val="0"/>
          <w:sz w:val="24"/>
          <w:szCs w:val="24"/>
        </w:rPr>
        <w:t xml:space="preserve">Saskaņā ar nolikumu “Par </w:t>
      </w:r>
      <w:r w:rsidRPr="0015154B">
        <w:rPr>
          <w:rFonts w:ascii="Times New Roman" w:hAnsi="Times New Roman"/>
          <w:bCs/>
          <w:sz w:val="24"/>
          <w:szCs w:val="24"/>
        </w:rPr>
        <w:t xml:space="preserve">izdienas pensijām” un </w:t>
      </w:r>
      <w:r w:rsidRPr="0015154B">
        <w:rPr>
          <w:rFonts w:ascii="Times New Roman" w:hAnsi="Times New Roman"/>
          <w:sz w:val="24"/>
          <w:szCs w:val="24"/>
        </w:rPr>
        <w:t>nolikumu „Par iekšlietu iestāžu ierindas un komandējošā sastāva darbinieku pensijām (darba devēju pensijām)”</w:t>
      </w:r>
      <w:r w:rsidRPr="0015154B">
        <w:rPr>
          <w:rFonts w:ascii="Times New Roman" w:hAnsi="Times New Roman"/>
          <w:bCs/>
          <w:sz w:val="24"/>
          <w:szCs w:val="24"/>
        </w:rPr>
        <w:t xml:space="preserve"> (1992) finan</w:t>
      </w:r>
      <w:r w:rsidRPr="0015154B">
        <w:rPr>
          <w:rStyle w:val="Strong"/>
          <w:rFonts w:ascii="Times New Roman" w:eastAsia="SimSun" w:hAnsi="Times New Roman"/>
          <w:b w:val="0"/>
          <w:sz w:val="24"/>
          <w:szCs w:val="24"/>
        </w:rPr>
        <w:t>sējot no valsts sociālās apdrošināšanas speciālā budžeta</w:t>
      </w:r>
      <w:r w:rsidRPr="007157D3">
        <w:rPr>
          <w:rStyle w:val="FootnoteReference"/>
          <w:rFonts w:ascii="Times New Roman" w:hAnsi="Times New Roman"/>
          <w:bCs/>
          <w:sz w:val="24"/>
          <w:szCs w:val="24"/>
        </w:rPr>
        <w:footnoteReference w:id="96"/>
      </w:r>
      <w:r w:rsidRPr="007157D3">
        <w:rPr>
          <w:rStyle w:val="Strong"/>
          <w:rFonts w:ascii="Times New Roman" w:eastAsia="SimSun" w:hAnsi="Times New Roman"/>
          <w:b w:val="0"/>
          <w:sz w:val="24"/>
          <w:szCs w:val="24"/>
        </w:rPr>
        <w:t>:</w:t>
      </w:r>
    </w:p>
    <w:p w14:paraId="66E3F52E" w14:textId="77777777" w:rsidR="00200837" w:rsidRPr="007157D3" w:rsidRDefault="00200837" w:rsidP="00200837">
      <w:pPr>
        <w:numPr>
          <w:ilvl w:val="0"/>
          <w:numId w:val="2"/>
        </w:numPr>
        <w:spacing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lastRenderedPageBreak/>
        <w:t>transporta darbiniekiem (aviācijas, dzelzceļa, sabiedriskā transporta, jūras un upju transporta);</w:t>
      </w:r>
    </w:p>
    <w:p w14:paraId="5241D966" w14:textId="1B678463" w:rsidR="00200837" w:rsidRPr="008C6388" w:rsidRDefault="00200837" w:rsidP="00200837">
      <w:pPr>
        <w:numPr>
          <w:ilvl w:val="0"/>
          <w:numId w:val="2"/>
        </w:numPr>
        <w:spacing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t>radošajiem darbiniekiem (cirka</w:t>
      </w:r>
      <w:r w:rsidRPr="002F5278">
        <w:rPr>
          <w:rFonts w:ascii="Times New Roman" w:hAnsi="Times New Roman" w:cs="Times New Roman"/>
          <w:sz w:val="24"/>
          <w:szCs w:val="24"/>
        </w:rPr>
        <w:t>, operas, baleta u.c. māksliniekiem)</w:t>
      </w:r>
      <w:r w:rsidR="00C66EA0" w:rsidRPr="008C6388">
        <w:rPr>
          <w:rFonts w:ascii="Times New Roman" w:hAnsi="Times New Roman" w:cs="Times New Roman"/>
          <w:sz w:val="24"/>
          <w:szCs w:val="24"/>
        </w:rPr>
        <w:t>;</w:t>
      </w:r>
    </w:p>
    <w:p w14:paraId="6D4E9A5C" w14:textId="73E9E526" w:rsidR="00C66EA0" w:rsidRPr="00573B49" w:rsidRDefault="00C66EA0" w:rsidP="00200837">
      <w:pPr>
        <w:numPr>
          <w:ilvl w:val="0"/>
          <w:numId w:val="2"/>
        </w:numPr>
        <w:spacing w:after="0" w:line="240" w:lineRule="auto"/>
        <w:jc w:val="both"/>
        <w:rPr>
          <w:rFonts w:ascii="Times New Roman" w:hAnsi="Times New Roman" w:cs="Times New Roman"/>
          <w:sz w:val="24"/>
          <w:szCs w:val="24"/>
        </w:rPr>
      </w:pPr>
      <w:r w:rsidRPr="00573B49">
        <w:rPr>
          <w:rFonts w:ascii="Times New Roman" w:hAnsi="Times New Roman"/>
          <w:sz w:val="24"/>
          <w:szCs w:val="24"/>
        </w:rPr>
        <w:t>iekšlietu iestāžu ierindas un komandējošā sastāva darbiniekiem (piešķirtas līdz 1998.gadam);</w:t>
      </w:r>
    </w:p>
    <w:p w14:paraId="433E0947" w14:textId="77777777" w:rsidR="00200837" w:rsidRPr="00573B49" w:rsidRDefault="00200837" w:rsidP="00200837">
      <w:pPr>
        <w:pStyle w:val="ListParagraph"/>
        <w:numPr>
          <w:ilvl w:val="0"/>
          <w:numId w:val="4"/>
        </w:numPr>
        <w:spacing w:after="0" w:line="240" w:lineRule="auto"/>
        <w:jc w:val="both"/>
        <w:rPr>
          <w:rFonts w:ascii="Times New Roman" w:hAnsi="Times New Roman" w:cs="Times New Roman"/>
          <w:sz w:val="24"/>
          <w:szCs w:val="24"/>
        </w:rPr>
      </w:pPr>
      <w:r w:rsidRPr="00573B49">
        <w:rPr>
          <w:rStyle w:val="Strong"/>
          <w:rFonts w:ascii="Times New Roman" w:hAnsi="Times New Roman" w:cs="Times New Roman"/>
          <w:b w:val="0"/>
          <w:sz w:val="24"/>
          <w:szCs w:val="24"/>
        </w:rPr>
        <w:t>Saskaņā ar izdienas pensijas likumiem finansējot no valsts pamatbudžeta:</w:t>
      </w:r>
    </w:p>
    <w:p w14:paraId="3DF6BFDC" w14:textId="77777777" w:rsidR="00200837" w:rsidRPr="0025422D" w:rsidRDefault="00200837" w:rsidP="00200837">
      <w:pPr>
        <w:numPr>
          <w:ilvl w:val="0"/>
          <w:numId w:val="3"/>
        </w:numPr>
        <w:spacing w:after="0" w:line="240" w:lineRule="auto"/>
        <w:jc w:val="both"/>
        <w:rPr>
          <w:rFonts w:ascii="Times New Roman" w:hAnsi="Times New Roman" w:cs="Times New Roman"/>
          <w:sz w:val="24"/>
          <w:szCs w:val="24"/>
        </w:rPr>
      </w:pPr>
      <w:r w:rsidRPr="0025422D">
        <w:rPr>
          <w:rFonts w:ascii="Times New Roman" w:hAnsi="Times New Roman" w:cs="Times New Roman"/>
          <w:sz w:val="24"/>
          <w:szCs w:val="24"/>
        </w:rPr>
        <w:t>Iekšlietu ministrijas sistēmas darbiniekiem ar speciālajām dienesta pakāpēm un militārpersonām (no 1998.);</w:t>
      </w:r>
    </w:p>
    <w:p w14:paraId="3E2B374F" w14:textId="77777777" w:rsidR="00200837" w:rsidRPr="00A857F2" w:rsidRDefault="00200837" w:rsidP="00200837">
      <w:pPr>
        <w:numPr>
          <w:ilvl w:val="0"/>
          <w:numId w:val="3"/>
        </w:numPr>
        <w:spacing w:after="0" w:line="240" w:lineRule="auto"/>
        <w:jc w:val="both"/>
        <w:rPr>
          <w:rFonts w:ascii="Times New Roman" w:hAnsi="Times New Roman" w:cs="Times New Roman"/>
          <w:sz w:val="24"/>
          <w:szCs w:val="24"/>
        </w:rPr>
      </w:pPr>
      <w:r w:rsidRPr="00A857F2">
        <w:rPr>
          <w:rFonts w:ascii="Times New Roman" w:hAnsi="Times New Roman" w:cs="Times New Roman"/>
          <w:sz w:val="24"/>
          <w:szCs w:val="24"/>
        </w:rPr>
        <w:t>prokuroriem (no 2000.);</w:t>
      </w:r>
    </w:p>
    <w:p w14:paraId="1AF5AA1E" w14:textId="77777777" w:rsidR="00200837" w:rsidRPr="00662D1E" w:rsidRDefault="00200837" w:rsidP="00200837">
      <w:pPr>
        <w:numPr>
          <w:ilvl w:val="0"/>
          <w:numId w:val="3"/>
        </w:numPr>
        <w:spacing w:after="0" w:line="240" w:lineRule="auto"/>
        <w:jc w:val="both"/>
        <w:rPr>
          <w:rFonts w:ascii="Times New Roman" w:hAnsi="Times New Roman" w:cs="Times New Roman"/>
          <w:sz w:val="24"/>
          <w:szCs w:val="24"/>
        </w:rPr>
      </w:pPr>
      <w:r w:rsidRPr="00662D1E">
        <w:rPr>
          <w:rFonts w:ascii="Times New Roman" w:hAnsi="Times New Roman" w:cs="Times New Roman"/>
          <w:sz w:val="24"/>
          <w:szCs w:val="24"/>
        </w:rPr>
        <w:t>valsts drošības iestāžu amatpersonām (no 2004.- Satversmes aizsardzības biroja amatpersonā, no 2015.- valsts drošības iestāžu amatpersonām);</w:t>
      </w:r>
    </w:p>
    <w:p w14:paraId="5D8C0143" w14:textId="77777777" w:rsidR="00200837" w:rsidRPr="009703E6" w:rsidRDefault="00200837" w:rsidP="00200837">
      <w:pPr>
        <w:numPr>
          <w:ilvl w:val="0"/>
          <w:numId w:val="3"/>
        </w:numPr>
        <w:spacing w:after="0" w:line="240" w:lineRule="auto"/>
        <w:jc w:val="both"/>
        <w:rPr>
          <w:rFonts w:ascii="Times New Roman" w:hAnsi="Times New Roman" w:cs="Times New Roman"/>
          <w:sz w:val="24"/>
          <w:szCs w:val="24"/>
        </w:rPr>
      </w:pPr>
      <w:r w:rsidRPr="009703E6">
        <w:rPr>
          <w:rFonts w:ascii="Times New Roman" w:hAnsi="Times New Roman" w:cs="Times New Roman"/>
          <w:sz w:val="24"/>
          <w:szCs w:val="24"/>
        </w:rPr>
        <w:t>valsts un pašvaldību profesionālo orķestru, koru, koncertorganizāciju, teātru un cirka māksliniekiem (no 2005.);</w:t>
      </w:r>
    </w:p>
    <w:p w14:paraId="5F19424D" w14:textId="77777777" w:rsidR="00200837" w:rsidRPr="0015154B" w:rsidRDefault="00200837" w:rsidP="00200837">
      <w:pPr>
        <w:numPr>
          <w:ilvl w:val="0"/>
          <w:numId w:val="3"/>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tiesnešiem (no 2006.);</w:t>
      </w:r>
    </w:p>
    <w:p w14:paraId="67117171" w14:textId="77777777" w:rsidR="00200837" w:rsidRPr="0015154B" w:rsidRDefault="00200837" w:rsidP="00200837">
      <w:pPr>
        <w:numPr>
          <w:ilvl w:val="0"/>
          <w:numId w:val="3"/>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diplomātiem (no 2007.);</w:t>
      </w:r>
    </w:p>
    <w:p w14:paraId="2339E45A" w14:textId="77777777" w:rsidR="00200837" w:rsidRPr="0015154B" w:rsidRDefault="00200837" w:rsidP="00200837">
      <w:pPr>
        <w:numPr>
          <w:ilvl w:val="0"/>
          <w:numId w:val="3"/>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Korupcijas novēršanas un apkarošanas biroja amatpersonām (no 2009.);</w:t>
      </w:r>
    </w:p>
    <w:p w14:paraId="7EFA2489" w14:textId="77777777" w:rsidR="00200837" w:rsidRPr="0015154B" w:rsidRDefault="00200837" w:rsidP="00200837">
      <w:pPr>
        <w:numPr>
          <w:ilvl w:val="0"/>
          <w:numId w:val="3"/>
        </w:numPr>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Neatliekamās medicīniskās palīdzības dienesta neatliekamās medicīniskās palīdzības nodrošināšanā iesaistītajiem darbiniekiem (no 2016).</w:t>
      </w:r>
    </w:p>
    <w:p w14:paraId="5D58A5C9" w14:textId="77777777" w:rsidR="00200837" w:rsidRPr="0015154B" w:rsidRDefault="00200837" w:rsidP="00200837">
      <w:pPr>
        <w:autoSpaceDE w:val="0"/>
        <w:autoSpaceDN w:val="0"/>
        <w:adjustRightInd w:val="0"/>
        <w:spacing w:after="0" w:line="240" w:lineRule="auto"/>
        <w:jc w:val="both"/>
        <w:rPr>
          <w:rFonts w:ascii="Times New Roman" w:hAnsi="Times New Roman" w:cs="Times New Roman"/>
          <w:sz w:val="24"/>
          <w:szCs w:val="24"/>
        </w:rPr>
      </w:pPr>
    </w:p>
    <w:p w14:paraId="2CDD0057" w14:textId="09508C3F" w:rsidR="00200837" w:rsidRPr="0015154B" w:rsidRDefault="00200837" w:rsidP="007A3CF5">
      <w:pPr>
        <w:autoSpaceDE w:val="0"/>
        <w:autoSpaceDN w:val="0"/>
        <w:adjustRightInd w:val="0"/>
        <w:spacing w:before="120" w:after="0" w:line="240" w:lineRule="auto"/>
        <w:ind w:firstLine="720"/>
        <w:jc w:val="both"/>
        <w:rPr>
          <w:rFonts w:ascii="Times New Roman" w:hAnsi="Times New Roman" w:cs="Times New Roman"/>
        </w:rPr>
      </w:pPr>
      <w:r w:rsidRPr="0015154B">
        <w:rPr>
          <w:rFonts w:ascii="Times New Roman" w:hAnsi="Times New Roman" w:cs="Times New Roman"/>
          <w:sz w:val="24"/>
          <w:szCs w:val="24"/>
        </w:rPr>
        <w:t>Ņemot vērā, ka izdienas pensijas saskaņā ar nolikumu „Par izdienas pensijām” tiek piešķirtas tikai par apdrošināšanas stāžu, kas uzkrāts līdz 1999.gada 1.janvārim, bet saskaņā ar nolikumu „Par iekšlietu iestāžu ierindas un komandējošā sastāva darbinieku pensijām (darba devēju pensijām)” izdienas pensijas saņem tie pensionāri, kuri atvaļināti no dienesta pirms 1998.gada 1.janvāra, izdienas pensiju saņēmēju skaits ar katru gadu samazinās. Lielākā no valsts sociālās apdrošināšanas budžeta finansēto izdienas pensiju saņēmēju daļa bija iekšlietu iestāžu ierindas un komandējošā sastāva darbinieki, kuriem izdienas pensija piešķirta pirms 1998. gada, kā arī jūras, upju un zivju rūpniecības flotes darbinieki (</w:t>
      </w:r>
      <w:r w:rsidRPr="0015154B">
        <w:rPr>
          <w:rFonts w:ascii="Times New Roman" w:hAnsi="Times New Roman" w:cs="Times New Roman"/>
          <w:sz w:val="24"/>
          <w:szCs w:val="24"/>
          <w:highlight w:val="yellow"/>
        </w:rPr>
        <w:t>skat.</w:t>
      </w:r>
      <w:r w:rsidR="008E0873" w:rsidRPr="0015154B">
        <w:rPr>
          <w:rFonts w:ascii="Times New Roman" w:hAnsi="Times New Roman" w:cs="Times New Roman"/>
          <w:sz w:val="24"/>
          <w:szCs w:val="24"/>
          <w:highlight w:val="yellow"/>
        </w:rPr>
        <w:t xml:space="preserve"> 3.pielikuma </w:t>
      </w:r>
      <w:r w:rsidR="00D37D4B" w:rsidRPr="0015154B">
        <w:rPr>
          <w:rFonts w:ascii="Times New Roman" w:hAnsi="Times New Roman" w:cs="Times New Roman"/>
          <w:sz w:val="24"/>
          <w:szCs w:val="24"/>
          <w:highlight w:val="yellow"/>
        </w:rPr>
        <w:t>8. un 9</w:t>
      </w:r>
      <w:r w:rsidR="008E0873" w:rsidRPr="0015154B">
        <w:rPr>
          <w:rFonts w:ascii="Times New Roman" w:hAnsi="Times New Roman" w:cs="Times New Roman"/>
          <w:sz w:val="24"/>
          <w:szCs w:val="24"/>
          <w:highlight w:val="yellow"/>
        </w:rPr>
        <w:t>.</w:t>
      </w:r>
      <w:r w:rsidRPr="0015154B">
        <w:rPr>
          <w:rFonts w:ascii="Times New Roman" w:hAnsi="Times New Roman" w:cs="Times New Roman"/>
          <w:sz w:val="24"/>
          <w:szCs w:val="24"/>
          <w:highlight w:val="yellow"/>
        </w:rPr>
        <w:t>tabul</w:t>
      </w:r>
      <w:r w:rsidR="008E0873" w:rsidRPr="0015154B">
        <w:rPr>
          <w:rFonts w:ascii="Times New Roman" w:hAnsi="Times New Roman" w:cs="Times New Roman"/>
          <w:sz w:val="24"/>
          <w:szCs w:val="24"/>
          <w:highlight w:val="yellow"/>
        </w:rPr>
        <w:t>u</w:t>
      </w:r>
      <w:r w:rsidRPr="0015154B">
        <w:rPr>
          <w:rFonts w:ascii="Times New Roman" w:hAnsi="Times New Roman" w:cs="Times New Roman"/>
          <w:sz w:val="24"/>
          <w:szCs w:val="24"/>
        </w:rPr>
        <w:t>).</w:t>
      </w:r>
    </w:p>
    <w:p w14:paraId="0F724C57" w14:textId="0DF81525" w:rsidR="00200837" w:rsidRPr="0015154B"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bCs/>
          <w:sz w:val="24"/>
          <w:szCs w:val="24"/>
        </w:rPr>
        <w:t>No valsts sociālās apdrošināšanas speciālā budžeta izmaksājamās</w:t>
      </w:r>
      <w:r w:rsidRPr="0015154B">
        <w:rPr>
          <w:rFonts w:ascii="Times New Roman" w:hAnsi="Times New Roman" w:cs="Times New Roman"/>
          <w:sz w:val="24"/>
          <w:szCs w:val="24"/>
        </w:rPr>
        <w:t xml:space="preserve"> izdienas pensijas saskaņā ar nolikumu “Par izdienas pensijām” aprēķina analogi kā tiek aprēķinātas vecuma pensijas saskaņā ar likumu „Par valsts pensijām”. Tātad izdienas pensijas ir atkarīgas no veiktajām sociālās apdrošināšanas iemaksām, personas apdrošināšanas stāža un pensionēšanās vecuma. Atšķirībā no vecuma pensijas izdienas pensijām nav noteikts minimālais apmērs.</w:t>
      </w:r>
    </w:p>
    <w:p w14:paraId="0DEE34C9" w14:textId="6A5AF1C8" w:rsidR="00200837" w:rsidRPr="007157D3"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Tā kā izdienas pensiju politika netiek veidota pēc vienotiem kritērijiem, tā nav salāgota ar valsts sociālās apdrošināšanas principiem (nav saiknes ar veikto iemaksu apjomu un apdrošināšanas stāžu, netiek ņemti vērā demogrāfiskie faktori un prognozes, nav saiknes ar konkrētu sociālo risku), izdienas pensiju piešķiršanu nenosaka vienots normatīvais regulējums un vienots institucionālais ietvars</w:t>
      </w:r>
      <w:r w:rsidR="00D37D4B" w:rsidRPr="0015154B">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97"/>
      </w:r>
      <w:r w:rsidRPr="007157D3">
        <w:rPr>
          <w:rFonts w:ascii="Times New Roman" w:hAnsi="Times New Roman" w:cs="Times New Roman"/>
          <w:sz w:val="24"/>
          <w:szCs w:val="24"/>
        </w:rPr>
        <w:t xml:space="preserve"> Kā norādīts Valsts kontroles ziņojumā, valsts īstenotā izdienas pensiju politika, kas vairākās institūcijās un profesijās strādājošiem dod tiesības pensionēties pirms vispārējā pensionēšanās vecuma sasniegšanas un saņemt pensiju, kuras </w:t>
      </w:r>
      <w:r w:rsidRPr="007157D3">
        <w:rPr>
          <w:rFonts w:ascii="Times New Roman" w:hAnsi="Times New Roman" w:cs="Times New Roman"/>
          <w:sz w:val="24"/>
          <w:szCs w:val="24"/>
        </w:rPr>
        <w:lastRenderedPageBreak/>
        <w:t>apmērs nav atkarīgs no darba mūžā uzkrātā pensijas kapitāla un pat pārsniedz to, neatbilst valsts pensiju politikas būtībai</w:t>
      </w:r>
      <w:r w:rsidR="00D37D4B" w:rsidRPr="002F5278">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98"/>
      </w:r>
    </w:p>
    <w:p w14:paraId="066BC748" w14:textId="4E318F7C" w:rsidR="00200837" w:rsidRPr="007157D3" w:rsidRDefault="00200837" w:rsidP="007A3CF5">
      <w:pPr>
        <w:pStyle w:val="NormalWeb"/>
        <w:spacing w:before="120" w:beforeAutospacing="0" w:after="0" w:afterAutospacing="0"/>
        <w:ind w:firstLine="720"/>
        <w:jc w:val="both"/>
        <w:rPr>
          <w:rFonts w:ascii="Times New Roman" w:hAnsi="Times New Roman"/>
          <w:sz w:val="24"/>
          <w:szCs w:val="24"/>
        </w:rPr>
      </w:pPr>
      <w:r w:rsidRPr="007157D3">
        <w:rPr>
          <w:rFonts w:ascii="Times New Roman" w:hAnsi="Times New Roman"/>
          <w:sz w:val="24"/>
          <w:szCs w:val="24"/>
        </w:rPr>
        <w:t>Vēsturiski izdienas pensiju shēmu veidošana, to piešķiršanas kritēriji un profesiju dalījums lielā mērā tika pārņemts no PSRS likumdošanas, saskaņā ar kuru atsevišķās profesijās strādājošie, veicot darbu paaugstināta riska apstākļos un zaudējot profesionālās iemaņas, pēc noteikta laika nostrādāšanas, varēja pieprasīt izdienas pensiju no ievērojami agrāka vecuma. Neraugoties uz starptautis</w:t>
      </w:r>
      <w:r w:rsidRPr="002F5278">
        <w:rPr>
          <w:rFonts w:ascii="Times New Roman" w:hAnsi="Times New Roman"/>
          <w:sz w:val="24"/>
          <w:szCs w:val="24"/>
        </w:rPr>
        <w:t>ku ekspertu un organizāciju ieteikumiem pārtraukt vai samazināt izdienas pensiju shēmu veidošanu, izdienas pensiju saņēmē</w:t>
      </w:r>
      <w:r w:rsidRPr="00573B49">
        <w:rPr>
          <w:rFonts w:ascii="Times New Roman" w:hAnsi="Times New Roman"/>
          <w:sz w:val="24"/>
          <w:szCs w:val="24"/>
        </w:rPr>
        <w:t>ju loks un ietverto nozaru saraksts nepārtraukti tiek paplašināts, pretēji Eiropas valstīs īstenotajām reformām un virzībai uz pensionēšanās priekšrocību loka un mērķa grupu sašaurināšanu</w:t>
      </w:r>
      <w:r w:rsidR="00D37D4B" w:rsidRPr="00573B49">
        <w:rPr>
          <w:rFonts w:ascii="Times New Roman" w:hAnsi="Times New Roman"/>
          <w:sz w:val="24"/>
          <w:szCs w:val="24"/>
        </w:rPr>
        <w:t>.</w:t>
      </w:r>
      <w:r w:rsidRPr="007157D3">
        <w:rPr>
          <w:rStyle w:val="FootnoteReference"/>
          <w:rFonts w:ascii="Times New Roman" w:hAnsi="Times New Roman"/>
          <w:sz w:val="24"/>
          <w:szCs w:val="24"/>
        </w:rPr>
        <w:footnoteReference w:id="99"/>
      </w:r>
      <w:r w:rsidRPr="007157D3">
        <w:rPr>
          <w:rFonts w:ascii="Times New Roman" w:hAnsi="Times New Roman"/>
          <w:sz w:val="24"/>
          <w:szCs w:val="24"/>
        </w:rPr>
        <w:t xml:space="preserve"> Turklāt turpinās diskusijas par iespējamu izdienas pensiju saņēmēju loka paplašināšanu arvien jaunām profesiju grupām, t.i., pirmsskolas izglītības iestāžu skolotājiem, speciālo izglītības iestāžu skolotājiem un sporta skolotājiem, ieslodzījuma vietu ārstniecības personām, Valsts probācijas dienesta ierēdņiem un darbiniekiem, kā arī pašvaldības policijas darbiniekiem.</w:t>
      </w:r>
    </w:p>
    <w:p w14:paraId="6FC8DAD6" w14:textId="6F4892B8" w:rsidR="00200837" w:rsidRPr="007157D3" w:rsidRDefault="00200837" w:rsidP="007A3CF5">
      <w:pPr>
        <w:autoSpaceDE w:val="0"/>
        <w:autoSpaceDN w:val="0"/>
        <w:adjustRightInd w:val="0"/>
        <w:spacing w:before="120" w:after="0" w:line="240" w:lineRule="auto"/>
        <w:ind w:firstLine="720"/>
        <w:jc w:val="both"/>
        <w:rPr>
          <w:rFonts w:ascii="Times New Roman" w:hAnsi="Times New Roman"/>
          <w:sz w:val="24"/>
          <w:szCs w:val="24"/>
        </w:rPr>
      </w:pPr>
      <w:r w:rsidRPr="007157D3">
        <w:rPr>
          <w:rFonts w:ascii="Times New Roman" w:hAnsi="Times New Roman" w:cs="Times New Roman"/>
          <w:sz w:val="24"/>
          <w:szCs w:val="24"/>
        </w:rPr>
        <w:t>LR Saeimas Analītiskā dienesta veiktajā pētījumā secināts, ka Latvijā, salīdzinot ar c</w:t>
      </w:r>
      <w:r w:rsidRPr="002F5278">
        <w:rPr>
          <w:rFonts w:ascii="Times New Roman" w:hAnsi="Times New Roman" w:cs="Times New Roman"/>
          <w:sz w:val="24"/>
          <w:szCs w:val="24"/>
        </w:rPr>
        <w:t>itām Eiropas valstīm, izdienas pensiju saņēmēju loku var vērtēt kā plašu</w:t>
      </w:r>
      <w:r w:rsidR="00D37D4B" w:rsidRPr="008C6388">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100"/>
      </w:r>
      <w:r w:rsidRPr="007157D3">
        <w:rPr>
          <w:rFonts w:ascii="Times New Roman" w:hAnsi="Times New Roman" w:cs="Times New Roman"/>
          <w:sz w:val="24"/>
          <w:szCs w:val="24"/>
        </w:rPr>
        <w:t xml:space="preserve"> Kā analizēts iepriekšminētajā pētījumā, atšķirībā no Eiropas valstīm, kur priekšrocības uz speciālām pensijām definē ar konkrētu kritēriju darbinieku kategorijām un darba vides riska faktoru palīdzību, Latvijā šāda pieeja izdienas pensiju shēmu noteikšanā netiek praktizēta un katras jaunās profesiju/ amatu grupas pieprasījums izdienas pensiju saņemšanai vērtējams neatkarīgi no vispārējās sistēmas un nesaistīti ar citām izdienas pensiju shēmām. </w:t>
      </w:r>
      <w:r w:rsidRPr="002F5278">
        <w:rPr>
          <w:rFonts w:ascii="Times New Roman" w:hAnsi="Times New Roman"/>
          <w:sz w:val="24"/>
          <w:szCs w:val="24"/>
        </w:rPr>
        <w:t xml:space="preserve">Ja sākotnēji izdienas pensiju saņēmēju mērķa grupa bija personas, kas strādā atsevišķās profesijās, kurās pēc </w:t>
      </w:r>
      <w:r w:rsidRPr="00573B49">
        <w:rPr>
          <w:rFonts w:ascii="Times New Roman" w:hAnsi="Times New Roman"/>
          <w:sz w:val="24"/>
          <w:szCs w:val="24"/>
        </w:rPr>
        <w:t>noteikta laika nostrādāšanas turpmākais darbs saistīts ar profesionālo iemaņu zudumu vai sociālo bīstamību, tad, paplašinot izdienas pensiju saņēmēju loku, tika paplašināts arī piešķiršanas mērķis ar tādiem kritērijiem kā korupcijas risku mazināšana, sociālās garantijas, personālsastāva nodrošināšana un ataudze, darba kvalitātes nodrošināšana u.tml. Kā norāda pētnieki, tādējādi definējot pensionēšanās priekšrocību noteikšanu, ierobežotam personu lokam atkarībā no to nodarbošanās veida tiek kompensēti mūsdienās teju vai universāli izplatīti profesionālās dzīves blakusefekti</w:t>
      </w:r>
      <w:r w:rsidRPr="007157D3">
        <w:rPr>
          <w:rStyle w:val="FootnoteReference"/>
          <w:rFonts w:ascii="Times New Roman" w:hAnsi="Times New Roman"/>
          <w:sz w:val="24"/>
          <w:szCs w:val="24"/>
        </w:rPr>
        <w:footnoteReference w:id="101"/>
      </w:r>
      <w:r w:rsidRPr="007157D3">
        <w:rPr>
          <w:rFonts w:ascii="Times New Roman" w:hAnsi="Times New Roman"/>
          <w:sz w:val="24"/>
          <w:szCs w:val="24"/>
        </w:rPr>
        <w:t xml:space="preserve">. </w:t>
      </w:r>
    </w:p>
    <w:p w14:paraId="0780411A" w14:textId="65081E4F" w:rsidR="00200837" w:rsidRPr="007157D3" w:rsidRDefault="00200837" w:rsidP="007A3CF5">
      <w:pPr>
        <w:autoSpaceDE w:val="0"/>
        <w:autoSpaceDN w:val="0"/>
        <w:adjustRightInd w:val="0"/>
        <w:spacing w:before="120" w:after="0" w:line="240" w:lineRule="auto"/>
        <w:ind w:firstLine="720"/>
        <w:jc w:val="both"/>
        <w:rPr>
          <w:rFonts w:ascii="Times New Roman" w:hAnsi="Times New Roman"/>
          <w:sz w:val="24"/>
          <w:szCs w:val="24"/>
        </w:rPr>
      </w:pPr>
      <w:r w:rsidRPr="007157D3">
        <w:rPr>
          <w:rFonts w:ascii="Times New Roman" w:hAnsi="Times New Roman"/>
          <w:sz w:val="24"/>
          <w:szCs w:val="24"/>
        </w:rPr>
        <w:t xml:space="preserve">Gan Labklājības ministrijas kā atbildīgās institūcijas par </w:t>
      </w:r>
      <w:r w:rsidR="00A3540E" w:rsidRPr="007157D3">
        <w:rPr>
          <w:rFonts w:ascii="Times New Roman" w:hAnsi="Times New Roman"/>
          <w:sz w:val="24"/>
          <w:szCs w:val="24"/>
        </w:rPr>
        <w:t>pensi</w:t>
      </w:r>
      <w:r w:rsidR="00A3540E" w:rsidRPr="002F5278">
        <w:rPr>
          <w:rFonts w:ascii="Times New Roman" w:hAnsi="Times New Roman"/>
          <w:sz w:val="24"/>
          <w:szCs w:val="24"/>
        </w:rPr>
        <w:t>ju politikas</w:t>
      </w:r>
      <w:r w:rsidRPr="008C6388">
        <w:rPr>
          <w:rFonts w:ascii="Times New Roman" w:hAnsi="Times New Roman"/>
          <w:sz w:val="24"/>
          <w:szCs w:val="24"/>
        </w:rPr>
        <w:t xml:space="preserve"> izstrādi, gan neatkarīgu institūciju un pētnieku veiktais izvērtējums izgaismo faktiski identiskas</w:t>
      </w:r>
      <w:r w:rsidRPr="00573B49">
        <w:rPr>
          <w:rFonts w:ascii="Times New Roman" w:hAnsi="Times New Roman"/>
          <w:sz w:val="24"/>
          <w:szCs w:val="24"/>
        </w:rPr>
        <w:t xml:space="preserve"> problēmas un riskus izdienas pensiju sistēmai</w:t>
      </w:r>
      <w:r w:rsidRPr="007157D3">
        <w:rPr>
          <w:rStyle w:val="FootnoteReference"/>
          <w:rFonts w:ascii="Times New Roman" w:hAnsi="Times New Roman"/>
          <w:sz w:val="24"/>
          <w:szCs w:val="24"/>
        </w:rPr>
        <w:footnoteReference w:id="102"/>
      </w:r>
      <w:r w:rsidRPr="007157D3">
        <w:rPr>
          <w:rFonts w:ascii="Times New Roman" w:hAnsi="Times New Roman"/>
          <w:sz w:val="24"/>
          <w:szCs w:val="24"/>
        </w:rPr>
        <w:t>:</w:t>
      </w:r>
    </w:p>
    <w:p w14:paraId="5E4E3193" w14:textId="77777777" w:rsidR="00200837" w:rsidRPr="00040F6B" w:rsidRDefault="00200837" w:rsidP="007A3CF5">
      <w:pPr>
        <w:pStyle w:val="ListParagraph"/>
        <w:numPr>
          <w:ilvl w:val="0"/>
          <w:numId w:val="5"/>
        </w:numPr>
        <w:autoSpaceDE w:val="0"/>
        <w:autoSpaceDN w:val="0"/>
        <w:adjustRightInd w:val="0"/>
        <w:spacing w:before="120" w:after="0" w:line="240" w:lineRule="auto"/>
        <w:jc w:val="both"/>
        <w:rPr>
          <w:rFonts w:ascii="Times New Roman" w:hAnsi="Times New Roman"/>
          <w:color w:val="002060"/>
          <w:sz w:val="24"/>
          <w:szCs w:val="24"/>
        </w:rPr>
      </w:pPr>
      <w:r w:rsidRPr="00040F6B">
        <w:rPr>
          <w:rFonts w:ascii="Times New Roman" w:hAnsi="Times New Roman" w:cs="Times New Roman"/>
          <w:b/>
          <w:bCs/>
          <w:color w:val="002060"/>
          <w:sz w:val="24"/>
          <w:szCs w:val="24"/>
        </w:rPr>
        <w:t>nepamatoti zems izdienas pensijas pieprasīšanas vecums (izņemot tiesnešus):</w:t>
      </w:r>
      <w:r w:rsidRPr="00040F6B">
        <w:rPr>
          <w:rFonts w:ascii="Times New Roman" w:hAnsi="Times New Roman" w:cs="Times New Roman"/>
          <w:color w:val="002060"/>
          <w:sz w:val="24"/>
          <w:szCs w:val="24"/>
        </w:rPr>
        <w:t xml:space="preserve"> </w:t>
      </w:r>
    </w:p>
    <w:p w14:paraId="78D0B7E7" w14:textId="77777777" w:rsidR="00200837" w:rsidRPr="00573B49" w:rsidRDefault="00200837" w:rsidP="007A3CF5">
      <w:pPr>
        <w:autoSpaceDE w:val="0"/>
        <w:autoSpaceDN w:val="0"/>
        <w:adjustRightInd w:val="0"/>
        <w:spacing w:before="120" w:after="0" w:line="240" w:lineRule="auto"/>
        <w:jc w:val="both"/>
        <w:rPr>
          <w:rFonts w:ascii="Times New Roman" w:hAnsi="Times New Roman" w:cs="Times New Roman"/>
          <w:sz w:val="24"/>
          <w:szCs w:val="24"/>
        </w:rPr>
      </w:pPr>
      <w:r w:rsidRPr="00573B49">
        <w:rPr>
          <w:rFonts w:ascii="Times New Roman" w:hAnsi="Times New Roman" w:cs="Times New Roman"/>
          <w:sz w:val="24"/>
          <w:szCs w:val="24"/>
        </w:rPr>
        <w:t xml:space="preserve">2012.gada 14.jūnijā Saeima pieņēma grozījumus likumā „Par valsts pensijām”, kas sākot ar 2014.gadu nosaka vecuma pensijas piešķiršanai nepieciešamā vecuma paaugstināšanu līdz 65 gadiem 2025.gadā. Vispārējais pensionēšanās vecums Latvijā kopš 1996.gada laika periodā līdz </w:t>
      </w:r>
      <w:r w:rsidRPr="00573B49">
        <w:rPr>
          <w:rFonts w:ascii="Times New Roman" w:hAnsi="Times New Roman" w:cs="Times New Roman"/>
          <w:sz w:val="24"/>
          <w:szCs w:val="24"/>
        </w:rPr>
        <w:lastRenderedPageBreak/>
        <w:t xml:space="preserve">2025.gadam sievietēm būs pieaudzis par 10 gadiem un vīriešiem par 5 gadiem. Pensionēšanās vecums pakāpeniski tiek paaugstināts arī tām personu grupām, kuras vecuma pensiju pieprasa pēc atvieglotiem noteikumiem vai piecus gadus pirms vispārējā vecuma. Savukārt, vecuma kritērijs izdienas pensiju piešķiršanai ir palicis nemainīgs kopš deviņdesmito gadu beigām. </w:t>
      </w:r>
    </w:p>
    <w:p w14:paraId="7A2C2182" w14:textId="77777777" w:rsidR="00200837" w:rsidRPr="0015154B" w:rsidRDefault="00200837" w:rsidP="007A3CF5">
      <w:pPr>
        <w:autoSpaceDE w:val="0"/>
        <w:autoSpaceDN w:val="0"/>
        <w:adjustRightInd w:val="0"/>
        <w:spacing w:before="120" w:after="0" w:line="240" w:lineRule="auto"/>
        <w:jc w:val="both"/>
        <w:rPr>
          <w:rFonts w:ascii="Times New Roman" w:hAnsi="Times New Roman"/>
          <w:sz w:val="24"/>
          <w:szCs w:val="24"/>
        </w:rPr>
      </w:pPr>
      <w:r w:rsidRPr="0025422D">
        <w:rPr>
          <w:rFonts w:ascii="Times New Roman" w:hAnsi="Times New Roman" w:cs="Times New Roman"/>
          <w:sz w:val="24"/>
          <w:szCs w:val="24"/>
        </w:rPr>
        <w:t>Izdienas p</w:t>
      </w:r>
      <w:r w:rsidRPr="00A857F2">
        <w:rPr>
          <w:rFonts w:ascii="Times New Roman" w:hAnsi="Times New Roman" w:cs="Times New Roman"/>
          <w:sz w:val="24"/>
          <w:szCs w:val="24"/>
        </w:rPr>
        <w:t>ensijas pieprasīšanas vecu</w:t>
      </w:r>
      <w:r w:rsidRPr="00662D1E">
        <w:rPr>
          <w:rFonts w:ascii="Times New Roman" w:hAnsi="Times New Roman" w:cs="Times New Roman"/>
          <w:sz w:val="24"/>
          <w:szCs w:val="24"/>
        </w:rPr>
        <w:t xml:space="preserve">ms ir robežās no 38 līdz 55 gadiem (izņemot tiesnešus, kuriem pensionēšanās vecums noteikts, sasniedzot likumā „Par valsts pensijām” noteikto pensionēšanās vecumu). Turklāt pretēji vispārējam pensionēšanās vecuma pieaugumam, diplomātiem no 2013.gada pensionēšanās vecums tika samazināts no 60 uz 55 gadiem. </w:t>
      </w:r>
      <w:r w:rsidRPr="00662D1E">
        <w:rPr>
          <w:rFonts w:ascii="Times New Roman" w:hAnsi="Times New Roman"/>
          <w:sz w:val="24"/>
          <w:szCs w:val="24"/>
        </w:rPr>
        <w:t>Iekšlietu iestādēs strādājošo vecums, kurā tiek pieprasīta izdienas pensija, ir zemākais - 48,41 gadi. Prokuroriem, kuri izdienas pensiju var pieprasīt 50 gadu vecumā, 2019.gadā izdienas pensijas piešķirša</w:t>
      </w:r>
      <w:r w:rsidRPr="009703E6">
        <w:rPr>
          <w:rFonts w:ascii="Times New Roman" w:hAnsi="Times New Roman"/>
          <w:sz w:val="24"/>
          <w:szCs w:val="24"/>
        </w:rPr>
        <w:t>nas vidējais vecums bija 54,67 gadi, diplomātiem – 60,80 gadi, kaut arī izdienas pensiju viņi var pieprasīt no 55 gadiem. Tāpat arī kultūras darbinieku pensionēšanās vecums vidēji ir augstāks nekā likumā noteiktais. Tādējādi secināms, ka, paaugstinot izdie</w:t>
      </w:r>
      <w:r w:rsidRPr="0015154B">
        <w:rPr>
          <w:rFonts w:ascii="Times New Roman" w:hAnsi="Times New Roman"/>
          <w:sz w:val="24"/>
          <w:szCs w:val="24"/>
        </w:rPr>
        <w:t>nas pensijas pieprasīšanas vecumu, atsevišķām kategorijām tas sasniegtu faktisko izdienas pensijas pieprasīšanas vecumu.</w:t>
      </w:r>
    </w:p>
    <w:p w14:paraId="0A0E7D87" w14:textId="77777777" w:rsidR="00200837" w:rsidRPr="007157D3" w:rsidRDefault="00200837" w:rsidP="00040F6B">
      <w:pPr>
        <w:autoSpaceDE w:val="0"/>
        <w:autoSpaceDN w:val="0"/>
        <w:adjustRightInd w:val="0"/>
        <w:spacing w:before="120" w:after="0" w:line="240" w:lineRule="auto"/>
        <w:contextualSpacing/>
        <w:jc w:val="both"/>
        <w:rPr>
          <w:rFonts w:ascii="Times New Roman" w:hAnsi="Times New Roman" w:cs="Times New Roman"/>
          <w:sz w:val="24"/>
          <w:szCs w:val="24"/>
        </w:rPr>
      </w:pPr>
      <w:r w:rsidRPr="0015154B">
        <w:rPr>
          <w:rFonts w:ascii="Times New Roman" w:hAnsi="Times New Roman" w:cs="Times New Roman"/>
          <w:sz w:val="24"/>
          <w:szCs w:val="24"/>
        </w:rPr>
        <w:t>Paredzot arī turpmāk iespēju pensionēties pat 20 gadus pirms valstī noteiktā pensijas vecuma, netiks pilnībā izmantots darbaspēka potenciāls, kā arī valsts sektors atsevišķās nozarēs zaudēs profesionālus darbiniekus. Atšķirībā no Latvijas lielākajā daļā valstu speciālās pensijas saņemšanai noteiktais vecums tiek paaugstināts</w:t>
      </w:r>
      <w:r w:rsidRPr="007157D3">
        <w:rPr>
          <w:rStyle w:val="FootnoteReference"/>
          <w:rFonts w:ascii="Times New Roman" w:hAnsi="Times New Roman" w:cs="Times New Roman"/>
          <w:sz w:val="24"/>
          <w:szCs w:val="24"/>
        </w:rPr>
        <w:footnoteReference w:id="103"/>
      </w:r>
      <w:r w:rsidRPr="007157D3">
        <w:rPr>
          <w:rFonts w:ascii="Times New Roman" w:hAnsi="Times New Roman" w:cs="Times New Roman"/>
          <w:sz w:val="24"/>
          <w:szCs w:val="24"/>
        </w:rPr>
        <w:t xml:space="preserve">. 2019.gadā 13% izdienas pensiju saņēmēju bija vecumā līdz 50 gadiem, 50% - vecumā no 50 līdz 60 gadiem, 37% bija vecāki par 60 gadiem. Kā aizrādīts OECD ziņojumā, savukārt </w:t>
      </w:r>
      <w:r w:rsidRPr="002F5278">
        <w:rPr>
          <w:rFonts w:ascii="Times New Roman" w:hAnsi="Times New Roman" w:cs="Times New Roman"/>
          <w:sz w:val="24"/>
          <w:szCs w:val="24"/>
        </w:rPr>
        <w:t>priekšlaicīgā pensionēšanās vispārējā kārtībā 2018.gadā bija iespējama tikai personām ar 30 gadu darba stāžu un vecumā no</w:t>
      </w:r>
      <w:r w:rsidRPr="00573B49">
        <w:rPr>
          <w:rFonts w:ascii="Times New Roman" w:hAnsi="Times New Roman" w:cs="Times New Roman"/>
          <w:sz w:val="24"/>
          <w:szCs w:val="24"/>
        </w:rPr>
        <w:t xml:space="preserve"> 61 gada un 3 mēnešiem</w:t>
      </w:r>
      <w:r w:rsidRPr="007157D3">
        <w:rPr>
          <w:rStyle w:val="FootnoteReference"/>
          <w:rFonts w:ascii="Times New Roman" w:hAnsi="Times New Roman" w:cs="Times New Roman"/>
          <w:sz w:val="24"/>
          <w:szCs w:val="24"/>
        </w:rPr>
        <w:footnoteReference w:id="104"/>
      </w:r>
      <w:r w:rsidRPr="007157D3">
        <w:rPr>
          <w:rFonts w:ascii="Times New Roman" w:hAnsi="Times New Roman" w:cs="Times New Roman"/>
          <w:sz w:val="24"/>
          <w:szCs w:val="24"/>
        </w:rPr>
        <w:t>.</w:t>
      </w:r>
    </w:p>
    <w:p w14:paraId="68F25CE9" w14:textId="77777777" w:rsidR="00200837" w:rsidRPr="00040F6B" w:rsidRDefault="00200837" w:rsidP="00040F6B">
      <w:pPr>
        <w:pStyle w:val="ListParagraph"/>
        <w:numPr>
          <w:ilvl w:val="0"/>
          <w:numId w:val="5"/>
        </w:numPr>
        <w:autoSpaceDE w:val="0"/>
        <w:autoSpaceDN w:val="0"/>
        <w:adjustRightInd w:val="0"/>
        <w:spacing w:before="120" w:after="0" w:line="240" w:lineRule="auto"/>
        <w:jc w:val="both"/>
        <w:rPr>
          <w:rFonts w:ascii="Times New Roman" w:hAnsi="Times New Roman"/>
          <w:color w:val="002060"/>
          <w:sz w:val="24"/>
          <w:szCs w:val="24"/>
        </w:rPr>
      </w:pPr>
      <w:r w:rsidRPr="00040F6B">
        <w:rPr>
          <w:rFonts w:ascii="Times New Roman" w:hAnsi="Times New Roman" w:cs="Times New Roman"/>
          <w:b/>
          <w:color w:val="002060"/>
          <w:sz w:val="24"/>
          <w:szCs w:val="24"/>
        </w:rPr>
        <w:t>nesamērīgi zemi minimālā nepieciešamā apdrošināšanas/ izdienas stāža kritēriji salīdzinājumā ar vispārējiem valsts pensijas piešķiršanas nosacījumiem</w:t>
      </w:r>
      <w:r w:rsidRPr="00040F6B">
        <w:rPr>
          <w:rFonts w:ascii="Times New Roman" w:hAnsi="Times New Roman" w:cs="Times New Roman"/>
          <w:color w:val="002060"/>
          <w:sz w:val="24"/>
          <w:szCs w:val="24"/>
        </w:rPr>
        <w:t>:</w:t>
      </w:r>
    </w:p>
    <w:p w14:paraId="34E351AE" w14:textId="6379D472" w:rsidR="00200837" w:rsidRDefault="00200837" w:rsidP="00040F6B">
      <w:pPr>
        <w:autoSpaceDE w:val="0"/>
        <w:autoSpaceDN w:val="0"/>
        <w:adjustRightInd w:val="0"/>
        <w:spacing w:before="120" w:after="0" w:line="240" w:lineRule="auto"/>
        <w:contextualSpacing/>
        <w:jc w:val="both"/>
        <w:rPr>
          <w:rFonts w:ascii="Times New Roman" w:hAnsi="Times New Roman" w:cs="Times New Roman"/>
          <w:sz w:val="24"/>
          <w:szCs w:val="24"/>
        </w:rPr>
      </w:pPr>
      <w:r w:rsidRPr="00573B49">
        <w:rPr>
          <w:rFonts w:ascii="Times New Roman" w:hAnsi="Times New Roman" w:cs="Times New Roman"/>
          <w:sz w:val="24"/>
          <w:szCs w:val="24"/>
        </w:rPr>
        <w:t>Izdienas pensiju piešķiršanu regulējošie normatīvie akti paredz atšķirīgus kritērijus attiecībā uz apdrošināšanas stāžu, kāds tiek ņemts vērā, piešķirot izdienas pensiju (</w:t>
      </w:r>
      <w:r w:rsidRPr="00573B49">
        <w:rPr>
          <w:rFonts w:ascii="Times New Roman" w:hAnsi="Times New Roman" w:cs="Times New Roman"/>
          <w:sz w:val="24"/>
          <w:szCs w:val="24"/>
          <w:highlight w:val="yellow"/>
        </w:rPr>
        <w:t xml:space="preserve">skat. </w:t>
      </w:r>
      <w:r w:rsidR="008F190F" w:rsidRPr="00573B49">
        <w:rPr>
          <w:rFonts w:ascii="Times New Roman" w:hAnsi="Times New Roman" w:cs="Times New Roman"/>
          <w:sz w:val="24"/>
          <w:szCs w:val="24"/>
          <w:highlight w:val="yellow"/>
        </w:rPr>
        <w:t>1</w:t>
      </w:r>
      <w:r w:rsidR="00974F0C">
        <w:rPr>
          <w:rFonts w:ascii="Times New Roman" w:hAnsi="Times New Roman" w:cs="Times New Roman"/>
          <w:sz w:val="24"/>
          <w:szCs w:val="24"/>
          <w:highlight w:val="yellow"/>
        </w:rPr>
        <w:t>3</w:t>
      </w:r>
      <w:r w:rsidRPr="0025422D">
        <w:rPr>
          <w:rFonts w:ascii="Times New Roman" w:hAnsi="Times New Roman" w:cs="Times New Roman"/>
          <w:sz w:val="24"/>
          <w:szCs w:val="24"/>
          <w:highlight w:val="yellow"/>
        </w:rPr>
        <w:t>.tabulu</w:t>
      </w:r>
      <w:r w:rsidRPr="0025422D">
        <w:rPr>
          <w:rFonts w:ascii="Times New Roman" w:hAnsi="Times New Roman" w:cs="Times New Roman"/>
          <w:sz w:val="24"/>
          <w:szCs w:val="24"/>
        </w:rPr>
        <w:t xml:space="preserve">). </w:t>
      </w:r>
    </w:p>
    <w:p w14:paraId="23E8993F" w14:textId="77777777" w:rsidR="00431EF9" w:rsidRPr="0015154B" w:rsidRDefault="00431EF9" w:rsidP="00431EF9">
      <w:pPr>
        <w:autoSpaceDE w:val="0"/>
        <w:autoSpaceDN w:val="0"/>
        <w:adjustRightInd w:val="0"/>
        <w:spacing w:before="120" w:after="0" w:line="240" w:lineRule="auto"/>
        <w:jc w:val="both"/>
        <w:rPr>
          <w:rFonts w:ascii="TimesNewRoman" w:hAnsi="TimesNewRoman" w:cs="TimesNewRoman"/>
        </w:rPr>
      </w:pPr>
      <w:r w:rsidRPr="0015154B">
        <w:rPr>
          <w:rFonts w:ascii="Times New Roman" w:hAnsi="Times New Roman" w:cs="Times New Roman"/>
          <w:sz w:val="24"/>
          <w:szCs w:val="24"/>
        </w:rPr>
        <w:t>Atsevišķām izdienas pensiju saņēmēju kategorijām apdrošināšanas stāžā tiek ieskaitīti periodi, kas nav saistīti ar personas izdienu, piemēram, 80% citās iestādēs, komercsabiedrībās un organizācijās nostrādātā laika, vai militārpersonām izglītības laiks civilajās augstskolās un alternatīvais dienests. Atšķirīga pieeja ir konstatēta arī attiecībā uz speciālā izdienas stāža nosacījumiem, proti, pārsvarā gadījumos no 20 izdienas stāža gadiem pēdējiem 10 gadiem ir jābūt nostrādātiem konkrētajā amatā vai iestādē, taču Valsts drošības iestāžu amatpersonu izdienas pensiju likums un NMPD izdienu pensiju likums nosaka tikai piecu gadu periodu dienestā.</w:t>
      </w:r>
    </w:p>
    <w:p w14:paraId="53D8169E" w14:textId="77777777" w:rsidR="00431EF9" w:rsidRPr="0025422D" w:rsidRDefault="00431EF9" w:rsidP="00040F6B">
      <w:pPr>
        <w:autoSpaceDE w:val="0"/>
        <w:autoSpaceDN w:val="0"/>
        <w:adjustRightInd w:val="0"/>
        <w:spacing w:before="120" w:after="0" w:line="240" w:lineRule="auto"/>
        <w:contextualSpacing/>
        <w:jc w:val="both"/>
        <w:rPr>
          <w:rFonts w:ascii="Times New Roman" w:hAnsi="Times New Roman" w:cs="Times New Roman"/>
          <w:sz w:val="24"/>
          <w:szCs w:val="24"/>
        </w:rPr>
      </w:pPr>
    </w:p>
    <w:p w14:paraId="0FC13D6E" w14:textId="77777777" w:rsidR="00200837" w:rsidRPr="00A857F2" w:rsidRDefault="00200837" w:rsidP="00200837">
      <w:pPr>
        <w:autoSpaceDE w:val="0"/>
        <w:autoSpaceDN w:val="0"/>
        <w:adjustRightInd w:val="0"/>
        <w:spacing w:after="0" w:line="240" w:lineRule="auto"/>
        <w:jc w:val="both"/>
        <w:rPr>
          <w:rFonts w:ascii="Times New Roman" w:hAnsi="Times New Roman" w:cs="Times New Roman"/>
          <w:sz w:val="24"/>
          <w:szCs w:val="24"/>
        </w:rPr>
      </w:pPr>
    </w:p>
    <w:p w14:paraId="14650C9D" w14:textId="77777777" w:rsidR="00BB746B" w:rsidRDefault="00BB746B">
      <w:pPr>
        <w:rPr>
          <w:rFonts w:ascii="Times New Roman" w:hAnsi="Times New Roman" w:cs="Times New Roman"/>
          <w:sz w:val="24"/>
          <w:szCs w:val="24"/>
        </w:rPr>
      </w:pPr>
      <w:r>
        <w:rPr>
          <w:rFonts w:ascii="Times New Roman" w:hAnsi="Times New Roman" w:cs="Times New Roman"/>
          <w:sz w:val="24"/>
          <w:szCs w:val="24"/>
        </w:rPr>
        <w:br w:type="page"/>
      </w:r>
    </w:p>
    <w:p w14:paraId="035E67CD" w14:textId="1093E280" w:rsidR="00200837" w:rsidRPr="00662D1E" w:rsidRDefault="008F190F" w:rsidP="00200837">
      <w:pPr>
        <w:autoSpaceDE w:val="0"/>
        <w:autoSpaceDN w:val="0"/>
        <w:adjustRightInd w:val="0"/>
        <w:spacing w:after="0" w:line="240" w:lineRule="auto"/>
        <w:jc w:val="both"/>
        <w:rPr>
          <w:rFonts w:ascii="Times New Roman" w:hAnsi="Times New Roman" w:cs="Times New Roman"/>
          <w:sz w:val="24"/>
          <w:szCs w:val="24"/>
        </w:rPr>
      </w:pPr>
      <w:r w:rsidRPr="00662D1E">
        <w:rPr>
          <w:rFonts w:ascii="Times New Roman" w:hAnsi="Times New Roman" w:cs="Times New Roman"/>
          <w:sz w:val="24"/>
          <w:szCs w:val="24"/>
        </w:rPr>
        <w:lastRenderedPageBreak/>
        <w:t>1</w:t>
      </w:r>
      <w:r w:rsidR="00974F0C">
        <w:rPr>
          <w:rFonts w:ascii="Times New Roman" w:hAnsi="Times New Roman" w:cs="Times New Roman"/>
          <w:sz w:val="24"/>
          <w:szCs w:val="24"/>
        </w:rPr>
        <w:t>3</w:t>
      </w:r>
      <w:r w:rsidR="00200837" w:rsidRPr="00662D1E">
        <w:rPr>
          <w:rFonts w:ascii="Times New Roman" w:hAnsi="Times New Roman" w:cs="Times New Roman"/>
          <w:sz w:val="24"/>
          <w:szCs w:val="24"/>
        </w:rPr>
        <w:t>.tabula</w:t>
      </w:r>
    </w:p>
    <w:p w14:paraId="57C0D7D9" w14:textId="77777777" w:rsidR="00200837" w:rsidRPr="009703E6" w:rsidRDefault="00200837" w:rsidP="00200837">
      <w:pPr>
        <w:ind w:left="-142"/>
        <w:jc w:val="center"/>
        <w:rPr>
          <w:rFonts w:ascii="Times New Roman" w:hAnsi="Times New Roman" w:cs="Times New Roman"/>
          <w:b/>
          <w:color w:val="002060"/>
          <w:sz w:val="24"/>
          <w:szCs w:val="24"/>
        </w:rPr>
      </w:pPr>
      <w:r w:rsidRPr="009703E6">
        <w:rPr>
          <w:rFonts w:ascii="Times New Roman" w:hAnsi="Times New Roman" w:cs="Times New Roman"/>
          <w:b/>
          <w:color w:val="002060"/>
          <w:sz w:val="24"/>
          <w:szCs w:val="24"/>
        </w:rPr>
        <w:t>Kritēriji un nosacījumi tiesību iegūšanai uz izdienas pensiju</w:t>
      </w:r>
    </w:p>
    <w:tbl>
      <w:tblPr>
        <w:tblStyle w:val="TableGrid"/>
        <w:tblW w:w="8500" w:type="dxa"/>
        <w:tblLook w:val="04A0" w:firstRow="1" w:lastRow="0" w:firstColumn="1" w:lastColumn="0" w:noHBand="0" w:noVBand="1"/>
      </w:tblPr>
      <w:tblGrid>
        <w:gridCol w:w="3220"/>
        <w:gridCol w:w="1683"/>
        <w:gridCol w:w="1500"/>
        <w:gridCol w:w="2097"/>
      </w:tblGrid>
      <w:tr w:rsidR="006C7759" w:rsidRPr="0015154B" w14:paraId="1431D589" w14:textId="77777777" w:rsidTr="006C7759">
        <w:trPr>
          <w:trHeight w:val="1215"/>
        </w:trPr>
        <w:tc>
          <w:tcPr>
            <w:tcW w:w="3256" w:type="dxa"/>
            <w:tcBorders>
              <w:tl2br w:val="single" w:sz="4" w:space="0" w:color="auto"/>
            </w:tcBorders>
            <w:shd w:val="clear" w:color="auto" w:fill="E8F3D3" w:themeFill="accent2" w:themeFillTint="33"/>
          </w:tcPr>
          <w:p w14:paraId="1C257866"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 xml:space="preserve">              </w:t>
            </w:r>
          </w:p>
          <w:p w14:paraId="6488AF5A" w14:textId="77777777" w:rsidR="00200837" w:rsidRPr="0015154B" w:rsidRDefault="00200837" w:rsidP="0026365F">
            <w:pPr>
              <w:jc w:val="right"/>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Kritēriji</w:t>
            </w:r>
          </w:p>
          <w:p w14:paraId="6ABC08C7" w14:textId="77777777" w:rsidR="00200837" w:rsidRPr="0015154B" w:rsidRDefault="00200837" w:rsidP="0026365F">
            <w:pP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 xml:space="preserve">Izdienas </w:t>
            </w:r>
          </w:p>
          <w:p w14:paraId="4AA9A883" w14:textId="77777777" w:rsidR="00200837" w:rsidRPr="0015154B" w:rsidRDefault="00200837" w:rsidP="0026365F">
            <w:pP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pensijas saņēmēji</w:t>
            </w:r>
          </w:p>
        </w:tc>
        <w:tc>
          <w:tcPr>
            <w:tcW w:w="1603" w:type="dxa"/>
            <w:shd w:val="clear" w:color="auto" w:fill="E8F3D3" w:themeFill="accent2" w:themeFillTint="33"/>
            <w:vAlign w:val="center"/>
          </w:tcPr>
          <w:p w14:paraId="69B28AD8"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Pensionēšanās</w:t>
            </w:r>
          </w:p>
          <w:p w14:paraId="018577D5"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vecums (gados)</w:t>
            </w:r>
          </w:p>
        </w:tc>
        <w:tc>
          <w:tcPr>
            <w:tcW w:w="1515" w:type="dxa"/>
            <w:shd w:val="clear" w:color="auto" w:fill="E8F3D3" w:themeFill="accent2" w:themeFillTint="33"/>
            <w:vAlign w:val="center"/>
          </w:tcPr>
          <w:p w14:paraId="7852E76A"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Izdienas stāžs</w:t>
            </w:r>
          </w:p>
          <w:p w14:paraId="1F84C0D3"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(gados)</w:t>
            </w:r>
          </w:p>
        </w:tc>
        <w:tc>
          <w:tcPr>
            <w:tcW w:w="2126" w:type="dxa"/>
            <w:shd w:val="clear" w:color="auto" w:fill="E8F3D3" w:themeFill="accent2" w:themeFillTint="33"/>
            <w:vAlign w:val="center"/>
          </w:tcPr>
          <w:p w14:paraId="42E632A6" w14:textId="77777777" w:rsidR="00200837" w:rsidRPr="0015154B" w:rsidRDefault="00200837" w:rsidP="0026365F">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Pensijas apmērs (% no vid. mēneša darba samaksas)</w:t>
            </w:r>
          </w:p>
        </w:tc>
      </w:tr>
      <w:tr w:rsidR="00200837" w:rsidRPr="0015154B" w14:paraId="035B4074" w14:textId="77777777" w:rsidTr="006C7759">
        <w:trPr>
          <w:trHeight w:val="398"/>
        </w:trPr>
        <w:tc>
          <w:tcPr>
            <w:tcW w:w="3256" w:type="dxa"/>
            <w:shd w:val="clear" w:color="auto" w:fill="E8F3D3" w:themeFill="accent2" w:themeFillTint="33"/>
            <w:vAlign w:val="center"/>
          </w:tcPr>
          <w:p w14:paraId="56D9AA55" w14:textId="77777777"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Militārpersonas</w:t>
            </w:r>
          </w:p>
        </w:tc>
        <w:tc>
          <w:tcPr>
            <w:tcW w:w="1603" w:type="dxa"/>
            <w:vAlign w:val="center"/>
          </w:tcPr>
          <w:p w14:paraId="7768563E"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w:t>
            </w:r>
          </w:p>
        </w:tc>
        <w:tc>
          <w:tcPr>
            <w:tcW w:w="1515" w:type="dxa"/>
            <w:vAlign w:val="center"/>
          </w:tcPr>
          <w:p w14:paraId="78C180C8"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10 - 20</w:t>
            </w:r>
          </w:p>
        </w:tc>
        <w:tc>
          <w:tcPr>
            <w:tcW w:w="2126" w:type="dxa"/>
            <w:vAlign w:val="center"/>
          </w:tcPr>
          <w:p w14:paraId="32766707"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55</w:t>
            </w:r>
          </w:p>
        </w:tc>
      </w:tr>
      <w:tr w:rsidR="00200837" w:rsidRPr="0015154B" w14:paraId="50FF33E0" w14:textId="77777777" w:rsidTr="006C7759">
        <w:trPr>
          <w:trHeight w:val="1134"/>
        </w:trPr>
        <w:tc>
          <w:tcPr>
            <w:tcW w:w="3256" w:type="dxa"/>
            <w:shd w:val="clear" w:color="auto" w:fill="E8F3D3" w:themeFill="accent2" w:themeFillTint="33"/>
            <w:vAlign w:val="center"/>
          </w:tcPr>
          <w:p w14:paraId="5EC44B80" w14:textId="77777777"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IeM sistēmas iestāžu un Ieslodzījuma vietu pārvaldes amatpersonas ar speciālajām dienesta pakāpēm</w:t>
            </w:r>
          </w:p>
        </w:tc>
        <w:tc>
          <w:tcPr>
            <w:tcW w:w="1603" w:type="dxa"/>
            <w:vAlign w:val="center"/>
          </w:tcPr>
          <w:p w14:paraId="2B915188"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50</w:t>
            </w:r>
          </w:p>
        </w:tc>
        <w:tc>
          <w:tcPr>
            <w:tcW w:w="1515" w:type="dxa"/>
            <w:vAlign w:val="center"/>
          </w:tcPr>
          <w:p w14:paraId="00F194B1"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20</w:t>
            </w:r>
          </w:p>
        </w:tc>
        <w:tc>
          <w:tcPr>
            <w:tcW w:w="2126" w:type="dxa"/>
            <w:vAlign w:val="center"/>
          </w:tcPr>
          <w:p w14:paraId="4EE20C50"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55</w:t>
            </w:r>
          </w:p>
        </w:tc>
      </w:tr>
      <w:tr w:rsidR="00200837" w:rsidRPr="0015154B" w14:paraId="265995D8" w14:textId="77777777" w:rsidTr="006C7759">
        <w:tc>
          <w:tcPr>
            <w:tcW w:w="3256" w:type="dxa"/>
            <w:shd w:val="clear" w:color="auto" w:fill="E8F3D3" w:themeFill="accent2" w:themeFillTint="33"/>
            <w:vAlign w:val="center"/>
          </w:tcPr>
          <w:p w14:paraId="6976035F" w14:textId="77777777"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Valsts un pašvaldību profesionālo orķestru, koru, koncertorganizāciju, teātru un cirka mākslinieki</w:t>
            </w:r>
          </w:p>
        </w:tc>
        <w:tc>
          <w:tcPr>
            <w:tcW w:w="1603" w:type="dxa"/>
            <w:vAlign w:val="center"/>
          </w:tcPr>
          <w:p w14:paraId="6F6C3C09"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38 - 55</w:t>
            </w:r>
          </w:p>
        </w:tc>
        <w:tc>
          <w:tcPr>
            <w:tcW w:w="1515" w:type="dxa"/>
            <w:vAlign w:val="center"/>
          </w:tcPr>
          <w:p w14:paraId="26480E0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10 - 30</w:t>
            </w:r>
          </w:p>
        </w:tc>
        <w:tc>
          <w:tcPr>
            <w:tcW w:w="2126" w:type="dxa"/>
            <w:vAlign w:val="center"/>
          </w:tcPr>
          <w:p w14:paraId="354EAD42"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45 - 55</w:t>
            </w:r>
          </w:p>
        </w:tc>
      </w:tr>
      <w:tr w:rsidR="00200837" w:rsidRPr="0015154B" w14:paraId="0EEAAAB7" w14:textId="77777777" w:rsidTr="006C7759">
        <w:trPr>
          <w:trHeight w:val="443"/>
        </w:trPr>
        <w:tc>
          <w:tcPr>
            <w:tcW w:w="3256" w:type="dxa"/>
            <w:shd w:val="clear" w:color="auto" w:fill="E8F3D3" w:themeFill="accent2" w:themeFillTint="33"/>
            <w:vAlign w:val="center"/>
          </w:tcPr>
          <w:p w14:paraId="55D64347" w14:textId="77777777"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 xml:space="preserve">Tiesneši </w:t>
            </w:r>
          </w:p>
        </w:tc>
        <w:tc>
          <w:tcPr>
            <w:tcW w:w="1603" w:type="dxa"/>
            <w:vAlign w:val="center"/>
          </w:tcPr>
          <w:p w14:paraId="17DFE36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63,75*</w:t>
            </w:r>
          </w:p>
        </w:tc>
        <w:tc>
          <w:tcPr>
            <w:tcW w:w="1515" w:type="dxa"/>
            <w:vAlign w:val="center"/>
          </w:tcPr>
          <w:p w14:paraId="0323630D"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20</w:t>
            </w:r>
          </w:p>
        </w:tc>
        <w:tc>
          <w:tcPr>
            <w:tcW w:w="2126" w:type="dxa"/>
            <w:vAlign w:val="center"/>
          </w:tcPr>
          <w:p w14:paraId="7F9B9687"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65</w:t>
            </w:r>
          </w:p>
        </w:tc>
      </w:tr>
      <w:tr w:rsidR="00200837" w:rsidRPr="0015154B" w14:paraId="09E94AC4" w14:textId="77777777" w:rsidTr="006C7759">
        <w:trPr>
          <w:trHeight w:val="407"/>
        </w:trPr>
        <w:tc>
          <w:tcPr>
            <w:tcW w:w="3256" w:type="dxa"/>
            <w:shd w:val="clear" w:color="auto" w:fill="E8F3D3" w:themeFill="accent2" w:themeFillTint="33"/>
            <w:vAlign w:val="center"/>
          </w:tcPr>
          <w:p w14:paraId="5BA3E7A6" w14:textId="77777777"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Prokurori</w:t>
            </w:r>
          </w:p>
        </w:tc>
        <w:tc>
          <w:tcPr>
            <w:tcW w:w="1603" w:type="dxa"/>
            <w:vAlign w:val="center"/>
          </w:tcPr>
          <w:p w14:paraId="39FABBD9"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50</w:t>
            </w:r>
          </w:p>
        </w:tc>
        <w:tc>
          <w:tcPr>
            <w:tcW w:w="1515" w:type="dxa"/>
            <w:vAlign w:val="center"/>
          </w:tcPr>
          <w:p w14:paraId="630546ED"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20</w:t>
            </w:r>
          </w:p>
        </w:tc>
        <w:tc>
          <w:tcPr>
            <w:tcW w:w="2126" w:type="dxa"/>
            <w:vAlign w:val="center"/>
          </w:tcPr>
          <w:p w14:paraId="5C7EDCCB"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55</w:t>
            </w:r>
          </w:p>
        </w:tc>
      </w:tr>
      <w:tr w:rsidR="00200837" w:rsidRPr="0015154B" w14:paraId="1AD4D583" w14:textId="77777777" w:rsidTr="006C7759">
        <w:trPr>
          <w:trHeight w:val="426"/>
        </w:trPr>
        <w:tc>
          <w:tcPr>
            <w:tcW w:w="3256" w:type="dxa"/>
            <w:shd w:val="clear" w:color="auto" w:fill="E8F3D3" w:themeFill="accent2" w:themeFillTint="33"/>
            <w:vAlign w:val="center"/>
          </w:tcPr>
          <w:p w14:paraId="55E5EDB6" w14:textId="77777777"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Diplomāti</w:t>
            </w:r>
          </w:p>
        </w:tc>
        <w:tc>
          <w:tcPr>
            <w:tcW w:w="1603" w:type="dxa"/>
            <w:vAlign w:val="center"/>
          </w:tcPr>
          <w:p w14:paraId="70DD34E8"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55</w:t>
            </w:r>
          </w:p>
        </w:tc>
        <w:tc>
          <w:tcPr>
            <w:tcW w:w="1515" w:type="dxa"/>
            <w:vAlign w:val="center"/>
          </w:tcPr>
          <w:p w14:paraId="7143A7A8"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20</w:t>
            </w:r>
          </w:p>
        </w:tc>
        <w:tc>
          <w:tcPr>
            <w:tcW w:w="2126" w:type="dxa"/>
            <w:vAlign w:val="center"/>
          </w:tcPr>
          <w:p w14:paraId="4B83D024"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65</w:t>
            </w:r>
          </w:p>
        </w:tc>
      </w:tr>
      <w:tr w:rsidR="00200837" w:rsidRPr="0015154B" w14:paraId="1C7B8239" w14:textId="77777777" w:rsidTr="006C7759">
        <w:trPr>
          <w:trHeight w:val="404"/>
        </w:trPr>
        <w:tc>
          <w:tcPr>
            <w:tcW w:w="3256" w:type="dxa"/>
            <w:shd w:val="clear" w:color="auto" w:fill="E8F3D3" w:themeFill="accent2" w:themeFillTint="33"/>
            <w:vAlign w:val="center"/>
          </w:tcPr>
          <w:p w14:paraId="720FD3A9" w14:textId="77777777"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KNAB amatpersonas</w:t>
            </w:r>
          </w:p>
        </w:tc>
        <w:tc>
          <w:tcPr>
            <w:tcW w:w="1603" w:type="dxa"/>
            <w:vAlign w:val="center"/>
          </w:tcPr>
          <w:p w14:paraId="6437E8C3"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50</w:t>
            </w:r>
          </w:p>
        </w:tc>
        <w:tc>
          <w:tcPr>
            <w:tcW w:w="1515" w:type="dxa"/>
            <w:vAlign w:val="center"/>
          </w:tcPr>
          <w:p w14:paraId="4FE9701C"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20</w:t>
            </w:r>
          </w:p>
        </w:tc>
        <w:tc>
          <w:tcPr>
            <w:tcW w:w="2126" w:type="dxa"/>
            <w:vAlign w:val="center"/>
          </w:tcPr>
          <w:p w14:paraId="497EB1E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55</w:t>
            </w:r>
          </w:p>
        </w:tc>
      </w:tr>
      <w:tr w:rsidR="00200837" w:rsidRPr="0015154B" w14:paraId="7B937FAF" w14:textId="77777777" w:rsidTr="006C7759">
        <w:trPr>
          <w:trHeight w:val="566"/>
        </w:trPr>
        <w:tc>
          <w:tcPr>
            <w:tcW w:w="3256" w:type="dxa"/>
            <w:shd w:val="clear" w:color="auto" w:fill="E8F3D3" w:themeFill="accent2" w:themeFillTint="33"/>
            <w:vAlign w:val="center"/>
          </w:tcPr>
          <w:p w14:paraId="493F8AFD" w14:textId="77777777"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Valsts drošības iestāžu amatpersonas</w:t>
            </w:r>
          </w:p>
        </w:tc>
        <w:tc>
          <w:tcPr>
            <w:tcW w:w="1603" w:type="dxa"/>
            <w:vAlign w:val="center"/>
          </w:tcPr>
          <w:p w14:paraId="25C3F44A"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50</w:t>
            </w:r>
          </w:p>
        </w:tc>
        <w:tc>
          <w:tcPr>
            <w:tcW w:w="1515" w:type="dxa"/>
            <w:vAlign w:val="center"/>
          </w:tcPr>
          <w:p w14:paraId="697F6F5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20</w:t>
            </w:r>
          </w:p>
        </w:tc>
        <w:tc>
          <w:tcPr>
            <w:tcW w:w="2126" w:type="dxa"/>
            <w:vAlign w:val="center"/>
          </w:tcPr>
          <w:p w14:paraId="58DEEF69"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55</w:t>
            </w:r>
          </w:p>
        </w:tc>
      </w:tr>
      <w:tr w:rsidR="00200837" w:rsidRPr="0015154B" w14:paraId="118AB729" w14:textId="77777777" w:rsidTr="006C7759">
        <w:trPr>
          <w:trHeight w:val="405"/>
        </w:trPr>
        <w:tc>
          <w:tcPr>
            <w:tcW w:w="3256" w:type="dxa"/>
            <w:shd w:val="clear" w:color="auto" w:fill="E8F3D3" w:themeFill="accent2" w:themeFillTint="33"/>
            <w:vAlign w:val="center"/>
          </w:tcPr>
          <w:p w14:paraId="64965608" w14:textId="77777777" w:rsidR="00200837" w:rsidRPr="0015154B" w:rsidRDefault="00200837" w:rsidP="0026365F">
            <w:pPr>
              <w:rPr>
                <w:rFonts w:ascii="Times New Roman" w:hAnsi="Times New Roman" w:cs="Times New Roman"/>
                <w:color w:val="002060"/>
                <w:sz w:val="24"/>
                <w:szCs w:val="24"/>
              </w:rPr>
            </w:pPr>
            <w:r w:rsidRPr="0015154B">
              <w:rPr>
                <w:rFonts w:ascii="Times New Roman" w:hAnsi="Times New Roman" w:cs="Times New Roman"/>
                <w:color w:val="002060"/>
                <w:sz w:val="24"/>
                <w:szCs w:val="24"/>
              </w:rPr>
              <w:t>NMPD darbinieki</w:t>
            </w:r>
          </w:p>
        </w:tc>
        <w:tc>
          <w:tcPr>
            <w:tcW w:w="1603" w:type="dxa"/>
            <w:vAlign w:val="center"/>
          </w:tcPr>
          <w:p w14:paraId="766F5BAD"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55</w:t>
            </w:r>
          </w:p>
        </w:tc>
        <w:tc>
          <w:tcPr>
            <w:tcW w:w="1515" w:type="dxa"/>
            <w:vAlign w:val="center"/>
          </w:tcPr>
          <w:p w14:paraId="291CF5D5"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20</w:t>
            </w:r>
          </w:p>
        </w:tc>
        <w:tc>
          <w:tcPr>
            <w:tcW w:w="2126" w:type="dxa"/>
            <w:vAlign w:val="center"/>
          </w:tcPr>
          <w:p w14:paraId="570FBB21" w14:textId="77777777" w:rsidR="00200837" w:rsidRPr="0015154B" w:rsidRDefault="00200837" w:rsidP="0026365F">
            <w:pPr>
              <w:jc w:val="center"/>
              <w:rPr>
                <w:rFonts w:ascii="Times New Roman" w:hAnsi="Times New Roman" w:cs="Times New Roman"/>
                <w:sz w:val="24"/>
                <w:szCs w:val="24"/>
              </w:rPr>
            </w:pPr>
            <w:r w:rsidRPr="0015154B">
              <w:rPr>
                <w:rFonts w:ascii="Times New Roman" w:hAnsi="Times New Roman" w:cs="Times New Roman"/>
                <w:sz w:val="24"/>
                <w:szCs w:val="24"/>
              </w:rPr>
              <w:t>65</w:t>
            </w:r>
          </w:p>
        </w:tc>
      </w:tr>
    </w:tbl>
    <w:p w14:paraId="11A14F07" w14:textId="77777777" w:rsidR="00200837" w:rsidRPr="0015154B" w:rsidRDefault="00200837" w:rsidP="00200837">
      <w:pPr>
        <w:rPr>
          <w:rFonts w:ascii="Times New Roman" w:hAnsi="Times New Roman" w:cs="Times New Roman"/>
          <w:sz w:val="24"/>
          <w:szCs w:val="24"/>
        </w:rPr>
      </w:pPr>
      <w:r w:rsidRPr="0015154B">
        <w:rPr>
          <w:rFonts w:ascii="Times New Roman" w:hAnsi="Times New Roman" w:cs="Times New Roman"/>
          <w:sz w:val="24"/>
          <w:szCs w:val="24"/>
        </w:rPr>
        <w:t xml:space="preserve">*  </w:t>
      </w:r>
      <w:r w:rsidRPr="0015154B">
        <w:rPr>
          <w:rFonts w:ascii="Times New Roman" w:hAnsi="Times New Roman" w:cs="Times New Roman"/>
          <w:sz w:val="20"/>
          <w:szCs w:val="20"/>
        </w:rPr>
        <w:t>tiesnešiem izdienas pensijas vecums ir vienāds ar vispārīgo pensionēšanās vecumu (2020.gadā – 63 gadi un 9 mēneši).</w:t>
      </w:r>
    </w:p>
    <w:p w14:paraId="5AF927CE" w14:textId="7CE2E9B4" w:rsidR="00200837" w:rsidRPr="00040F6B" w:rsidRDefault="00200837" w:rsidP="007A3CF5">
      <w:pPr>
        <w:pStyle w:val="ListParagraph"/>
        <w:numPr>
          <w:ilvl w:val="0"/>
          <w:numId w:val="5"/>
        </w:numPr>
        <w:autoSpaceDE w:val="0"/>
        <w:autoSpaceDN w:val="0"/>
        <w:adjustRightInd w:val="0"/>
        <w:spacing w:before="120" w:after="0" w:line="240" w:lineRule="auto"/>
        <w:jc w:val="both"/>
        <w:rPr>
          <w:rFonts w:ascii="Times New Roman" w:hAnsi="Times New Roman"/>
          <w:color w:val="002060"/>
          <w:sz w:val="24"/>
          <w:szCs w:val="24"/>
        </w:rPr>
      </w:pPr>
      <w:r w:rsidRPr="00040F6B">
        <w:rPr>
          <w:rFonts w:ascii="Times New Roman" w:hAnsi="Times New Roman"/>
          <w:b/>
          <w:color w:val="002060"/>
          <w:sz w:val="24"/>
          <w:szCs w:val="24"/>
        </w:rPr>
        <w:t>atšķi</w:t>
      </w:r>
      <w:r w:rsidR="00040F6B" w:rsidRPr="00040F6B">
        <w:rPr>
          <w:rFonts w:ascii="Times New Roman" w:hAnsi="Times New Roman"/>
          <w:b/>
          <w:color w:val="002060"/>
          <w:sz w:val="24"/>
          <w:szCs w:val="24"/>
        </w:rPr>
        <w:t>r</w:t>
      </w:r>
      <w:r w:rsidRPr="00040F6B">
        <w:rPr>
          <w:rFonts w:ascii="Times New Roman" w:hAnsi="Times New Roman"/>
          <w:b/>
          <w:color w:val="002060"/>
          <w:sz w:val="24"/>
          <w:szCs w:val="24"/>
        </w:rPr>
        <w:t xml:space="preserve">īga pieeja izdienas pensijas apmēra aprēķināšanā un </w:t>
      </w:r>
      <w:r w:rsidRPr="00040F6B">
        <w:rPr>
          <w:rFonts w:ascii="Times New Roman" w:hAnsi="Times New Roman" w:cs="Times New Roman"/>
          <w:b/>
          <w:color w:val="002060"/>
          <w:sz w:val="24"/>
          <w:szCs w:val="24"/>
        </w:rPr>
        <w:t>nepamatotas atšķirības pensiju aprēķināšanā starp dažādu profesiju pārstāvjiem</w:t>
      </w:r>
      <w:r w:rsidRPr="00040F6B">
        <w:rPr>
          <w:rFonts w:ascii="Times New Roman" w:hAnsi="Times New Roman"/>
          <w:color w:val="002060"/>
          <w:sz w:val="24"/>
          <w:szCs w:val="24"/>
        </w:rPr>
        <w:t>:</w:t>
      </w:r>
    </w:p>
    <w:p w14:paraId="2378E8C6" w14:textId="6FDBC9BB" w:rsidR="00200837" w:rsidRPr="0015154B" w:rsidRDefault="00200837" w:rsidP="007A3CF5">
      <w:pPr>
        <w:autoSpaceDE w:val="0"/>
        <w:autoSpaceDN w:val="0"/>
        <w:adjustRightInd w:val="0"/>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 xml:space="preserve">Izdienas pensiju piešķiršanu regulējošie normatīvie akti paredz atšķirīgus kritērijus attiecībā uz izdienas pensijas aprēķināšanas kārtību (skat. </w:t>
      </w:r>
      <w:r w:rsidR="008F190F" w:rsidRPr="0015154B">
        <w:rPr>
          <w:rFonts w:ascii="Times New Roman" w:hAnsi="Times New Roman" w:cs="Times New Roman"/>
          <w:sz w:val="24"/>
          <w:szCs w:val="24"/>
        </w:rPr>
        <w:t>11.</w:t>
      </w:r>
      <w:r w:rsidRPr="0015154B">
        <w:rPr>
          <w:rFonts w:ascii="Times New Roman" w:hAnsi="Times New Roman" w:cs="Times New Roman"/>
          <w:sz w:val="24"/>
          <w:szCs w:val="24"/>
        </w:rPr>
        <w:t>tabulu). Izdienas pensijas tiek aprēķinātas 55 % līdz 65 % apmērā no vidējās mēneša darba samaksas pēdējo trīs līdz piecu gadu periodā. Bez tam, par katru izdienas stāžu virs 20 gadiem izdienas pensijas apmērs tiek palielināts par 2 % no vidējās mēneša darba samaksas. Spēkā esoš</w:t>
      </w:r>
      <w:r w:rsidR="000C220D">
        <w:rPr>
          <w:rFonts w:ascii="Times New Roman" w:hAnsi="Times New Roman" w:cs="Times New Roman"/>
          <w:sz w:val="24"/>
          <w:szCs w:val="24"/>
        </w:rPr>
        <w:t>ie</w:t>
      </w:r>
      <w:r w:rsidRPr="0015154B">
        <w:rPr>
          <w:rFonts w:ascii="Times New Roman" w:hAnsi="Times New Roman" w:cs="Times New Roman"/>
          <w:sz w:val="24"/>
          <w:szCs w:val="24"/>
        </w:rPr>
        <w:t xml:space="preserve"> normatīvie akti izdienas pensiju jomā tostarp paredz iespēju, neatkarīgi no vecuma un pie noteikta apdrošināšanas stāža, atbrīvot personu no amata veselības stāvokļa dēļ, izdienas pensiju piešķirot 40% apmērā no vidējās mēneša darba samaksas.</w:t>
      </w:r>
    </w:p>
    <w:p w14:paraId="799D2945" w14:textId="1BA84880" w:rsidR="00200837" w:rsidRPr="0015154B" w:rsidRDefault="00200837" w:rsidP="000C220D">
      <w:pPr>
        <w:autoSpaceDE w:val="0"/>
        <w:autoSpaceDN w:val="0"/>
        <w:adjustRightInd w:val="0"/>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Izdienas pensiju aprēķināšanas kārtībā, pirmkārt, atšķiras nosacījumi par vidējās algas</w:t>
      </w:r>
      <w:r w:rsidR="000C220D">
        <w:rPr>
          <w:rFonts w:ascii="Times New Roman" w:hAnsi="Times New Roman" w:cs="Times New Roman"/>
          <w:sz w:val="24"/>
          <w:szCs w:val="24"/>
        </w:rPr>
        <w:t xml:space="preserve"> </w:t>
      </w:r>
      <w:r w:rsidRPr="0015154B">
        <w:rPr>
          <w:rFonts w:ascii="Times New Roman" w:hAnsi="Times New Roman" w:cs="Times New Roman"/>
          <w:sz w:val="24"/>
          <w:szCs w:val="24"/>
        </w:rPr>
        <w:t>procentu apmēru, kādu ņem par pamatu, aprēķinot izdienas pensijas apmēru – no 40% AiM struktūrās līdz 65% tiesnešiem un diplomātiem. Otrkārt, dažādi nosacījumi ir arī attiecībā uz laika periodu, kādā tiek ņemta vērā vidējā alga – SAB un diplomātiem tiek ņemta vērā vidējā alga pēdējos trīs gados, savukārt pārējam izdienas pensiju saņēmēju lokam – pēdējos piecos gados. IeM struktūrās strādājošiem un militārpersonām vienīgajiem no visiem izdienas pensijas saņēmējiem ir nodrošināta iespēja pārrēķināt vai izdienas pensiju pieprasīt piešķirt no jauna.</w:t>
      </w:r>
    </w:p>
    <w:p w14:paraId="1D4523D8" w14:textId="77777777" w:rsidR="00200837" w:rsidRPr="00040F6B" w:rsidRDefault="00200837" w:rsidP="007A3CF5">
      <w:pPr>
        <w:pStyle w:val="ListParagraph"/>
        <w:numPr>
          <w:ilvl w:val="0"/>
          <w:numId w:val="5"/>
        </w:numPr>
        <w:autoSpaceDE w:val="0"/>
        <w:autoSpaceDN w:val="0"/>
        <w:adjustRightInd w:val="0"/>
        <w:spacing w:before="120" w:after="0" w:line="240" w:lineRule="auto"/>
        <w:jc w:val="both"/>
        <w:rPr>
          <w:rFonts w:ascii="Times New Roman" w:hAnsi="Times New Roman"/>
          <w:color w:val="002060"/>
          <w:sz w:val="24"/>
          <w:szCs w:val="24"/>
        </w:rPr>
      </w:pPr>
      <w:r w:rsidRPr="00040F6B">
        <w:rPr>
          <w:rFonts w:ascii="Times New Roman" w:hAnsi="Times New Roman" w:cs="Times New Roman"/>
          <w:b/>
          <w:color w:val="002060"/>
          <w:sz w:val="24"/>
          <w:szCs w:val="24"/>
        </w:rPr>
        <w:t>liels izdienas pensionāru īpatsvars turpina strādāt, tai skaitā, tajā pašā nozarē/ profesijā, kas liecina par izdienas pensijas kā papildu ienākumu avota izmantošanu, nevis faktiski zudušām profesionālām prasmēm vai darbspējām</w:t>
      </w:r>
      <w:r w:rsidRPr="00040F6B">
        <w:rPr>
          <w:rFonts w:ascii="Times New Roman" w:hAnsi="Times New Roman" w:cs="Times New Roman"/>
          <w:color w:val="002060"/>
          <w:sz w:val="24"/>
          <w:szCs w:val="24"/>
        </w:rPr>
        <w:t>;</w:t>
      </w:r>
    </w:p>
    <w:p w14:paraId="007CDEFA" w14:textId="77777777" w:rsidR="00200837" w:rsidRPr="0015154B" w:rsidRDefault="00200837" w:rsidP="007A3CF5">
      <w:pPr>
        <w:autoSpaceDE w:val="0"/>
        <w:autoSpaceDN w:val="0"/>
        <w:adjustRightInd w:val="0"/>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lastRenderedPageBreak/>
        <w:t>Izdienas pensijas izmaksu pārtrauc, ja persona turpina strādāt profesijā, kas dod tiesības uz izdienas pensiju. Taču iekšlietu iestāžu darbiniekiem piešķirtās izdienas pensijas pārtrauc tikai tad, ja izdienas pensijas saņēmējs no jauna iestājas iekšlietu vai aizsardzības un to iestāžu dienestā, kas dod tiesības uz izdienas pensiju. Līdz ar to iekšlietu iestāžu darbinieks var turpināt strādāt, piemēram, KNAB vai prokuratūrā un saņemt pilnu izdienas pensiju.</w:t>
      </w:r>
    </w:p>
    <w:p w14:paraId="0875D4D0" w14:textId="146E68F9" w:rsidR="00200837" w:rsidRPr="007157D3" w:rsidRDefault="00200837" w:rsidP="007A3CF5">
      <w:pPr>
        <w:autoSpaceDE w:val="0"/>
        <w:autoSpaceDN w:val="0"/>
        <w:adjustRightInd w:val="0"/>
        <w:spacing w:before="120" w:after="0" w:line="240" w:lineRule="auto"/>
        <w:jc w:val="both"/>
        <w:rPr>
          <w:highlight w:val="lightGray"/>
        </w:rPr>
      </w:pPr>
      <w:r w:rsidRPr="0015154B">
        <w:rPr>
          <w:rFonts w:ascii="Times New Roman" w:hAnsi="Times New Roman" w:cs="Times New Roman"/>
          <w:sz w:val="24"/>
          <w:szCs w:val="24"/>
        </w:rPr>
        <w:t>Pēc VSAA datiem, liela daļa no izdienas pensionāru skaita, kuri nav sasnieguši vispārējo pensionēšanās vecumu, turpina strādāt</w:t>
      </w:r>
      <w:r w:rsidR="00A3540E" w:rsidRPr="0015154B">
        <w:rPr>
          <w:rFonts w:ascii="Times New Roman" w:hAnsi="Times New Roman" w:cs="Times New Roman"/>
          <w:sz w:val="24"/>
          <w:szCs w:val="24"/>
        </w:rPr>
        <w:t xml:space="preserve">. </w:t>
      </w:r>
      <w:r w:rsidRPr="0015154B">
        <w:rPr>
          <w:rFonts w:ascii="Times New Roman" w:hAnsi="Times New Roman" w:cs="Times New Roman"/>
          <w:sz w:val="24"/>
          <w:szCs w:val="24"/>
        </w:rPr>
        <w:t>Ņemot vērā, ka gandrīz 40% izdienas pensiju saņēmēju ir jaunāki par 50 gadiem un lielākā daļa no viņiem turpina strādāt arī pēc izdienas pensijas piešķiršanas, OECD ekspertu vērtējumā izdienas pensiju sistēma būtu jāintegrē vispārējā pensiju sistēmā</w:t>
      </w:r>
      <w:r w:rsidR="00A3540E" w:rsidRPr="0015154B">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105"/>
      </w:r>
      <w:r w:rsidRPr="007157D3">
        <w:rPr>
          <w:rFonts w:ascii="Times New Roman" w:hAnsi="Times New Roman" w:cs="Times New Roman"/>
          <w:sz w:val="24"/>
          <w:szCs w:val="24"/>
        </w:rPr>
        <w:t xml:space="preserve">  </w:t>
      </w:r>
    </w:p>
    <w:p w14:paraId="2B71E450" w14:textId="6D6D4630" w:rsidR="00200837" w:rsidRPr="007157D3" w:rsidRDefault="00200837" w:rsidP="007A3CF5">
      <w:pPr>
        <w:autoSpaceDE w:val="0"/>
        <w:autoSpaceDN w:val="0"/>
        <w:adjustRightInd w:val="0"/>
        <w:spacing w:before="120"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t>Piešķirot izdienas pensiju attiecīgajā likumā noteiktajā vecumā, netiek vērtēts, vai persona patiešām vairs nav spējīga līdzšinējo darbu veikt.</w:t>
      </w:r>
      <w:r w:rsidRPr="002F5278">
        <w:t xml:space="preserve"> </w:t>
      </w:r>
      <w:r w:rsidRPr="00573B49">
        <w:rPr>
          <w:rFonts w:ascii="Times New Roman" w:hAnsi="Times New Roman" w:cs="Times New Roman"/>
          <w:sz w:val="24"/>
          <w:szCs w:val="24"/>
        </w:rPr>
        <w:t>Arī Valsts kontrole konstatējusi, ka gandrīz 3/4 izdienas pensiju saņēmēju turpina strādāt arī pēc tam, kad viņiem piešķirta izdienas pensija, un daļai šo personu nav bijis vajadzības iesaistīties pārkvalifikācijas pasākumos, jo tās turpina darboties tajā pašā profesionālajā virzienā, par darbu kurā tām piešķirta izdienas pensija. Turklāt katra piektā persona ir atradusi darbu uzreiz pēc tam, kad tai piešķirta izdienas pensija, un turpina strādāt bez pārtraukuma, bet 120 personas turpina strādāt, lai gan ir sasniegušas vispārējo pensionēšanās vecumu. Šī analīze apliecina personas pēc izdienas pensijas saņemšanas spēju iekļauties darba tirgū</w:t>
      </w:r>
      <w:r w:rsidR="008F190F" w:rsidRPr="0025422D">
        <w:rPr>
          <w:rFonts w:ascii="Times New Roman" w:hAnsi="Times New Roman" w:cs="Times New Roman"/>
          <w:sz w:val="24"/>
          <w:szCs w:val="24"/>
        </w:rPr>
        <w:t>.</w:t>
      </w:r>
      <w:r w:rsidRPr="00A857F2">
        <w:rPr>
          <w:rStyle w:val="FootnoteReference"/>
          <w:rFonts w:ascii="Times New Roman" w:hAnsi="Times New Roman" w:cs="Times New Roman"/>
          <w:sz w:val="24"/>
          <w:szCs w:val="24"/>
        </w:rPr>
        <w:t xml:space="preserve"> </w:t>
      </w:r>
      <w:r w:rsidRPr="007157D3">
        <w:rPr>
          <w:rStyle w:val="FootnoteReference"/>
          <w:rFonts w:ascii="Times New Roman" w:hAnsi="Times New Roman" w:cs="Times New Roman"/>
          <w:sz w:val="24"/>
          <w:szCs w:val="24"/>
        </w:rPr>
        <w:footnoteReference w:id="106"/>
      </w:r>
      <w:r w:rsidRPr="007157D3">
        <w:rPr>
          <w:rFonts w:ascii="Times New Roman" w:hAnsi="Times New Roman" w:cs="Times New Roman"/>
          <w:sz w:val="24"/>
          <w:szCs w:val="24"/>
        </w:rPr>
        <w:t xml:space="preserve"> </w:t>
      </w:r>
    </w:p>
    <w:p w14:paraId="4B50A61B" w14:textId="77777777" w:rsidR="00200837" w:rsidRPr="007157D3" w:rsidRDefault="00200837" w:rsidP="007A3CF5">
      <w:pPr>
        <w:autoSpaceDE w:val="0"/>
        <w:autoSpaceDN w:val="0"/>
        <w:adjustRightInd w:val="0"/>
        <w:spacing w:before="120"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t>Šobrīd izdienas pensijas ir noteiktas arī tādām profesijām, kurās strādājošiem pēc izdienas pensijas piešķiršanas nav nepieciešams pārkvalificēties, lai turpinātu veikt algotu darbu pēc izdienas pensijas saņemšanas. Valsts kontroles ziņojumā, piekrītot, ka vairākās profesijās strādājošajiem pastāv būtisks veselības un dzīvības apdraudējuma risks vai arī ir nepieciešamas iemaņas, kas saistītas ar f</w:t>
      </w:r>
      <w:r w:rsidRPr="002F5278">
        <w:rPr>
          <w:rFonts w:ascii="Times New Roman" w:hAnsi="Times New Roman" w:cs="Times New Roman"/>
          <w:sz w:val="24"/>
          <w:szCs w:val="24"/>
        </w:rPr>
        <w:t xml:space="preserve">izisku spēku un noturību, vienlaikus tiek norādīts, ka risku un prasību esamība nenozīmē, ka personai nav iespēja un tā </w:t>
      </w:r>
      <w:r w:rsidRPr="00573B49">
        <w:rPr>
          <w:rFonts w:ascii="Times New Roman" w:hAnsi="Times New Roman"/>
          <w:sz w:val="24"/>
          <w:szCs w:val="24"/>
        </w:rPr>
        <w:t>nespēs pārkvalificēties un strādāt citā amatā, kuram nav izvirzītas tik specifiskas prasības.</w:t>
      </w:r>
      <w:r w:rsidRPr="007157D3">
        <w:rPr>
          <w:rStyle w:val="FootnoteReference"/>
          <w:rFonts w:ascii="Times New Roman" w:hAnsi="Times New Roman"/>
          <w:sz w:val="24"/>
          <w:szCs w:val="24"/>
        </w:rPr>
        <w:footnoteReference w:id="107"/>
      </w:r>
    </w:p>
    <w:p w14:paraId="700139DD" w14:textId="77777777" w:rsidR="00200837" w:rsidRPr="00040F6B" w:rsidRDefault="00200837" w:rsidP="007A3CF5">
      <w:pPr>
        <w:pStyle w:val="ListParagraph"/>
        <w:numPr>
          <w:ilvl w:val="0"/>
          <w:numId w:val="5"/>
        </w:numPr>
        <w:autoSpaceDE w:val="0"/>
        <w:autoSpaceDN w:val="0"/>
        <w:adjustRightInd w:val="0"/>
        <w:spacing w:before="120" w:after="0" w:line="240" w:lineRule="auto"/>
        <w:jc w:val="both"/>
        <w:rPr>
          <w:rFonts w:ascii="Times New Roman" w:hAnsi="Times New Roman"/>
          <w:color w:val="002060"/>
          <w:sz w:val="24"/>
          <w:szCs w:val="24"/>
        </w:rPr>
      </w:pPr>
      <w:r w:rsidRPr="00040F6B">
        <w:rPr>
          <w:rFonts w:ascii="Times New Roman" w:hAnsi="Times New Roman" w:cs="Times New Roman"/>
          <w:b/>
          <w:color w:val="002060"/>
          <w:sz w:val="24"/>
          <w:szCs w:val="24"/>
        </w:rPr>
        <w:t>strauji pieaugoši valsts pamatbudžeta izdevumi, kas rada būtisku finansiālās ilgtspējas risku un fiskālu ietekmi uz valsts budžetu</w:t>
      </w:r>
      <w:r w:rsidRPr="00040F6B">
        <w:rPr>
          <w:rFonts w:ascii="Times New Roman" w:hAnsi="Times New Roman" w:cs="Times New Roman"/>
          <w:color w:val="002060"/>
          <w:sz w:val="24"/>
          <w:szCs w:val="24"/>
        </w:rPr>
        <w:t>:</w:t>
      </w:r>
    </w:p>
    <w:p w14:paraId="7A15CE3D" w14:textId="314A8521" w:rsidR="00200837" w:rsidRPr="0015154B" w:rsidRDefault="00200837" w:rsidP="00040F6B">
      <w:pPr>
        <w:autoSpaceDE w:val="0"/>
        <w:autoSpaceDN w:val="0"/>
        <w:adjustRightInd w:val="0"/>
        <w:spacing w:before="120" w:after="0" w:line="240" w:lineRule="auto"/>
        <w:jc w:val="both"/>
        <w:rPr>
          <w:rFonts w:ascii="Times New Roman" w:hAnsi="Times New Roman"/>
          <w:sz w:val="24"/>
          <w:szCs w:val="24"/>
        </w:rPr>
      </w:pPr>
      <w:r w:rsidRPr="00573B49">
        <w:rPr>
          <w:rFonts w:ascii="Times New Roman" w:hAnsi="Times New Roman"/>
          <w:sz w:val="24"/>
          <w:szCs w:val="24"/>
        </w:rPr>
        <w:t>Nepārtraukti paplašinot izdienas pensiju saņēmēju kategorijas un attiecīgi palielinoties izdienas pensijas saņēmēju skaitam, pastāvīgi pieaug arī izdienas pensiju nodrošināšanai nepieciešamais valsts budžeta finansējums.</w:t>
      </w:r>
      <w:r w:rsidRPr="0025422D">
        <w:rPr>
          <w:rFonts w:ascii="Times New Roman" w:hAnsi="Times New Roman"/>
          <w:sz w:val="23"/>
          <w:szCs w:val="23"/>
        </w:rPr>
        <w:t xml:space="preserve"> </w:t>
      </w:r>
      <w:r w:rsidRPr="00A857F2">
        <w:rPr>
          <w:rFonts w:ascii="Times New Roman" w:hAnsi="Times New Roman"/>
          <w:sz w:val="24"/>
          <w:szCs w:val="24"/>
        </w:rPr>
        <w:t>Latvijā izdienas pensijām izmaksāto līdzekļu apmērs laika posmā</w:t>
      </w:r>
      <w:r w:rsidRPr="00662D1E">
        <w:rPr>
          <w:rFonts w:ascii="Times New Roman" w:hAnsi="Times New Roman"/>
          <w:spacing w:val="11"/>
          <w:sz w:val="24"/>
          <w:szCs w:val="24"/>
        </w:rPr>
        <w:t xml:space="preserve"> no 2014.-2019.gadam ir palielinājies vairāk nekā par 40% (</w:t>
      </w:r>
      <w:r w:rsidRPr="009703E6">
        <w:rPr>
          <w:rFonts w:ascii="Times New Roman" w:hAnsi="Times New Roman"/>
          <w:spacing w:val="11"/>
          <w:sz w:val="24"/>
          <w:szCs w:val="24"/>
          <w:highlight w:val="yellow"/>
        </w:rPr>
        <w:t>skat</w:t>
      </w:r>
      <w:r w:rsidR="008F190F" w:rsidRPr="009703E6">
        <w:rPr>
          <w:rFonts w:ascii="Times New Roman" w:hAnsi="Times New Roman"/>
          <w:spacing w:val="11"/>
          <w:sz w:val="24"/>
          <w:szCs w:val="24"/>
          <w:highlight w:val="yellow"/>
        </w:rPr>
        <w:t>. 1</w:t>
      </w:r>
      <w:r w:rsidR="00974F0C">
        <w:rPr>
          <w:rFonts w:ascii="Times New Roman" w:hAnsi="Times New Roman"/>
          <w:spacing w:val="11"/>
          <w:sz w:val="24"/>
          <w:szCs w:val="24"/>
          <w:highlight w:val="yellow"/>
        </w:rPr>
        <w:t>6</w:t>
      </w:r>
      <w:r w:rsidR="00A3540E" w:rsidRPr="0015154B">
        <w:rPr>
          <w:rFonts w:ascii="Times New Roman" w:hAnsi="Times New Roman"/>
          <w:spacing w:val="11"/>
          <w:sz w:val="24"/>
          <w:szCs w:val="24"/>
          <w:highlight w:val="yellow"/>
        </w:rPr>
        <w:t>.</w:t>
      </w:r>
      <w:r w:rsidRPr="0015154B">
        <w:rPr>
          <w:rFonts w:ascii="Times New Roman" w:hAnsi="Times New Roman"/>
          <w:spacing w:val="11"/>
          <w:sz w:val="24"/>
          <w:szCs w:val="24"/>
          <w:highlight w:val="yellow"/>
        </w:rPr>
        <w:t>attēlu</w:t>
      </w:r>
      <w:r w:rsidRPr="0015154B">
        <w:rPr>
          <w:rFonts w:ascii="Times New Roman" w:hAnsi="Times New Roman"/>
          <w:spacing w:val="11"/>
          <w:sz w:val="24"/>
          <w:szCs w:val="24"/>
        </w:rPr>
        <w:t>).</w:t>
      </w:r>
      <w:r w:rsidR="00A3540E" w:rsidRPr="0015154B">
        <w:rPr>
          <w:rFonts w:ascii="Times New Roman" w:hAnsi="Times New Roman"/>
          <w:spacing w:val="11"/>
          <w:sz w:val="24"/>
          <w:szCs w:val="24"/>
        </w:rPr>
        <w:t xml:space="preserve"> </w:t>
      </w:r>
      <w:r w:rsidRPr="0015154B">
        <w:rPr>
          <w:rFonts w:ascii="Times New Roman" w:hAnsi="Times New Roman"/>
          <w:sz w:val="24"/>
          <w:szCs w:val="24"/>
        </w:rPr>
        <w:t>Neveicot būtisku izdienas pensiju politikas pārskatīšanu, nepieciešamā finansējuma samazināšanās</w:t>
      </w:r>
      <w:r w:rsidR="00040F6B" w:rsidRPr="00040F6B">
        <w:rPr>
          <w:rFonts w:ascii="Times New Roman" w:hAnsi="Times New Roman"/>
          <w:sz w:val="24"/>
          <w:szCs w:val="24"/>
        </w:rPr>
        <w:t xml:space="preserve"> </w:t>
      </w:r>
      <w:r w:rsidR="00040F6B" w:rsidRPr="0015154B">
        <w:rPr>
          <w:rFonts w:ascii="Times New Roman" w:hAnsi="Times New Roman"/>
          <w:sz w:val="24"/>
          <w:szCs w:val="24"/>
        </w:rPr>
        <w:t>nav prognozējama</w:t>
      </w:r>
      <w:r w:rsidRPr="0015154B">
        <w:rPr>
          <w:rFonts w:ascii="Times New Roman" w:hAnsi="Times New Roman"/>
          <w:sz w:val="24"/>
          <w:szCs w:val="24"/>
        </w:rPr>
        <w:t>.</w:t>
      </w:r>
    </w:p>
    <w:p w14:paraId="3195FD36" w14:textId="77777777" w:rsidR="00200837" w:rsidRPr="0015154B" w:rsidRDefault="00200837" w:rsidP="008F190F">
      <w:pPr>
        <w:autoSpaceDE w:val="0"/>
        <w:autoSpaceDN w:val="0"/>
        <w:adjustRightInd w:val="0"/>
        <w:spacing w:after="0" w:line="240" w:lineRule="auto"/>
        <w:jc w:val="both"/>
        <w:rPr>
          <w:rFonts w:ascii="Times New Roman" w:hAnsi="Times New Roman" w:cs="Times New Roman"/>
          <w:sz w:val="24"/>
          <w:szCs w:val="24"/>
          <w:highlight w:val="lightGray"/>
        </w:rPr>
      </w:pPr>
    </w:p>
    <w:p w14:paraId="51CAB3CF" w14:textId="77777777" w:rsidR="00431EF9" w:rsidRDefault="00431EF9">
      <w:pPr>
        <w:rPr>
          <w:rFonts w:ascii="Times New Roman" w:hAnsi="Times New Roman" w:cs="Times New Roman"/>
          <w:sz w:val="24"/>
          <w:szCs w:val="24"/>
        </w:rPr>
      </w:pPr>
      <w:r>
        <w:rPr>
          <w:rFonts w:ascii="Times New Roman" w:hAnsi="Times New Roman" w:cs="Times New Roman"/>
          <w:sz w:val="24"/>
          <w:szCs w:val="24"/>
        </w:rPr>
        <w:br w:type="page"/>
      </w:r>
    </w:p>
    <w:p w14:paraId="621FCE9E" w14:textId="39FA48E1" w:rsidR="00200837" w:rsidRPr="0015154B" w:rsidRDefault="008F190F" w:rsidP="008F190F">
      <w:pPr>
        <w:autoSpaceDE w:val="0"/>
        <w:autoSpaceDN w:val="0"/>
        <w:adjustRightInd w:val="0"/>
        <w:spacing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lastRenderedPageBreak/>
        <w:t>1</w:t>
      </w:r>
      <w:r w:rsidR="00974F0C">
        <w:rPr>
          <w:rFonts w:ascii="Times New Roman" w:hAnsi="Times New Roman" w:cs="Times New Roman"/>
          <w:sz w:val="24"/>
          <w:szCs w:val="24"/>
        </w:rPr>
        <w:t>6</w:t>
      </w:r>
      <w:r w:rsidRPr="0015154B">
        <w:rPr>
          <w:rFonts w:ascii="Times New Roman" w:hAnsi="Times New Roman" w:cs="Times New Roman"/>
          <w:sz w:val="24"/>
          <w:szCs w:val="24"/>
        </w:rPr>
        <w:t>.</w:t>
      </w:r>
      <w:r w:rsidR="00200837" w:rsidRPr="0015154B">
        <w:rPr>
          <w:rFonts w:ascii="Times New Roman" w:hAnsi="Times New Roman" w:cs="Times New Roman"/>
          <w:sz w:val="24"/>
          <w:szCs w:val="24"/>
        </w:rPr>
        <w:t>attēls</w:t>
      </w:r>
    </w:p>
    <w:p w14:paraId="7946609B" w14:textId="1B238DF1" w:rsidR="00200837" w:rsidRPr="0015154B" w:rsidRDefault="00200837" w:rsidP="008F190F">
      <w:pPr>
        <w:autoSpaceDE w:val="0"/>
        <w:autoSpaceDN w:val="0"/>
        <w:adjustRightInd w:val="0"/>
        <w:spacing w:after="0" w:line="240" w:lineRule="auto"/>
        <w:ind w:firstLine="720"/>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Izdienas pensionāru skaits un izdevumi (2011 – 2019)*</w:t>
      </w:r>
    </w:p>
    <w:p w14:paraId="3E091F9B" w14:textId="77777777" w:rsidR="00A63A5A" w:rsidRPr="0015154B" w:rsidRDefault="00A63A5A" w:rsidP="008F190F">
      <w:pPr>
        <w:autoSpaceDE w:val="0"/>
        <w:autoSpaceDN w:val="0"/>
        <w:adjustRightInd w:val="0"/>
        <w:spacing w:after="0" w:line="240" w:lineRule="auto"/>
        <w:ind w:firstLine="720"/>
        <w:jc w:val="center"/>
        <w:rPr>
          <w:rFonts w:ascii="Times New Roman" w:hAnsi="Times New Roman" w:cs="Times New Roman"/>
          <w:b/>
          <w:sz w:val="24"/>
          <w:szCs w:val="24"/>
        </w:rPr>
      </w:pPr>
    </w:p>
    <w:p w14:paraId="1BF51904" w14:textId="77777777" w:rsidR="00200837" w:rsidRPr="007157D3" w:rsidRDefault="00200837" w:rsidP="00200837">
      <w:pPr>
        <w:autoSpaceDE w:val="0"/>
        <w:autoSpaceDN w:val="0"/>
        <w:adjustRightInd w:val="0"/>
        <w:spacing w:after="0" w:line="240" w:lineRule="auto"/>
        <w:jc w:val="both"/>
        <w:rPr>
          <w:rFonts w:ascii="Times New Roman" w:hAnsi="Times New Roman" w:cs="Times New Roman"/>
          <w:sz w:val="24"/>
          <w:szCs w:val="24"/>
        </w:rPr>
      </w:pPr>
      <w:r w:rsidRPr="00040F6B">
        <w:rPr>
          <w:rFonts w:ascii="Times New Roman" w:hAnsi="Times New Roman" w:cs="Times New Roman"/>
          <w:noProof/>
          <w:sz w:val="24"/>
          <w:szCs w:val="24"/>
          <w:lang w:eastAsia="lv-LV"/>
        </w:rPr>
        <w:drawing>
          <wp:inline distT="0" distB="0" distL="0" distR="0" wp14:anchorId="50968325" wp14:editId="08EAC4EE">
            <wp:extent cx="5464278" cy="3162300"/>
            <wp:effectExtent l="0" t="0" r="3175" b="0"/>
            <wp:docPr id="1" name="Chart 1">
              <a:extLst xmlns:a="http://schemas.openxmlformats.org/drawingml/2006/main">
                <a:ext uri="{FF2B5EF4-FFF2-40B4-BE49-F238E27FC236}">
                  <a16:creationId xmlns:a16="http://schemas.microsoft.com/office/drawing/2014/main" id="{513E1F14-44F3-466C-A0B0-60163257F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4CD67ED" w14:textId="77777777" w:rsidR="00200837" w:rsidRPr="002F5278" w:rsidRDefault="00200837" w:rsidP="00200837">
      <w:pPr>
        <w:autoSpaceDE w:val="0"/>
        <w:autoSpaceDN w:val="0"/>
        <w:adjustRightInd w:val="0"/>
        <w:spacing w:after="0" w:line="240" w:lineRule="auto"/>
        <w:ind w:left="142" w:hanging="142"/>
        <w:jc w:val="both"/>
        <w:rPr>
          <w:rFonts w:ascii="Times New Roman" w:hAnsi="Times New Roman" w:cs="Times New Roman"/>
          <w:sz w:val="20"/>
          <w:szCs w:val="20"/>
        </w:rPr>
      </w:pPr>
      <w:r w:rsidRPr="007157D3">
        <w:rPr>
          <w:rFonts w:ascii="Times New Roman" w:hAnsi="Times New Roman" w:cs="Times New Roman"/>
          <w:sz w:val="24"/>
          <w:szCs w:val="24"/>
        </w:rPr>
        <w:t xml:space="preserve">* </w:t>
      </w:r>
      <w:r w:rsidRPr="007157D3">
        <w:rPr>
          <w:rFonts w:ascii="Times New Roman" w:hAnsi="Times New Roman" w:cs="Times New Roman"/>
          <w:sz w:val="20"/>
          <w:szCs w:val="20"/>
        </w:rPr>
        <w:t xml:space="preserve">Dati par VSAA uzskaitē esošām izdienas pensijām un Aizsardzības ministrijas dati par militārpersonu izdienas pensijām, neieskaitot </w:t>
      </w:r>
      <w:r w:rsidRPr="002F5278">
        <w:rPr>
          <w:rFonts w:ascii="Times New Roman" w:hAnsi="Times New Roman" w:cs="Times New Roman"/>
          <w:sz w:val="20"/>
          <w:szCs w:val="20"/>
        </w:rPr>
        <w:t>pensijas valsts drošības iestāžu amatpersonām.</w:t>
      </w:r>
    </w:p>
    <w:p w14:paraId="7718AEC9" w14:textId="77777777" w:rsidR="00200837" w:rsidRPr="00573B49" w:rsidRDefault="00200837" w:rsidP="00200837">
      <w:pPr>
        <w:pStyle w:val="NormalWeb"/>
        <w:spacing w:before="0" w:beforeAutospacing="0" w:after="0" w:afterAutospacing="0"/>
        <w:jc w:val="both"/>
        <w:textAlignment w:val="baseline"/>
        <w:rPr>
          <w:rFonts w:ascii="Times New Roman" w:hAnsi="Times New Roman"/>
          <w:spacing w:val="11"/>
          <w:sz w:val="24"/>
          <w:szCs w:val="24"/>
        </w:rPr>
      </w:pPr>
    </w:p>
    <w:p w14:paraId="08F63DFF" w14:textId="77777777" w:rsidR="00200837" w:rsidRPr="007157D3" w:rsidRDefault="00200837" w:rsidP="007A3CF5">
      <w:pPr>
        <w:autoSpaceDE w:val="0"/>
        <w:autoSpaceDN w:val="0"/>
        <w:adjustRightInd w:val="0"/>
        <w:spacing w:before="120" w:after="0" w:line="240" w:lineRule="auto"/>
        <w:jc w:val="both"/>
        <w:rPr>
          <w:rFonts w:ascii="Times New Roman" w:hAnsi="Times New Roman"/>
          <w:spacing w:val="11"/>
          <w:sz w:val="24"/>
          <w:szCs w:val="24"/>
        </w:rPr>
      </w:pPr>
      <w:r w:rsidRPr="00573B49">
        <w:rPr>
          <w:rFonts w:ascii="Times New Roman" w:hAnsi="Times New Roman" w:cs="Times New Roman"/>
          <w:sz w:val="24"/>
          <w:szCs w:val="24"/>
        </w:rPr>
        <w:t>Lai gan nav pieejama visaptveroša informācija par izdienas pensijām, tomēr zināmu ieskatu sniedz Novecošanās ziņojuma izstrādes laikā apkopotie dati par speciālajām pensijām ES dalībvalstīm. Saskaņā ar šo informāciju, Latvijā ir viens no augstākajiem speciālo  pensiju</w:t>
      </w:r>
      <w:r w:rsidRPr="007157D3">
        <w:rPr>
          <w:rStyle w:val="FootnoteReference"/>
          <w:rFonts w:ascii="Times New Roman" w:hAnsi="Times New Roman" w:cs="Times New Roman"/>
          <w:sz w:val="24"/>
          <w:szCs w:val="24"/>
        </w:rPr>
        <w:footnoteReference w:id="108"/>
      </w:r>
      <w:r w:rsidRPr="007157D3">
        <w:rPr>
          <w:rFonts w:ascii="Times New Roman" w:hAnsi="Times New Roman" w:cs="Times New Roman"/>
          <w:sz w:val="24"/>
          <w:szCs w:val="24"/>
        </w:rPr>
        <w:t xml:space="preserve"> saņēmēju īpatsvariem pensiju saņēmēju kopskaitā, augstāks speciālo pensiju saņēmēju īpatsvars ir tikai Polijā, Somijā un Horvātijā. Arī izdevumu procentuālais apmērs no IKP speciālajām pensijām Latvijā ir vērtējams kā relatīvi augsts.</w:t>
      </w:r>
      <w:r w:rsidRPr="007157D3">
        <w:rPr>
          <w:rStyle w:val="FootnoteReference"/>
          <w:rFonts w:ascii="Times New Roman" w:hAnsi="Times New Roman" w:cs="Times New Roman"/>
          <w:sz w:val="24"/>
          <w:szCs w:val="24"/>
        </w:rPr>
        <w:footnoteReference w:id="109"/>
      </w:r>
    </w:p>
    <w:p w14:paraId="69B5258B" w14:textId="77777777" w:rsidR="00200837" w:rsidRPr="00040F6B" w:rsidRDefault="00200837" w:rsidP="007A3CF5">
      <w:pPr>
        <w:pStyle w:val="ListParagraph"/>
        <w:numPr>
          <w:ilvl w:val="0"/>
          <w:numId w:val="5"/>
        </w:numPr>
        <w:autoSpaceDE w:val="0"/>
        <w:autoSpaceDN w:val="0"/>
        <w:adjustRightInd w:val="0"/>
        <w:spacing w:before="120" w:after="0" w:line="240" w:lineRule="auto"/>
        <w:jc w:val="both"/>
        <w:rPr>
          <w:rFonts w:ascii="Times New Roman" w:hAnsi="Times New Roman"/>
          <w:color w:val="002060"/>
          <w:sz w:val="24"/>
          <w:szCs w:val="24"/>
        </w:rPr>
      </w:pPr>
      <w:r w:rsidRPr="00040F6B">
        <w:rPr>
          <w:rFonts w:ascii="Times New Roman" w:hAnsi="Times New Roman" w:cs="Times New Roman"/>
          <w:b/>
          <w:bCs/>
          <w:color w:val="002060"/>
          <w:sz w:val="24"/>
          <w:szCs w:val="24"/>
        </w:rPr>
        <w:t>izdienas pensiju tiesības nodrošinātas jomās, kuru darba specifika neatbilst izdienas pensiju mērķim:</w:t>
      </w:r>
    </w:p>
    <w:p w14:paraId="4F69B8BF" w14:textId="19A27283" w:rsidR="00200837" w:rsidRPr="0025422D" w:rsidRDefault="00200837" w:rsidP="00040F6B">
      <w:pPr>
        <w:autoSpaceDE w:val="0"/>
        <w:autoSpaceDN w:val="0"/>
        <w:adjustRightInd w:val="0"/>
        <w:spacing w:before="120" w:after="0" w:line="240" w:lineRule="auto"/>
        <w:jc w:val="both"/>
        <w:rPr>
          <w:rFonts w:ascii="Times New Roman" w:hAnsi="Times New Roman" w:cs="Times New Roman"/>
          <w:sz w:val="24"/>
          <w:szCs w:val="24"/>
        </w:rPr>
      </w:pPr>
      <w:r w:rsidRPr="002F5278">
        <w:rPr>
          <w:rFonts w:ascii="Times New Roman" w:hAnsi="Times New Roman" w:cs="Times New Roman"/>
          <w:sz w:val="24"/>
          <w:szCs w:val="24"/>
        </w:rPr>
        <w:t>Satversmes tiesa 2010.gada 31.marta spriedumā Nr.2009-76-01, analizējot visas valstī</w:t>
      </w:r>
      <w:r w:rsidR="00040F6B">
        <w:rPr>
          <w:rFonts w:ascii="Times New Roman" w:hAnsi="Times New Roman" w:cs="Times New Roman"/>
          <w:sz w:val="24"/>
          <w:szCs w:val="24"/>
        </w:rPr>
        <w:t xml:space="preserve"> </w:t>
      </w:r>
      <w:r w:rsidRPr="00573B49">
        <w:rPr>
          <w:rFonts w:ascii="Times New Roman" w:hAnsi="Times New Roman" w:cs="Times New Roman"/>
          <w:sz w:val="24"/>
          <w:szCs w:val="24"/>
        </w:rPr>
        <w:t xml:space="preserve">noteiktās izdienas pensijas, ir secinājusi, ka argumentus, kas pamato, kādēļ atsevišķām valsts nodarbināto personu kategorijām tiek noteikta sevišķa sociālā garantija </w:t>
      </w:r>
      <w:r w:rsidRPr="00573B49">
        <w:rPr>
          <w:rFonts w:ascii="Symbol" w:hAnsi="Symbol" w:cs="Symbol"/>
          <w:sz w:val="24"/>
          <w:szCs w:val="24"/>
        </w:rPr>
        <w:t></w:t>
      </w:r>
      <w:r w:rsidRPr="00573B49">
        <w:rPr>
          <w:rFonts w:ascii="Symbol" w:hAnsi="Symbol" w:cs="Symbol"/>
          <w:sz w:val="24"/>
          <w:szCs w:val="24"/>
        </w:rPr>
        <w:t></w:t>
      </w:r>
      <w:r w:rsidRPr="0025422D">
        <w:rPr>
          <w:rFonts w:ascii="Times New Roman" w:hAnsi="Times New Roman" w:cs="Times New Roman"/>
          <w:sz w:val="24"/>
          <w:szCs w:val="24"/>
        </w:rPr>
        <w:t>izdienas pensija, nosacīti var iedalīt vairākās grupās:</w:t>
      </w:r>
    </w:p>
    <w:p w14:paraId="25E1550D" w14:textId="0F07D9D6" w:rsidR="00200837" w:rsidRPr="00040F6B" w:rsidRDefault="00200837" w:rsidP="00040F6B">
      <w:pPr>
        <w:pStyle w:val="ListParagraph"/>
        <w:numPr>
          <w:ilvl w:val="0"/>
          <w:numId w:val="65"/>
        </w:numPr>
        <w:autoSpaceDE w:val="0"/>
        <w:autoSpaceDN w:val="0"/>
        <w:adjustRightInd w:val="0"/>
        <w:spacing w:before="120" w:after="0" w:line="240" w:lineRule="auto"/>
        <w:jc w:val="both"/>
        <w:rPr>
          <w:rFonts w:ascii="Times New Roman" w:hAnsi="Times New Roman" w:cs="Times New Roman"/>
          <w:sz w:val="24"/>
          <w:szCs w:val="24"/>
        </w:rPr>
      </w:pPr>
      <w:r w:rsidRPr="00040F6B">
        <w:rPr>
          <w:rFonts w:ascii="Times New Roman" w:hAnsi="Times New Roman" w:cs="Times New Roman"/>
          <w:sz w:val="24"/>
          <w:szCs w:val="24"/>
        </w:rPr>
        <w:t>attiecīgā dienesta vai profesijas īpatnības ir saistītas ar profesionālo iemaņu mazināšanos vai zudumu, sasniedzot noteiktu vecumu vai nostrādājot šajā profesijā noteiktu laiku (uzkrājot zināmu darba stāžu);</w:t>
      </w:r>
    </w:p>
    <w:p w14:paraId="50888925" w14:textId="5E93A8E6" w:rsidR="00200837" w:rsidRPr="00040F6B" w:rsidRDefault="00200837" w:rsidP="00040F6B">
      <w:pPr>
        <w:pStyle w:val="ListParagraph"/>
        <w:numPr>
          <w:ilvl w:val="0"/>
          <w:numId w:val="65"/>
        </w:numPr>
        <w:autoSpaceDE w:val="0"/>
        <w:autoSpaceDN w:val="0"/>
        <w:adjustRightInd w:val="0"/>
        <w:spacing w:before="120" w:after="0" w:line="240" w:lineRule="auto"/>
        <w:jc w:val="both"/>
        <w:rPr>
          <w:rFonts w:ascii="Times New Roman" w:hAnsi="Times New Roman" w:cs="Times New Roman"/>
          <w:sz w:val="24"/>
          <w:szCs w:val="24"/>
        </w:rPr>
      </w:pPr>
      <w:r w:rsidRPr="00040F6B">
        <w:rPr>
          <w:rFonts w:ascii="Times New Roman" w:hAnsi="Times New Roman" w:cs="Times New Roman"/>
          <w:sz w:val="24"/>
          <w:szCs w:val="24"/>
        </w:rPr>
        <w:t xml:space="preserve">attiecīgā persona pilda valstij svarīgu dienestu, kura gaita būtiski atšķiras no to personu darba apstākļiem, kuras strādā uz civiltiesiska līguma pamata. Dienesta laikā persona ir pakļauta valsts noteiktiem būtiskiem ierobežojumiem (dienesta gaitas reglamentiem u.c.), tās pienākums ir iesaistīties dienesta izpildē iepriekš neparedzētos, nereti bīstamos </w:t>
      </w:r>
      <w:r w:rsidRPr="00040F6B">
        <w:rPr>
          <w:rFonts w:ascii="Times New Roman" w:hAnsi="Times New Roman" w:cs="Times New Roman"/>
          <w:sz w:val="24"/>
          <w:szCs w:val="24"/>
        </w:rPr>
        <w:lastRenderedPageBreak/>
        <w:t>apstākļos. Izdienas pensija šajā gadījumā, no vienas puses, kompensē minētā dienesta laikā priekšlaicīgi zaudētās darba spējas, bet, no otras puses, kalpo kā kompensācija par dienesta laikā noteiktajiem ierobežojumiem neatkarīgi no tā, vai šie ierobežojumi ir vai nav radījuši priekšlaicīgu darba spēju samazināšanos;</w:t>
      </w:r>
    </w:p>
    <w:p w14:paraId="21023DD7" w14:textId="68708E39" w:rsidR="00200837" w:rsidRPr="00040F6B" w:rsidRDefault="00200837" w:rsidP="00040F6B">
      <w:pPr>
        <w:pStyle w:val="ListParagraph"/>
        <w:numPr>
          <w:ilvl w:val="0"/>
          <w:numId w:val="65"/>
        </w:numPr>
        <w:autoSpaceDE w:val="0"/>
        <w:autoSpaceDN w:val="0"/>
        <w:adjustRightInd w:val="0"/>
        <w:spacing w:before="120" w:after="0" w:line="240" w:lineRule="auto"/>
        <w:jc w:val="both"/>
        <w:rPr>
          <w:rFonts w:ascii="Times New Roman" w:hAnsi="Times New Roman" w:cs="Times New Roman"/>
          <w:sz w:val="24"/>
          <w:szCs w:val="24"/>
        </w:rPr>
      </w:pPr>
      <w:r w:rsidRPr="00040F6B">
        <w:rPr>
          <w:rFonts w:ascii="Times New Roman" w:hAnsi="Times New Roman" w:cs="Times New Roman"/>
          <w:sz w:val="24"/>
          <w:szCs w:val="24"/>
        </w:rPr>
        <w:t>izdienas pensija netieši veido it kā “atliktu atalgojumu” par nevainojamu dienestu ilgā laika periodā un sekmē attiecīgo dienestu un institūciju kvalitatīvu darbību, it īpaši antikorupcijas aspektā.</w:t>
      </w:r>
    </w:p>
    <w:p w14:paraId="6E0B1C12" w14:textId="77777777" w:rsidR="00200837" w:rsidRPr="00662D1E" w:rsidRDefault="00200837" w:rsidP="007A3CF5">
      <w:pPr>
        <w:spacing w:before="120" w:after="0" w:line="240" w:lineRule="auto"/>
        <w:jc w:val="both"/>
        <w:rPr>
          <w:rFonts w:ascii="Times New Roman" w:hAnsi="Times New Roman" w:cs="Times New Roman"/>
          <w:spacing w:val="4"/>
          <w:sz w:val="24"/>
          <w:szCs w:val="24"/>
          <w:lang w:eastAsia="lv-LV"/>
        </w:rPr>
      </w:pPr>
      <w:r w:rsidRPr="0015154B">
        <w:rPr>
          <w:rFonts w:ascii="Times New Roman" w:hAnsi="Times New Roman" w:cs="Times New Roman"/>
          <w:sz w:val="24"/>
          <w:szCs w:val="24"/>
        </w:rPr>
        <w:t>Kā norādīts pētījumā, pirmās grupas nosacījumi tiešā veidā nav attiecināmi uz tiesnešiem un diplomātiskā dienesta darbiniekiem, savukārt otrās un trešās grupas nosacījumi neattiecas uz mākslas profesiju pārstāvjiem</w:t>
      </w:r>
      <w:r w:rsidRPr="007157D3">
        <w:rPr>
          <w:rStyle w:val="FootnoteReference"/>
          <w:rFonts w:ascii="Times New Roman" w:hAnsi="Times New Roman" w:cs="Times New Roman"/>
          <w:sz w:val="24"/>
          <w:szCs w:val="24"/>
        </w:rPr>
        <w:footnoteReference w:id="110"/>
      </w:r>
      <w:r w:rsidRPr="007157D3">
        <w:rPr>
          <w:rFonts w:ascii="Times New Roman" w:hAnsi="Times New Roman" w:cs="Times New Roman"/>
          <w:sz w:val="24"/>
          <w:szCs w:val="24"/>
        </w:rPr>
        <w:t>.</w:t>
      </w:r>
      <w:r w:rsidRPr="007157D3">
        <w:t xml:space="preserve"> </w:t>
      </w:r>
      <w:r w:rsidRPr="007157D3">
        <w:rPr>
          <w:rFonts w:ascii="Times New Roman" w:hAnsi="Times New Roman" w:cs="Times New Roman"/>
          <w:sz w:val="24"/>
          <w:szCs w:val="24"/>
        </w:rPr>
        <w:t>Tādējādi atsevišķām kategorijām</w:t>
      </w:r>
      <w:r w:rsidRPr="002F5278">
        <w:rPr>
          <w:rFonts w:ascii="Times New Roman" w:hAnsi="Times New Roman" w:cs="Times New Roman"/>
          <w:sz w:val="24"/>
          <w:szCs w:val="24"/>
        </w:rPr>
        <w:t xml:space="preserve"> </w:t>
      </w:r>
      <w:r w:rsidRPr="00573B49">
        <w:rPr>
          <w:rFonts w:ascii="Times New Roman" w:hAnsi="Times New Roman" w:cs="Times New Roman"/>
          <w:spacing w:val="4"/>
          <w:sz w:val="24"/>
          <w:szCs w:val="24"/>
          <w:lang w:eastAsia="lv-LV"/>
        </w:rPr>
        <w:t>izdienas pensija šobrīd netieši veido it kā “atliktu atalgojumu” par nevainojamu dienestu ilgā laika periodā.</w:t>
      </w:r>
      <w:r w:rsidRPr="00573B49">
        <w:rPr>
          <w:rFonts w:ascii="Times New Roman" w:hAnsi="Times New Roman" w:cs="Times New Roman"/>
          <w:i/>
          <w:spacing w:val="4"/>
          <w:sz w:val="24"/>
          <w:szCs w:val="24"/>
          <w:lang w:eastAsia="lv-LV"/>
        </w:rPr>
        <w:t xml:space="preserve"> </w:t>
      </w:r>
      <w:r w:rsidRPr="00573B49">
        <w:rPr>
          <w:rFonts w:ascii="Times New Roman" w:hAnsi="Times New Roman" w:cs="Times New Roman"/>
          <w:spacing w:val="4"/>
          <w:sz w:val="24"/>
          <w:szCs w:val="24"/>
          <w:lang w:eastAsia="lv-LV"/>
        </w:rPr>
        <w:t xml:space="preserve">Ievērojot </w:t>
      </w:r>
      <w:r w:rsidRPr="0025422D">
        <w:rPr>
          <w:rFonts w:ascii="Times New Roman" w:hAnsi="Times New Roman" w:cs="Times New Roman"/>
          <w:spacing w:val="4"/>
          <w:sz w:val="24"/>
          <w:szCs w:val="24"/>
          <w:lang w:eastAsia="lv-LV"/>
        </w:rPr>
        <w:t>to, ka izdienas pensijas saņēmējam, atvaļinoties no dienesta, faktiski jāuzsāk jauna darba karjera, izdienas pensijas varētu tikt uzskatīta par kompensāciju starp atalgojumu darba tirgū, kuru faktiski atvaļinātais izdienas pensijas saņēmējs var saņemt un t</w:t>
      </w:r>
      <w:r w:rsidRPr="00A857F2">
        <w:rPr>
          <w:rFonts w:ascii="Times New Roman" w:hAnsi="Times New Roman" w:cs="Times New Roman"/>
          <w:spacing w:val="4"/>
          <w:sz w:val="24"/>
          <w:szCs w:val="24"/>
          <w:lang w:eastAsia="lv-LV"/>
        </w:rPr>
        <w:t>o atalgojumu, kuru viņš sa</w:t>
      </w:r>
      <w:r w:rsidRPr="00662D1E">
        <w:rPr>
          <w:rFonts w:ascii="Times New Roman" w:hAnsi="Times New Roman" w:cs="Times New Roman"/>
          <w:spacing w:val="4"/>
          <w:sz w:val="24"/>
          <w:szCs w:val="24"/>
          <w:lang w:eastAsia="lv-LV"/>
        </w:rPr>
        <w:t xml:space="preserve">ņemtu, ja jau sākotnēji būtu veidojis savu karjeru konkrētajā nozarē. </w:t>
      </w:r>
    </w:p>
    <w:p w14:paraId="3B40DCDE" w14:textId="4801A15B" w:rsidR="00200837" w:rsidRPr="0015154B" w:rsidRDefault="00200837" w:rsidP="007A3CF5">
      <w:pPr>
        <w:spacing w:before="120" w:after="0" w:line="240" w:lineRule="auto"/>
        <w:jc w:val="both"/>
        <w:rPr>
          <w:rFonts w:ascii="Times New Roman" w:hAnsi="Times New Roman" w:cs="Times New Roman"/>
          <w:bCs/>
          <w:sz w:val="24"/>
          <w:szCs w:val="24"/>
          <w:lang w:eastAsia="lv-LV"/>
        </w:rPr>
      </w:pPr>
      <w:r w:rsidRPr="009703E6">
        <w:rPr>
          <w:rFonts w:ascii="Times New Roman" w:hAnsi="Times New Roman" w:cs="Times New Roman"/>
          <w:bCs/>
          <w:sz w:val="24"/>
          <w:szCs w:val="24"/>
          <w:lang w:eastAsia="lv-LV"/>
        </w:rPr>
        <w:t xml:space="preserve">Atsevišķās iestādēs, kā, piemēram, KNAB un SAB, tiesības uz izdienas pensiju tiek nodrošinātas ne tikai tām personām, kuru darbs saistīts ar dienesta specifiku, bet arī personām, kuras </w:t>
      </w:r>
      <w:r w:rsidRPr="0015154B">
        <w:rPr>
          <w:rFonts w:ascii="Times New Roman" w:hAnsi="Times New Roman" w:cs="Times New Roman"/>
          <w:bCs/>
          <w:sz w:val="24"/>
          <w:szCs w:val="24"/>
          <w:lang w:eastAsia="lv-LV"/>
        </w:rPr>
        <w:t>veic atbalsta funkcijas, proti, lietvežiem, grāmatvežiem un datorspeciālistiem. Ievērojot izdienas pensiju mērķi un būtību, atsevišķās institūcijās būtu izvērtējams izdienas pensiju saņēmēju loks, izslēdzot no izdienas pensiju tiesībām personām, kuras veic atbalsta funkcijas, proti, kuru darba specifika neatbilst izdienas pensiju nodrošināšanas mērķim.</w:t>
      </w:r>
    </w:p>
    <w:p w14:paraId="42661414" w14:textId="77777777" w:rsidR="00200837" w:rsidRPr="0015154B" w:rsidRDefault="00200837" w:rsidP="007A3CF5">
      <w:pPr>
        <w:autoSpaceDE w:val="0"/>
        <w:autoSpaceDN w:val="0"/>
        <w:adjustRightInd w:val="0"/>
        <w:spacing w:before="120" w:after="0" w:line="240" w:lineRule="auto"/>
      </w:pPr>
    </w:p>
    <w:p w14:paraId="611D1E87" w14:textId="756E804E" w:rsidR="00200837" w:rsidRPr="0015154B"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Risinot ar sabiedrības novecošanos saistītos jautājumus un cenšoties nodrošināt sociālās aizsardzības sistēmas finansiālo ilgtspēju un stabilitāti, ES dalībvalstu īstenotajās sociālās aizsardzības sistēm</w:t>
      </w:r>
      <w:r w:rsidR="00040F6B">
        <w:rPr>
          <w:rFonts w:ascii="Times New Roman" w:hAnsi="Times New Roman" w:cs="Times New Roman"/>
          <w:sz w:val="24"/>
          <w:szCs w:val="24"/>
        </w:rPr>
        <w:t>ā</w:t>
      </w:r>
      <w:r w:rsidRPr="0015154B">
        <w:rPr>
          <w:rFonts w:ascii="Times New Roman" w:hAnsi="Times New Roman" w:cs="Times New Roman"/>
          <w:sz w:val="24"/>
          <w:szCs w:val="24"/>
        </w:rPr>
        <w:t>s, tai skaitā, pensiju politikas reformās, uzsvars tiek likts uz nodarbināto darba mūža paildzināšanu, motivējot strādājošos vēlāk pensionēties, aktīvu novecošanos, līdzdalības darba tirgū palielināšanu gados vecākiem cilvēkiem, cilvēkiem ar aprūpes pienākumiem, no darba tirgus tālāk esošajām iedzīvotāju grupām. Kā secināts pētījumā: “plaša uzmanība Eiropā tiek veltīta no pensionēšanās priekšrocībām atšķirīgiem pasākumiem, kas arī var palīdzēt sasniegt augstāk minētos mērķus. Arī Latvijā izpildvaras līmenī ir ticis norādīts uz šādu pasākumu nozīmīgumu. Starp jau apsvērtajiem un rekomendētajiem pasākumiem un mehānismiem tiek minētas, piemēram, pārkvalifikācijas iespējas, subsidētās darbavietas, darba vides uzlabošana un pielāgošana kā fiziskajā, tā psihoemocionālajā ziņā, elastīgs darba laiks, pievilcīgāki nodarbinātības noteikumi, cit</w:t>
      </w:r>
      <w:r w:rsidR="00040F6B">
        <w:rPr>
          <w:rFonts w:ascii="Times New Roman" w:hAnsi="Times New Roman" w:cs="Times New Roman"/>
          <w:sz w:val="24"/>
          <w:szCs w:val="24"/>
        </w:rPr>
        <w:t xml:space="preserve">a </w:t>
      </w:r>
      <w:r w:rsidRPr="0015154B">
        <w:rPr>
          <w:rFonts w:ascii="Times New Roman" w:hAnsi="Times New Roman" w:cs="Times New Roman"/>
          <w:sz w:val="24"/>
          <w:szCs w:val="24"/>
        </w:rPr>
        <w:t xml:space="preserve">starp atalgojuma ziņā. Savukārt ienākumu drošības garantēšanai tiek ieteikti tādi mehānismi kā darba devēju iemaksas par darbiniekiem privātajos pensiju fondos.” </w:t>
      </w:r>
    </w:p>
    <w:p w14:paraId="35290406" w14:textId="597E5492" w:rsidR="00200837" w:rsidRPr="007157D3" w:rsidRDefault="00200837" w:rsidP="007A3CF5">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Valstis visā pasaulē ir paaugstinājušas vispārējo pensionēšanās vecumu un sāk sašaurināt vai pat vispār izslēgt iespējas pensionēties pirms šā vecuma sasniegšanas.</w:t>
      </w:r>
      <w:r w:rsidRPr="007157D3">
        <w:rPr>
          <w:rStyle w:val="FootnoteReference"/>
          <w:rFonts w:ascii="Times New Roman" w:hAnsi="Times New Roman" w:cs="Times New Roman"/>
          <w:sz w:val="24"/>
          <w:szCs w:val="24"/>
        </w:rPr>
        <w:footnoteReference w:id="111"/>
      </w:r>
      <w:r w:rsidRPr="007157D3">
        <w:rPr>
          <w:rFonts w:ascii="Times New Roman" w:hAnsi="Times New Roman" w:cs="Times New Roman"/>
          <w:sz w:val="24"/>
          <w:szCs w:val="24"/>
        </w:rPr>
        <w:t xml:space="preserve"> Arī Valsts kontroles ziņojumā ir uzsvērts, ka izdienas pensiju politikai sākotnēji izvirzītie mērķi – garantēt soci</w:t>
      </w:r>
      <w:r w:rsidRPr="002F5278">
        <w:rPr>
          <w:rFonts w:ascii="Times New Roman" w:hAnsi="Times New Roman" w:cs="Times New Roman"/>
          <w:sz w:val="24"/>
          <w:szCs w:val="24"/>
        </w:rPr>
        <w:t>ālo nodrošinājumu tajās profesijās, amatos vai dienestos strādājošiem, kuri pēc noteikta laika nostrādāšanas nevar turpināt darbu profesionālo iemaņu zuduma vai</w:t>
      </w:r>
      <w:r w:rsidRPr="00573B49">
        <w:rPr>
          <w:rFonts w:ascii="Times New Roman" w:hAnsi="Times New Roman" w:cs="Times New Roman"/>
          <w:sz w:val="24"/>
          <w:szCs w:val="24"/>
        </w:rPr>
        <w:t xml:space="preserve"> sociālās bīstamības dēļ – ir novecojuši.</w:t>
      </w:r>
      <w:r w:rsidRPr="007157D3">
        <w:rPr>
          <w:rStyle w:val="FootnoteReference"/>
          <w:rFonts w:ascii="Times New Roman" w:hAnsi="Times New Roman" w:cs="Times New Roman"/>
          <w:sz w:val="24"/>
          <w:szCs w:val="24"/>
        </w:rPr>
        <w:footnoteReference w:id="112"/>
      </w:r>
      <w:r w:rsidRPr="007157D3">
        <w:rPr>
          <w:rFonts w:ascii="Times New Roman" w:hAnsi="Times New Roman" w:cs="Times New Roman"/>
          <w:sz w:val="24"/>
          <w:szCs w:val="24"/>
        </w:rPr>
        <w:t xml:space="preserve"> Šo mērķu sasniegšanai tiek nodrošināti citi sociālās drošības </w:t>
      </w:r>
      <w:r w:rsidRPr="007157D3">
        <w:rPr>
          <w:rFonts w:ascii="Times New Roman" w:hAnsi="Times New Roman" w:cs="Times New Roman"/>
          <w:sz w:val="24"/>
          <w:szCs w:val="24"/>
        </w:rPr>
        <w:lastRenderedPageBreak/>
        <w:t>pasākumi – ir sakārtota darba aizsardzības sistēma, sociālās aizsardzības sistēmas ietvaros ir nodrošināti pakalpojumi sociālajam atbalstam darbspēju atgūšanai vai darbspēju zuduma kompensēšanai, bezdarba samazināšanas politikas ietvaros paredzētas pārkvalifikācijas iespējas.</w:t>
      </w:r>
    </w:p>
    <w:p w14:paraId="018C3200" w14:textId="161AA528" w:rsidR="00200837" w:rsidRPr="007157D3" w:rsidRDefault="00974F0C" w:rsidP="007A3CF5">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LM</w:t>
      </w:r>
      <w:r w:rsidR="00200837" w:rsidRPr="002F5278">
        <w:rPr>
          <w:rFonts w:ascii="Times New Roman" w:hAnsi="Times New Roman" w:cs="Times New Roman"/>
          <w:sz w:val="24"/>
          <w:szCs w:val="24"/>
        </w:rPr>
        <w:t xml:space="preserve"> nav izdienas pensiju politikas veidotāja</w:t>
      </w:r>
      <w:r w:rsidR="00040F6B">
        <w:rPr>
          <w:rFonts w:ascii="Times New Roman" w:hAnsi="Times New Roman" w:cs="Times New Roman"/>
          <w:sz w:val="24"/>
          <w:szCs w:val="24"/>
        </w:rPr>
        <w:t>.</w:t>
      </w:r>
      <w:r w:rsidR="00200837" w:rsidRPr="002F5278">
        <w:rPr>
          <w:rFonts w:ascii="Times New Roman" w:hAnsi="Times New Roman" w:cs="Times New Roman"/>
          <w:sz w:val="24"/>
          <w:szCs w:val="24"/>
        </w:rPr>
        <w:t xml:space="preserve"> </w:t>
      </w:r>
      <w:r w:rsidR="00040F6B">
        <w:rPr>
          <w:rFonts w:ascii="Times New Roman" w:hAnsi="Times New Roman" w:cs="Times New Roman"/>
          <w:sz w:val="24"/>
          <w:szCs w:val="24"/>
        </w:rPr>
        <w:t>S</w:t>
      </w:r>
      <w:r w:rsidR="00200837" w:rsidRPr="002F5278">
        <w:rPr>
          <w:rFonts w:ascii="Times New Roman" w:hAnsi="Times New Roman" w:cs="Times New Roman"/>
          <w:sz w:val="24"/>
          <w:szCs w:val="24"/>
        </w:rPr>
        <w:t>peciālo izdienas pensiju shēmu veidošana, tai skaitā tiesiskā re</w:t>
      </w:r>
      <w:r w:rsidR="00200837" w:rsidRPr="00573B49">
        <w:rPr>
          <w:rFonts w:ascii="Times New Roman" w:hAnsi="Times New Roman" w:cs="Times New Roman"/>
          <w:sz w:val="24"/>
          <w:szCs w:val="24"/>
        </w:rPr>
        <w:t>gulējuma izstrāde, ir katra attiecīgā resora kompetence. Labklājības ministrija ir vairākkārt iniciējusi jautājuma par izdienu pensiju politikas sakārtošanu izskatīšanu</w:t>
      </w:r>
      <w:r w:rsidR="00200837" w:rsidRPr="007157D3">
        <w:rPr>
          <w:rStyle w:val="FootnoteReference"/>
          <w:rFonts w:ascii="Times New Roman" w:hAnsi="Times New Roman" w:cs="Times New Roman"/>
          <w:sz w:val="24"/>
          <w:szCs w:val="24"/>
        </w:rPr>
        <w:footnoteReference w:id="113"/>
      </w:r>
      <w:r w:rsidR="00200837" w:rsidRPr="007157D3">
        <w:rPr>
          <w:rFonts w:ascii="Times New Roman" w:hAnsi="Times New Roman" w:cs="Times New Roman"/>
          <w:sz w:val="24"/>
          <w:szCs w:val="24"/>
        </w:rPr>
        <w:t xml:space="preserve">, piedāvājot pārskatīt pensionēšanās vecumu, palielināt nepieciešamo izdienas stāžu, vienādot piešķiršanas kritērijus visās izdienas profesiju grupās, diemžēl šīs iniciatīvas nav tikušas atbalstītas. Kā norāda Valsts kontrole savā ziņojumā, jaunu likumprojektu virzīšana, kas paplašina izdienas pensiju saņēmēju loku, </w:t>
      </w:r>
      <w:r w:rsidR="00040F6B" w:rsidRPr="007157D3">
        <w:rPr>
          <w:rFonts w:ascii="Times New Roman" w:hAnsi="Times New Roman" w:cs="Times New Roman"/>
          <w:sz w:val="24"/>
          <w:szCs w:val="24"/>
        </w:rPr>
        <w:t>būtu jāaptur</w:t>
      </w:r>
      <w:r w:rsidR="00040F6B">
        <w:rPr>
          <w:rFonts w:ascii="Times New Roman" w:hAnsi="Times New Roman" w:cs="Times New Roman"/>
          <w:sz w:val="24"/>
          <w:szCs w:val="24"/>
        </w:rPr>
        <w:t>, un</w:t>
      </w:r>
      <w:r w:rsidR="00040F6B" w:rsidRPr="007157D3">
        <w:rPr>
          <w:rFonts w:ascii="Times New Roman" w:hAnsi="Times New Roman" w:cs="Times New Roman"/>
          <w:sz w:val="24"/>
          <w:szCs w:val="24"/>
        </w:rPr>
        <w:t xml:space="preserve"> </w:t>
      </w:r>
      <w:r w:rsidR="00200837" w:rsidRPr="007157D3">
        <w:rPr>
          <w:rFonts w:ascii="Times New Roman" w:hAnsi="Times New Roman" w:cs="Times New Roman"/>
          <w:sz w:val="24"/>
          <w:szCs w:val="24"/>
        </w:rPr>
        <w:t>jāveic visaptverošs izdienas pensiju sistēmisks izvērtējum</w:t>
      </w:r>
      <w:r w:rsidR="00040F6B">
        <w:rPr>
          <w:rFonts w:ascii="Times New Roman" w:hAnsi="Times New Roman" w:cs="Times New Roman"/>
          <w:sz w:val="24"/>
          <w:szCs w:val="24"/>
        </w:rPr>
        <w:t>s</w:t>
      </w:r>
      <w:r w:rsidR="00200837" w:rsidRPr="007157D3">
        <w:rPr>
          <w:rFonts w:ascii="Times New Roman" w:hAnsi="Times New Roman" w:cs="Times New Roman"/>
          <w:sz w:val="24"/>
          <w:szCs w:val="24"/>
        </w:rPr>
        <w:t xml:space="preserve"> par izdienas pensiju piešķiršanas mērķiem un kritērijiem, izvērtējot iespēju ieviest alternatīvus kompensējošos mehānismus. Ja izvērtējumā tiek secināts, ka izdienas pensijas ir saglabājamas, ir nepieciešams ieviest vienotus kritērijus, lai tās būtu vienlīdzīgas pret visiem izdienas pensiju saņēmējiem. Bet, ieviešot jaunas kategorijas, – novē</w:t>
      </w:r>
      <w:r w:rsidR="00200837" w:rsidRPr="002F5278">
        <w:rPr>
          <w:rFonts w:ascii="Times New Roman" w:hAnsi="Times New Roman" w:cs="Times New Roman"/>
          <w:sz w:val="24"/>
          <w:szCs w:val="24"/>
        </w:rPr>
        <w:t>rtēt valsts budžeta iespējas tās finansēt ne tikai vidējā termiņā, bet arī ilgtermiņā.</w:t>
      </w:r>
      <w:r w:rsidR="00200837" w:rsidRPr="007157D3">
        <w:rPr>
          <w:rStyle w:val="FootnoteReference"/>
          <w:rFonts w:ascii="Times New Roman" w:hAnsi="Times New Roman" w:cs="Times New Roman"/>
          <w:sz w:val="24"/>
          <w:szCs w:val="24"/>
        </w:rPr>
        <w:footnoteReference w:id="114"/>
      </w:r>
      <w:r w:rsidR="00200837" w:rsidRPr="007157D3">
        <w:rPr>
          <w:rFonts w:ascii="Times New Roman" w:hAnsi="Times New Roman" w:cs="Times New Roman"/>
          <w:sz w:val="24"/>
          <w:szCs w:val="24"/>
        </w:rPr>
        <w:t xml:space="preserve"> Līdztekus Valsts kontrole secinājusi, ka, lai gan ir konstatētas būtiskas nepilnības izdienas pensiju jomā, tomēr Labklājības ministrijas rīcībā nav mehānismu, lai panāktu konstatēto problēmu novēršanu bez citu institūciju iesaistes un politiska atbalsta.</w:t>
      </w:r>
    </w:p>
    <w:p w14:paraId="7A66D8FA" w14:textId="5A9D81F9" w:rsidR="00200837" w:rsidRPr="007157D3" w:rsidRDefault="00200837" w:rsidP="007A3CF5">
      <w:pPr>
        <w:autoSpaceDE w:val="0"/>
        <w:autoSpaceDN w:val="0"/>
        <w:adjustRightInd w:val="0"/>
        <w:spacing w:before="120" w:after="0" w:line="240" w:lineRule="auto"/>
        <w:rPr>
          <w:rFonts w:ascii="Times New Roman" w:hAnsi="Times New Roman" w:cs="Times New Roman"/>
          <w:sz w:val="24"/>
          <w:szCs w:val="24"/>
        </w:rPr>
      </w:pPr>
    </w:p>
    <w:p w14:paraId="67900E90" w14:textId="5E7F44B9" w:rsidR="008F190F" w:rsidRPr="007157D3" w:rsidRDefault="008F190F" w:rsidP="00200837">
      <w:pPr>
        <w:autoSpaceDE w:val="0"/>
        <w:autoSpaceDN w:val="0"/>
        <w:adjustRightInd w:val="0"/>
        <w:spacing w:after="0" w:line="240" w:lineRule="auto"/>
        <w:rPr>
          <w:rFonts w:ascii="Times New Roman" w:hAnsi="Times New Roman" w:cs="Times New Roman"/>
          <w:sz w:val="24"/>
          <w:szCs w:val="24"/>
        </w:rPr>
      </w:pPr>
      <w:r w:rsidRPr="00040F6B">
        <w:rPr>
          <w:rFonts w:ascii="Times New Roman" w:hAnsi="Times New Roman" w:cs="Times New Roman"/>
          <w:noProof/>
          <w:sz w:val="24"/>
          <w:szCs w:val="24"/>
        </w:rPr>
        <mc:AlternateContent>
          <mc:Choice Requires="wpg">
            <w:drawing>
              <wp:inline distT="0" distB="0" distL="0" distR="0" wp14:anchorId="056ACA40" wp14:editId="1A21FDF3">
                <wp:extent cx="5338119" cy="2261286"/>
                <wp:effectExtent l="0" t="0" r="0" b="5715"/>
                <wp:docPr id="30" name="Group 30"/>
                <wp:cNvGraphicFramePr/>
                <a:graphic xmlns:a="http://schemas.openxmlformats.org/drawingml/2006/main">
                  <a:graphicData uri="http://schemas.microsoft.com/office/word/2010/wordprocessingGroup">
                    <wpg:wgp>
                      <wpg:cNvGrpSpPr/>
                      <wpg:grpSpPr>
                        <a:xfrm>
                          <a:off x="0" y="0"/>
                          <a:ext cx="5338119" cy="2261286"/>
                          <a:chOff x="0" y="-111188"/>
                          <a:chExt cx="3641615" cy="1965187"/>
                        </a:xfrm>
                      </wpg:grpSpPr>
                      <wps:wsp>
                        <wps:cNvPr id="31" name="Rectangle 31"/>
                        <wps:cNvSpPr/>
                        <wps:spPr>
                          <a:xfrm>
                            <a:off x="74167" y="-111188"/>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30B29C" w14:textId="71C742BB" w:rsidR="00D67CF6" w:rsidRPr="00825BD5" w:rsidRDefault="00D67CF6">
                              <w:pPr>
                                <w:jc w:val="center"/>
                                <w:rPr>
                                  <w:rFonts w:ascii="Times New Roman" w:eastAsiaTheme="majorEastAsia" w:hAnsi="Times New Roman" w:cs="Times New Roman"/>
                                  <w:b/>
                                  <w:color w:val="FFFFFF" w:themeColor="background1"/>
                                  <w:sz w:val="24"/>
                                  <w:szCs w:val="24"/>
                                </w:rPr>
                              </w:pPr>
                              <w:r w:rsidRPr="00825BD5">
                                <w:rPr>
                                  <w:rFonts w:ascii="Times New Roman" w:eastAsiaTheme="majorEastAsia" w:hAnsi="Times New Roman" w:cs="Times New Roman"/>
                                  <w:b/>
                                  <w:color w:val="FFFFFF" w:themeColor="background1"/>
                                  <w:sz w:val="24"/>
                                  <w:szCs w:val="24"/>
                                </w:rPr>
                                <w:t>IZAICINĀJUMI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Text Box 32"/>
                        <wps:cNvSpPr txBox="1"/>
                        <wps:spPr>
                          <a:xfrm>
                            <a:off x="0" y="252675"/>
                            <a:ext cx="3567448" cy="1601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D991D0" w14:textId="6AE1FA44" w:rsidR="00D67CF6" w:rsidRDefault="00D67CF6" w:rsidP="00974071">
                              <w:pPr>
                                <w:pStyle w:val="ListParagraph"/>
                                <w:numPr>
                                  <w:ilvl w:val="0"/>
                                  <w:numId w:val="40"/>
                                </w:numPr>
                                <w:spacing w:after="0" w:line="240" w:lineRule="auto"/>
                                <w:jc w:val="both"/>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 xml:space="preserve">Valsts sociālās apdrošināšanas speciālā budžeta pārpalikuma uzkrāšanas regulējuma ieviešana </w:t>
                              </w:r>
                            </w:p>
                            <w:p w14:paraId="7A4AF411" w14:textId="20C1461E" w:rsidR="00D67CF6" w:rsidRDefault="00D67CF6" w:rsidP="00974071">
                              <w:pPr>
                                <w:pStyle w:val="ListParagraph"/>
                                <w:numPr>
                                  <w:ilvl w:val="0"/>
                                  <w:numId w:val="40"/>
                                </w:numPr>
                                <w:spacing w:after="0" w:line="240" w:lineRule="auto"/>
                                <w:jc w:val="both"/>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Ar speciālā budžeta izlietojumu saistītu lēmumu pieņemšana bez finansiālās ilgtermiņa ietekmes un sistēmas ilgtspējas izvērtējuma</w:t>
                              </w:r>
                            </w:p>
                            <w:p w14:paraId="31ABB4D5" w14:textId="5A52FDA4" w:rsidR="00D67CF6" w:rsidRDefault="00D67CF6" w:rsidP="00974071">
                              <w:pPr>
                                <w:pStyle w:val="ListParagraph"/>
                                <w:numPr>
                                  <w:ilvl w:val="0"/>
                                  <w:numId w:val="40"/>
                                </w:numPr>
                                <w:spacing w:after="0" w:line="240" w:lineRule="auto"/>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Iedzīvotāju nepietiekamā izpratne un zināšanas par finanšu pārvaldību</w:t>
                              </w:r>
                            </w:p>
                            <w:p w14:paraId="3CD951FF" w14:textId="195B24C8" w:rsidR="00D67CF6" w:rsidRDefault="00D67CF6" w:rsidP="00974071">
                              <w:pPr>
                                <w:pStyle w:val="ListParagraph"/>
                                <w:numPr>
                                  <w:ilvl w:val="0"/>
                                  <w:numId w:val="40"/>
                                </w:numPr>
                                <w:spacing w:after="0" w:line="240" w:lineRule="auto"/>
                                <w:jc w:val="both"/>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Izdienas pensiju neatbilstība valsts pensiju politikas un apdrošināšanas sistēmas pamatprincipiem, demogrāfiskajām un darba tirgus attīstības tendencēm, valsts budžeta finansiālajām iespējām, kā arī atšķirīgas attieksmes radīšana pret personām vienādos vai salīdzināmos apstākļos</w:t>
                              </w:r>
                            </w:p>
                            <w:p w14:paraId="7A149BDB" w14:textId="55103C31" w:rsidR="00D67CF6" w:rsidRPr="00E61E66" w:rsidRDefault="00D67CF6" w:rsidP="00E61E66">
                              <w:pPr>
                                <w:pStyle w:val="ListParagraph"/>
                                <w:spacing w:after="0" w:line="240" w:lineRule="auto"/>
                                <w:rPr>
                                  <w:rFonts w:ascii="Times New Roman" w:hAnsi="Times New Roman" w:cs="Times New Roman"/>
                                  <w:color w:val="3E762A" w:themeColor="accent1" w:themeShade="BF"/>
                                  <w:sz w:val="24"/>
                                  <w:szCs w:val="24"/>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056ACA40" id="Group 30" o:spid="_x0000_s1042" style="width:420.3pt;height:178.05pt;mso-position-horizontal-relative:char;mso-position-vertical-relative:line" coordorigin=",-1111" coordsize="36416,1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">
                <v:rect id="Rectangle 31" o:spid="_x0000_s1043" style="position:absolute;left:741;top:-1111;width:35675;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" fillcolor="#549e39 [3204]" stroked="f" strokeweight="1pt">
                  <v:textbox>
                    <w:txbxContent>
                      <w:p w14:paraId="0830B29C" w14:textId="71C742BB" w:rsidR="00D67CF6" w:rsidRPr="00825BD5" w:rsidRDefault="00D67CF6">
                        <w:pPr>
                          <w:jc w:val="center"/>
                          <w:rPr>
                            <w:rFonts w:ascii="Times New Roman" w:eastAsiaTheme="majorEastAsia" w:hAnsi="Times New Roman" w:cs="Times New Roman"/>
                            <w:b/>
                            <w:color w:val="FFFFFF" w:themeColor="background1"/>
                            <w:sz w:val="24"/>
                            <w:szCs w:val="24"/>
                          </w:rPr>
                        </w:pPr>
                        <w:r w:rsidRPr="00825BD5">
                          <w:rPr>
                            <w:rFonts w:ascii="Times New Roman" w:eastAsiaTheme="majorEastAsia" w:hAnsi="Times New Roman" w:cs="Times New Roman"/>
                            <w:b/>
                            <w:color w:val="FFFFFF" w:themeColor="background1"/>
                            <w:sz w:val="24"/>
                            <w:szCs w:val="24"/>
                          </w:rPr>
                          <w:t>IZAICINĀJUMI</w:t>
                        </w:r>
                      </w:p>
                    </w:txbxContent>
                  </v:textbox>
                </v:rect>
                <v:shape id="Text Box 32" o:spid="_x0000_s1044" type="#_x0000_t202" style="position:absolute;top:2526;width:35674;height:1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" filled="f" stroked="f" strokeweight=".5pt">
                  <v:textbox inset=",7.2pt,,0">
                    <w:txbxContent>
                      <w:p w14:paraId="03D991D0" w14:textId="6AE1FA44" w:rsidR="00D67CF6" w:rsidRDefault="00D67CF6" w:rsidP="00974071">
                        <w:pPr>
                          <w:pStyle w:val="ListParagraph"/>
                          <w:numPr>
                            <w:ilvl w:val="0"/>
                            <w:numId w:val="40"/>
                          </w:numPr>
                          <w:spacing w:after="0" w:line="240" w:lineRule="auto"/>
                          <w:jc w:val="both"/>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 xml:space="preserve">Valsts sociālās apdrošināšanas speciālā budžeta pārpalikuma uzkrāšanas regulējuma ieviešana </w:t>
                        </w:r>
                      </w:p>
                      <w:p w14:paraId="7A4AF411" w14:textId="20C1461E" w:rsidR="00D67CF6" w:rsidRDefault="00D67CF6" w:rsidP="00974071">
                        <w:pPr>
                          <w:pStyle w:val="ListParagraph"/>
                          <w:numPr>
                            <w:ilvl w:val="0"/>
                            <w:numId w:val="40"/>
                          </w:numPr>
                          <w:spacing w:after="0" w:line="240" w:lineRule="auto"/>
                          <w:jc w:val="both"/>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Ar speciālā budžeta izlietojumu saistītu lēmumu pieņemšana bez finansiālās ilgtermiņa ietekmes un sistēmas ilgtspējas izvērtējuma</w:t>
                        </w:r>
                      </w:p>
                      <w:p w14:paraId="31ABB4D5" w14:textId="5A52FDA4" w:rsidR="00D67CF6" w:rsidRDefault="00D67CF6" w:rsidP="00974071">
                        <w:pPr>
                          <w:pStyle w:val="ListParagraph"/>
                          <w:numPr>
                            <w:ilvl w:val="0"/>
                            <w:numId w:val="40"/>
                          </w:numPr>
                          <w:spacing w:after="0" w:line="240" w:lineRule="auto"/>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Iedzīvotāju nepietiekamā izpratne un zināšanas par finanšu pārvaldību</w:t>
                        </w:r>
                      </w:p>
                      <w:p w14:paraId="3CD951FF" w14:textId="195B24C8" w:rsidR="00D67CF6" w:rsidRDefault="00D67CF6" w:rsidP="00974071">
                        <w:pPr>
                          <w:pStyle w:val="ListParagraph"/>
                          <w:numPr>
                            <w:ilvl w:val="0"/>
                            <w:numId w:val="40"/>
                          </w:numPr>
                          <w:spacing w:after="0" w:line="240" w:lineRule="auto"/>
                          <w:jc w:val="both"/>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Izdienas pensiju neatbilstība valsts pensiju politikas un apdrošināšanas sistēmas pamatprincipiem, demogrāfiskajām un darba tirgus attīstības tendencēm, valsts budžeta finansiālajām iespējām, kā arī atšķirīgas attieksmes radīšana pret personām vienādos vai salīdzināmos apstākļos</w:t>
                        </w:r>
                      </w:p>
                      <w:p w14:paraId="7A149BDB" w14:textId="55103C31" w:rsidR="00D67CF6" w:rsidRPr="00E61E66" w:rsidRDefault="00D67CF6" w:rsidP="00E61E66">
                        <w:pPr>
                          <w:pStyle w:val="ListParagraph"/>
                          <w:spacing w:after="0" w:line="240" w:lineRule="auto"/>
                          <w:rPr>
                            <w:rFonts w:ascii="Times New Roman" w:hAnsi="Times New Roman" w:cs="Times New Roman"/>
                            <w:color w:val="3E762A" w:themeColor="accent1" w:themeShade="BF"/>
                            <w:sz w:val="24"/>
                            <w:szCs w:val="24"/>
                          </w:rPr>
                        </w:pPr>
                      </w:p>
                    </w:txbxContent>
                  </v:textbox>
                </v:shape>
                <w10:anchorlock/>
              </v:group>
            </w:pict>
          </mc:Fallback>
        </mc:AlternateContent>
      </w:r>
    </w:p>
    <w:p w14:paraId="0EC136F4" w14:textId="77777777" w:rsidR="00A3540E" w:rsidRPr="007157D3" w:rsidRDefault="00A3540E" w:rsidP="00200837">
      <w:pPr>
        <w:rPr>
          <w:rFonts w:ascii="Times New Roman" w:hAnsi="Times New Roman" w:cs="Times New Roman"/>
          <w:b/>
          <w:bCs/>
          <w:sz w:val="28"/>
          <w:szCs w:val="28"/>
        </w:rPr>
      </w:pPr>
    </w:p>
    <w:p w14:paraId="6769864B" w14:textId="77777777" w:rsidR="00012A67" w:rsidRPr="002F5278" w:rsidRDefault="00012A67">
      <w:pPr>
        <w:rPr>
          <w:rFonts w:ascii="Times New Roman" w:eastAsia="Times New Roman" w:hAnsi="Times New Roman" w:cs="Times New Roman"/>
          <w:b/>
          <w:bCs/>
          <w:color w:val="002060"/>
          <w:kern w:val="36"/>
          <w:sz w:val="36"/>
          <w:szCs w:val="48"/>
          <w:lang w:eastAsia="lv-LV"/>
        </w:rPr>
      </w:pPr>
      <w:r w:rsidRPr="007157D3">
        <w:br w:type="page"/>
      </w:r>
    </w:p>
    <w:p w14:paraId="401927CA" w14:textId="719E77DE" w:rsidR="00200837" w:rsidRPr="00573B49" w:rsidRDefault="00200837" w:rsidP="00EC7537">
      <w:pPr>
        <w:pStyle w:val="Heading1"/>
      </w:pPr>
      <w:bookmarkStart w:id="39" w:name="_Toc55316078"/>
      <w:r w:rsidRPr="002F5278">
        <w:lastRenderedPageBreak/>
        <w:t>Sociāl</w:t>
      </w:r>
      <w:r w:rsidR="00D91B6A" w:rsidRPr="00573B49">
        <w:t>ie</w:t>
      </w:r>
      <w:r w:rsidRPr="00573B49">
        <w:t xml:space="preserve"> pakalpojum</w:t>
      </w:r>
      <w:r w:rsidR="00D91B6A" w:rsidRPr="00573B49">
        <w:t>i</w:t>
      </w:r>
      <w:bookmarkEnd w:id="39"/>
      <w:r w:rsidRPr="00573B49">
        <w:t xml:space="preserve"> </w:t>
      </w:r>
    </w:p>
    <w:p w14:paraId="762092E6" w14:textId="0E603A06" w:rsidR="009978A2" w:rsidRPr="00662D1E" w:rsidRDefault="009978A2" w:rsidP="00DA5144">
      <w:pPr>
        <w:pStyle w:val="Heading2"/>
      </w:pPr>
      <w:bookmarkStart w:id="40" w:name="_Toc55316079"/>
      <w:r w:rsidRPr="0025422D">
        <w:t>Sociā</w:t>
      </w:r>
      <w:r w:rsidRPr="00A857F2">
        <w:t>lo pakalpojumu klāsts/ pie</w:t>
      </w:r>
      <w:r w:rsidRPr="00662D1E">
        <w:t>ejamība</w:t>
      </w:r>
      <w:bookmarkEnd w:id="40"/>
    </w:p>
    <w:p w14:paraId="5AB07013" w14:textId="7927CAE0" w:rsidR="009978A2" w:rsidRPr="0015154B" w:rsidRDefault="009978A2" w:rsidP="00AC38FA">
      <w:pPr>
        <w:spacing w:before="120" w:after="0" w:line="240" w:lineRule="auto"/>
        <w:ind w:firstLine="720"/>
        <w:jc w:val="both"/>
        <w:rPr>
          <w:rFonts w:ascii="Times New Roman" w:eastAsia="Calibri" w:hAnsi="Times New Roman" w:cs="Times New Roman"/>
          <w:sz w:val="24"/>
          <w:szCs w:val="24"/>
        </w:rPr>
      </w:pPr>
      <w:r w:rsidRPr="00662D1E">
        <w:rPr>
          <w:rFonts w:ascii="Times New Roman" w:hAnsi="Times New Roman" w:cs="Times New Roman"/>
          <w:b/>
          <w:bCs/>
          <w:sz w:val="24"/>
          <w:szCs w:val="24"/>
        </w:rPr>
        <w:t>Sociālie pakalpojumi</w:t>
      </w:r>
      <w:r w:rsidRPr="00662D1E">
        <w:rPr>
          <w:rFonts w:ascii="Times New Roman" w:hAnsi="Times New Roman" w:cs="Times New Roman"/>
          <w:sz w:val="24"/>
          <w:szCs w:val="24"/>
        </w:rPr>
        <w:t xml:space="preserve"> ir viens no būtiskākajiem instrumentiem, lai nodrošinātu personu ar funkcionāliem traucējumiem un citu sociālās atstumtības riskiem pakļauto personu vienlīdzīgas iespējas dzīvot sabiedrībā ar pilnīgu iekļaušanos un līdzdalību s</w:t>
      </w:r>
      <w:r w:rsidRPr="009703E6">
        <w:rPr>
          <w:rFonts w:ascii="Times New Roman" w:hAnsi="Times New Roman" w:cs="Times New Roman"/>
          <w:sz w:val="24"/>
          <w:szCs w:val="24"/>
        </w:rPr>
        <w:t xml:space="preserve">abiedrības dzīvē. Sociālie pakalpojumi risina ne tikai indivīdam, bet arī sabiedrībai kopumā sociāli nozīmīgas problēmas (vardarbība, atkarības problēmas u.c.) un ļauj nodrošināt sociālo stabilitāti un drošību. </w:t>
      </w:r>
      <w:r w:rsidRPr="0015154B">
        <w:rPr>
          <w:rFonts w:ascii="Times New Roman" w:eastAsia="Calibri" w:hAnsi="Times New Roman" w:cs="Times New Roman"/>
          <w:sz w:val="24"/>
          <w:szCs w:val="24"/>
        </w:rPr>
        <w:t>Eiropas Sociālo tiesību pīlāra principi, kas tiek integrēti Eiropas Savienības politikās un tiesiskajā ietvarā, cita starpā</w:t>
      </w:r>
      <w:r w:rsidR="001119D9" w:rsidRPr="0015154B">
        <w:rPr>
          <w:rFonts w:ascii="Times New Roman" w:eastAsia="Calibri" w:hAnsi="Times New Roman" w:cs="Times New Roman"/>
          <w:sz w:val="24"/>
          <w:szCs w:val="24"/>
        </w:rPr>
        <w:t xml:space="preserve"> paredz</w:t>
      </w:r>
      <w:r w:rsidRPr="0015154B">
        <w:rPr>
          <w:rFonts w:ascii="Times New Roman" w:eastAsia="Calibri" w:hAnsi="Times New Roman" w:cs="Times New Roman"/>
          <w:sz w:val="24"/>
          <w:szCs w:val="24"/>
        </w:rPr>
        <w:t xml:space="preserve">, ka ikvienam ir tiesības uz kvalitatīviem un cenas ziņā pieņemamiem ilgtermiņa aprūpes pakalpojumiem, īpaši aprūpes mājās un citiem sociālās aprūpes pakalpojumiem kopienās. </w:t>
      </w:r>
    </w:p>
    <w:p w14:paraId="3DC85FBF" w14:textId="087FEAB1" w:rsidR="009978A2" w:rsidRPr="007157D3" w:rsidRDefault="008A6B9A" w:rsidP="00AC38FA">
      <w:pPr>
        <w:spacing w:before="120" w:after="0" w:line="240" w:lineRule="auto"/>
        <w:ind w:firstLine="720"/>
        <w:jc w:val="both"/>
        <w:rPr>
          <w:rFonts w:ascii="Times New Roman" w:eastAsia="Calibri" w:hAnsi="Times New Roman" w:cs="Times New Roman"/>
          <w:sz w:val="24"/>
          <w:szCs w:val="24"/>
          <w:shd w:val="clear" w:color="auto" w:fill="FFFFFF"/>
        </w:rPr>
      </w:pPr>
      <w:r w:rsidRPr="0015154B">
        <w:rPr>
          <w:rFonts w:ascii="Times New Roman" w:eastAsia="Calibri" w:hAnsi="Times New Roman" w:cs="Times New Roman"/>
          <w:sz w:val="24"/>
          <w:szCs w:val="24"/>
          <w:shd w:val="clear" w:color="auto" w:fill="FFFFFF"/>
        </w:rPr>
        <w:t xml:space="preserve">Sociālo pakalpojumu, īpaši ilgtermiņa aprūpes pakalpojumu, pieejamība, efektivitāte un </w:t>
      </w:r>
      <w:r w:rsidR="00891BDC" w:rsidRPr="0015154B">
        <w:rPr>
          <w:rFonts w:ascii="Times New Roman" w:eastAsia="Calibri" w:hAnsi="Times New Roman" w:cs="Times New Roman"/>
          <w:sz w:val="24"/>
          <w:szCs w:val="24"/>
          <w:shd w:val="clear" w:color="auto" w:fill="FFFFFF"/>
        </w:rPr>
        <w:t>sociālā</w:t>
      </w:r>
      <w:r w:rsidR="00891BDC" w:rsidRPr="007157D3">
        <w:rPr>
          <w:rStyle w:val="FootnoteReference"/>
          <w:rFonts w:ascii="Times New Roman" w:eastAsia="Calibri" w:hAnsi="Times New Roman" w:cs="Times New Roman"/>
          <w:sz w:val="24"/>
          <w:szCs w:val="24"/>
          <w:shd w:val="clear" w:color="auto" w:fill="FFFFFF"/>
        </w:rPr>
        <w:footnoteReference w:id="115"/>
      </w:r>
      <w:r w:rsidR="00891BDC" w:rsidRPr="007157D3">
        <w:rPr>
          <w:rFonts w:ascii="Times New Roman" w:eastAsia="Calibri" w:hAnsi="Times New Roman" w:cs="Times New Roman"/>
          <w:sz w:val="24"/>
          <w:szCs w:val="24"/>
          <w:shd w:val="clear" w:color="auto" w:fill="FFFFFF"/>
        </w:rPr>
        <w:t xml:space="preserve"> un finansiālā </w:t>
      </w:r>
      <w:r w:rsidRPr="007157D3">
        <w:rPr>
          <w:rFonts w:ascii="Times New Roman" w:eastAsia="Calibri" w:hAnsi="Times New Roman" w:cs="Times New Roman"/>
          <w:sz w:val="24"/>
          <w:szCs w:val="24"/>
          <w:shd w:val="clear" w:color="auto" w:fill="FFFFFF"/>
        </w:rPr>
        <w:t xml:space="preserve">ilgtspēja ir viens no ES politikas izaicinājumiem. </w:t>
      </w:r>
      <w:r w:rsidR="009978A2" w:rsidRPr="002F5278">
        <w:rPr>
          <w:rFonts w:ascii="Times New Roman" w:eastAsia="Calibri" w:hAnsi="Times New Roman" w:cs="Times New Roman"/>
          <w:sz w:val="24"/>
          <w:szCs w:val="24"/>
          <w:shd w:val="clear" w:color="auto" w:fill="FFFFFF"/>
        </w:rPr>
        <w:t>Sociālo pakalpojumu nozīmība pieaug līdz ar sabiedrības novecošan</w:t>
      </w:r>
      <w:r w:rsidR="009978A2" w:rsidRPr="00573B49">
        <w:rPr>
          <w:rFonts w:ascii="Times New Roman" w:eastAsia="Calibri" w:hAnsi="Times New Roman" w:cs="Times New Roman"/>
          <w:sz w:val="24"/>
          <w:szCs w:val="24"/>
          <w:shd w:val="clear" w:color="auto" w:fill="FFFFFF"/>
        </w:rPr>
        <w:t>os, pensijas vecuma paaugstināšanos, dzimstības mazināšanos un izmaiņām ģimenes modelī – bērni var dzīvot tālu no vecākiem un nevarēt vai negribēt nodrošināt viņu aprūpi, jo gadiem nav bijis kontakta ar kādu no vecākiem (īpaši raksturīgi šķirtajās ģimenēs, kurās vecākiem ir bijušas vairākas laulības), bet sievietes, kas visbiežāk nodrošina neformālo aprūpi, arvien vairāk ir iesaistītas darba tirgū. Tas būtiski palielina pieprasījumu pēc sociālajiem pakalpojumiem, kā arī publiskā finansējuma izdevum</w:t>
      </w:r>
      <w:r w:rsidR="00B533B5">
        <w:rPr>
          <w:rFonts w:ascii="Times New Roman" w:eastAsia="Calibri" w:hAnsi="Times New Roman" w:cs="Times New Roman"/>
          <w:sz w:val="24"/>
          <w:szCs w:val="24"/>
          <w:shd w:val="clear" w:color="auto" w:fill="FFFFFF"/>
        </w:rPr>
        <w:t>us</w:t>
      </w:r>
      <w:r w:rsidR="009978A2" w:rsidRPr="00573B49">
        <w:rPr>
          <w:rFonts w:ascii="Times New Roman" w:eastAsia="Calibri" w:hAnsi="Times New Roman" w:cs="Times New Roman"/>
          <w:sz w:val="24"/>
          <w:szCs w:val="24"/>
          <w:shd w:val="clear" w:color="auto" w:fill="FFFFFF"/>
        </w:rPr>
        <w:t xml:space="preserve"> to nodrošināšanai. </w:t>
      </w:r>
      <w:r w:rsidR="00160639" w:rsidRPr="0025422D">
        <w:rPr>
          <w:rFonts w:ascii="Times New Roman" w:eastAsia="Calibri" w:hAnsi="Times New Roman" w:cs="Times New Roman"/>
          <w:sz w:val="24"/>
          <w:szCs w:val="24"/>
          <w:shd w:val="clear" w:color="auto" w:fill="FFFFFF"/>
        </w:rPr>
        <w:t>Aptaujas da</w:t>
      </w:r>
      <w:r w:rsidR="00813EAE" w:rsidRPr="00A857F2">
        <w:rPr>
          <w:rFonts w:ascii="Times New Roman" w:eastAsia="Calibri" w:hAnsi="Times New Roman" w:cs="Times New Roman"/>
          <w:sz w:val="24"/>
          <w:szCs w:val="24"/>
          <w:shd w:val="clear" w:color="auto" w:fill="FFFFFF"/>
        </w:rPr>
        <w:t>t</w:t>
      </w:r>
      <w:r w:rsidR="00160639" w:rsidRPr="00662D1E">
        <w:rPr>
          <w:rFonts w:ascii="Times New Roman" w:eastAsia="Calibri" w:hAnsi="Times New Roman" w:cs="Times New Roman"/>
          <w:sz w:val="24"/>
          <w:szCs w:val="24"/>
          <w:shd w:val="clear" w:color="auto" w:fill="FFFFFF"/>
        </w:rPr>
        <w:t>i liecina</w:t>
      </w:r>
      <w:r w:rsidR="00813EAE" w:rsidRPr="00662D1E">
        <w:rPr>
          <w:rFonts w:ascii="Times New Roman" w:eastAsia="Calibri" w:hAnsi="Times New Roman" w:cs="Times New Roman"/>
          <w:sz w:val="24"/>
          <w:szCs w:val="24"/>
          <w:shd w:val="clear" w:color="auto" w:fill="FFFFFF"/>
        </w:rPr>
        <w:t>, ka 38% respondentu papildu apmaksātam darbam r</w:t>
      </w:r>
      <w:r w:rsidR="00813EAE" w:rsidRPr="00662D1E">
        <w:rPr>
          <w:rFonts w:ascii="Times New Roman" w:hAnsi="Times New Roman" w:cs="Times New Roman"/>
          <w:sz w:val="24"/>
          <w:szCs w:val="24"/>
        </w:rPr>
        <w:t>ūpējas par radiniekiem, kaimiņiem vai draugiem ar invaliditāti vai nespēju, kuri ir jaunāki par 75 gadiem, turklāt aptuveni piektā daļa no šiem respondentiem to dara katru dienu, piektā daļa</w:t>
      </w:r>
      <w:r w:rsidR="005800DE" w:rsidRPr="009703E6">
        <w:rPr>
          <w:rFonts w:ascii="Times New Roman" w:hAnsi="Times New Roman" w:cs="Times New Roman"/>
          <w:sz w:val="24"/>
          <w:szCs w:val="24"/>
        </w:rPr>
        <w:t xml:space="preserve"> </w:t>
      </w:r>
      <w:r w:rsidR="00813EAE" w:rsidRPr="0015154B">
        <w:rPr>
          <w:rFonts w:ascii="Times New Roman" w:hAnsi="Times New Roman" w:cs="Times New Roman"/>
          <w:sz w:val="24"/>
          <w:szCs w:val="24"/>
        </w:rPr>
        <w:t>- vairākas reizes nedēļā, bet ceturtā daļa – 1-2 reizes nedēļā.</w:t>
      </w:r>
      <w:r w:rsidR="005E5ADD" w:rsidRPr="007157D3">
        <w:rPr>
          <w:rStyle w:val="FootnoteReference"/>
          <w:rFonts w:ascii="Times New Roman" w:hAnsi="Times New Roman" w:cs="Times New Roman"/>
          <w:sz w:val="24"/>
          <w:szCs w:val="24"/>
        </w:rPr>
        <w:footnoteReference w:id="116"/>
      </w:r>
    </w:p>
    <w:p w14:paraId="4B0DE9DE" w14:textId="7F83BC26" w:rsidR="009978A2" w:rsidRPr="007157D3" w:rsidRDefault="009978A2" w:rsidP="00AC38FA">
      <w:pPr>
        <w:spacing w:before="120" w:after="0" w:line="240" w:lineRule="auto"/>
        <w:ind w:firstLine="720"/>
        <w:jc w:val="both"/>
        <w:rPr>
          <w:rFonts w:ascii="Times New Roman" w:eastAsia="Times New Roman" w:hAnsi="Times New Roman" w:cs="Times New Roman"/>
          <w:bCs/>
          <w:sz w:val="24"/>
          <w:szCs w:val="24"/>
          <w:lang w:eastAsia="lv-LV"/>
        </w:rPr>
      </w:pPr>
      <w:r w:rsidRPr="007157D3">
        <w:rPr>
          <w:rFonts w:ascii="Times New Roman" w:eastAsia="Times New Roman" w:hAnsi="Times New Roman" w:cs="Times New Roman"/>
          <w:bCs/>
          <w:sz w:val="24"/>
          <w:szCs w:val="24"/>
          <w:lang w:eastAsia="lv-LV"/>
        </w:rPr>
        <w:t>Jau kopš 2014.gada LM ir definējusi mērķi sociālo pakalpojumu jomā - veidot efektīvu, kvalitatīvu un ilgtspējīgu sociālo pakalpojumu sistēmu ar sabiedrībā balstītiem, iekļaujošiem pakalpojumiem, atbilstoši iedzīvotāju individuālajām vajadzībām</w:t>
      </w:r>
      <w:r w:rsidR="00E007DF">
        <w:rPr>
          <w:rFonts w:ascii="Times New Roman" w:eastAsia="Times New Roman" w:hAnsi="Times New Roman" w:cs="Times New Roman"/>
          <w:bCs/>
          <w:sz w:val="24"/>
          <w:szCs w:val="24"/>
          <w:lang w:eastAsia="lv-LV"/>
        </w:rPr>
        <w:t>.</w:t>
      </w:r>
      <w:r w:rsidRPr="007157D3">
        <w:rPr>
          <w:rFonts w:ascii="Times New Roman" w:eastAsia="Times New Roman" w:hAnsi="Times New Roman" w:cs="Times New Roman"/>
          <w:bCs/>
          <w:sz w:val="24"/>
          <w:szCs w:val="24"/>
          <w:vertAlign w:val="superscript"/>
          <w:lang w:eastAsia="lv-LV"/>
        </w:rPr>
        <w:footnoteReference w:id="117"/>
      </w:r>
      <w:r w:rsidRPr="007157D3">
        <w:rPr>
          <w:rFonts w:ascii="Times New Roman" w:eastAsia="Times New Roman" w:hAnsi="Times New Roman" w:cs="Times New Roman"/>
          <w:bCs/>
          <w:sz w:val="24"/>
          <w:szCs w:val="24"/>
          <w:lang w:eastAsia="lv-LV"/>
        </w:rPr>
        <w:t xml:space="preserve"> Ir uzsākti vairāki sociāli atbildīgi projekti, kas vērsti uz vienmērīgu sociālo pakalpojumu pieejamību pašvaldībās</w:t>
      </w:r>
      <w:r w:rsidRPr="007157D3">
        <w:rPr>
          <w:rFonts w:ascii="Times New Roman" w:eastAsia="Times New Roman" w:hAnsi="Times New Roman" w:cs="Times New Roman"/>
          <w:bCs/>
          <w:sz w:val="24"/>
          <w:szCs w:val="24"/>
          <w:vertAlign w:val="superscript"/>
          <w:lang w:eastAsia="lv-LV"/>
        </w:rPr>
        <w:footnoteReference w:id="118"/>
      </w:r>
      <w:r w:rsidRPr="007157D3">
        <w:rPr>
          <w:rFonts w:ascii="Times New Roman" w:eastAsia="Times New Roman" w:hAnsi="Times New Roman" w:cs="Times New Roman"/>
          <w:bCs/>
          <w:sz w:val="24"/>
          <w:szCs w:val="24"/>
          <w:lang w:eastAsia="lv-LV"/>
        </w:rPr>
        <w:t xml:space="preserve">, taču jāatzīst, ka sociālo pakalpojumu jomā ir nepieciešamas izmaiņas, lai jebkuram Latvijas iedzīvotājam garantētu kvalitatīvu, pieejamu un individuālajām vajadzībām atbilstošu sociālo pakalpojumu pašvaldībā. </w:t>
      </w:r>
    </w:p>
    <w:p w14:paraId="6FD1CE6D" w14:textId="099A212A" w:rsidR="009978A2" w:rsidRPr="00662D1E" w:rsidRDefault="009978A2" w:rsidP="00AC38FA">
      <w:pPr>
        <w:spacing w:before="120" w:after="0" w:line="240" w:lineRule="auto"/>
        <w:ind w:firstLine="720"/>
        <w:jc w:val="both"/>
        <w:rPr>
          <w:rFonts w:ascii="Times New Roman" w:eastAsia="Times New Roman" w:hAnsi="Times New Roman" w:cs="Times New Roman"/>
          <w:bCs/>
          <w:sz w:val="24"/>
          <w:szCs w:val="24"/>
          <w:lang w:eastAsia="lv-LV"/>
        </w:rPr>
      </w:pPr>
      <w:r w:rsidRPr="007157D3">
        <w:rPr>
          <w:rFonts w:ascii="Times New Roman" w:eastAsia="Times New Roman" w:hAnsi="Times New Roman" w:cs="Times New Roman"/>
          <w:bCs/>
          <w:sz w:val="24"/>
          <w:szCs w:val="24"/>
          <w:lang w:eastAsia="lv-LV"/>
        </w:rPr>
        <w:t xml:space="preserve">Saskaņā ar </w:t>
      </w:r>
      <w:r w:rsidR="00B533B5">
        <w:rPr>
          <w:rFonts w:ascii="Times New Roman" w:eastAsia="Times New Roman" w:hAnsi="Times New Roman" w:cs="Times New Roman"/>
          <w:bCs/>
          <w:sz w:val="24"/>
          <w:szCs w:val="24"/>
          <w:lang w:eastAsia="lv-LV"/>
        </w:rPr>
        <w:t>tiesību aktiem</w:t>
      </w:r>
      <w:r w:rsidR="00B533B5">
        <w:rPr>
          <w:rStyle w:val="FootnoteReference"/>
          <w:rFonts w:ascii="Times New Roman" w:eastAsia="Times New Roman" w:hAnsi="Times New Roman" w:cs="Times New Roman"/>
          <w:bCs/>
          <w:sz w:val="24"/>
          <w:szCs w:val="24"/>
          <w:lang w:eastAsia="lv-LV"/>
        </w:rPr>
        <w:footnoteReference w:id="119"/>
      </w:r>
      <w:r w:rsidRPr="002F5278">
        <w:rPr>
          <w:rFonts w:ascii="Times New Roman" w:eastAsia="Times New Roman" w:hAnsi="Times New Roman" w:cs="Times New Roman"/>
          <w:bCs/>
          <w:sz w:val="24"/>
          <w:szCs w:val="24"/>
          <w:lang w:eastAsia="lv-LV"/>
        </w:rPr>
        <w:t xml:space="preserve">  </w:t>
      </w:r>
      <w:r w:rsidR="00B533B5" w:rsidRPr="00573B49">
        <w:rPr>
          <w:rFonts w:ascii="Times New Roman" w:eastAsia="Times New Roman" w:hAnsi="Times New Roman" w:cs="Times New Roman"/>
          <w:bCs/>
          <w:sz w:val="24"/>
          <w:szCs w:val="24"/>
          <w:lang w:eastAsia="lv-LV"/>
        </w:rPr>
        <w:t>pašvaldībai</w:t>
      </w:r>
      <w:r w:rsidR="00B533B5" w:rsidRPr="002F5278">
        <w:rPr>
          <w:rFonts w:ascii="Times New Roman" w:eastAsia="Times New Roman" w:hAnsi="Times New Roman" w:cs="Times New Roman"/>
          <w:bCs/>
          <w:sz w:val="24"/>
          <w:szCs w:val="24"/>
          <w:lang w:eastAsia="lv-LV"/>
        </w:rPr>
        <w:t xml:space="preserve"> </w:t>
      </w:r>
      <w:r w:rsidR="00B533B5" w:rsidRPr="00573B49">
        <w:rPr>
          <w:rFonts w:ascii="Times New Roman" w:eastAsia="Times New Roman" w:hAnsi="Times New Roman" w:cs="Times New Roman"/>
          <w:bCs/>
          <w:sz w:val="24"/>
          <w:szCs w:val="24"/>
          <w:lang w:eastAsia="lv-LV"/>
        </w:rPr>
        <w:t>ir</w:t>
      </w:r>
      <w:r w:rsidR="00B533B5" w:rsidRPr="002F5278">
        <w:rPr>
          <w:rFonts w:ascii="Times New Roman" w:eastAsia="Times New Roman" w:hAnsi="Times New Roman" w:cs="Times New Roman"/>
          <w:bCs/>
          <w:sz w:val="24"/>
          <w:szCs w:val="24"/>
          <w:lang w:eastAsia="lv-LV"/>
        </w:rPr>
        <w:t xml:space="preserve"> </w:t>
      </w:r>
      <w:r w:rsidRPr="002F5278">
        <w:rPr>
          <w:rFonts w:ascii="Times New Roman" w:eastAsia="Times New Roman" w:hAnsi="Times New Roman" w:cs="Times New Roman"/>
          <w:bCs/>
          <w:sz w:val="24"/>
          <w:szCs w:val="24"/>
          <w:lang w:eastAsia="lv-LV"/>
        </w:rPr>
        <w:t>pienākums nodrošināt pers</w:t>
      </w:r>
      <w:r w:rsidRPr="00573B49">
        <w:rPr>
          <w:rFonts w:ascii="Times New Roman" w:eastAsia="Times New Roman" w:hAnsi="Times New Roman" w:cs="Times New Roman"/>
          <w:bCs/>
          <w:sz w:val="24"/>
          <w:szCs w:val="24"/>
          <w:lang w:eastAsia="lv-LV"/>
        </w:rPr>
        <w:t>onai iespēju saņemt tās vajadzībām atbilstošus sociālos pakalpojumus un sociālo palīdzību, kuras teritorijā persona reģistrējusi savu pamatdzīvesvietu. Ja personai ir nepieciešami sociālie pakalpojumi, tā vēršas ar iesniegumu savas dzīvesvietas sociālajā dienestā. Sociālais dienests pārbauda saņemto informāciju, novērtē personas vajadzības, materiālos un personiskos resursus un lemj par sociālā pakalpojuma sniegšanu, piedāvājot piemērotākā pakalpojuma veidu</w:t>
      </w:r>
      <w:r w:rsidR="00164535" w:rsidRPr="00573B49">
        <w:rPr>
          <w:rFonts w:ascii="Times New Roman" w:eastAsia="Times New Roman" w:hAnsi="Times New Roman" w:cs="Times New Roman"/>
          <w:bCs/>
          <w:sz w:val="24"/>
          <w:szCs w:val="24"/>
          <w:lang w:eastAsia="lv-LV"/>
        </w:rPr>
        <w:t xml:space="preserve"> (</w:t>
      </w:r>
      <w:r w:rsidR="00164535" w:rsidRPr="0025422D">
        <w:rPr>
          <w:rFonts w:ascii="Times New Roman" w:eastAsia="Times New Roman" w:hAnsi="Times New Roman" w:cs="Times New Roman"/>
          <w:bCs/>
          <w:sz w:val="24"/>
          <w:szCs w:val="24"/>
          <w:highlight w:val="yellow"/>
          <w:lang w:eastAsia="lv-LV"/>
        </w:rPr>
        <w:t>skat. 3.pielikuma 10.tabulu</w:t>
      </w:r>
      <w:r w:rsidR="00164535" w:rsidRPr="00A857F2">
        <w:rPr>
          <w:rFonts w:ascii="Times New Roman" w:eastAsia="Times New Roman" w:hAnsi="Times New Roman" w:cs="Times New Roman"/>
          <w:bCs/>
          <w:sz w:val="24"/>
          <w:szCs w:val="24"/>
          <w:lang w:eastAsia="lv-LV"/>
        </w:rPr>
        <w:t>)</w:t>
      </w:r>
      <w:r w:rsidRPr="00662D1E">
        <w:rPr>
          <w:rFonts w:ascii="Times New Roman" w:eastAsia="Times New Roman" w:hAnsi="Times New Roman" w:cs="Times New Roman"/>
          <w:bCs/>
          <w:sz w:val="24"/>
          <w:szCs w:val="24"/>
          <w:lang w:eastAsia="lv-LV"/>
        </w:rPr>
        <w:t xml:space="preserve">. Sociālos pakalpojumus nodrošina klienta dzīvesvietā vai iespējami tuvu tai, un tikai tad, ja šāds pakalpojumu apjoms nav pietiekams, tiek nodrošināta sociālā aprūpe  </w:t>
      </w:r>
      <w:r w:rsidRPr="00662D1E">
        <w:rPr>
          <w:rFonts w:ascii="Times New Roman" w:eastAsia="Times New Roman" w:hAnsi="Times New Roman" w:cs="Times New Roman"/>
          <w:bCs/>
          <w:sz w:val="24"/>
          <w:szCs w:val="24"/>
          <w:lang w:eastAsia="lv-LV"/>
        </w:rPr>
        <w:lastRenderedPageBreak/>
        <w:t xml:space="preserve">SAC. Ja personai ir noteikts 3. vai 4. aprūpes līmenis, tā var pretendēt uz SAC sniegtajiem pakalpojumiem. </w:t>
      </w:r>
    </w:p>
    <w:p w14:paraId="5EE91133" w14:textId="32E79701" w:rsidR="009978A2" w:rsidRPr="007157D3" w:rsidRDefault="009978A2" w:rsidP="009978A2">
      <w:pPr>
        <w:spacing w:after="0" w:line="240" w:lineRule="auto"/>
        <w:ind w:firstLine="720"/>
        <w:jc w:val="both"/>
        <w:rPr>
          <w:rFonts w:ascii="Times New Roman" w:eastAsia="Times New Roman" w:hAnsi="Times New Roman" w:cs="Times New Roman"/>
          <w:bCs/>
          <w:sz w:val="24"/>
          <w:szCs w:val="24"/>
          <w:lang w:eastAsia="lv-LV"/>
        </w:rPr>
      </w:pPr>
      <w:r w:rsidRPr="00662D1E">
        <w:rPr>
          <w:rFonts w:ascii="Times New Roman" w:eastAsia="Times New Roman" w:hAnsi="Times New Roman" w:cs="Times New Roman"/>
          <w:b/>
          <w:bCs/>
          <w:sz w:val="24"/>
          <w:szCs w:val="24"/>
          <w:lang w:eastAsia="lv-LV"/>
        </w:rPr>
        <w:t xml:space="preserve">Pašvaldības </w:t>
      </w:r>
      <w:r w:rsidRPr="009703E6">
        <w:rPr>
          <w:rFonts w:ascii="Times New Roman" w:eastAsia="Times New Roman" w:hAnsi="Times New Roman" w:cs="Times New Roman"/>
          <w:b/>
          <w:bCs/>
          <w:sz w:val="24"/>
          <w:szCs w:val="24"/>
          <w:lang w:eastAsia="lv-LV"/>
        </w:rPr>
        <w:t>pienākumus</w:t>
      </w:r>
      <w:r w:rsidRPr="0015154B">
        <w:rPr>
          <w:rFonts w:ascii="Times New Roman" w:eastAsia="Times New Roman" w:hAnsi="Times New Roman" w:cs="Times New Roman"/>
          <w:bCs/>
          <w:sz w:val="24"/>
          <w:szCs w:val="24"/>
          <w:lang w:eastAsia="lv-LV"/>
        </w:rPr>
        <w:t xml:space="preserve"> sociālo pakalpojumu nodrošināšanā saviem iedzīvotājiem nosaka </w:t>
      </w:r>
      <w:r w:rsidR="00B533B5">
        <w:rPr>
          <w:rFonts w:ascii="Times New Roman" w:eastAsia="Times New Roman" w:hAnsi="Times New Roman" w:cs="Times New Roman"/>
          <w:bCs/>
          <w:sz w:val="24"/>
          <w:szCs w:val="24"/>
          <w:lang w:eastAsia="lv-LV"/>
        </w:rPr>
        <w:t>tiesību akti</w:t>
      </w:r>
      <w:r w:rsidRPr="007157D3">
        <w:rPr>
          <w:rFonts w:ascii="Times New Roman" w:eastAsia="Times New Roman" w:hAnsi="Times New Roman" w:cs="Times New Roman"/>
          <w:bCs/>
          <w:sz w:val="24"/>
          <w:szCs w:val="24"/>
          <w:lang w:eastAsia="lv-LV"/>
        </w:rPr>
        <w:t>:</w:t>
      </w:r>
    </w:p>
    <w:tbl>
      <w:tblPr>
        <w:tblStyle w:val="TableGrid1"/>
        <w:tblW w:w="0" w:type="auto"/>
        <w:tblLook w:val="04A0" w:firstRow="1" w:lastRow="0" w:firstColumn="1" w:lastColumn="0" w:noHBand="0" w:noVBand="1"/>
      </w:tblPr>
      <w:tblGrid>
        <w:gridCol w:w="4133"/>
        <w:gridCol w:w="4163"/>
      </w:tblGrid>
      <w:tr w:rsidR="009978A2" w:rsidRPr="0015154B" w14:paraId="7E17069E" w14:textId="77777777" w:rsidTr="00825BD5">
        <w:tc>
          <w:tcPr>
            <w:tcW w:w="4133" w:type="dxa"/>
            <w:shd w:val="clear" w:color="auto" w:fill="E8F3D3" w:themeFill="accent2" w:themeFillTint="33"/>
          </w:tcPr>
          <w:p w14:paraId="2E45B70E" w14:textId="77777777" w:rsidR="009978A2" w:rsidRPr="002F5278" w:rsidRDefault="009978A2" w:rsidP="006B303C">
            <w:pPr>
              <w:jc w:val="center"/>
              <w:rPr>
                <w:rFonts w:ascii="Times New Roman" w:eastAsia="Times New Roman" w:hAnsi="Times New Roman" w:cs="Times New Roman"/>
                <w:b/>
                <w:color w:val="002060"/>
                <w:sz w:val="24"/>
                <w:szCs w:val="24"/>
                <w:lang w:eastAsia="lv-LV"/>
              </w:rPr>
            </w:pPr>
            <w:r w:rsidRPr="002F5278">
              <w:rPr>
                <w:rFonts w:ascii="Times New Roman" w:eastAsia="Times New Roman" w:hAnsi="Times New Roman" w:cs="Times New Roman"/>
                <w:b/>
                <w:color w:val="002060"/>
                <w:sz w:val="24"/>
                <w:szCs w:val="24"/>
                <w:lang w:eastAsia="lv-LV"/>
              </w:rPr>
              <w:t>Sociālo pakalpojumu un sociālās palīdzības likumā noteiktie pašvaldības nodrošināmie sociālie pakalpojumi</w:t>
            </w:r>
          </w:p>
        </w:tc>
        <w:tc>
          <w:tcPr>
            <w:tcW w:w="4163" w:type="dxa"/>
            <w:shd w:val="clear" w:color="auto" w:fill="E8F3D3" w:themeFill="accent2" w:themeFillTint="33"/>
          </w:tcPr>
          <w:p w14:paraId="438C72A5" w14:textId="16ACFB17" w:rsidR="009978A2" w:rsidRPr="00573B49" w:rsidRDefault="009978A2" w:rsidP="006B303C">
            <w:pPr>
              <w:jc w:val="center"/>
              <w:rPr>
                <w:rFonts w:ascii="Times New Roman" w:eastAsia="Times New Roman" w:hAnsi="Times New Roman" w:cs="Times New Roman"/>
                <w:b/>
                <w:color w:val="002060"/>
                <w:sz w:val="24"/>
                <w:szCs w:val="24"/>
                <w:lang w:eastAsia="lv-LV"/>
              </w:rPr>
            </w:pPr>
            <w:r w:rsidRPr="00573B49">
              <w:rPr>
                <w:rFonts w:ascii="Times New Roman" w:eastAsia="Times New Roman" w:hAnsi="Times New Roman" w:cs="Times New Roman"/>
                <w:b/>
                <w:color w:val="002060"/>
                <w:sz w:val="24"/>
                <w:szCs w:val="24"/>
                <w:lang w:eastAsia="lv-LV"/>
              </w:rPr>
              <w:t xml:space="preserve"> Likumā “Par pašvaldībām” noteiktie pašvaldības nodrošināmie sociālie pakalpojumi</w:t>
            </w:r>
            <w:r w:rsidR="00B533B5" w:rsidRPr="007157D3">
              <w:rPr>
                <w:rFonts w:ascii="Times New Roman" w:eastAsia="Times New Roman" w:hAnsi="Times New Roman" w:cs="Times New Roman"/>
                <w:bCs/>
                <w:sz w:val="24"/>
                <w:szCs w:val="24"/>
                <w:vertAlign w:val="superscript"/>
                <w:lang w:eastAsia="lv-LV"/>
              </w:rPr>
              <w:footnoteReference w:id="120"/>
            </w:r>
          </w:p>
        </w:tc>
      </w:tr>
      <w:tr w:rsidR="009978A2" w:rsidRPr="0015154B" w14:paraId="313C80CC" w14:textId="77777777" w:rsidTr="006B303C">
        <w:tc>
          <w:tcPr>
            <w:tcW w:w="4133" w:type="dxa"/>
          </w:tcPr>
          <w:p w14:paraId="5465E411" w14:textId="77777777" w:rsidR="009978A2" w:rsidRPr="00895C3F" w:rsidRDefault="009978A2" w:rsidP="00825BD5">
            <w:pPr>
              <w:pStyle w:val="ListParagraph"/>
              <w:numPr>
                <w:ilvl w:val="0"/>
                <w:numId w:val="61"/>
              </w:numPr>
              <w:spacing w:before="60"/>
              <w:ind w:left="451"/>
              <w:jc w:val="both"/>
              <w:rPr>
                <w:rFonts w:ascii="Times New Roman" w:hAnsi="Times New Roman" w:cs="Times New Roman"/>
                <w:bCs/>
                <w:shd w:val="clear" w:color="auto" w:fill="FFFFFF"/>
              </w:rPr>
            </w:pPr>
            <w:r w:rsidRPr="00895C3F">
              <w:rPr>
                <w:rFonts w:ascii="Times New Roman" w:hAnsi="Times New Roman" w:cs="Times New Roman"/>
                <w:bCs/>
                <w:shd w:val="clear" w:color="auto" w:fill="FFFFFF"/>
              </w:rPr>
              <w:t xml:space="preserve">sociālā dienesta informācija un konsultācijas (3.panta 1 1.daļa); </w:t>
            </w:r>
          </w:p>
          <w:p w14:paraId="63EB4600" w14:textId="77777777" w:rsidR="009978A2" w:rsidRPr="00895C3F" w:rsidRDefault="009978A2" w:rsidP="00825BD5">
            <w:pPr>
              <w:pStyle w:val="ListParagraph"/>
              <w:numPr>
                <w:ilvl w:val="0"/>
                <w:numId w:val="61"/>
              </w:numPr>
              <w:spacing w:before="60"/>
              <w:ind w:left="451"/>
              <w:jc w:val="both"/>
              <w:rPr>
                <w:rFonts w:ascii="Times New Roman" w:eastAsia="Times New Roman" w:hAnsi="Times New Roman" w:cs="Times New Roman"/>
                <w:bCs/>
                <w:lang w:eastAsia="lv-LV"/>
              </w:rPr>
            </w:pPr>
            <w:r w:rsidRPr="00895C3F">
              <w:rPr>
                <w:rFonts w:ascii="Times New Roman" w:hAnsi="Times New Roman" w:cs="Times New Roman"/>
                <w:bCs/>
                <w:shd w:val="clear" w:color="auto" w:fill="FFFFFF"/>
              </w:rPr>
              <w:t>patversmes un naktspatversmes pakalpojums (3.panta</w:t>
            </w:r>
            <w:r w:rsidRPr="00895C3F">
              <w:rPr>
                <w:rFonts w:ascii="Times New Roman" w:hAnsi="Times New Roman" w:cs="Times New Roman"/>
                <w:bCs/>
                <w:shd w:val="clear" w:color="auto" w:fill="FFFFFF"/>
                <w:vertAlign w:val="superscript"/>
              </w:rPr>
              <w:t>1</w:t>
            </w:r>
            <w:r w:rsidRPr="00895C3F">
              <w:rPr>
                <w:rFonts w:ascii="Times New Roman" w:hAnsi="Times New Roman" w:cs="Times New Roman"/>
                <w:bCs/>
                <w:shd w:val="clear" w:color="auto" w:fill="FFFFFF"/>
              </w:rPr>
              <w:t xml:space="preserve"> 1.daļa);</w:t>
            </w:r>
          </w:p>
          <w:p w14:paraId="53E9686F" w14:textId="12B27C9D" w:rsidR="009978A2" w:rsidRPr="00895C3F" w:rsidRDefault="009978A2" w:rsidP="00825BD5">
            <w:pPr>
              <w:pStyle w:val="ListParagraph"/>
              <w:numPr>
                <w:ilvl w:val="0"/>
                <w:numId w:val="61"/>
              </w:numPr>
              <w:spacing w:before="60"/>
              <w:ind w:left="451"/>
              <w:jc w:val="both"/>
              <w:rPr>
                <w:rFonts w:ascii="Times New Roman" w:eastAsia="Times New Roman" w:hAnsi="Times New Roman" w:cs="Times New Roman"/>
                <w:bCs/>
                <w:lang w:eastAsia="lv-LV"/>
              </w:rPr>
            </w:pPr>
            <w:r w:rsidRPr="00895C3F">
              <w:rPr>
                <w:rFonts w:ascii="Times New Roman" w:hAnsi="Times New Roman" w:cs="Times New Roman"/>
                <w:bCs/>
                <w:shd w:val="clear" w:color="auto" w:fill="FFFFFF"/>
              </w:rPr>
              <w:t>Krīzes centrs (9.panta (3)</w:t>
            </w:r>
            <w:r w:rsidR="001119D9" w:rsidRPr="00895C3F">
              <w:rPr>
                <w:rFonts w:ascii="Times New Roman" w:hAnsi="Times New Roman" w:cs="Times New Roman"/>
                <w:bCs/>
                <w:shd w:val="clear" w:color="auto" w:fill="FFFFFF"/>
              </w:rPr>
              <w:t xml:space="preserve"> daļa</w:t>
            </w:r>
            <w:r w:rsidR="00057711" w:rsidRPr="00895C3F">
              <w:rPr>
                <w:rFonts w:ascii="Times New Roman" w:hAnsi="Times New Roman" w:cs="Times New Roman"/>
                <w:bCs/>
                <w:shd w:val="clear" w:color="auto" w:fill="FFFFFF"/>
              </w:rPr>
              <w:t>)</w:t>
            </w:r>
            <w:r w:rsidRPr="00895C3F">
              <w:rPr>
                <w:rFonts w:ascii="Times New Roman" w:hAnsi="Times New Roman" w:cs="Times New Roman"/>
                <w:bCs/>
                <w:shd w:val="clear" w:color="auto" w:fill="FFFFFF"/>
              </w:rPr>
              <w:t>;</w:t>
            </w:r>
          </w:p>
          <w:p w14:paraId="3C583C85" w14:textId="77777777" w:rsidR="009978A2" w:rsidRPr="00895C3F" w:rsidRDefault="009978A2" w:rsidP="00825BD5">
            <w:pPr>
              <w:pStyle w:val="ListParagraph"/>
              <w:numPr>
                <w:ilvl w:val="0"/>
                <w:numId w:val="61"/>
              </w:numPr>
              <w:spacing w:before="60"/>
              <w:ind w:left="451"/>
              <w:jc w:val="both"/>
              <w:rPr>
                <w:rFonts w:ascii="Times New Roman" w:eastAsia="Times New Roman" w:hAnsi="Times New Roman" w:cs="Times New Roman"/>
                <w:bCs/>
                <w:lang w:eastAsia="lv-LV"/>
              </w:rPr>
            </w:pPr>
            <w:r w:rsidRPr="00895C3F">
              <w:rPr>
                <w:rFonts w:ascii="Times New Roman" w:hAnsi="Times New Roman" w:cs="Times New Roman"/>
                <w:bCs/>
              </w:rPr>
              <w:t>sociālie pakalpojumi ģimenēm ar bērniem, kurās ir bērna attīstībai nelabvēlīgi apstākļi, audžuģimenēm, aizbildņiem, personām, kuras aprūpē kādu no ģimenes locekļiem, invalīdiem, pensijas vecuma personām, personām ar garīga rakstura traucējumiem un citām personu grupām, kurām tas nepieciešams (11.pants);</w:t>
            </w:r>
            <w:r w:rsidRPr="00895C3F">
              <w:rPr>
                <w:rFonts w:ascii="Times New Roman" w:hAnsi="Times New Roman" w:cs="Times New Roman"/>
                <w:bCs/>
                <w:shd w:val="clear" w:color="auto" w:fill="FFFFFF"/>
              </w:rPr>
              <w:t xml:space="preserve"> </w:t>
            </w:r>
          </w:p>
          <w:p w14:paraId="20169E20" w14:textId="77777777" w:rsidR="009978A2" w:rsidRPr="00895C3F" w:rsidRDefault="009978A2" w:rsidP="00825BD5">
            <w:pPr>
              <w:pStyle w:val="ListParagraph"/>
              <w:numPr>
                <w:ilvl w:val="0"/>
                <w:numId w:val="61"/>
              </w:numPr>
              <w:spacing w:before="60"/>
              <w:ind w:left="451"/>
              <w:jc w:val="both"/>
              <w:rPr>
                <w:rFonts w:ascii="Times New Roman" w:eastAsia="Times New Roman" w:hAnsi="Times New Roman" w:cs="Times New Roman"/>
                <w:bCs/>
                <w:lang w:eastAsia="lv-LV"/>
              </w:rPr>
            </w:pPr>
            <w:r w:rsidRPr="00895C3F">
              <w:rPr>
                <w:rFonts w:ascii="Times New Roman" w:hAnsi="Times New Roman" w:cs="Times New Roman"/>
                <w:bCs/>
                <w:shd w:val="clear" w:color="auto" w:fill="FFFFFF"/>
              </w:rPr>
              <w:t>ilgstošā sociālās aprūpe un sociālā rehabilitācija institūcijā bērniem (12.panta (2</w:t>
            </w:r>
            <w:r w:rsidRPr="00895C3F">
              <w:rPr>
                <w:rFonts w:ascii="Times New Roman" w:hAnsi="Times New Roman" w:cs="Times New Roman"/>
                <w:bCs/>
                <w:vertAlign w:val="superscript"/>
              </w:rPr>
              <w:t>3</w:t>
            </w:r>
            <w:r w:rsidRPr="00895C3F">
              <w:rPr>
                <w:rFonts w:ascii="Times New Roman" w:hAnsi="Times New Roman" w:cs="Times New Roman"/>
                <w:bCs/>
                <w:shd w:val="clear" w:color="auto" w:fill="FFFFFF"/>
              </w:rPr>
              <w:t>) daļa);</w:t>
            </w:r>
          </w:p>
          <w:p w14:paraId="1EBCE301" w14:textId="77777777" w:rsidR="009978A2" w:rsidRPr="00895C3F" w:rsidRDefault="009978A2" w:rsidP="00825BD5">
            <w:pPr>
              <w:pStyle w:val="ListParagraph"/>
              <w:numPr>
                <w:ilvl w:val="0"/>
                <w:numId w:val="61"/>
              </w:numPr>
              <w:spacing w:before="60"/>
              <w:ind w:left="451"/>
              <w:jc w:val="both"/>
              <w:rPr>
                <w:rFonts w:ascii="Times New Roman" w:eastAsia="Times New Roman" w:hAnsi="Times New Roman" w:cs="Times New Roman"/>
                <w:bCs/>
                <w:lang w:eastAsia="lv-LV"/>
              </w:rPr>
            </w:pPr>
            <w:r w:rsidRPr="00895C3F">
              <w:rPr>
                <w:rFonts w:ascii="Times New Roman" w:hAnsi="Times New Roman" w:cs="Times New Roman"/>
                <w:bCs/>
                <w:shd w:val="clear" w:color="auto" w:fill="FFFFFF"/>
              </w:rPr>
              <w:t xml:space="preserve">dienas centrs personām ar garīga rakstura traucējumiem (13.panta 3.daļa (netieši), </w:t>
            </w:r>
          </w:p>
          <w:p w14:paraId="4F5D6BBD" w14:textId="77777777" w:rsidR="009978A2" w:rsidRPr="00895C3F" w:rsidRDefault="009978A2" w:rsidP="00825BD5">
            <w:pPr>
              <w:pStyle w:val="ListParagraph"/>
              <w:numPr>
                <w:ilvl w:val="0"/>
                <w:numId w:val="61"/>
              </w:numPr>
              <w:spacing w:before="60"/>
              <w:ind w:left="451"/>
              <w:jc w:val="both"/>
              <w:rPr>
                <w:rFonts w:ascii="Times New Roman" w:eastAsia="Times New Roman" w:hAnsi="Times New Roman" w:cs="Times New Roman"/>
                <w:bCs/>
                <w:lang w:eastAsia="lv-LV"/>
              </w:rPr>
            </w:pPr>
            <w:r w:rsidRPr="00895C3F">
              <w:rPr>
                <w:rFonts w:ascii="Times New Roman" w:hAnsi="Times New Roman" w:cs="Times New Roman"/>
                <w:bCs/>
                <w:shd w:val="clear" w:color="auto" w:fill="FFFFFF"/>
              </w:rPr>
              <w:t>grupu māja (dzīvoklis) un pusceļa māja personām ar garīga rakstura traucējumiem paredzēto (13.panta 5.daļa (netieši);</w:t>
            </w:r>
          </w:p>
          <w:p w14:paraId="4DFB0B59" w14:textId="77777777" w:rsidR="009978A2" w:rsidRPr="00895C3F" w:rsidRDefault="009978A2" w:rsidP="00825BD5">
            <w:pPr>
              <w:pStyle w:val="ListParagraph"/>
              <w:numPr>
                <w:ilvl w:val="0"/>
                <w:numId w:val="61"/>
              </w:numPr>
              <w:spacing w:before="60"/>
              <w:ind w:left="451"/>
              <w:jc w:val="both"/>
              <w:rPr>
                <w:rFonts w:ascii="Times New Roman" w:eastAsia="Times New Roman" w:hAnsi="Times New Roman" w:cs="Times New Roman"/>
                <w:bCs/>
                <w:lang w:eastAsia="lv-LV"/>
              </w:rPr>
            </w:pPr>
            <w:r w:rsidRPr="00895C3F">
              <w:rPr>
                <w:rFonts w:ascii="Times New Roman" w:hAnsi="Times New Roman" w:cs="Times New Roman"/>
                <w:bCs/>
                <w:shd w:val="clear" w:color="auto" w:fill="FFFFFF"/>
              </w:rPr>
              <w:t>aprūpe mājās (23.pants);</w:t>
            </w:r>
          </w:p>
          <w:p w14:paraId="32EF3F6E" w14:textId="77777777" w:rsidR="009978A2" w:rsidRPr="00895C3F" w:rsidRDefault="009978A2" w:rsidP="00825BD5">
            <w:pPr>
              <w:pStyle w:val="ListParagraph"/>
              <w:numPr>
                <w:ilvl w:val="0"/>
                <w:numId w:val="61"/>
              </w:numPr>
              <w:spacing w:before="60"/>
              <w:ind w:left="451"/>
              <w:jc w:val="both"/>
              <w:rPr>
                <w:rFonts w:ascii="Times New Roman" w:eastAsia="Times New Roman" w:hAnsi="Times New Roman" w:cs="Times New Roman"/>
                <w:bCs/>
                <w:lang w:eastAsia="lv-LV"/>
              </w:rPr>
            </w:pPr>
            <w:r w:rsidRPr="00895C3F">
              <w:rPr>
                <w:rFonts w:ascii="Times New Roman" w:hAnsi="Times New Roman" w:cs="Times New Roman"/>
                <w:bCs/>
                <w:shd w:val="clear" w:color="auto" w:fill="FFFFFF"/>
              </w:rPr>
              <w:t>sociālās rehabilitācijas centrs personām ar funkcionāliem traucējumiem, no psihoaktīvām vielām atkarīgām personām, personām pēc brīvības atņemšanas soda izciešanas un citām personām ar sociālās funkcionēšanas problēmām (</w:t>
            </w:r>
            <w:r w:rsidRPr="00895C3F">
              <w:rPr>
                <w:rFonts w:ascii="Times New Roman" w:hAnsi="Times New Roman" w:cs="Times New Roman"/>
                <w:bCs/>
              </w:rPr>
              <w:t>27.</w:t>
            </w:r>
            <w:r w:rsidRPr="00895C3F">
              <w:rPr>
                <w:rFonts w:ascii="Times New Roman" w:hAnsi="Times New Roman" w:cs="Times New Roman"/>
                <w:bCs/>
                <w:vertAlign w:val="superscript"/>
              </w:rPr>
              <w:t>1</w:t>
            </w:r>
            <w:r w:rsidRPr="00895C3F">
              <w:rPr>
                <w:rFonts w:ascii="Times New Roman" w:hAnsi="Times New Roman" w:cs="Times New Roman"/>
                <w:bCs/>
              </w:rPr>
              <w:t xml:space="preserve"> pants);</w:t>
            </w:r>
          </w:p>
          <w:p w14:paraId="1F614098" w14:textId="77777777" w:rsidR="009978A2" w:rsidRPr="00895C3F" w:rsidRDefault="009978A2" w:rsidP="00825BD5">
            <w:pPr>
              <w:pStyle w:val="ListParagraph"/>
              <w:numPr>
                <w:ilvl w:val="0"/>
                <w:numId w:val="61"/>
              </w:numPr>
              <w:spacing w:before="60"/>
              <w:ind w:left="451"/>
              <w:jc w:val="both"/>
              <w:rPr>
                <w:rFonts w:ascii="Times New Roman" w:eastAsia="Times New Roman" w:hAnsi="Times New Roman" w:cs="Times New Roman"/>
                <w:bCs/>
                <w:lang w:eastAsia="lv-LV"/>
              </w:rPr>
            </w:pPr>
            <w:r w:rsidRPr="00895C3F">
              <w:rPr>
                <w:rFonts w:ascii="Times New Roman" w:hAnsi="Times New Roman" w:cs="Times New Roman"/>
                <w:bCs/>
                <w:shd w:val="clear" w:color="auto" w:fill="FFFFFF"/>
              </w:rPr>
              <w:t>Ilgstošā sociālā aprūpe un sociālā rehabilitācija institūcijā (28.pants).</w:t>
            </w:r>
          </w:p>
        </w:tc>
        <w:tc>
          <w:tcPr>
            <w:tcW w:w="4163" w:type="dxa"/>
          </w:tcPr>
          <w:p w14:paraId="70F7D4B1" w14:textId="77777777" w:rsidR="009978A2" w:rsidRPr="0015154B" w:rsidRDefault="009978A2" w:rsidP="009978A2">
            <w:pPr>
              <w:ind w:left="425"/>
              <w:jc w:val="both"/>
              <w:rPr>
                <w:rFonts w:ascii="Times New Roman" w:eastAsia="Times New Roman" w:hAnsi="Times New Roman" w:cs="Times New Roman"/>
                <w:bCs/>
                <w:sz w:val="24"/>
                <w:szCs w:val="24"/>
                <w:lang w:eastAsia="lv-LV"/>
              </w:rPr>
            </w:pPr>
            <w:r w:rsidRPr="0015154B">
              <w:rPr>
                <w:rFonts w:ascii="Times New Roman" w:hAnsi="Times New Roman" w:cs="Times New Roman"/>
                <w:sz w:val="24"/>
                <w:szCs w:val="24"/>
              </w:rPr>
              <w:t xml:space="preserve">Nodrošināt iedzīvotājiem sociālo palīdzību (sociālo aprūpi): </w:t>
            </w:r>
          </w:p>
          <w:p w14:paraId="6EA78375" w14:textId="77777777" w:rsidR="009978A2" w:rsidRPr="0015154B" w:rsidRDefault="009978A2" w:rsidP="00825BD5">
            <w:pPr>
              <w:pStyle w:val="ListParagraph"/>
              <w:numPr>
                <w:ilvl w:val="0"/>
                <w:numId w:val="62"/>
              </w:numPr>
              <w:jc w:val="both"/>
              <w:rPr>
                <w:rFonts w:ascii="Times New Roman" w:eastAsia="Times New Roman" w:hAnsi="Times New Roman" w:cs="Times New Roman"/>
                <w:bCs/>
                <w:sz w:val="24"/>
                <w:szCs w:val="24"/>
                <w:lang w:eastAsia="lv-LV"/>
              </w:rPr>
            </w:pPr>
            <w:r w:rsidRPr="0015154B">
              <w:rPr>
                <w:rFonts w:ascii="Times New Roman" w:hAnsi="Times New Roman" w:cs="Times New Roman"/>
                <w:sz w:val="24"/>
                <w:szCs w:val="24"/>
              </w:rPr>
              <w:t xml:space="preserve">sociālā palīdzība maznodrošinātām ģimenēm un sociāli mazaizsargātām personām; </w:t>
            </w:r>
          </w:p>
          <w:p w14:paraId="2B6B14C5" w14:textId="77777777" w:rsidR="009978A2" w:rsidRPr="0015154B" w:rsidRDefault="009978A2" w:rsidP="00825BD5">
            <w:pPr>
              <w:pStyle w:val="ListParagraph"/>
              <w:numPr>
                <w:ilvl w:val="0"/>
                <w:numId w:val="62"/>
              </w:numPr>
              <w:jc w:val="both"/>
              <w:rPr>
                <w:rFonts w:ascii="Times New Roman" w:eastAsia="Times New Roman" w:hAnsi="Times New Roman" w:cs="Times New Roman"/>
                <w:bCs/>
                <w:sz w:val="24"/>
                <w:szCs w:val="24"/>
                <w:lang w:eastAsia="lv-LV"/>
              </w:rPr>
            </w:pPr>
            <w:r w:rsidRPr="0015154B">
              <w:rPr>
                <w:rFonts w:ascii="Times New Roman" w:hAnsi="Times New Roman" w:cs="Times New Roman"/>
                <w:sz w:val="24"/>
                <w:szCs w:val="24"/>
              </w:rPr>
              <w:t>veco ļaužu nodrošināšana ar vietām pansionātos;</w:t>
            </w:r>
          </w:p>
          <w:p w14:paraId="46088762" w14:textId="77777777" w:rsidR="009978A2" w:rsidRPr="0015154B" w:rsidRDefault="009978A2" w:rsidP="00825BD5">
            <w:pPr>
              <w:pStyle w:val="ListParagraph"/>
              <w:numPr>
                <w:ilvl w:val="0"/>
                <w:numId w:val="62"/>
              </w:numPr>
              <w:jc w:val="both"/>
              <w:rPr>
                <w:rFonts w:ascii="Times New Roman" w:eastAsia="Times New Roman" w:hAnsi="Times New Roman" w:cs="Times New Roman"/>
                <w:bCs/>
                <w:sz w:val="24"/>
                <w:szCs w:val="24"/>
                <w:lang w:eastAsia="lv-LV"/>
              </w:rPr>
            </w:pPr>
            <w:r w:rsidRPr="0015154B">
              <w:rPr>
                <w:rFonts w:ascii="Times New Roman" w:hAnsi="Times New Roman" w:cs="Times New Roman"/>
                <w:sz w:val="24"/>
                <w:szCs w:val="24"/>
              </w:rPr>
              <w:t xml:space="preserve">bāreņu un bez vecāku gādības palikušo bērnu nodrošināšana ar vietām mācību un audzināšanas iestādēs; </w:t>
            </w:r>
          </w:p>
          <w:p w14:paraId="503E8ED2" w14:textId="77777777" w:rsidR="009978A2" w:rsidRPr="0015154B" w:rsidRDefault="009978A2" w:rsidP="00825BD5">
            <w:pPr>
              <w:pStyle w:val="ListParagraph"/>
              <w:numPr>
                <w:ilvl w:val="0"/>
                <w:numId w:val="62"/>
              </w:numPr>
              <w:jc w:val="both"/>
              <w:rPr>
                <w:rFonts w:ascii="Times New Roman" w:eastAsia="Times New Roman" w:hAnsi="Times New Roman" w:cs="Times New Roman"/>
                <w:bCs/>
                <w:sz w:val="24"/>
                <w:szCs w:val="24"/>
                <w:lang w:eastAsia="lv-LV"/>
              </w:rPr>
            </w:pPr>
            <w:r w:rsidRPr="0015154B">
              <w:rPr>
                <w:rFonts w:ascii="Times New Roman" w:hAnsi="Times New Roman" w:cs="Times New Roman"/>
                <w:sz w:val="24"/>
                <w:szCs w:val="24"/>
              </w:rPr>
              <w:t>bezpajumtnieku nodrošināšana ar naktsmītni;</w:t>
            </w:r>
          </w:p>
          <w:p w14:paraId="0AF9EE6D" w14:textId="77777777" w:rsidR="009978A2" w:rsidRPr="0015154B" w:rsidRDefault="009978A2" w:rsidP="00825BD5">
            <w:pPr>
              <w:pStyle w:val="ListParagraph"/>
              <w:numPr>
                <w:ilvl w:val="0"/>
                <w:numId w:val="62"/>
              </w:numPr>
              <w:jc w:val="both"/>
              <w:rPr>
                <w:rFonts w:ascii="Times New Roman" w:eastAsia="Times New Roman" w:hAnsi="Times New Roman" w:cs="Times New Roman"/>
                <w:bCs/>
                <w:sz w:val="24"/>
                <w:szCs w:val="24"/>
                <w:lang w:eastAsia="lv-LV"/>
              </w:rPr>
            </w:pPr>
            <w:r w:rsidRPr="0015154B">
              <w:rPr>
                <w:rFonts w:ascii="Times New Roman" w:hAnsi="Times New Roman" w:cs="Times New Roman"/>
                <w:sz w:val="24"/>
                <w:szCs w:val="24"/>
              </w:rPr>
              <w:t>u.c.</w:t>
            </w:r>
          </w:p>
        </w:tc>
      </w:tr>
    </w:tbl>
    <w:p w14:paraId="7925EA99" w14:textId="77777777" w:rsidR="009978A2" w:rsidRPr="0015154B" w:rsidRDefault="009978A2" w:rsidP="009978A2">
      <w:pPr>
        <w:spacing w:after="0" w:line="240" w:lineRule="auto"/>
        <w:ind w:firstLine="720"/>
        <w:jc w:val="both"/>
        <w:rPr>
          <w:rFonts w:ascii="Times New Roman" w:eastAsia="Times New Roman" w:hAnsi="Times New Roman" w:cs="Times New Roman"/>
          <w:bCs/>
          <w:sz w:val="24"/>
          <w:szCs w:val="24"/>
          <w:lang w:eastAsia="lv-LV"/>
        </w:rPr>
      </w:pPr>
    </w:p>
    <w:p w14:paraId="3EA5DD47" w14:textId="742A79F8" w:rsidR="009978A2" w:rsidRPr="002F5278" w:rsidRDefault="00895C3F" w:rsidP="00AC38FA">
      <w:pPr>
        <w:spacing w:before="120" w:after="0" w:line="240" w:lineRule="auto"/>
        <w:ind w:firstLine="72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Sociālā pakalpojuma saņēmēja</w:t>
      </w:r>
      <w:r w:rsidR="009978A2" w:rsidRPr="0015154B">
        <w:rPr>
          <w:rFonts w:ascii="Times New Roman" w:eastAsia="Calibri" w:hAnsi="Times New Roman" w:cs="Times New Roman"/>
          <w:sz w:val="24"/>
          <w:szCs w:val="24"/>
          <w:shd w:val="clear" w:color="auto" w:fill="FFFFFF"/>
        </w:rPr>
        <w:t xml:space="preserve"> vai viņa apgādnieka pienākums ir samaksāt par saņemtajiem sociālās aprūpes un sociālās rehabilitācijas pakalpojumiem. </w:t>
      </w:r>
      <w:r>
        <w:rPr>
          <w:rFonts w:ascii="Times New Roman" w:eastAsia="Calibri" w:hAnsi="Times New Roman" w:cs="Times New Roman"/>
          <w:sz w:val="24"/>
          <w:szCs w:val="24"/>
          <w:shd w:val="clear" w:color="auto" w:fill="FFFFFF"/>
        </w:rPr>
        <w:t>Cilvēks</w:t>
      </w:r>
      <w:r w:rsidR="009978A2" w:rsidRPr="0015154B">
        <w:rPr>
          <w:rFonts w:ascii="Times New Roman" w:eastAsia="Calibri" w:hAnsi="Times New Roman" w:cs="Times New Roman"/>
          <w:sz w:val="24"/>
          <w:szCs w:val="24"/>
          <w:shd w:val="clear" w:color="auto" w:fill="FFFFFF"/>
        </w:rPr>
        <w:t xml:space="preserve"> par pakalpojumiem maksā no saviem ienākumiem vai iekrājumiem, bet ne vairāk, kā pakalpojuma cena. Ja </w:t>
      </w:r>
      <w:r>
        <w:rPr>
          <w:rFonts w:ascii="Times New Roman" w:eastAsia="Calibri" w:hAnsi="Times New Roman" w:cs="Times New Roman"/>
          <w:sz w:val="24"/>
          <w:szCs w:val="24"/>
          <w:shd w:val="clear" w:color="auto" w:fill="FFFFFF"/>
        </w:rPr>
        <w:t>pakalpojuma saņēmējs</w:t>
      </w:r>
      <w:r w:rsidR="009978A2" w:rsidRPr="0015154B">
        <w:rPr>
          <w:rFonts w:ascii="Times New Roman" w:eastAsia="Calibri" w:hAnsi="Times New Roman" w:cs="Times New Roman"/>
          <w:sz w:val="24"/>
          <w:szCs w:val="24"/>
          <w:shd w:val="clear" w:color="auto" w:fill="FFFFFF"/>
        </w:rPr>
        <w:t xml:space="preserve"> nespēj samaksāt pats, sociālo pakalpojumu apmaksā</w:t>
      </w:r>
      <w:r w:rsidR="00B533B5">
        <w:rPr>
          <w:rFonts w:ascii="Times New Roman" w:eastAsia="Calibri" w:hAnsi="Times New Roman" w:cs="Times New Roman"/>
          <w:sz w:val="24"/>
          <w:szCs w:val="24"/>
          <w:shd w:val="clear" w:color="auto" w:fill="FFFFFF"/>
        </w:rPr>
        <w:t xml:space="preserve"> pakalpojumiem</w:t>
      </w:r>
      <w:r w:rsidR="009978A2" w:rsidRPr="0015154B">
        <w:rPr>
          <w:rFonts w:ascii="Times New Roman" w:eastAsia="Calibri" w:hAnsi="Times New Roman" w:cs="Times New Roman"/>
          <w:sz w:val="24"/>
          <w:szCs w:val="24"/>
          <w:shd w:val="clear" w:color="auto" w:fill="FFFFFF"/>
        </w:rPr>
        <w:t xml:space="preserve">, kuri netiek finansēti no valsts budžeta, iesaistās apgādnieks/i. Tomēr pēdējos gados ir aktualizējies jautājums par </w:t>
      </w:r>
      <w:r w:rsidR="009978A2" w:rsidRPr="0015154B">
        <w:rPr>
          <w:rFonts w:ascii="Times New Roman" w:eastAsia="Calibri" w:hAnsi="Times New Roman" w:cs="Times New Roman"/>
          <w:b/>
          <w:sz w:val="24"/>
          <w:szCs w:val="24"/>
          <w:shd w:val="clear" w:color="auto" w:fill="FFFFFF"/>
        </w:rPr>
        <w:t>klientu pienākumu un spēju maksāt</w:t>
      </w:r>
      <w:r w:rsidR="009978A2" w:rsidRPr="0015154B">
        <w:rPr>
          <w:rFonts w:ascii="Times New Roman" w:eastAsia="Calibri" w:hAnsi="Times New Roman" w:cs="Times New Roman"/>
          <w:sz w:val="24"/>
          <w:szCs w:val="24"/>
          <w:shd w:val="clear" w:color="auto" w:fill="FFFFFF"/>
        </w:rPr>
        <w:t xml:space="preserve"> </w:t>
      </w:r>
      <w:r w:rsidR="009978A2" w:rsidRPr="0015154B">
        <w:rPr>
          <w:rFonts w:ascii="Times New Roman" w:eastAsia="Calibri" w:hAnsi="Times New Roman" w:cs="Times New Roman"/>
          <w:b/>
          <w:sz w:val="24"/>
          <w:szCs w:val="24"/>
          <w:shd w:val="clear" w:color="auto" w:fill="FFFFFF"/>
        </w:rPr>
        <w:t>par sociālo pakalpojumu</w:t>
      </w:r>
      <w:r w:rsidR="009978A2" w:rsidRPr="0015154B">
        <w:rPr>
          <w:rFonts w:ascii="Times New Roman" w:eastAsia="Calibri" w:hAnsi="Times New Roman" w:cs="Times New Roman"/>
          <w:sz w:val="24"/>
          <w:szCs w:val="24"/>
          <w:shd w:val="clear" w:color="auto" w:fill="FFFFFF"/>
        </w:rPr>
        <w:t xml:space="preserve">, īpaši  gadījumos, kad apgādnieki izvairās no pienākuma uzturēt savus apgādājamos. </w:t>
      </w:r>
      <w:r>
        <w:rPr>
          <w:rFonts w:ascii="Times New Roman" w:eastAsia="Calibri" w:hAnsi="Times New Roman" w:cs="Times New Roman"/>
          <w:sz w:val="24"/>
          <w:szCs w:val="24"/>
          <w:shd w:val="clear" w:color="auto" w:fill="FFFFFF"/>
        </w:rPr>
        <w:t xml:space="preserve">No </w:t>
      </w:r>
      <w:r w:rsidR="009978A2" w:rsidRPr="0015154B">
        <w:rPr>
          <w:rFonts w:ascii="Times New Roman" w:eastAsia="Calibri" w:hAnsi="Times New Roman" w:cs="Times New Roman"/>
          <w:sz w:val="24"/>
          <w:szCs w:val="24"/>
          <w:shd w:val="clear" w:color="auto" w:fill="FFFFFF"/>
        </w:rPr>
        <w:t>2017.</w:t>
      </w:r>
      <w:r>
        <w:rPr>
          <w:rFonts w:ascii="Times New Roman" w:eastAsia="Calibri" w:hAnsi="Times New Roman" w:cs="Times New Roman"/>
          <w:sz w:val="24"/>
          <w:szCs w:val="24"/>
          <w:shd w:val="clear" w:color="auto" w:fill="FFFFFF"/>
        </w:rPr>
        <w:t xml:space="preserve"> gada </w:t>
      </w:r>
      <w:r w:rsidR="009978A2" w:rsidRPr="0015154B">
        <w:rPr>
          <w:rFonts w:ascii="Times New Roman" w:eastAsia="Calibri" w:hAnsi="Times New Roman" w:cs="Times New Roman"/>
          <w:sz w:val="24"/>
          <w:szCs w:val="24"/>
          <w:shd w:val="clear" w:color="auto" w:fill="FFFFFF"/>
        </w:rPr>
        <w:t>otrās pakāpes radinieki, piemēram</w:t>
      </w:r>
      <w:r w:rsidR="00B533B5">
        <w:rPr>
          <w:rFonts w:ascii="Times New Roman" w:eastAsia="Calibri" w:hAnsi="Times New Roman" w:cs="Times New Roman"/>
          <w:sz w:val="24"/>
          <w:szCs w:val="24"/>
          <w:shd w:val="clear" w:color="auto" w:fill="FFFFFF"/>
        </w:rPr>
        <w:t>,</w:t>
      </w:r>
      <w:r w:rsidR="009978A2" w:rsidRPr="0015154B">
        <w:rPr>
          <w:rFonts w:ascii="Times New Roman" w:eastAsia="Calibri" w:hAnsi="Times New Roman" w:cs="Times New Roman"/>
          <w:sz w:val="24"/>
          <w:szCs w:val="24"/>
          <w:shd w:val="clear" w:color="auto" w:fill="FFFFFF"/>
        </w:rPr>
        <w:t xml:space="preserve"> mazbērni vairs netiek uzskatīti </w:t>
      </w:r>
      <w:r w:rsidR="009978A2" w:rsidRPr="0015154B">
        <w:rPr>
          <w:rFonts w:ascii="Times New Roman" w:eastAsia="Calibri" w:hAnsi="Times New Roman" w:cs="Times New Roman"/>
          <w:sz w:val="24"/>
          <w:szCs w:val="24"/>
          <w:shd w:val="clear" w:color="auto" w:fill="FFFFFF"/>
        </w:rPr>
        <w:lastRenderedPageBreak/>
        <w:t>par apgādniekiem</w:t>
      </w:r>
      <w:r w:rsidR="009978A2" w:rsidRPr="007157D3">
        <w:rPr>
          <w:rStyle w:val="FootnoteReference"/>
          <w:rFonts w:ascii="Times New Roman" w:eastAsia="Calibri" w:hAnsi="Times New Roman" w:cs="Times New Roman"/>
          <w:sz w:val="24"/>
          <w:szCs w:val="24"/>
          <w:shd w:val="clear" w:color="auto" w:fill="FFFFFF"/>
        </w:rPr>
        <w:footnoteReference w:id="121"/>
      </w:r>
      <w:r w:rsidR="009978A2" w:rsidRPr="007157D3">
        <w:rPr>
          <w:rFonts w:ascii="Times New Roman" w:eastAsia="Calibri" w:hAnsi="Times New Roman" w:cs="Times New Roman"/>
          <w:sz w:val="24"/>
          <w:szCs w:val="24"/>
          <w:shd w:val="clear" w:color="auto" w:fill="FFFFFF"/>
        </w:rPr>
        <w:t>. Taču pieņemtais lēmums neatrisināja problēmu, kas rodas pašvaldībām, ja apgādnieks nesadarbojas ar sociālo dienestu (apgādnieki ir ārzemēs, nav sasniedzami, nesniedz informāciju par materiālo stāvokli, kā rezultātā nav iespējams novērtēt, vai un cik daudz apgādniekam būtu jāmaksā par apgādājamajam piešķirtajiem sociālajiem pakalpojumiem) vai apgalvo, ka vecāks nav rūpējies par viņu kā bērnu, tāpēc negrasās segt izdevumus par sociālajiem pakalpojumiem (lai arī nav pierādījumu, lai pašvaldība atbrīvotu no pienākuma maksāt par sociālo pakalpojumu). Šādā situācijā ir risks, ka sociālo pakalpojumu nodrošināšana kavējas, kamēr tiek kārtotas formalitātes, kas skar apgādnieka iesaisti sociālo pakalpoj</w:t>
      </w:r>
      <w:r w:rsidR="009978A2" w:rsidRPr="002F5278">
        <w:rPr>
          <w:rFonts w:ascii="Times New Roman" w:eastAsia="Calibri" w:hAnsi="Times New Roman" w:cs="Times New Roman"/>
          <w:sz w:val="24"/>
          <w:szCs w:val="24"/>
          <w:shd w:val="clear" w:color="auto" w:fill="FFFFFF"/>
        </w:rPr>
        <w:t xml:space="preserve">umu apmaksā. </w:t>
      </w:r>
    </w:p>
    <w:p w14:paraId="7C26C3A2" w14:textId="3EBB5A8E" w:rsidR="009978A2" w:rsidRPr="00573B49" w:rsidRDefault="009978A2" w:rsidP="00AC38FA">
      <w:pPr>
        <w:spacing w:before="120" w:after="0" w:line="240" w:lineRule="auto"/>
        <w:ind w:firstLine="720"/>
        <w:jc w:val="both"/>
        <w:rPr>
          <w:rFonts w:ascii="Times New Roman" w:hAnsi="Times New Roman" w:cs="Times New Roman"/>
          <w:sz w:val="24"/>
          <w:szCs w:val="24"/>
        </w:rPr>
      </w:pPr>
      <w:r w:rsidRPr="00573B49">
        <w:rPr>
          <w:rFonts w:ascii="Times New Roman" w:eastAsia="Calibri" w:hAnsi="Times New Roman" w:cs="Times New Roman"/>
          <w:sz w:val="24"/>
          <w:szCs w:val="24"/>
          <w:shd w:val="clear" w:color="auto" w:fill="FFFFFF"/>
        </w:rPr>
        <w:t xml:space="preserve">Lai mazinātu risku, ka </w:t>
      </w:r>
      <w:r w:rsidR="00895C3F">
        <w:rPr>
          <w:rFonts w:ascii="Times New Roman" w:eastAsia="Calibri" w:hAnsi="Times New Roman" w:cs="Times New Roman"/>
          <w:sz w:val="24"/>
          <w:szCs w:val="24"/>
          <w:shd w:val="clear" w:color="auto" w:fill="FFFFFF"/>
        </w:rPr>
        <w:t>cilvēkam</w:t>
      </w:r>
      <w:r w:rsidRPr="00573B49">
        <w:rPr>
          <w:rFonts w:ascii="Times New Roman" w:eastAsia="Calibri" w:hAnsi="Times New Roman" w:cs="Times New Roman"/>
          <w:sz w:val="24"/>
          <w:szCs w:val="24"/>
          <w:shd w:val="clear" w:color="auto" w:fill="FFFFFF"/>
        </w:rPr>
        <w:t xml:space="preserve"> netiek savlaicīgi nodrošināti sociālie pakalpojumi</w:t>
      </w:r>
      <w:r w:rsidR="00895C3F">
        <w:rPr>
          <w:rFonts w:ascii="Times New Roman" w:eastAsia="Calibri" w:hAnsi="Times New Roman" w:cs="Times New Roman"/>
          <w:sz w:val="24"/>
          <w:szCs w:val="24"/>
          <w:shd w:val="clear" w:color="auto" w:fill="FFFFFF"/>
        </w:rPr>
        <w:t>,</w:t>
      </w:r>
      <w:r w:rsidRPr="00573B49">
        <w:rPr>
          <w:rFonts w:ascii="Times New Roman" w:eastAsia="Calibri" w:hAnsi="Times New Roman" w:cs="Times New Roman"/>
          <w:sz w:val="24"/>
          <w:szCs w:val="24"/>
          <w:shd w:val="clear" w:color="auto" w:fill="FFFFFF"/>
        </w:rPr>
        <w:t xml:space="preserve"> ir jānosaka un jāīsteno pasākumi, kā uzlabot cilvēkiem nepieciešamo sociāl</w:t>
      </w:r>
      <w:r w:rsidR="00895C3F">
        <w:rPr>
          <w:rFonts w:ascii="Times New Roman" w:eastAsia="Calibri" w:hAnsi="Times New Roman" w:cs="Times New Roman"/>
          <w:sz w:val="24"/>
          <w:szCs w:val="24"/>
          <w:shd w:val="clear" w:color="auto" w:fill="FFFFFF"/>
        </w:rPr>
        <w:t>o</w:t>
      </w:r>
      <w:r w:rsidRPr="00573B49">
        <w:rPr>
          <w:rFonts w:ascii="Times New Roman" w:eastAsia="Calibri" w:hAnsi="Times New Roman" w:cs="Times New Roman"/>
          <w:sz w:val="24"/>
          <w:szCs w:val="24"/>
          <w:shd w:val="clear" w:color="auto" w:fill="FFFFFF"/>
        </w:rPr>
        <w:t xml:space="preserve"> pakalpojumu pieejamību, kvalitāti un izmaksu efektivitāti, t.sk. integrējot sociālās un veselības aprūpes pakalpojumus un izmantojot tehnoloģiju sniegtās priekšrocības.</w:t>
      </w:r>
    </w:p>
    <w:p w14:paraId="59BCE478" w14:textId="4811C378" w:rsidR="009978A2" w:rsidRPr="002F5278" w:rsidRDefault="009978A2" w:rsidP="00AC38FA">
      <w:pPr>
        <w:spacing w:before="120" w:after="0" w:line="240" w:lineRule="auto"/>
        <w:ind w:firstLine="720"/>
        <w:jc w:val="both"/>
        <w:rPr>
          <w:rFonts w:ascii="Times New Roman" w:eastAsia="Times New Roman" w:hAnsi="Times New Roman" w:cs="Times New Roman"/>
          <w:bCs/>
          <w:sz w:val="24"/>
          <w:szCs w:val="24"/>
          <w:lang w:eastAsia="lv-LV"/>
        </w:rPr>
      </w:pPr>
      <w:r w:rsidRPr="0025422D">
        <w:rPr>
          <w:rFonts w:ascii="Times New Roman" w:eastAsia="Times New Roman" w:hAnsi="Times New Roman" w:cs="Times New Roman"/>
          <w:bCs/>
          <w:sz w:val="24"/>
          <w:szCs w:val="24"/>
          <w:lang w:eastAsia="lv-LV"/>
        </w:rPr>
        <w:t>Kaut pašvaldībai noteiktie pienāku</w:t>
      </w:r>
      <w:r w:rsidRPr="00A857F2">
        <w:rPr>
          <w:rFonts w:ascii="Times New Roman" w:eastAsia="Times New Roman" w:hAnsi="Times New Roman" w:cs="Times New Roman"/>
          <w:bCs/>
          <w:sz w:val="24"/>
          <w:szCs w:val="24"/>
          <w:lang w:eastAsia="lv-LV"/>
        </w:rPr>
        <w:t>mi sociālo pakalpojumu nod</w:t>
      </w:r>
      <w:r w:rsidRPr="00662D1E">
        <w:rPr>
          <w:rFonts w:ascii="Times New Roman" w:eastAsia="Times New Roman" w:hAnsi="Times New Roman" w:cs="Times New Roman"/>
          <w:bCs/>
          <w:sz w:val="24"/>
          <w:szCs w:val="24"/>
          <w:lang w:eastAsia="lv-LV"/>
        </w:rPr>
        <w:t xml:space="preserve">rošināšanā </w:t>
      </w:r>
      <w:r w:rsidR="00B533B5">
        <w:rPr>
          <w:rFonts w:ascii="Times New Roman" w:eastAsia="Times New Roman" w:hAnsi="Times New Roman" w:cs="Times New Roman"/>
          <w:bCs/>
          <w:sz w:val="24"/>
          <w:szCs w:val="24"/>
          <w:lang w:eastAsia="lv-LV"/>
        </w:rPr>
        <w:t xml:space="preserve">Sociālo pakalpojumu un sociālās palīdzības </w:t>
      </w:r>
      <w:r w:rsidRPr="00662D1E">
        <w:rPr>
          <w:rFonts w:ascii="Times New Roman" w:eastAsia="Times New Roman" w:hAnsi="Times New Roman" w:cs="Times New Roman"/>
          <w:bCs/>
          <w:sz w:val="24"/>
          <w:szCs w:val="24"/>
          <w:lang w:eastAsia="lv-LV"/>
        </w:rPr>
        <w:t>likumā ir plašāki par likumā “Par pašvaldībām”</w:t>
      </w:r>
      <w:r w:rsidRPr="007157D3">
        <w:rPr>
          <w:rFonts w:ascii="Times New Roman" w:eastAsia="Times New Roman" w:hAnsi="Times New Roman" w:cs="Times New Roman"/>
          <w:bCs/>
          <w:sz w:val="24"/>
          <w:szCs w:val="24"/>
          <w:vertAlign w:val="superscript"/>
          <w:lang w:eastAsia="lv-LV"/>
        </w:rPr>
        <w:footnoteReference w:id="122"/>
      </w:r>
      <w:r w:rsidRPr="007157D3">
        <w:rPr>
          <w:rFonts w:ascii="Times New Roman" w:eastAsia="Times New Roman" w:hAnsi="Times New Roman" w:cs="Times New Roman"/>
          <w:bCs/>
          <w:sz w:val="24"/>
          <w:szCs w:val="24"/>
          <w:lang w:eastAsia="lv-LV"/>
        </w:rPr>
        <w:t xml:space="preserve"> noteikto,</w:t>
      </w:r>
      <w:r w:rsidRPr="007157D3">
        <w:rPr>
          <w:rFonts w:ascii="Times New Roman" w:hAnsi="Times New Roman" w:cs="Times New Roman"/>
          <w:sz w:val="24"/>
          <w:szCs w:val="24"/>
        </w:rPr>
        <w:t xml:space="preserve"> </w:t>
      </w:r>
      <w:r w:rsidR="00134710" w:rsidRPr="007157D3">
        <w:rPr>
          <w:rFonts w:ascii="Times New Roman" w:eastAsia="Times New Roman" w:hAnsi="Times New Roman" w:cs="Times New Roman"/>
          <w:bCs/>
          <w:sz w:val="24"/>
          <w:szCs w:val="24"/>
          <w:lang w:eastAsia="lv-LV"/>
        </w:rPr>
        <w:t>izvērtējums</w:t>
      </w:r>
      <w:r w:rsidRPr="007157D3">
        <w:rPr>
          <w:rFonts w:ascii="Times New Roman" w:eastAsia="Times New Roman" w:hAnsi="Times New Roman" w:cs="Times New Roman"/>
          <w:bCs/>
          <w:sz w:val="24"/>
          <w:szCs w:val="24"/>
          <w:vertAlign w:val="superscript"/>
          <w:lang w:eastAsia="lv-LV"/>
        </w:rPr>
        <w:footnoteReference w:id="123"/>
      </w:r>
      <w:r w:rsidRPr="007157D3">
        <w:rPr>
          <w:rFonts w:ascii="Times New Roman" w:eastAsia="Times New Roman" w:hAnsi="Times New Roman" w:cs="Times New Roman"/>
          <w:bCs/>
          <w:sz w:val="24"/>
          <w:szCs w:val="24"/>
          <w:lang w:eastAsia="lv-LV"/>
        </w:rPr>
        <w:t xml:space="preserve"> liecina, ka sociālo pakalpojumu pieejamība dažādās pašvaldībās ir ļoti atšķirīga,</w:t>
      </w:r>
      <w:r w:rsidRPr="007157D3">
        <w:rPr>
          <w:rFonts w:ascii="Times New Roman" w:hAnsi="Times New Roman" w:cs="Times New Roman"/>
          <w:sz w:val="24"/>
          <w:szCs w:val="24"/>
        </w:rPr>
        <w:t xml:space="preserve"> </w:t>
      </w:r>
      <w:r w:rsidRPr="002F5278">
        <w:rPr>
          <w:rFonts w:ascii="Times New Roman" w:eastAsia="Times New Roman" w:hAnsi="Times New Roman" w:cs="Times New Roman"/>
          <w:bCs/>
          <w:sz w:val="24"/>
          <w:szCs w:val="24"/>
          <w:lang w:eastAsia="lv-LV"/>
        </w:rPr>
        <w:t>un galvenokārt to ietekmē tas, ka:</w:t>
      </w:r>
    </w:p>
    <w:p w14:paraId="3E95B3D9" w14:textId="77777777" w:rsidR="009978A2" w:rsidRPr="00573B49" w:rsidRDefault="009978A2" w:rsidP="00161124">
      <w:pPr>
        <w:numPr>
          <w:ilvl w:val="0"/>
          <w:numId w:val="17"/>
        </w:numPr>
        <w:spacing w:after="0" w:line="240" w:lineRule="auto"/>
        <w:contextualSpacing/>
        <w:jc w:val="both"/>
        <w:rPr>
          <w:rFonts w:ascii="Times New Roman" w:eastAsia="Times New Roman" w:hAnsi="Times New Roman" w:cs="Times New Roman"/>
          <w:bCs/>
          <w:sz w:val="24"/>
          <w:szCs w:val="24"/>
          <w:lang w:eastAsia="lv-LV"/>
        </w:rPr>
      </w:pPr>
      <w:r w:rsidRPr="00573B49">
        <w:rPr>
          <w:rFonts w:ascii="Times New Roman" w:eastAsia="Times New Roman" w:hAnsi="Times New Roman" w:cs="Times New Roman"/>
          <w:bCs/>
          <w:sz w:val="24"/>
          <w:szCs w:val="24"/>
          <w:lang w:eastAsia="lv-LV"/>
        </w:rPr>
        <w:t>pašvaldības ir atšķirīgas pēc lieluma, sadrumstalotības;</w:t>
      </w:r>
    </w:p>
    <w:p w14:paraId="10216706" w14:textId="77777777" w:rsidR="009978A2" w:rsidRPr="00573B49" w:rsidRDefault="009978A2" w:rsidP="00161124">
      <w:pPr>
        <w:numPr>
          <w:ilvl w:val="0"/>
          <w:numId w:val="17"/>
        </w:numPr>
        <w:spacing w:after="0" w:line="240" w:lineRule="auto"/>
        <w:contextualSpacing/>
        <w:jc w:val="both"/>
        <w:rPr>
          <w:rFonts w:ascii="Times New Roman" w:eastAsia="Times New Roman" w:hAnsi="Times New Roman" w:cs="Times New Roman"/>
          <w:bCs/>
          <w:sz w:val="24"/>
          <w:szCs w:val="24"/>
          <w:lang w:eastAsia="lv-LV"/>
        </w:rPr>
      </w:pPr>
      <w:r w:rsidRPr="00573B49">
        <w:rPr>
          <w:rFonts w:ascii="Times New Roman" w:eastAsia="Times New Roman" w:hAnsi="Times New Roman" w:cs="Times New Roman"/>
          <w:bCs/>
          <w:sz w:val="24"/>
          <w:szCs w:val="24"/>
          <w:lang w:eastAsia="lv-LV"/>
        </w:rPr>
        <w:t>nevienmērīgs iedzīvotāju blīvums pašvaldībās;</w:t>
      </w:r>
    </w:p>
    <w:p w14:paraId="6C7A06D3" w14:textId="77777777" w:rsidR="009978A2" w:rsidRPr="00573B49" w:rsidRDefault="009978A2" w:rsidP="00161124">
      <w:pPr>
        <w:numPr>
          <w:ilvl w:val="0"/>
          <w:numId w:val="17"/>
        </w:numPr>
        <w:spacing w:after="0" w:line="240" w:lineRule="auto"/>
        <w:contextualSpacing/>
        <w:jc w:val="both"/>
        <w:rPr>
          <w:rFonts w:ascii="Times New Roman" w:eastAsia="Times New Roman" w:hAnsi="Times New Roman" w:cs="Times New Roman"/>
          <w:bCs/>
          <w:sz w:val="24"/>
          <w:szCs w:val="24"/>
          <w:lang w:eastAsia="lv-LV"/>
        </w:rPr>
      </w:pPr>
      <w:r w:rsidRPr="00573B49">
        <w:rPr>
          <w:rFonts w:ascii="Times New Roman" w:eastAsia="Times New Roman" w:hAnsi="Times New Roman" w:cs="Times New Roman"/>
          <w:bCs/>
          <w:sz w:val="24"/>
          <w:szCs w:val="24"/>
          <w:lang w:eastAsia="lv-LV"/>
        </w:rPr>
        <w:t>ir atšķirīgi pašvaldību finanšu resursi;</w:t>
      </w:r>
    </w:p>
    <w:p w14:paraId="2064CEF4" w14:textId="77777777" w:rsidR="009978A2" w:rsidRPr="0025422D" w:rsidRDefault="009978A2" w:rsidP="00161124">
      <w:pPr>
        <w:numPr>
          <w:ilvl w:val="0"/>
          <w:numId w:val="17"/>
        </w:numPr>
        <w:spacing w:after="0" w:line="240" w:lineRule="auto"/>
        <w:contextualSpacing/>
        <w:jc w:val="both"/>
        <w:rPr>
          <w:rFonts w:ascii="Times New Roman" w:eastAsia="Times New Roman" w:hAnsi="Times New Roman" w:cs="Times New Roman"/>
          <w:bCs/>
          <w:sz w:val="24"/>
          <w:szCs w:val="24"/>
          <w:lang w:eastAsia="lv-LV"/>
        </w:rPr>
      </w:pPr>
      <w:r w:rsidRPr="0025422D">
        <w:rPr>
          <w:rFonts w:ascii="Times New Roman" w:eastAsia="Times New Roman" w:hAnsi="Times New Roman" w:cs="Times New Roman"/>
          <w:bCs/>
          <w:sz w:val="24"/>
          <w:szCs w:val="24"/>
          <w:lang w:eastAsia="lv-LV"/>
        </w:rPr>
        <w:t>ierobežota cilvēkresursu pieejamība.</w:t>
      </w:r>
    </w:p>
    <w:p w14:paraId="021DDD69" w14:textId="77777777" w:rsidR="006B303C" w:rsidRPr="00A857F2" w:rsidRDefault="006B303C" w:rsidP="009978A2">
      <w:pPr>
        <w:spacing w:after="0" w:line="240" w:lineRule="auto"/>
        <w:jc w:val="both"/>
        <w:rPr>
          <w:rFonts w:ascii="Times New Roman" w:eastAsia="Times New Roman" w:hAnsi="Times New Roman" w:cs="Times New Roman"/>
          <w:b/>
          <w:sz w:val="24"/>
          <w:szCs w:val="24"/>
          <w:lang w:eastAsia="lv-LV"/>
        </w:rPr>
      </w:pPr>
    </w:p>
    <w:p w14:paraId="5E5288A1" w14:textId="1C5E5382" w:rsidR="009978A2" w:rsidRPr="00662D1E" w:rsidRDefault="009978A2" w:rsidP="00DA5144">
      <w:pPr>
        <w:pStyle w:val="Heading2"/>
      </w:pPr>
      <w:bookmarkStart w:id="41" w:name="_Toc55316080"/>
      <w:r w:rsidRPr="00662D1E">
        <w:t>Sociālo pakalpojumu nodrošināšana</w:t>
      </w:r>
      <w:bookmarkEnd w:id="41"/>
    </w:p>
    <w:p w14:paraId="1F508373" w14:textId="26705008" w:rsidR="009978A2" w:rsidRPr="0015154B" w:rsidRDefault="009978A2" w:rsidP="001101F7">
      <w:pPr>
        <w:pStyle w:val="Heading3"/>
      </w:pPr>
      <w:bookmarkStart w:id="42" w:name="_Toc55316081"/>
      <w:r w:rsidRPr="009703E6">
        <w:t xml:space="preserve">Sociālā aprūpe </w:t>
      </w:r>
      <w:r w:rsidRPr="0015154B">
        <w:t>personām ar funkcionāliem traucējumiem</w:t>
      </w:r>
      <w:bookmarkEnd w:id="42"/>
    </w:p>
    <w:p w14:paraId="2AC89880" w14:textId="77777777" w:rsidR="009978A2" w:rsidRPr="0015154B" w:rsidRDefault="009978A2" w:rsidP="00AC38FA">
      <w:pPr>
        <w:spacing w:before="120" w:after="0" w:line="240" w:lineRule="auto"/>
        <w:ind w:firstLine="7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 xml:space="preserve">Ar jēdzienu “ilgtermiņa aprūpes pakalpojumi” Eiropā saprot pakalpojumus un palīdzību, kas cilvēkam garīgu vai fizisku traucējumu dēļ ir ilgstoši nepieciešami, lai sevi aprūpētu, veiktu ikdienas dzīves aktivitātes vai saņemtu pastāvīgu ārstniecības personu atbalstu. Tie ietver gan sociālās, gan veselības aprūpes pakalpojumus (gan aprūpi institūcijā, gan aprūpi mājās u.c. aprūpes formas), gan finansiālu palīdzību aprūpes nodrošināšanai. </w:t>
      </w:r>
    </w:p>
    <w:p w14:paraId="6C8F40F0" w14:textId="3B8E0169" w:rsidR="009978A2" w:rsidRPr="0015154B" w:rsidRDefault="009978A2" w:rsidP="00AC38FA">
      <w:pPr>
        <w:spacing w:before="120" w:after="0" w:line="240" w:lineRule="auto"/>
        <w:ind w:firstLine="720"/>
        <w:jc w:val="both"/>
        <w:rPr>
          <w:rFonts w:ascii="Times New Roman" w:eastAsia="Calibri" w:hAnsi="Times New Roman" w:cs="Times New Roman"/>
          <w:sz w:val="24"/>
          <w:szCs w:val="24"/>
          <w:shd w:val="clear" w:color="auto" w:fill="FFFFFF"/>
        </w:rPr>
      </w:pPr>
      <w:r w:rsidRPr="0015154B">
        <w:rPr>
          <w:rFonts w:ascii="Times New Roman" w:eastAsia="Calibri" w:hAnsi="Times New Roman" w:cs="Times New Roman"/>
          <w:sz w:val="24"/>
          <w:szCs w:val="24"/>
        </w:rPr>
        <w:t xml:space="preserve">Latvijā sociālo pakalpojumu jomā tiek lietots jēdziens </w:t>
      </w:r>
      <w:r w:rsidR="00134710" w:rsidRPr="0015154B">
        <w:rPr>
          <w:rFonts w:ascii="Times New Roman" w:eastAsia="Calibri" w:hAnsi="Times New Roman" w:cs="Times New Roman"/>
          <w:sz w:val="24"/>
          <w:szCs w:val="24"/>
        </w:rPr>
        <w:t>“</w:t>
      </w:r>
      <w:r w:rsidRPr="0015154B">
        <w:rPr>
          <w:rFonts w:ascii="Times New Roman" w:eastAsia="Calibri" w:hAnsi="Times New Roman" w:cs="Times New Roman"/>
          <w:b/>
          <w:bCs/>
          <w:sz w:val="24"/>
          <w:szCs w:val="24"/>
          <w:shd w:val="clear" w:color="auto" w:fill="FFFFFF"/>
        </w:rPr>
        <w:t>sociālās aprūpes pakalpojums</w:t>
      </w:r>
      <w:r w:rsidRPr="0015154B">
        <w:rPr>
          <w:rFonts w:ascii="Times New Roman" w:eastAsia="Calibri" w:hAnsi="Times New Roman" w:cs="Times New Roman"/>
          <w:bCs/>
          <w:sz w:val="24"/>
          <w:szCs w:val="24"/>
          <w:shd w:val="clear" w:color="auto" w:fill="FFFFFF"/>
        </w:rPr>
        <w:t xml:space="preserve">”, kas </w:t>
      </w:r>
      <w:r w:rsidRPr="0015154B">
        <w:rPr>
          <w:rFonts w:ascii="Times New Roman" w:eastAsia="Calibri" w:hAnsi="Times New Roman" w:cs="Times New Roman"/>
          <w:sz w:val="24"/>
          <w:szCs w:val="24"/>
          <w:shd w:val="clear" w:color="auto" w:fill="FFFFFF"/>
        </w:rPr>
        <w:t xml:space="preserve">ir pasākumu kopums, kas vērsts uz to personu pamatvajadzību apmierināšanu, kurām ir objektīvas grūtības aprūpēt sevi vecuma vai funkcionālo traucējumu dēļ, un ietver sevī pakalpojumus personas dzīvesvietā jeb </w:t>
      </w:r>
      <w:r w:rsidRPr="0015154B">
        <w:rPr>
          <w:rFonts w:ascii="Times New Roman" w:eastAsia="Calibri" w:hAnsi="Times New Roman" w:cs="Times New Roman"/>
          <w:b/>
          <w:sz w:val="24"/>
          <w:szCs w:val="24"/>
          <w:shd w:val="clear" w:color="auto" w:fill="FFFFFF"/>
        </w:rPr>
        <w:t>sabiedrībā balstītus sociālos pakalpojumus</w:t>
      </w:r>
      <w:r w:rsidRPr="0015154B">
        <w:rPr>
          <w:rFonts w:ascii="Times New Roman" w:eastAsia="Calibri" w:hAnsi="Times New Roman" w:cs="Times New Roman"/>
          <w:sz w:val="24"/>
          <w:szCs w:val="24"/>
          <w:shd w:val="clear" w:color="auto" w:fill="FFFFFF"/>
        </w:rPr>
        <w:t xml:space="preserve"> (turpmāk - SBSP) un </w:t>
      </w:r>
      <w:r w:rsidRPr="0015154B">
        <w:rPr>
          <w:rFonts w:ascii="Times New Roman" w:eastAsia="Calibri" w:hAnsi="Times New Roman" w:cs="Times New Roman"/>
          <w:b/>
          <w:sz w:val="24"/>
          <w:szCs w:val="24"/>
          <w:shd w:val="clear" w:color="auto" w:fill="FFFFFF"/>
        </w:rPr>
        <w:t>pakalpojumus SAC</w:t>
      </w:r>
      <w:r w:rsidRPr="0015154B">
        <w:rPr>
          <w:rFonts w:ascii="Times New Roman" w:eastAsia="Calibri" w:hAnsi="Times New Roman" w:cs="Times New Roman"/>
          <w:sz w:val="24"/>
          <w:szCs w:val="24"/>
          <w:shd w:val="clear" w:color="auto" w:fill="FFFFFF"/>
        </w:rPr>
        <w:t>. SBSP ir pakalpojumi, kas tuvināti ģimenes videi - aprūpe mājās, pakalpojumi dienas aprūpes centrā, grupu māja (dzīvoklis), specializētās darbnīcas u.c. Savukārt, pakalpojumi institūcijā nodrošina mājokli, pilnu aprūpi un sociālo rehabilitāciju lielam cilvēku skaitam vienuviet. Sociālās aprūpes pakalpojumu sniegšanā ārstniecības personu iesaiste parasti ir diezgan ierobežota. Savukārt, jēdziens “</w:t>
      </w:r>
      <w:r w:rsidRPr="0015154B">
        <w:rPr>
          <w:rFonts w:ascii="Times New Roman" w:eastAsia="Calibri" w:hAnsi="Times New Roman" w:cs="Times New Roman"/>
          <w:b/>
          <w:sz w:val="24"/>
          <w:szCs w:val="24"/>
          <w:shd w:val="clear" w:color="auto" w:fill="FFFFFF"/>
        </w:rPr>
        <w:t>sociālās rehabilitācijas pakalpojums</w:t>
      </w:r>
      <w:r w:rsidRPr="0015154B">
        <w:rPr>
          <w:rFonts w:ascii="Times New Roman" w:eastAsia="Calibri" w:hAnsi="Times New Roman" w:cs="Times New Roman"/>
          <w:sz w:val="24"/>
          <w:szCs w:val="24"/>
          <w:shd w:val="clear" w:color="auto" w:fill="FFFFFF"/>
        </w:rPr>
        <w:t>” ir pasākumu kopums, kas vērsts uz sociālās funkcionēšanas spēju atjaunošanu vai uzlabošanu, lai nodrošinātu sociālā statusa atgūšanu un iekļaušanos sabiedrībā, un ietver sevī  SBSP un pakalpojumus institūcijā.</w:t>
      </w:r>
    </w:p>
    <w:p w14:paraId="7AEA9B74" w14:textId="77777777" w:rsidR="009978A2" w:rsidRPr="0015154B" w:rsidRDefault="009978A2" w:rsidP="00AC38FA">
      <w:pPr>
        <w:spacing w:before="120" w:after="0" w:line="240" w:lineRule="auto"/>
        <w:ind w:firstLine="720"/>
        <w:jc w:val="both"/>
        <w:rPr>
          <w:rFonts w:ascii="Times New Roman" w:hAnsi="Times New Roman" w:cs="Times New Roman"/>
          <w:sz w:val="24"/>
          <w:szCs w:val="24"/>
          <w:lang w:eastAsia="lv-LV"/>
        </w:rPr>
      </w:pPr>
      <w:r w:rsidRPr="0015154B">
        <w:rPr>
          <w:rFonts w:ascii="Times New Roman" w:hAnsi="Times New Roman" w:cs="Times New Roman"/>
          <w:sz w:val="24"/>
          <w:szCs w:val="24"/>
          <w:lang w:eastAsia="lv-LV"/>
        </w:rPr>
        <w:lastRenderedPageBreak/>
        <w:t xml:space="preserve">Vislielākais risks cilvēka dzīvībai un veselībai iestājas, ja pats cilvēks vairs nespēj nodrošināt savu aprūpi. Izteiktākā riska grupa šajā gadījumā ir </w:t>
      </w:r>
      <w:r w:rsidRPr="0015154B">
        <w:rPr>
          <w:rFonts w:ascii="Times New Roman" w:hAnsi="Times New Roman" w:cs="Times New Roman"/>
          <w:bCs/>
          <w:sz w:val="24"/>
          <w:szCs w:val="24"/>
          <w:lang w:eastAsia="lv-LV"/>
        </w:rPr>
        <w:t>pensijas vecuma cilvēki un personas ar smagiem funkcionāliem traucējumiem (personas ar invaliditāti</w:t>
      </w:r>
      <w:r w:rsidRPr="0015154B">
        <w:rPr>
          <w:rFonts w:ascii="Times New Roman" w:hAnsi="Times New Roman" w:cs="Times New Roman"/>
          <w:sz w:val="24"/>
          <w:szCs w:val="24"/>
          <w:lang w:eastAsia="lv-LV"/>
        </w:rPr>
        <w:t xml:space="preserve">). Kompensēt aprūpes trūkumu var ar dažādiem sociālās aprūpes pakalpojumiem – aprūpi mājās, SAC, dienas aprūpes centros u.c.. </w:t>
      </w:r>
    </w:p>
    <w:p w14:paraId="541E659B" w14:textId="1022FF8D" w:rsidR="009978A2" w:rsidRPr="0015154B" w:rsidRDefault="009978A2"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hAnsi="Times New Roman" w:cs="Times New Roman"/>
          <w:bCs/>
          <w:sz w:val="24"/>
          <w:szCs w:val="24"/>
        </w:rPr>
        <w:t>Vislielākais sociālo pakalpojumu saņēmēju skaits ir</w:t>
      </w:r>
      <w:r w:rsidRPr="0015154B">
        <w:rPr>
          <w:rFonts w:ascii="Times New Roman" w:hAnsi="Times New Roman" w:cs="Times New Roman"/>
          <w:b/>
          <w:sz w:val="24"/>
          <w:szCs w:val="24"/>
        </w:rPr>
        <w:t xml:space="preserve"> aprūpes mājās pakalpojumu segmentā, </w:t>
      </w:r>
      <w:r w:rsidRPr="0015154B">
        <w:rPr>
          <w:rFonts w:ascii="Times New Roman" w:hAnsi="Times New Roman" w:cs="Times New Roman"/>
          <w:bCs/>
          <w:sz w:val="24"/>
          <w:szCs w:val="24"/>
        </w:rPr>
        <w:t xml:space="preserve">ja ar aprūpes mājās pakalpojumu nav iespējams apmierināt klienta pamatvajadzības, tiek nodrošināta SAC. Saskaņā ar LM apkopotajiem valsts statistikas datiem, gan aprūpes mājās pakalpojuma, gan SAC pakalpojuma saņēmēju skaits ik gadu pieaug </w:t>
      </w:r>
      <w:r w:rsidRPr="0015154B">
        <w:rPr>
          <w:rFonts w:ascii="Times New Roman" w:eastAsia="Times New Roman" w:hAnsi="Times New Roman" w:cs="Times New Roman"/>
          <w:sz w:val="24"/>
          <w:szCs w:val="24"/>
          <w:highlight w:val="yellow"/>
          <w:lang w:eastAsia="lv-LV"/>
        </w:rPr>
        <w:t>(skat.</w:t>
      </w:r>
      <w:r w:rsidR="00134710" w:rsidRPr="0015154B">
        <w:rPr>
          <w:rFonts w:ascii="Times New Roman" w:eastAsia="Times New Roman" w:hAnsi="Times New Roman" w:cs="Times New Roman"/>
          <w:sz w:val="24"/>
          <w:szCs w:val="24"/>
          <w:highlight w:val="yellow"/>
          <w:lang w:eastAsia="lv-LV"/>
        </w:rPr>
        <w:t xml:space="preserve"> 1</w:t>
      </w:r>
      <w:r w:rsidR="00974F0C">
        <w:rPr>
          <w:rFonts w:ascii="Times New Roman" w:eastAsia="Times New Roman" w:hAnsi="Times New Roman" w:cs="Times New Roman"/>
          <w:sz w:val="24"/>
          <w:szCs w:val="24"/>
          <w:highlight w:val="yellow"/>
          <w:lang w:eastAsia="lv-LV"/>
        </w:rPr>
        <w:t>4</w:t>
      </w:r>
      <w:r w:rsidRPr="0015154B">
        <w:rPr>
          <w:rFonts w:ascii="Times New Roman" w:eastAsia="Times New Roman" w:hAnsi="Times New Roman" w:cs="Times New Roman"/>
          <w:sz w:val="24"/>
          <w:szCs w:val="24"/>
          <w:highlight w:val="yellow"/>
          <w:lang w:eastAsia="lv-LV"/>
        </w:rPr>
        <w:t>.tabulu</w:t>
      </w:r>
      <w:r w:rsidRPr="0015154B">
        <w:rPr>
          <w:rFonts w:ascii="Times New Roman" w:eastAsia="Times New Roman" w:hAnsi="Times New Roman" w:cs="Times New Roman"/>
          <w:sz w:val="24"/>
          <w:szCs w:val="24"/>
          <w:lang w:eastAsia="lv-LV"/>
        </w:rPr>
        <w:t>)</w:t>
      </w:r>
      <w:r w:rsidRPr="0015154B">
        <w:rPr>
          <w:rFonts w:ascii="Times New Roman" w:hAnsi="Times New Roman" w:cs="Times New Roman"/>
          <w:bCs/>
          <w:sz w:val="24"/>
          <w:szCs w:val="24"/>
        </w:rPr>
        <w:t>.</w:t>
      </w:r>
      <w:r w:rsidRPr="0015154B">
        <w:rPr>
          <w:rFonts w:ascii="Times New Roman" w:hAnsi="Times New Roman" w:cs="Times New Roman"/>
          <w:b/>
          <w:sz w:val="24"/>
          <w:szCs w:val="24"/>
        </w:rPr>
        <w:t xml:space="preserve"> </w:t>
      </w:r>
      <w:r w:rsidRPr="0015154B">
        <w:rPr>
          <w:rFonts w:ascii="Times New Roman" w:hAnsi="Times New Roman" w:cs="Times New Roman"/>
          <w:bCs/>
          <w:sz w:val="24"/>
          <w:szCs w:val="24"/>
        </w:rPr>
        <w:t>Ja SAC pakalpojumi ir pieejami visās pašvaldībās, tad, neskatoties uz to, ka</w:t>
      </w:r>
      <w:r w:rsidRPr="0015154B">
        <w:rPr>
          <w:rFonts w:ascii="Times New Roman" w:hAnsi="Times New Roman" w:cs="Times New Roman"/>
          <w:b/>
          <w:sz w:val="24"/>
          <w:szCs w:val="24"/>
        </w:rPr>
        <w:t xml:space="preserve"> </w:t>
      </w:r>
      <w:r w:rsidRPr="0015154B">
        <w:rPr>
          <w:rFonts w:ascii="Times New Roman" w:hAnsi="Times New Roman" w:cs="Times New Roman"/>
          <w:sz w:val="24"/>
          <w:szCs w:val="24"/>
        </w:rPr>
        <w:t>kopējais aprūpes mājās pakalpojumu saņēmēju skaits valstī pieaug, v</w:t>
      </w:r>
      <w:r w:rsidRPr="0015154B">
        <w:rPr>
          <w:rFonts w:ascii="Times New Roman" w:eastAsia="Times New Roman" w:hAnsi="Times New Roman" w:cs="Times New Roman"/>
          <w:sz w:val="24"/>
          <w:szCs w:val="24"/>
          <w:lang w:eastAsia="lv-LV"/>
        </w:rPr>
        <w:t xml:space="preserve">ēl aizvien šis pakalpojums ir pieejams apmēram 90% pašvaldību (2014.gadā </w:t>
      </w:r>
      <w:r w:rsidR="00414C6F" w:rsidRPr="0015154B">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 xml:space="preserve"> 97</w:t>
      </w:r>
      <w:r w:rsidR="00414C6F"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sz w:val="24"/>
          <w:szCs w:val="24"/>
          <w:lang w:eastAsia="lv-LV"/>
        </w:rPr>
        <w:t xml:space="preserve">pašvaldībās jeb 81% no pašvaldībām, 2019.gadā </w:t>
      </w:r>
      <w:r w:rsidR="00414C6F"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sz w:val="24"/>
          <w:szCs w:val="24"/>
          <w:lang w:eastAsia="lv-LV"/>
        </w:rPr>
        <w:t xml:space="preserve">108 pašvaldībās jeb 90% no pašvaldībām). Apmēram 80% no aprūpes mājās pakalpojumu saņēmējiem ir pensijas vecuma personas (2014.gadā – 77 %, 2019.gadā </w:t>
      </w:r>
      <w:r w:rsidR="00E36D32">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sz w:val="24"/>
          <w:szCs w:val="24"/>
          <w:lang w:eastAsia="lv-LV"/>
        </w:rPr>
        <w:t xml:space="preserve">83%). No kopējā pilngadīgo aprūpes mājās pakalpojumu saņēmēju skaita apmēram 62% saņēmēju  ir sievietes, tāda pati proporcija ir arī SAC pakalpojumu saņēmēju dzimumu proporcijās, kas atbilst arī vispārējai demogrāfiskajai situācijai valstī.  </w:t>
      </w:r>
    </w:p>
    <w:p w14:paraId="2DBE8480" w14:textId="77777777" w:rsidR="009978A2" w:rsidRPr="0015154B" w:rsidRDefault="009978A2" w:rsidP="009978A2">
      <w:pPr>
        <w:spacing w:after="0" w:line="240" w:lineRule="auto"/>
        <w:rPr>
          <w:rFonts w:ascii="Times New Roman" w:hAnsi="Times New Roman" w:cs="Times New Roman"/>
          <w:sz w:val="24"/>
          <w:szCs w:val="24"/>
        </w:rPr>
      </w:pPr>
    </w:p>
    <w:p w14:paraId="00EDDB26" w14:textId="63ABDD83" w:rsidR="009978A2" w:rsidRPr="0015154B" w:rsidRDefault="00134710" w:rsidP="009978A2">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t>1</w:t>
      </w:r>
      <w:r w:rsidR="00974F0C">
        <w:rPr>
          <w:rFonts w:ascii="Times New Roman" w:hAnsi="Times New Roman" w:cs="Times New Roman"/>
          <w:sz w:val="24"/>
          <w:szCs w:val="24"/>
        </w:rPr>
        <w:t>4</w:t>
      </w:r>
      <w:r w:rsidR="009978A2" w:rsidRPr="0015154B">
        <w:rPr>
          <w:rFonts w:ascii="Times New Roman" w:hAnsi="Times New Roman" w:cs="Times New Roman"/>
          <w:sz w:val="24"/>
          <w:szCs w:val="24"/>
        </w:rPr>
        <w:t>.tabula</w:t>
      </w:r>
    </w:p>
    <w:p w14:paraId="76852EE4" w14:textId="535DE4CC" w:rsidR="00164535" w:rsidRPr="0015154B" w:rsidRDefault="00164535" w:rsidP="00164535">
      <w:pPr>
        <w:spacing w:after="0" w:line="240" w:lineRule="auto"/>
        <w:jc w:val="center"/>
        <w:rPr>
          <w:rFonts w:ascii="Times New Roman" w:hAnsi="Times New Roman" w:cs="Times New Roman"/>
          <w:color w:val="002060"/>
          <w:sz w:val="24"/>
          <w:szCs w:val="24"/>
        </w:rPr>
      </w:pPr>
      <w:r w:rsidRPr="0015154B">
        <w:rPr>
          <w:rFonts w:ascii="Times New Roman" w:hAnsi="Times New Roman" w:cs="Times New Roman"/>
          <w:b/>
          <w:color w:val="002060"/>
          <w:sz w:val="24"/>
          <w:szCs w:val="24"/>
        </w:rPr>
        <w:t>Informācija par soc</w:t>
      </w:r>
      <w:r w:rsidR="00974F0C">
        <w:rPr>
          <w:rFonts w:ascii="Times New Roman" w:hAnsi="Times New Roman" w:cs="Times New Roman"/>
          <w:b/>
          <w:color w:val="002060"/>
          <w:sz w:val="24"/>
          <w:szCs w:val="24"/>
        </w:rPr>
        <w:t>i</w:t>
      </w:r>
      <w:r w:rsidRPr="0015154B">
        <w:rPr>
          <w:rFonts w:ascii="Times New Roman" w:hAnsi="Times New Roman" w:cs="Times New Roman"/>
          <w:b/>
          <w:color w:val="002060"/>
          <w:sz w:val="24"/>
          <w:szCs w:val="24"/>
        </w:rPr>
        <w:t xml:space="preserve">ālās aprūpes pakalpojumu </w:t>
      </w:r>
    </w:p>
    <w:p w14:paraId="6E64D50A" w14:textId="77777777" w:rsidR="00164535" w:rsidRPr="0015154B" w:rsidRDefault="00164535" w:rsidP="00164535">
      <w:pPr>
        <w:spacing w:after="0" w:line="240" w:lineRule="auto"/>
        <w:jc w:val="center"/>
        <w:rPr>
          <w:rFonts w:ascii="Times New Roman" w:hAnsi="Times New Roman" w:cs="Times New Roman"/>
          <w:sz w:val="24"/>
          <w:szCs w:val="24"/>
        </w:rPr>
      </w:pPr>
    </w:p>
    <w:tbl>
      <w:tblPr>
        <w:tblW w:w="9493" w:type="dxa"/>
        <w:tblCellMar>
          <w:top w:w="15" w:type="dxa"/>
          <w:bottom w:w="15" w:type="dxa"/>
        </w:tblCellMar>
        <w:tblLook w:val="04A0" w:firstRow="1" w:lastRow="0" w:firstColumn="1" w:lastColumn="0" w:noHBand="0" w:noVBand="1"/>
      </w:tblPr>
      <w:tblGrid>
        <w:gridCol w:w="1838"/>
        <w:gridCol w:w="1275"/>
        <w:gridCol w:w="1276"/>
        <w:gridCol w:w="1276"/>
        <w:gridCol w:w="1276"/>
        <w:gridCol w:w="1276"/>
        <w:gridCol w:w="1276"/>
      </w:tblGrid>
      <w:tr w:rsidR="00164535" w:rsidRPr="0015154B" w14:paraId="393AB7C0" w14:textId="77777777" w:rsidTr="00825BD5">
        <w:trPr>
          <w:trHeight w:val="265"/>
        </w:trPr>
        <w:tc>
          <w:tcPr>
            <w:tcW w:w="1838"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2D4DD659" w14:textId="77777777" w:rsidR="00164535" w:rsidRPr="0015154B" w:rsidRDefault="00164535" w:rsidP="00164535">
            <w:pPr>
              <w:spacing w:after="0" w:line="240" w:lineRule="auto"/>
              <w:jc w:val="center"/>
              <w:rPr>
                <w:rFonts w:ascii="Times New Roman" w:eastAsia="Times New Roman" w:hAnsi="Times New Roman" w:cs="Times New Roman"/>
                <w:b/>
                <w:color w:val="002060"/>
                <w:sz w:val="20"/>
                <w:szCs w:val="20"/>
                <w:lang w:eastAsia="lv-LV"/>
              </w:rPr>
            </w:pPr>
          </w:p>
        </w:tc>
        <w:tc>
          <w:tcPr>
            <w:tcW w:w="1275"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1E24D599" w14:textId="77777777" w:rsidR="00164535" w:rsidRPr="0015154B" w:rsidRDefault="00164535" w:rsidP="00164535">
            <w:pPr>
              <w:spacing w:after="0" w:line="240" w:lineRule="auto"/>
              <w:jc w:val="center"/>
              <w:rPr>
                <w:rFonts w:ascii="Times New Roman" w:eastAsia="Times New Roman" w:hAnsi="Times New Roman" w:cs="Times New Roman"/>
                <w:b/>
                <w:color w:val="002060"/>
                <w:sz w:val="20"/>
                <w:szCs w:val="20"/>
                <w:lang w:eastAsia="lv-LV"/>
              </w:rPr>
            </w:pPr>
            <w:r w:rsidRPr="0015154B">
              <w:rPr>
                <w:rFonts w:ascii="Times New Roman" w:eastAsia="Times New Roman" w:hAnsi="Times New Roman" w:cs="Times New Roman"/>
                <w:b/>
                <w:color w:val="002060"/>
                <w:sz w:val="20"/>
                <w:szCs w:val="20"/>
                <w:lang w:eastAsia="lv-LV"/>
              </w:rPr>
              <w:t>2014</w:t>
            </w:r>
          </w:p>
        </w:tc>
        <w:tc>
          <w:tcPr>
            <w:tcW w:w="1276"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06230A14" w14:textId="77777777" w:rsidR="00164535" w:rsidRPr="0015154B" w:rsidRDefault="00164535" w:rsidP="00164535">
            <w:pPr>
              <w:spacing w:after="0" w:line="240" w:lineRule="auto"/>
              <w:jc w:val="center"/>
              <w:rPr>
                <w:rFonts w:ascii="Times New Roman" w:eastAsia="Times New Roman" w:hAnsi="Times New Roman" w:cs="Times New Roman"/>
                <w:b/>
                <w:color w:val="002060"/>
                <w:sz w:val="20"/>
                <w:szCs w:val="20"/>
                <w:lang w:eastAsia="lv-LV"/>
              </w:rPr>
            </w:pPr>
            <w:r w:rsidRPr="0015154B">
              <w:rPr>
                <w:rFonts w:ascii="Times New Roman" w:eastAsia="Times New Roman" w:hAnsi="Times New Roman" w:cs="Times New Roman"/>
                <w:b/>
                <w:color w:val="002060"/>
                <w:sz w:val="20"/>
                <w:szCs w:val="20"/>
                <w:lang w:eastAsia="lv-LV"/>
              </w:rPr>
              <w:t>2015</w:t>
            </w:r>
          </w:p>
        </w:tc>
        <w:tc>
          <w:tcPr>
            <w:tcW w:w="1276"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09465D49" w14:textId="77777777" w:rsidR="00164535" w:rsidRPr="0015154B" w:rsidRDefault="00164535" w:rsidP="00164535">
            <w:pPr>
              <w:spacing w:after="0" w:line="240" w:lineRule="auto"/>
              <w:jc w:val="center"/>
              <w:rPr>
                <w:rFonts w:ascii="Times New Roman" w:eastAsia="Times New Roman" w:hAnsi="Times New Roman" w:cs="Times New Roman"/>
                <w:b/>
                <w:color w:val="002060"/>
                <w:sz w:val="20"/>
                <w:szCs w:val="20"/>
                <w:lang w:eastAsia="lv-LV"/>
              </w:rPr>
            </w:pPr>
            <w:r w:rsidRPr="0015154B">
              <w:rPr>
                <w:rFonts w:ascii="Times New Roman" w:eastAsia="Times New Roman" w:hAnsi="Times New Roman" w:cs="Times New Roman"/>
                <w:b/>
                <w:color w:val="002060"/>
                <w:sz w:val="20"/>
                <w:szCs w:val="20"/>
                <w:lang w:eastAsia="lv-LV"/>
              </w:rPr>
              <w:t>2016</w:t>
            </w:r>
          </w:p>
        </w:tc>
        <w:tc>
          <w:tcPr>
            <w:tcW w:w="1276"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6B757FF3" w14:textId="77777777" w:rsidR="00164535" w:rsidRPr="0015154B" w:rsidRDefault="00164535" w:rsidP="00164535">
            <w:pPr>
              <w:spacing w:after="0" w:line="240" w:lineRule="auto"/>
              <w:jc w:val="center"/>
              <w:rPr>
                <w:rFonts w:ascii="Times New Roman" w:eastAsia="Times New Roman" w:hAnsi="Times New Roman" w:cs="Times New Roman"/>
                <w:b/>
                <w:color w:val="002060"/>
                <w:sz w:val="20"/>
                <w:szCs w:val="20"/>
                <w:lang w:eastAsia="lv-LV"/>
              </w:rPr>
            </w:pPr>
            <w:r w:rsidRPr="0015154B">
              <w:rPr>
                <w:rFonts w:ascii="Times New Roman" w:eastAsia="Times New Roman" w:hAnsi="Times New Roman" w:cs="Times New Roman"/>
                <w:b/>
                <w:color w:val="002060"/>
                <w:sz w:val="20"/>
                <w:szCs w:val="20"/>
                <w:lang w:eastAsia="lv-LV"/>
              </w:rPr>
              <w:t>2017</w:t>
            </w:r>
          </w:p>
        </w:tc>
        <w:tc>
          <w:tcPr>
            <w:tcW w:w="1276"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15BA8398" w14:textId="77777777" w:rsidR="00164535" w:rsidRPr="0015154B" w:rsidRDefault="00164535" w:rsidP="00164535">
            <w:pPr>
              <w:spacing w:after="0" w:line="240" w:lineRule="auto"/>
              <w:jc w:val="center"/>
              <w:rPr>
                <w:rFonts w:ascii="Times New Roman" w:eastAsia="Times New Roman" w:hAnsi="Times New Roman" w:cs="Times New Roman"/>
                <w:b/>
                <w:color w:val="002060"/>
                <w:sz w:val="20"/>
                <w:szCs w:val="20"/>
                <w:lang w:eastAsia="lv-LV"/>
              </w:rPr>
            </w:pPr>
            <w:r w:rsidRPr="0015154B">
              <w:rPr>
                <w:rFonts w:ascii="Times New Roman" w:eastAsia="Times New Roman" w:hAnsi="Times New Roman" w:cs="Times New Roman"/>
                <w:b/>
                <w:color w:val="002060"/>
                <w:sz w:val="20"/>
                <w:szCs w:val="20"/>
                <w:lang w:eastAsia="lv-LV"/>
              </w:rPr>
              <w:t>2018</w:t>
            </w:r>
          </w:p>
        </w:tc>
        <w:tc>
          <w:tcPr>
            <w:tcW w:w="1276"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2F570A81" w14:textId="77777777" w:rsidR="00164535" w:rsidRPr="0015154B" w:rsidRDefault="00164535" w:rsidP="00164535">
            <w:pPr>
              <w:spacing w:after="0" w:line="240" w:lineRule="auto"/>
              <w:jc w:val="center"/>
              <w:rPr>
                <w:rFonts w:ascii="Times New Roman" w:eastAsia="Times New Roman" w:hAnsi="Times New Roman" w:cs="Times New Roman"/>
                <w:b/>
                <w:color w:val="002060"/>
                <w:sz w:val="20"/>
                <w:szCs w:val="20"/>
                <w:lang w:eastAsia="lv-LV"/>
              </w:rPr>
            </w:pPr>
            <w:r w:rsidRPr="0015154B">
              <w:rPr>
                <w:rFonts w:ascii="Times New Roman" w:eastAsia="Times New Roman" w:hAnsi="Times New Roman" w:cs="Times New Roman"/>
                <w:b/>
                <w:color w:val="002060"/>
                <w:sz w:val="20"/>
                <w:szCs w:val="20"/>
                <w:lang w:eastAsia="lv-LV"/>
              </w:rPr>
              <w:t>2019</w:t>
            </w:r>
          </w:p>
        </w:tc>
      </w:tr>
      <w:tr w:rsidR="00164535" w:rsidRPr="0015154B" w14:paraId="3C80B231" w14:textId="77777777" w:rsidTr="005E1993">
        <w:trPr>
          <w:trHeight w:val="440"/>
        </w:trPr>
        <w:tc>
          <w:tcPr>
            <w:tcW w:w="1838"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1CA82621" w14:textId="77777777" w:rsidR="00164535" w:rsidRPr="0015154B" w:rsidRDefault="00164535" w:rsidP="00164535">
            <w:pPr>
              <w:spacing w:after="0" w:line="240" w:lineRule="auto"/>
              <w:rPr>
                <w:rFonts w:ascii="Times New Roman" w:eastAsia="Times New Roman" w:hAnsi="Times New Roman" w:cs="Times New Roman"/>
                <w:color w:val="002060"/>
                <w:sz w:val="20"/>
                <w:szCs w:val="20"/>
                <w:lang w:eastAsia="lv-LV"/>
              </w:rPr>
            </w:pPr>
            <w:r w:rsidRPr="0015154B">
              <w:rPr>
                <w:rFonts w:ascii="Times New Roman" w:eastAsia="Times New Roman" w:hAnsi="Times New Roman" w:cs="Times New Roman"/>
                <w:color w:val="002060"/>
                <w:sz w:val="20"/>
                <w:szCs w:val="20"/>
                <w:lang w:eastAsia="lv-LV"/>
              </w:rPr>
              <w:t>Aprūpes mājās pakalpojuma saņēmēju  skaits</w:t>
            </w:r>
          </w:p>
        </w:tc>
        <w:tc>
          <w:tcPr>
            <w:tcW w:w="1275" w:type="dxa"/>
            <w:tcBorders>
              <w:top w:val="single" w:sz="4" w:space="0" w:color="auto"/>
              <w:left w:val="single" w:sz="4" w:space="0" w:color="auto"/>
              <w:bottom w:val="single" w:sz="4" w:space="0" w:color="auto"/>
              <w:right w:val="single" w:sz="4" w:space="0" w:color="auto"/>
            </w:tcBorders>
            <w:vAlign w:val="center"/>
          </w:tcPr>
          <w:p w14:paraId="79CB909C"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12 519</w:t>
            </w:r>
          </w:p>
        </w:tc>
        <w:tc>
          <w:tcPr>
            <w:tcW w:w="1276" w:type="dxa"/>
            <w:tcBorders>
              <w:top w:val="single" w:sz="4" w:space="0" w:color="auto"/>
              <w:left w:val="single" w:sz="4" w:space="0" w:color="auto"/>
              <w:bottom w:val="single" w:sz="4" w:space="0" w:color="auto"/>
              <w:right w:val="single" w:sz="4" w:space="0" w:color="auto"/>
            </w:tcBorders>
            <w:vAlign w:val="center"/>
          </w:tcPr>
          <w:p w14:paraId="11779B99"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14 518</w:t>
            </w:r>
          </w:p>
        </w:tc>
        <w:tc>
          <w:tcPr>
            <w:tcW w:w="1276" w:type="dxa"/>
            <w:tcBorders>
              <w:top w:val="single" w:sz="4" w:space="0" w:color="auto"/>
              <w:left w:val="single" w:sz="4" w:space="0" w:color="auto"/>
              <w:bottom w:val="single" w:sz="4" w:space="0" w:color="auto"/>
              <w:right w:val="single" w:sz="4" w:space="0" w:color="auto"/>
            </w:tcBorders>
            <w:vAlign w:val="center"/>
          </w:tcPr>
          <w:p w14:paraId="3498F7DA"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14 022</w:t>
            </w:r>
          </w:p>
        </w:tc>
        <w:tc>
          <w:tcPr>
            <w:tcW w:w="1276" w:type="dxa"/>
            <w:tcBorders>
              <w:top w:val="single" w:sz="4" w:space="0" w:color="auto"/>
              <w:left w:val="single" w:sz="4" w:space="0" w:color="auto"/>
              <w:bottom w:val="single" w:sz="4" w:space="0" w:color="auto"/>
              <w:right w:val="single" w:sz="4" w:space="0" w:color="auto"/>
            </w:tcBorders>
            <w:vAlign w:val="center"/>
          </w:tcPr>
          <w:p w14:paraId="6B6933AB"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15437</w:t>
            </w:r>
          </w:p>
        </w:tc>
        <w:tc>
          <w:tcPr>
            <w:tcW w:w="1276" w:type="dxa"/>
            <w:tcBorders>
              <w:top w:val="single" w:sz="4" w:space="0" w:color="auto"/>
              <w:left w:val="single" w:sz="4" w:space="0" w:color="auto"/>
              <w:bottom w:val="single" w:sz="4" w:space="0" w:color="auto"/>
              <w:right w:val="single" w:sz="4" w:space="0" w:color="auto"/>
            </w:tcBorders>
            <w:vAlign w:val="center"/>
          </w:tcPr>
          <w:p w14:paraId="3DF02048"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16 754</w:t>
            </w:r>
          </w:p>
        </w:tc>
        <w:tc>
          <w:tcPr>
            <w:tcW w:w="1276" w:type="dxa"/>
            <w:tcBorders>
              <w:top w:val="single" w:sz="4" w:space="0" w:color="auto"/>
              <w:left w:val="single" w:sz="4" w:space="0" w:color="auto"/>
              <w:bottom w:val="single" w:sz="4" w:space="0" w:color="auto"/>
              <w:right w:val="single" w:sz="4" w:space="0" w:color="auto"/>
            </w:tcBorders>
            <w:vAlign w:val="center"/>
          </w:tcPr>
          <w:p w14:paraId="4013390E"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17 239</w:t>
            </w:r>
          </w:p>
        </w:tc>
      </w:tr>
      <w:tr w:rsidR="00164535" w:rsidRPr="0015154B" w14:paraId="28781EFE" w14:textId="77777777" w:rsidTr="005E1993">
        <w:trPr>
          <w:trHeight w:val="440"/>
        </w:trPr>
        <w:tc>
          <w:tcPr>
            <w:tcW w:w="1838"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3040CF0E" w14:textId="77777777" w:rsidR="00164535" w:rsidRPr="0015154B" w:rsidRDefault="00164535" w:rsidP="00164535">
            <w:pPr>
              <w:spacing w:after="0" w:line="240" w:lineRule="auto"/>
              <w:rPr>
                <w:rFonts w:ascii="Times New Roman" w:eastAsia="Times New Roman" w:hAnsi="Times New Roman" w:cs="Times New Roman"/>
                <w:color w:val="002060"/>
                <w:sz w:val="20"/>
                <w:szCs w:val="20"/>
                <w:lang w:eastAsia="lv-LV"/>
              </w:rPr>
            </w:pPr>
            <w:r w:rsidRPr="0015154B">
              <w:rPr>
                <w:rFonts w:ascii="Times New Roman" w:eastAsia="Times New Roman" w:hAnsi="Times New Roman" w:cs="Times New Roman"/>
                <w:color w:val="002060"/>
                <w:sz w:val="20"/>
                <w:szCs w:val="20"/>
                <w:lang w:eastAsia="lv-LV"/>
              </w:rPr>
              <w:t>tai skaitā, bērni</w:t>
            </w:r>
          </w:p>
        </w:tc>
        <w:tc>
          <w:tcPr>
            <w:tcW w:w="1275" w:type="dxa"/>
            <w:tcBorders>
              <w:top w:val="single" w:sz="4" w:space="0" w:color="auto"/>
              <w:left w:val="single" w:sz="4" w:space="0" w:color="auto"/>
              <w:bottom w:val="single" w:sz="4" w:space="0" w:color="auto"/>
              <w:right w:val="single" w:sz="4" w:space="0" w:color="auto"/>
            </w:tcBorders>
            <w:vAlign w:val="center"/>
          </w:tcPr>
          <w:p w14:paraId="415409FA"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110</w:t>
            </w:r>
          </w:p>
        </w:tc>
        <w:tc>
          <w:tcPr>
            <w:tcW w:w="1276" w:type="dxa"/>
            <w:tcBorders>
              <w:top w:val="single" w:sz="4" w:space="0" w:color="auto"/>
              <w:left w:val="single" w:sz="4" w:space="0" w:color="auto"/>
              <w:bottom w:val="single" w:sz="4" w:space="0" w:color="auto"/>
              <w:right w:val="single" w:sz="4" w:space="0" w:color="auto"/>
            </w:tcBorders>
            <w:vAlign w:val="center"/>
          </w:tcPr>
          <w:p w14:paraId="500F9702"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139</w:t>
            </w:r>
          </w:p>
        </w:tc>
        <w:tc>
          <w:tcPr>
            <w:tcW w:w="1276" w:type="dxa"/>
            <w:tcBorders>
              <w:top w:val="single" w:sz="4" w:space="0" w:color="auto"/>
              <w:left w:val="single" w:sz="4" w:space="0" w:color="auto"/>
              <w:bottom w:val="single" w:sz="4" w:space="0" w:color="auto"/>
              <w:right w:val="single" w:sz="4" w:space="0" w:color="auto"/>
            </w:tcBorders>
            <w:vAlign w:val="center"/>
          </w:tcPr>
          <w:p w14:paraId="012103BE"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124</w:t>
            </w:r>
          </w:p>
        </w:tc>
        <w:tc>
          <w:tcPr>
            <w:tcW w:w="1276" w:type="dxa"/>
            <w:tcBorders>
              <w:top w:val="single" w:sz="4" w:space="0" w:color="auto"/>
              <w:left w:val="single" w:sz="4" w:space="0" w:color="auto"/>
              <w:bottom w:val="single" w:sz="4" w:space="0" w:color="auto"/>
              <w:right w:val="single" w:sz="4" w:space="0" w:color="auto"/>
            </w:tcBorders>
            <w:vAlign w:val="center"/>
          </w:tcPr>
          <w:p w14:paraId="6A994598"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78</w:t>
            </w:r>
          </w:p>
        </w:tc>
        <w:tc>
          <w:tcPr>
            <w:tcW w:w="1276" w:type="dxa"/>
            <w:tcBorders>
              <w:top w:val="single" w:sz="4" w:space="0" w:color="auto"/>
              <w:left w:val="single" w:sz="4" w:space="0" w:color="auto"/>
              <w:bottom w:val="single" w:sz="4" w:space="0" w:color="auto"/>
              <w:right w:val="single" w:sz="4" w:space="0" w:color="auto"/>
            </w:tcBorders>
            <w:vAlign w:val="center"/>
          </w:tcPr>
          <w:p w14:paraId="150FD38E"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84</w:t>
            </w:r>
          </w:p>
        </w:tc>
        <w:tc>
          <w:tcPr>
            <w:tcW w:w="1276" w:type="dxa"/>
            <w:tcBorders>
              <w:top w:val="single" w:sz="4" w:space="0" w:color="auto"/>
              <w:left w:val="single" w:sz="4" w:space="0" w:color="auto"/>
              <w:bottom w:val="single" w:sz="4" w:space="0" w:color="auto"/>
              <w:right w:val="single" w:sz="4" w:space="0" w:color="auto"/>
            </w:tcBorders>
            <w:vAlign w:val="center"/>
          </w:tcPr>
          <w:p w14:paraId="1B33ACC7" w14:textId="77777777" w:rsidR="00164535" w:rsidRPr="0015154B" w:rsidRDefault="00164535" w:rsidP="00164535">
            <w:pPr>
              <w:spacing w:after="0" w:line="240" w:lineRule="auto"/>
              <w:jc w:val="center"/>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70</w:t>
            </w:r>
          </w:p>
        </w:tc>
      </w:tr>
      <w:tr w:rsidR="00164535" w:rsidRPr="0015154B" w14:paraId="39080E58" w14:textId="77777777" w:rsidTr="005E1993">
        <w:trPr>
          <w:trHeight w:val="440"/>
        </w:trPr>
        <w:tc>
          <w:tcPr>
            <w:tcW w:w="1838"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2349C1CE" w14:textId="77777777" w:rsidR="00164535" w:rsidRPr="0015154B" w:rsidRDefault="00164535" w:rsidP="00164535">
            <w:pPr>
              <w:spacing w:after="0" w:line="240" w:lineRule="auto"/>
              <w:rPr>
                <w:rFonts w:ascii="Times New Roman" w:eastAsia="Times New Roman" w:hAnsi="Times New Roman" w:cs="Times New Roman"/>
                <w:color w:val="002060"/>
                <w:sz w:val="20"/>
                <w:szCs w:val="20"/>
                <w:lang w:eastAsia="lv-LV"/>
              </w:rPr>
            </w:pPr>
            <w:r w:rsidRPr="0015154B">
              <w:rPr>
                <w:rFonts w:ascii="Times New Roman" w:eastAsia="Times New Roman" w:hAnsi="Times New Roman" w:cs="Times New Roman"/>
                <w:color w:val="002060"/>
                <w:sz w:val="20"/>
                <w:szCs w:val="20"/>
                <w:lang w:eastAsia="lv-LV"/>
              </w:rPr>
              <w:t>No pašvaldības budžeta izlietotie līdzekļi aprūpes mājas pakalpojuma apmaksai (EUR)</w:t>
            </w:r>
          </w:p>
        </w:tc>
        <w:tc>
          <w:tcPr>
            <w:tcW w:w="1275" w:type="dxa"/>
            <w:tcBorders>
              <w:top w:val="single" w:sz="4" w:space="0" w:color="auto"/>
              <w:left w:val="single" w:sz="4" w:space="0" w:color="auto"/>
              <w:bottom w:val="single" w:sz="4" w:space="0" w:color="auto"/>
              <w:right w:val="single" w:sz="4" w:space="0" w:color="auto"/>
            </w:tcBorders>
            <w:vAlign w:val="center"/>
          </w:tcPr>
          <w:p w14:paraId="5F9CB2E8"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10 884 002</w:t>
            </w:r>
          </w:p>
        </w:tc>
        <w:tc>
          <w:tcPr>
            <w:tcW w:w="1276" w:type="dxa"/>
            <w:tcBorders>
              <w:top w:val="single" w:sz="4" w:space="0" w:color="auto"/>
              <w:left w:val="single" w:sz="4" w:space="0" w:color="auto"/>
              <w:bottom w:val="single" w:sz="4" w:space="0" w:color="auto"/>
              <w:right w:val="single" w:sz="4" w:space="0" w:color="auto"/>
            </w:tcBorders>
            <w:vAlign w:val="center"/>
          </w:tcPr>
          <w:p w14:paraId="19885B88"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13 295 823</w:t>
            </w:r>
          </w:p>
        </w:tc>
        <w:tc>
          <w:tcPr>
            <w:tcW w:w="1276" w:type="dxa"/>
            <w:tcBorders>
              <w:top w:val="single" w:sz="4" w:space="0" w:color="auto"/>
              <w:left w:val="single" w:sz="4" w:space="0" w:color="auto"/>
              <w:bottom w:val="single" w:sz="4" w:space="0" w:color="auto"/>
              <w:right w:val="single" w:sz="4" w:space="0" w:color="auto"/>
            </w:tcBorders>
            <w:vAlign w:val="center"/>
          </w:tcPr>
          <w:p w14:paraId="1F2C1D71"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13 836 569</w:t>
            </w:r>
          </w:p>
        </w:tc>
        <w:tc>
          <w:tcPr>
            <w:tcW w:w="1276" w:type="dxa"/>
            <w:tcBorders>
              <w:top w:val="single" w:sz="4" w:space="0" w:color="auto"/>
              <w:left w:val="single" w:sz="4" w:space="0" w:color="auto"/>
              <w:bottom w:val="single" w:sz="4" w:space="0" w:color="auto"/>
              <w:right w:val="single" w:sz="4" w:space="0" w:color="auto"/>
            </w:tcBorders>
            <w:vAlign w:val="center"/>
          </w:tcPr>
          <w:p w14:paraId="7A7231E4"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17 629 741</w:t>
            </w:r>
          </w:p>
        </w:tc>
        <w:tc>
          <w:tcPr>
            <w:tcW w:w="1276" w:type="dxa"/>
            <w:tcBorders>
              <w:top w:val="single" w:sz="4" w:space="0" w:color="auto"/>
              <w:left w:val="single" w:sz="4" w:space="0" w:color="auto"/>
              <w:bottom w:val="single" w:sz="4" w:space="0" w:color="auto"/>
              <w:right w:val="single" w:sz="4" w:space="0" w:color="auto"/>
            </w:tcBorders>
            <w:vAlign w:val="center"/>
          </w:tcPr>
          <w:p w14:paraId="09F100BA"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22 031 065</w:t>
            </w:r>
          </w:p>
        </w:tc>
        <w:tc>
          <w:tcPr>
            <w:tcW w:w="1276" w:type="dxa"/>
            <w:tcBorders>
              <w:top w:val="single" w:sz="4" w:space="0" w:color="auto"/>
              <w:left w:val="single" w:sz="4" w:space="0" w:color="auto"/>
              <w:bottom w:val="single" w:sz="4" w:space="0" w:color="auto"/>
              <w:right w:val="single" w:sz="4" w:space="0" w:color="auto"/>
            </w:tcBorders>
            <w:vAlign w:val="center"/>
          </w:tcPr>
          <w:p w14:paraId="7DB58DA6"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21 819 991</w:t>
            </w:r>
          </w:p>
        </w:tc>
      </w:tr>
      <w:tr w:rsidR="00164535" w:rsidRPr="0015154B" w14:paraId="2C88F086" w14:textId="77777777" w:rsidTr="005E1993">
        <w:trPr>
          <w:trHeight w:val="440"/>
        </w:trPr>
        <w:tc>
          <w:tcPr>
            <w:tcW w:w="1838"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051B1552" w14:textId="77777777" w:rsidR="00164535" w:rsidRPr="0015154B" w:rsidRDefault="00164535" w:rsidP="00164535">
            <w:pPr>
              <w:spacing w:after="0" w:line="240" w:lineRule="auto"/>
              <w:rPr>
                <w:rFonts w:ascii="Times New Roman" w:eastAsia="Times New Roman" w:hAnsi="Times New Roman" w:cs="Times New Roman"/>
                <w:color w:val="002060"/>
                <w:sz w:val="20"/>
                <w:szCs w:val="20"/>
                <w:lang w:eastAsia="lv-LV"/>
              </w:rPr>
            </w:pPr>
            <w:r w:rsidRPr="0015154B">
              <w:rPr>
                <w:rFonts w:ascii="Times New Roman" w:eastAsia="Times New Roman" w:hAnsi="Times New Roman" w:cs="Times New Roman"/>
                <w:color w:val="002060"/>
                <w:sz w:val="20"/>
                <w:szCs w:val="20"/>
                <w:lang w:eastAsia="lv-LV"/>
              </w:rPr>
              <w:t>Gada laikā pašvaldību un privātos sociālās aprūpes centru pakalpojumu  saņēmušo pilngadīgo personu skaits kopā</w:t>
            </w:r>
          </w:p>
        </w:tc>
        <w:tc>
          <w:tcPr>
            <w:tcW w:w="1275" w:type="dxa"/>
            <w:tcBorders>
              <w:top w:val="single" w:sz="4" w:space="0" w:color="auto"/>
              <w:left w:val="single" w:sz="4" w:space="0" w:color="auto"/>
              <w:bottom w:val="single" w:sz="4" w:space="0" w:color="auto"/>
              <w:right w:val="single" w:sz="4" w:space="0" w:color="auto"/>
            </w:tcBorders>
            <w:vAlign w:val="center"/>
          </w:tcPr>
          <w:p w14:paraId="7B0DABF9"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8 480</w:t>
            </w:r>
          </w:p>
        </w:tc>
        <w:tc>
          <w:tcPr>
            <w:tcW w:w="1276" w:type="dxa"/>
            <w:tcBorders>
              <w:top w:val="single" w:sz="4" w:space="0" w:color="auto"/>
              <w:left w:val="single" w:sz="4" w:space="0" w:color="auto"/>
              <w:bottom w:val="single" w:sz="4" w:space="0" w:color="auto"/>
              <w:right w:val="single" w:sz="4" w:space="0" w:color="auto"/>
            </w:tcBorders>
            <w:vAlign w:val="center"/>
          </w:tcPr>
          <w:p w14:paraId="568B70B5"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8 950</w:t>
            </w:r>
          </w:p>
        </w:tc>
        <w:tc>
          <w:tcPr>
            <w:tcW w:w="1276" w:type="dxa"/>
            <w:tcBorders>
              <w:top w:val="single" w:sz="4" w:space="0" w:color="auto"/>
              <w:left w:val="single" w:sz="4" w:space="0" w:color="auto"/>
              <w:bottom w:val="single" w:sz="4" w:space="0" w:color="auto"/>
              <w:right w:val="single" w:sz="4" w:space="0" w:color="auto"/>
            </w:tcBorders>
            <w:vAlign w:val="center"/>
          </w:tcPr>
          <w:p w14:paraId="3E6FB655"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9 077</w:t>
            </w:r>
          </w:p>
        </w:tc>
        <w:tc>
          <w:tcPr>
            <w:tcW w:w="1276" w:type="dxa"/>
            <w:tcBorders>
              <w:top w:val="single" w:sz="4" w:space="0" w:color="auto"/>
              <w:left w:val="single" w:sz="4" w:space="0" w:color="auto"/>
              <w:bottom w:val="single" w:sz="4" w:space="0" w:color="auto"/>
              <w:right w:val="single" w:sz="4" w:space="0" w:color="auto"/>
            </w:tcBorders>
            <w:vAlign w:val="center"/>
          </w:tcPr>
          <w:p w14:paraId="5EB2A7E7"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10 055</w:t>
            </w:r>
          </w:p>
        </w:tc>
        <w:tc>
          <w:tcPr>
            <w:tcW w:w="1276" w:type="dxa"/>
            <w:tcBorders>
              <w:top w:val="single" w:sz="4" w:space="0" w:color="auto"/>
              <w:left w:val="single" w:sz="4" w:space="0" w:color="auto"/>
              <w:bottom w:val="single" w:sz="4" w:space="0" w:color="auto"/>
              <w:right w:val="single" w:sz="4" w:space="0" w:color="auto"/>
            </w:tcBorders>
            <w:vAlign w:val="center"/>
          </w:tcPr>
          <w:p w14:paraId="06E03EA2"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10 840</w:t>
            </w:r>
          </w:p>
        </w:tc>
        <w:tc>
          <w:tcPr>
            <w:tcW w:w="1276" w:type="dxa"/>
            <w:tcBorders>
              <w:top w:val="single" w:sz="4" w:space="0" w:color="auto"/>
              <w:left w:val="single" w:sz="4" w:space="0" w:color="auto"/>
              <w:bottom w:val="single" w:sz="4" w:space="0" w:color="auto"/>
              <w:right w:val="single" w:sz="4" w:space="0" w:color="auto"/>
            </w:tcBorders>
            <w:vAlign w:val="center"/>
          </w:tcPr>
          <w:p w14:paraId="63CF8E0A"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lang w:eastAsia="lv-LV"/>
              </w:rPr>
              <w:t>9 898</w:t>
            </w:r>
          </w:p>
        </w:tc>
      </w:tr>
      <w:tr w:rsidR="00164535" w:rsidRPr="0015154B" w14:paraId="36317186" w14:textId="77777777" w:rsidTr="005E1993">
        <w:trPr>
          <w:trHeight w:val="440"/>
        </w:trPr>
        <w:tc>
          <w:tcPr>
            <w:tcW w:w="1838"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1C8004D2" w14:textId="77777777" w:rsidR="00164535" w:rsidRPr="0015154B" w:rsidRDefault="00164535" w:rsidP="00164535">
            <w:pPr>
              <w:spacing w:after="0" w:line="240" w:lineRule="auto"/>
              <w:rPr>
                <w:rFonts w:ascii="Times New Roman" w:eastAsia="Times New Roman" w:hAnsi="Times New Roman" w:cs="Times New Roman"/>
                <w:color w:val="002060"/>
                <w:sz w:val="20"/>
                <w:szCs w:val="20"/>
                <w:lang w:eastAsia="lv-LV"/>
              </w:rPr>
            </w:pPr>
            <w:r w:rsidRPr="0015154B">
              <w:rPr>
                <w:rFonts w:ascii="Times New Roman" w:eastAsia="Times New Roman" w:hAnsi="Times New Roman" w:cs="Times New Roman"/>
                <w:color w:val="002060"/>
                <w:sz w:val="20"/>
                <w:szCs w:val="20"/>
                <w:lang w:eastAsia="lv-LV"/>
              </w:rPr>
              <w:t>No pašvaldības budžeta izlietotie līdzekļi (EUR)</w:t>
            </w:r>
          </w:p>
        </w:tc>
        <w:tc>
          <w:tcPr>
            <w:tcW w:w="1275" w:type="dxa"/>
            <w:tcBorders>
              <w:top w:val="single" w:sz="4" w:space="0" w:color="auto"/>
              <w:left w:val="single" w:sz="4" w:space="0" w:color="auto"/>
              <w:bottom w:val="single" w:sz="4" w:space="0" w:color="auto"/>
              <w:right w:val="single" w:sz="4" w:space="0" w:color="auto"/>
            </w:tcBorders>
            <w:vAlign w:val="center"/>
          </w:tcPr>
          <w:p w14:paraId="7645B258"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rPr>
              <w:t>13</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578 946</w:t>
            </w:r>
          </w:p>
        </w:tc>
        <w:tc>
          <w:tcPr>
            <w:tcW w:w="1276" w:type="dxa"/>
            <w:tcBorders>
              <w:top w:val="single" w:sz="4" w:space="0" w:color="auto"/>
              <w:left w:val="single" w:sz="4" w:space="0" w:color="auto"/>
              <w:bottom w:val="single" w:sz="4" w:space="0" w:color="auto"/>
              <w:right w:val="single" w:sz="4" w:space="0" w:color="auto"/>
            </w:tcBorders>
            <w:vAlign w:val="center"/>
          </w:tcPr>
          <w:p w14:paraId="6AD7D3CD"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rPr>
              <w:t>15</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451</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725</w:t>
            </w:r>
          </w:p>
        </w:tc>
        <w:tc>
          <w:tcPr>
            <w:tcW w:w="1276" w:type="dxa"/>
            <w:tcBorders>
              <w:top w:val="single" w:sz="4" w:space="0" w:color="auto"/>
              <w:left w:val="single" w:sz="4" w:space="0" w:color="auto"/>
              <w:bottom w:val="single" w:sz="4" w:space="0" w:color="auto"/>
              <w:right w:val="single" w:sz="4" w:space="0" w:color="auto"/>
            </w:tcBorders>
            <w:vAlign w:val="center"/>
          </w:tcPr>
          <w:p w14:paraId="74E546CC"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rPr>
              <w:t>16</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861</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956</w:t>
            </w:r>
          </w:p>
        </w:tc>
        <w:tc>
          <w:tcPr>
            <w:tcW w:w="1276" w:type="dxa"/>
            <w:tcBorders>
              <w:top w:val="single" w:sz="4" w:space="0" w:color="auto"/>
              <w:left w:val="single" w:sz="4" w:space="0" w:color="auto"/>
              <w:bottom w:val="single" w:sz="4" w:space="0" w:color="auto"/>
              <w:right w:val="single" w:sz="4" w:space="0" w:color="auto"/>
            </w:tcBorders>
            <w:vAlign w:val="center"/>
          </w:tcPr>
          <w:p w14:paraId="1AD9EC89"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rPr>
              <w:t>18</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826</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991</w:t>
            </w:r>
          </w:p>
        </w:tc>
        <w:tc>
          <w:tcPr>
            <w:tcW w:w="1276" w:type="dxa"/>
            <w:tcBorders>
              <w:top w:val="single" w:sz="4" w:space="0" w:color="auto"/>
              <w:left w:val="single" w:sz="4" w:space="0" w:color="auto"/>
              <w:bottom w:val="single" w:sz="4" w:space="0" w:color="auto"/>
              <w:right w:val="single" w:sz="4" w:space="0" w:color="auto"/>
            </w:tcBorders>
            <w:vAlign w:val="center"/>
          </w:tcPr>
          <w:p w14:paraId="3553F0F4"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rPr>
              <w:t>20</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984</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939</w:t>
            </w:r>
          </w:p>
        </w:tc>
        <w:tc>
          <w:tcPr>
            <w:tcW w:w="1276" w:type="dxa"/>
            <w:tcBorders>
              <w:top w:val="single" w:sz="4" w:space="0" w:color="auto"/>
              <w:left w:val="single" w:sz="4" w:space="0" w:color="auto"/>
              <w:bottom w:val="single" w:sz="4" w:space="0" w:color="auto"/>
              <w:right w:val="single" w:sz="4" w:space="0" w:color="auto"/>
            </w:tcBorders>
            <w:vAlign w:val="center"/>
          </w:tcPr>
          <w:p w14:paraId="704F886B" w14:textId="77777777" w:rsidR="00164535" w:rsidRPr="0015154B" w:rsidRDefault="00164535" w:rsidP="00403817">
            <w:pPr>
              <w:rPr>
                <w:rFonts w:ascii="Times New Roman" w:hAnsi="Times New Roman" w:cs="Times New Roman"/>
                <w:sz w:val="20"/>
                <w:szCs w:val="20"/>
                <w:lang w:eastAsia="lv-LV"/>
              </w:rPr>
            </w:pPr>
            <w:r w:rsidRPr="0015154B">
              <w:rPr>
                <w:rFonts w:ascii="Times New Roman" w:hAnsi="Times New Roman" w:cs="Times New Roman"/>
                <w:sz w:val="20"/>
                <w:szCs w:val="20"/>
              </w:rPr>
              <w:t>22</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014</w:t>
            </w:r>
            <w:r w:rsidRPr="0015154B">
              <w:rPr>
                <w:rFonts w:ascii="Times New Roman" w:hAnsi="Times New Roman" w:cs="Times New Roman"/>
                <w:sz w:val="20"/>
                <w:szCs w:val="20"/>
                <w:lang w:eastAsia="lv-LV"/>
              </w:rPr>
              <w:t> </w:t>
            </w:r>
            <w:r w:rsidRPr="0015154B">
              <w:rPr>
                <w:rFonts w:ascii="Times New Roman" w:hAnsi="Times New Roman" w:cs="Times New Roman"/>
                <w:sz w:val="20"/>
                <w:szCs w:val="20"/>
              </w:rPr>
              <w:t>757</w:t>
            </w:r>
          </w:p>
        </w:tc>
      </w:tr>
    </w:tbl>
    <w:p w14:paraId="21DCF6E0" w14:textId="77777777" w:rsidR="00164535" w:rsidRPr="0015154B" w:rsidRDefault="00164535" w:rsidP="00164535">
      <w:pPr>
        <w:spacing w:after="0" w:line="240" w:lineRule="auto"/>
        <w:jc w:val="both"/>
        <w:rPr>
          <w:rFonts w:ascii="Times New Roman" w:hAnsi="Times New Roman" w:cs="Times New Roman"/>
          <w:sz w:val="20"/>
          <w:szCs w:val="20"/>
        </w:rPr>
      </w:pPr>
      <w:r w:rsidRPr="0015154B">
        <w:rPr>
          <w:rFonts w:ascii="Times New Roman" w:hAnsi="Times New Roman" w:cs="Times New Roman"/>
          <w:sz w:val="20"/>
          <w:szCs w:val="20"/>
        </w:rPr>
        <w:t xml:space="preserve">Datu avots: Pārskati par sociālajiem pakalpojumiem un sociālo palīdzību novada/republikas pilsētas pašvaldībā kopsavilkumi par 2014.- 2019. gadu </w:t>
      </w:r>
    </w:p>
    <w:p w14:paraId="6B2ABBA4" w14:textId="77777777" w:rsidR="00164535" w:rsidRPr="0015154B" w:rsidRDefault="00164535" w:rsidP="00164535">
      <w:pPr>
        <w:spacing w:after="0" w:line="240" w:lineRule="auto"/>
        <w:ind w:firstLine="720"/>
        <w:jc w:val="both"/>
        <w:rPr>
          <w:rFonts w:ascii="Times New Roman" w:eastAsia="Times New Roman" w:hAnsi="Times New Roman" w:cs="Times New Roman"/>
          <w:sz w:val="24"/>
          <w:szCs w:val="24"/>
          <w:lang w:eastAsia="lv-LV"/>
        </w:rPr>
      </w:pPr>
    </w:p>
    <w:p w14:paraId="5477519B" w14:textId="4B03D5DE" w:rsidR="009978A2" w:rsidRPr="0015154B" w:rsidRDefault="009978A2"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Papildus aprūpes mājās pakalpojumam personas ar onkoloģisku slimību un viņu ģimenes locekļi var saņemt psihosociālās rehabilitācijas pakalpojumu</w:t>
      </w:r>
      <w:r w:rsidR="000B7F98" w:rsidRPr="0015154B">
        <w:rPr>
          <w:rFonts w:ascii="Times New Roman" w:eastAsia="Times New Roman" w:hAnsi="Times New Roman" w:cs="Times New Roman"/>
          <w:sz w:val="24"/>
          <w:szCs w:val="24"/>
          <w:lang w:eastAsia="lv-LV"/>
        </w:rPr>
        <w:t xml:space="preserve"> (</w:t>
      </w:r>
      <w:r w:rsidR="000B7F98" w:rsidRPr="0015154B">
        <w:rPr>
          <w:rFonts w:ascii="Times New Roman" w:eastAsia="Times New Roman" w:hAnsi="Times New Roman" w:cs="Times New Roman"/>
          <w:sz w:val="24"/>
          <w:szCs w:val="24"/>
          <w:highlight w:val="yellow"/>
          <w:lang w:eastAsia="lv-LV"/>
        </w:rPr>
        <w:t>skat. 3.pielikuma 11. tabulu</w:t>
      </w:r>
      <w:r w:rsidR="000B7F98" w:rsidRPr="0015154B">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 xml:space="preserve">. No valsts budžeta finansētu psihosociālās rehabilitācijas pakalpojumu piedāvā onkoloģiskajiem slimniekiem pēc onkoloģiskās slimības intensīvās ārstēšanas kursa beigām, lai  palīdzētu viņiem pēc intensīvās ārstēšanās procesa sekmīgāk pārvarēt slimības sekas un atgriezties līdzšinējā dzīvē. 2014. un 2015.gadā Nacionālais veselības dienests (turpmāk - NVD) apstiprinājis diagnostikas, ārstēšanas un dinamiskās novērošanas klīniskās vadlīnijas vairākiem vēža veidiem. Visās klīniskajās vadlīnijās norādīts, ka pacientiem pēc pārciestās </w:t>
      </w:r>
      <w:r w:rsidRPr="0015154B">
        <w:rPr>
          <w:rFonts w:ascii="Times New Roman" w:eastAsia="Times New Roman" w:hAnsi="Times New Roman" w:cs="Times New Roman"/>
          <w:sz w:val="24"/>
          <w:szCs w:val="24"/>
          <w:lang w:eastAsia="lv-LV"/>
        </w:rPr>
        <w:lastRenderedPageBreak/>
        <w:t xml:space="preserve">ārstēšanas nepieciešama psihoemocionāla rehabilitācija, lai ātrāk adaptētos savai slimībai vai terapijas radītām sekām. 2019.gadā minēto pakalpojumu saņēma 364 personas (18 -25.g.v. - 4 personas, 26 - 39 g.v. - 37 persona, 40 - 64 g.v. - 204 persona, virs 65 g.v – 119 personas). </w:t>
      </w:r>
    </w:p>
    <w:p w14:paraId="00827790" w14:textId="1FB8C450" w:rsidR="009978A2" w:rsidRPr="007157D3" w:rsidRDefault="009978A2" w:rsidP="00AC38FA">
      <w:pPr>
        <w:spacing w:before="120" w:after="0" w:line="240" w:lineRule="auto"/>
        <w:ind w:firstLine="720"/>
        <w:jc w:val="both"/>
        <w:rPr>
          <w:rFonts w:ascii="Times New Roman" w:eastAsia="MS Mincho" w:hAnsi="Times New Roman" w:cs="Times New Roman"/>
          <w:sz w:val="24"/>
          <w:szCs w:val="24"/>
          <w:lang w:eastAsia="ja-JP" w:bidi="lo-LA"/>
        </w:rPr>
      </w:pPr>
      <w:r w:rsidRPr="0015154B">
        <w:rPr>
          <w:rFonts w:ascii="Times New Roman" w:eastAsia="Times New Roman" w:hAnsi="Times New Roman" w:cs="Times New Roman"/>
          <w:sz w:val="24"/>
          <w:szCs w:val="24"/>
          <w:lang w:eastAsia="lv-LV"/>
        </w:rPr>
        <w:t xml:space="preserve">Ņemot vērā to, ka SAC atrodas personas ar 3 un 4. aprūpes līmeni un visiem klientiem nepieciešams būtisks atbalsts, atsevišķi klientu ar onkoloģisku slimību un klientu, kuriem ir ārstu konsīlija atzinums par paliatīvās aprūpes nepieciešamību, aprūpe SAC </w:t>
      </w:r>
      <w:r w:rsidR="00E007DF">
        <w:rPr>
          <w:rFonts w:ascii="Times New Roman" w:eastAsia="Times New Roman" w:hAnsi="Times New Roman" w:cs="Times New Roman"/>
          <w:sz w:val="24"/>
          <w:szCs w:val="24"/>
          <w:lang w:eastAsia="lv-LV"/>
        </w:rPr>
        <w:t>tiek nodrošināta, bet netiek atsevišķi uzskaitīta</w:t>
      </w:r>
      <w:r w:rsidRPr="007157D3">
        <w:rPr>
          <w:rFonts w:ascii="Times New Roman" w:eastAsia="Times New Roman" w:hAnsi="Times New Roman" w:cs="Times New Roman"/>
          <w:sz w:val="24"/>
          <w:szCs w:val="24"/>
          <w:lang w:eastAsia="lv-LV"/>
        </w:rPr>
        <w:t xml:space="preserve">. Personai tiek nodrošināta tāda aprūpe, kāda tai ir nepieciešama atbilstoši funkcionālajam stāvoklim, nepieciešamības gadījumā veselības aprūpes pakalpojumi tiek nodrošināti vai nu caur ģimenes ārsta nodrošinātajiem pakalpojumiem, vai no SAC veselības aprūpes personāla. </w:t>
      </w:r>
    </w:p>
    <w:p w14:paraId="6CB31E27" w14:textId="268BCBBC" w:rsidR="00644C59" w:rsidRPr="00662D1E" w:rsidRDefault="00644C59" w:rsidP="00AC38FA">
      <w:pPr>
        <w:spacing w:before="120" w:after="0" w:line="240" w:lineRule="auto"/>
        <w:ind w:firstLine="720"/>
        <w:jc w:val="both"/>
        <w:rPr>
          <w:rFonts w:ascii="Times New Roman" w:eastAsia="MS Mincho" w:hAnsi="Times New Roman" w:cs="Times New Roman"/>
          <w:sz w:val="24"/>
          <w:szCs w:val="24"/>
          <w:lang w:eastAsia="ja-JP" w:bidi="lo-LA"/>
        </w:rPr>
      </w:pPr>
      <w:r w:rsidRPr="002F5278">
        <w:rPr>
          <w:rFonts w:ascii="Times New Roman" w:eastAsia="MS Mincho" w:hAnsi="Times New Roman" w:cs="Times New Roman"/>
          <w:sz w:val="24"/>
          <w:szCs w:val="24"/>
          <w:lang w:eastAsia="ja-JP" w:bidi="lo-LA"/>
        </w:rPr>
        <w:t>Ņemot vērā to, ka sociālās aprūpes pakalpojumi tiek sniegti personām ar smagiem un ļoti smagiem funkcionāliem traucējumiem, personām ir nepieciešami arī veselības aprūpes pakalpojumi. Taču normatīvajos akt</w:t>
      </w:r>
      <w:r w:rsidRPr="00573B49">
        <w:rPr>
          <w:rFonts w:ascii="Times New Roman" w:eastAsia="MS Mincho" w:hAnsi="Times New Roman" w:cs="Times New Roman"/>
          <w:sz w:val="24"/>
          <w:szCs w:val="24"/>
          <w:lang w:eastAsia="ja-JP" w:bidi="lo-LA"/>
        </w:rPr>
        <w:t xml:space="preserve">os </w:t>
      </w:r>
      <w:r w:rsidRPr="00573B49">
        <w:rPr>
          <w:rFonts w:ascii="Times New Roman" w:eastAsia="MS Mincho" w:hAnsi="Times New Roman" w:cs="Times New Roman"/>
          <w:b/>
          <w:sz w:val="24"/>
          <w:szCs w:val="24"/>
          <w:lang w:eastAsia="ja-JP" w:bidi="lo-LA"/>
        </w:rPr>
        <w:t>sociālie pakalpojumi un veselības aprūpes pakalpojumi ir stingri nošķirti</w:t>
      </w:r>
      <w:r w:rsidRPr="00573B49">
        <w:rPr>
          <w:rFonts w:ascii="Times New Roman" w:eastAsia="MS Mincho" w:hAnsi="Times New Roman" w:cs="Times New Roman"/>
          <w:sz w:val="24"/>
          <w:szCs w:val="24"/>
          <w:lang w:eastAsia="ja-JP" w:bidi="lo-LA"/>
        </w:rPr>
        <w:t xml:space="preserve"> gan mērķa, gan satura, gan finansēšanas organizēšanas ziņā, un to regulē dažādu jomu dažādi likumi. Nodalītās sociālo pakalpojumu un veselības jomas apgrūtina iespējas nodrošināt sociālās aprūpes pakalpojumu saņēmējiem funkcionālajam stāvoklim atbilstošu veselības aprūpi, jo īpaši tiem, kuri atrodas institūcijās. Līdz ar to ir jāmeklē risinājums, </w:t>
      </w:r>
      <w:r w:rsidR="00E36D32">
        <w:rPr>
          <w:rFonts w:ascii="Times New Roman" w:eastAsia="MS Mincho" w:hAnsi="Times New Roman" w:cs="Times New Roman"/>
          <w:sz w:val="24"/>
          <w:szCs w:val="24"/>
          <w:lang w:eastAsia="ja-JP" w:bidi="lo-LA"/>
        </w:rPr>
        <w:t>salāgojot</w:t>
      </w:r>
      <w:r w:rsidRPr="00573B49">
        <w:rPr>
          <w:rFonts w:ascii="Times New Roman" w:eastAsia="MS Mincho" w:hAnsi="Times New Roman" w:cs="Times New Roman"/>
          <w:sz w:val="24"/>
          <w:szCs w:val="24"/>
          <w:lang w:eastAsia="ja-JP" w:bidi="lo-LA"/>
        </w:rPr>
        <w:t xml:space="preserve"> divu nozaru resursus, lai nodrošinātu optimālu, klientu vajadzībām un veselī</w:t>
      </w:r>
      <w:r w:rsidRPr="0025422D">
        <w:rPr>
          <w:rFonts w:ascii="Times New Roman" w:eastAsia="MS Mincho" w:hAnsi="Times New Roman" w:cs="Times New Roman"/>
          <w:sz w:val="24"/>
          <w:szCs w:val="24"/>
          <w:lang w:eastAsia="ja-JP" w:bidi="lo-LA"/>
        </w:rPr>
        <w:t>bas stāvoklim atbilstošu pakalpojumu pieejamību, vienlaikus efektīvi un lietderīgi izlietojot valsts un paš</w:t>
      </w:r>
      <w:r w:rsidR="001239EB">
        <w:rPr>
          <w:rFonts w:ascii="Times New Roman" w:eastAsia="MS Mincho" w:hAnsi="Times New Roman" w:cs="Times New Roman"/>
          <w:sz w:val="24"/>
          <w:szCs w:val="24"/>
          <w:lang w:eastAsia="ja-JP" w:bidi="lo-LA"/>
        </w:rPr>
        <w:t>va</w:t>
      </w:r>
      <w:r w:rsidRPr="0025422D">
        <w:rPr>
          <w:rFonts w:ascii="Times New Roman" w:eastAsia="MS Mincho" w:hAnsi="Times New Roman" w:cs="Times New Roman"/>
          <w:sz w:val="24"/>
          <w:szCs w:val="24"/>
          <w:lang w:eastAsia="ja-JP" w:bidi="lo-LA"/>
        </w:rPr>
        <w:t>l</w:t>
      </w:r>
      <w:r w:rsidR="00E007DF">
        <w:rPr>
          <w:rFonts w:ascii="Times New Roman" w:eastAsia="MS Mincho" w:hAnsi="Times New Roman" w:cs="Times New Roman"/>
          <w:sz w:val="24"/>
          <w:szCs w:val="24"/>
          <w:lang w:eastAsia="ja-JP" w:bidi="lo-LA"/>
        </w:rPr>
        <w:t>d</w:t>
      </w:r>
      <w:r w:rsidRPr="0025422D">
        <w:rPr>
          <w:rFonts w:ascii="Times New Roman" w:eastAsia="MS Mincho" w:hAnsi="Times New Roman" w:cs="Times New Roman"/>
          <w:sz w:val="24"/>
          <w:szCs w:val="24"/>
          <w:lang w:eastAsia="ja-JP" w:bidi="lo-LA"/>
        </w:rPr>
        <w:t>ību budžeta līdzekļus aprūpes nodrošināšanā ilgstošas sociālās aprūpes un sociālās rehabilitācijas institūcijās, kā arī aprūpē mājās,  ambulatora</w:t>
      </w:r>
      <w:r w:rsidRPr="00A857F2">
        <w:rPr>
          <w:rFonts w:ascii="Times New Roman" w:eastAsia="MS Mincho" w:hAnsi="Times New Roman" w:cs="Times New Roman"/>
          <w:sz w:val="24"/>
          <w:szCs w:val="24"/>
          <w:lang w:eastAsia="ja-JP" w:bidi="lo-LA"/>
        </w:rPr>
        <w:t>jā psihiatrijā, paliatīvaj</w:t>
      </w:r>
      <w:r w:rsidRPr="00662D1E">
        <w:rPr>
          <w:rFonts w:ascii="Times New Roman" w:eastAsia="MS Mincho" w:hAnsi="Times New Roman" w:cs="Times New Roman"/>
          <w:sz w:val="24"/>
          <w:szCs w:val="24"/>
          <w:lang w:eastAsia="ja-JP" w:bidi="lo-LA"/>
        </w:rPr>
        <w:t xml:space="preserve">ā aprūpē, no psihoaktīvām vielām atkarīgu personu sociālā rehabilitācijā. Abu jomu sadarbība ir izveidota bērnu paliatīvajā aprūpē, tādēļ esošā pieredze būtu izmantojama kā piemērs sadarbības veidošanā arī citu pakalpojumu sniegšanā. </w:t>
      </w:r>
    </w:p>
    <w:p w14:paraId="7122DB16" w14:textId="5C13BF97" w:rsidR="00644C59" w:rsidRPr="0015154B" w:rsidRDefault="00644C59" w:rsidP="00AC38FA">
      <w:pPr>
        <w:spacing w:before="120" w:after="0" w:line="240" w:lineRule="auto"/>
        <w:ind w:firstLine="720"/>
        <w:jc w:val="both"/>
        <w:rPr>
          <w:rFonts w:ascii="Times New Roman" w:hAnsi="Times New Roman" w:cs="Times New Roman"/>
          <w:sz w:val="24"/>
          <w:szCs w:val="24"/>
        </w:rPr>
      </w:pPr>
      <w:r w:rsidRPr="009703E6">
        <w:rPr>
          <w:rFonts w:ascii="Times New Roman" w:eastAsia="MS Mincho" w:hAnsi="Times New Roman" w:cs="Times New Roman"/>
          <w:sz w:val="24"/>
          <w:szCs w:val="24"/>
          <w:lang w:eastAsia="ja-JP" w:bidi="lo-LA"/>
        </w:rPr>
        <w:t>Arī plānošanas reģion</w:t>
      </w:r>
      <w:r w:rsidRPr="0015154B">
        <w:rPr>
          <w:rFonts w:ascii="Times New Roman" w:eastAsia="MS Mincho" w:hAnsi="Times New Roman" w:cs="Times New Roman"/>
          <w:sz w:val="24"/>
          <w:szCs w:val="24"/>
          <w:lang w:eastAsia="ja-JP" w:bidi="lo-LA"/>
        </w:rPr>
        <w:t>u sociālo pakalpojumu attīstības programmās plānošanas reģioni uzsver sociālās jomas un veselības nozares savstarpējo saistību un nepietiekamu sadarbību starp šo nozaru speciālistiem sociālo pakalpojumu sniegšanā. Sadarbības pilnveidošanas nepieciešamība, īpaši darbā ar klientiem pēc ilgstošas vai smagas saslimšanas, ar hroniskām slimībām vai funkcionāliem traucējumiem, ar atkarības problēmām tiek uzsvērta jau sociālā pakalpojuma piešķiršanas sākumposmā, stiprinot saikni starp sociālo dienestu darbiniekiem un primārās veselības aprūpes speciālistiem un risinot klienta sociālās problēmas. Praksē vislielākās grūtības rada tas, ka sociālo pakalpojumu sniedzējiem kā trešām personām nav pieejama informācija par klienta saslimšanām, ar to saistītajiem ierobežojumiem, regulāru zāļu lietošanu, kontrindicētajām darbībām u.tml., savukārt klients nevēlas, nespēj vai nav ieinteresēts sniegt attiecīgo informāciju.</w:t>
      </w:r>
    </w:p>
    <w:p w14:paraId="61C962E3" w14:textId="7CA9EAF4"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2016.gadā EU-SILC </w:t>
      </w:r>
      <w:r w:rsidRPr="0015154B">
        <w:rPr>
          <w:rFonts w:ascii="Times New Roman" w:hAnsi="Times New Roman" w:cs="Times New Roman"/>
          <w:b/>
          <w:sz w:val="24"/>
          <w:szCs w:val="24"/>
        </w:rPr>
        <w:t>apsekojumā</w:t>
      </w:r>
      <w:r w:rsidRPr="0015154B">
        <w:rPr>
          <w:rFonts w:ascii="Times New Roman" w:hAnsi="Times New Roman" w:cs="Times New Roman"/>
          <w:sz w:val="24"/>
          <w:szCs w:val="24"/>
        </w:rPr>
        <w:t xml:space="preserve"> papildus iekļauts modulis </w:t>
      </w:r>
      <w:r w:rsidRPr="0015154B">
        <w:rPr>
          <w:rFonts w:ascii="Times New Roman" w:hAnsi="Times New Roman" w:cs="Times New Roman"/>
          <w:b/>
          <w:sz w:val="24"/>
          <w:szCs w:val="24"/>
        </w:rPr>
        <w:t>par pakalpojumu pieejamību</w:t>
      </w:r>
      <w:r w:rsidRPr="007157D3">
        <w:rPr>
          <w:rStyle w:val="FootnoteReference"/>
          <w:rFonts w:ascii="Times New Roman" w:hAnsi="Times New Roman" w:cs="Times New Roman"/>
          <w:sz w:val="24"/>
          <w:szCs w:val="24"/>
        </w:rPr>
        <w:footnoteReference w:id="124"/>
      </w:r>
      <w:r w:rsidRPr="007157D3">
        <w:rPr>
          <w:rFonts w:ascii="Times New Roman" w:hAnsi="Times New Roman" w:cs="Times New Roman"/>
          <w:sz w:val="24"/>
          <w:szCs w:val="24"/>
        </w:rPr>
        <w:t>, kas ļauj salīdzināt</w:t>
      </w:r>
      <w:r w:rsidR="00FC20D3" w:rsidRPr="007157D3">
        <w:rPr>
          <w:rFonts w:ascii="Times New Roman" w:hAnsi="Times New Roman" w:cs="Times New Roman"/>
          <w:sz w:val="24"/>
          <w:szCs w:val="24"/>
        </w:rPr>
        <w:t xml:space="preserve"> vērtējumu</w:t>
      </w:r>
      <w:r w:rsidRPr="007157D3">
        <w:rPr>
          <w:rFonts w:ascii="Times New Roman" w:hAnsi="Times New Roman" w:cs="Times New Roman"/>
          <w:sz w:val="24"/>
          <w:szCs w:val="24"/>
        </w:rPr>
        <w:t xml:space="preserve"> arī </w:t>
      </w:r>
      <w:r w:rsidR="00573DCD" w:rsidRPr="002F5278">
        <w:rPr>
          <w:rFonts w:ascii="Times New Roman" w:hAnsi="Times New Roman" w:cs="Times New Roman"/>
          <w:sz w:val="24"/>
          <w:szCs w:val="24"/>
        </w:rPr>
        <w:t>par</w:t>
      </w:r>
      <w:r w:rsidRPr="00573B49">
        <w:rPr>
          <w:rFonts w:ascii="Times New Roman" w:hAnsi="Times New Roman" w:cs="Times New Roman"/>
          <w:sz w:val="24"/>
          <w:szCs w:val="24"/>
        </w:rPr>
        <w:t xml:space="preserve"> aprūpes mājās pieejamību. Salīdzinot Latviju </w:t>
      </w:r>
      <w:r w:rsidR="00F815C0" w:rsidRPr="00573B49">
        <w:rPr>
          <w:rFonts w:ascii="Times New Roman" w:hAnsi="Times New Roman" w:cs="Times New Roman"/>
          <w:sz w:val="24"/>
          <w:szCs w:val="24"/>
        </w:rPr>
        <w:t>ar ES</w:t>
      </w:r>
      <w:r w:rsidRPr="00573B49">
        <w:rPr>
          <w:rFonts w:ascii="Times New Roman" w:hAnsi="Times New Roman" w:cs="Times New Roman"/>
          <w:sz w:val="24"/>
          <w:szCs w:val="24"/>
        </w:rPr>
        <w:t xml:space="preserve"> vidējo rādītāju, secināms, ka Latvijas mājsaimniecības nedaudz biežāk </w:t>
      </w:r>
      <w:r w:rsidR="00F815C0" w:rsidRPr="0025422D">
        <w:rPr>
          <w:rFonts w:ascii="Times New Roman" w:hAnsi="Times New Roman" w:cs="Times New Roman"/>
          <w:sz w:val="24"/>
          <w:szCs w:val="24"/>
        </w:rPr>
        <w:t>ne</w:t>
      </w:r>
      <w:r w:rsidRPr="00A857F2">
        <w:rPr>
          <w:rFonts w:ascii="Times New Roman" w:hAnsi="Times New Roman" w:cs="Times New Roman"/>
          <w:sz w:val="24"/>
          <w:szCs w:val="24"/>
        </w:rPr>
        <w:t>kā ES dalīb</w:t>
      </w:r>
      <w:r w:rsidR="00F815C0" w:rsidRPr="00662D1E">
        <w:rPr>
          <w:rFonts w:ascii="Times New Roman" w:hAnsi="Times New Roman" w:cs="Times New Roman"/>
          <w:sz w:val="24"/>
          <w:szCs w:val="24"/>
        </w:rPr>
        <w:t>v</w:t>
      </w:r>
      <w:r w:rsidRPr="009703E6">
        <w:rPr>
          <w:rFonts w:ascii="Times New Roman" w:hAnsi="Times New Roman" w:cs="Times New Roman"/>
          <w:sz w:val="24"/>
          <w:szCs w:val="24"/>
        </w:rPr>
        <w:t>alst</w:t>
      </w:r>
      <w:r w:rsidR="00F815C0" w:rsidRPr="0015154B">
        <w:rPr>
          <w:rFonts w:ascii="Times New Roman" w:hAnsi="Times New Roman" w:cs="Times New Roman"/>
          <w:sz w:val="24"/>
          <w:szCs w:val="24"/>
        </w:rPr>
        <w:t>īs vidēji</w:t>
      </w:r>
      <w:r w:rsidRPr="0015154B">
        <w:rPr>
          <w:rFonts w:ascii="Times New Roman" w:hAnsi="Times New Roman" w:cs="Times New Roman"/>
          <w:sz w:val="24"/>
          <w:szCs w:val="24"/>
        </w:rPr>
        <w:t xml:space="preserve"> norādīja, ka tajās dzīvo personas, kurām ilgtermiņa fizisko vai psihiskās veselības traucējumu, funkcionēšanas ierobežojumu vai vecuma dēļ būtu nepieciešama palīdzība</w:t>
      </w:r>
      <w:r w:rsidR="00F815C0" w:rsidRPr="0015154B">
        <w:rPr>
          <w:rFonts w:ascii="Times New Roman" w:hAnsi="Times New Roman" w:cs="Times New Roman"/>
          <w:sz w:val="24"/>
          <w:szCs w:val="24"/>
        </w:rPr>
        <w:t xml:space="preserve"> (attiecīgi 9,6% un 9,29%)</w:t>
      </w:r>
      <w:r w:rsidRPr="0015154B">
        <w:rPr>
          <w:rFonts w:ascii="Times New Roman" w:hAnsi="Times New Roman" w:cs="Times New Roman"/>
          <w:sz w:val="24"/>
          <w:szCs w:val="24"/>
        </w:rPr>
        <w:t xml:space="preserve">. Minētais jautājums nesatur detalizētas pazīmes, pēc kurām varētu spriest, vai uzskaitīto traucējumu dēļ  personām nepieciešamā palīdzība iekļauj darbības, kas atbilstu </w:t>
      </w:r>
      <w:r w:rsidR="00573DCD" w:rsidRPr="0015154B">
        <w:rPr>
          <w:rFonts w:ascii="Times New Roman" w:hAnsi="Times New Roman" w:cs="Times New Roman"/>
          <w:sz w:val="24"/>
          <w:szCs w:val="24"/>
        </w:rPr>
        <w:t xml:space="preserve">Latvijā noteiktajam </w:t>
      </w:r>
      <w:r w:rsidRPr="0015154B">
        <w:rPr>
          <w:rFonts w:ascii="Times New Roman" w:hAnsi="Times New Roman" w:cs="Times New Roman"/>
          <w:sz w:val="24"/>
          <w:szCs w:val="24"/>
        </w:rPr>
        <w:t>aprūpes mājās</w:t>
      </w:r>
      <w:r w:rsidR="00573DCD" w:rsidRPr="0015154B">
        <w:rPr>
          <w:rFonts w:ascii="Times New Roman" w:hAnsi="Times New Roman" w:cs="Times New Roman"/>
          <w:sz w:val="24"/>
          <w:szCs w:val="24"/>
        </w:rPr>
        <w:t xml:space="preserve"> pakalpojuma saturam</w:t>
      </w:r>
      <w:r w:rsidRPr="0015154B">
        <w:rPr>
          <w:rFonts w:ascii="Times New Roman" w:hAnsi="Times New Roman" w:cs="Times New Roman"/>
          <w:sz w:val="24"/>
          <w:szCs w:val="24"/>
        </w:rPr>
        <w:t xml:space="preserve">. </w:t>
      </w:r>
      <w:r w:rsidR="0040403E" w:rsidRPr="0015154B">
        <w:rPr>
          <w:rFonts w:ascii="Times New Roman" w:hAnsi="Times New Roman" w:cs="Times New Roman"/>
          <w:sz w:val="24"/>
          <w:szCs w:val="24"/>
        </w:rPr>
        <w:t>Sal</w:t>
      </w:r>
      <w:r w:rsidR="00537C53" w:rsidRPr="0015154B">
        <w:rPr>
          <w:rFonts w:ascii="Times New Roman" w:hAnsi="Times New Roman" w:cs="Times New Roman"/>
          <w:sz w:val="24"/>
          <w:szCs w:val="24"/>
        </w:rPr>
        <w:t>ī</w:t>
      </w:r>
      <w:r w:rsidR="0040403E" w:rsidRPr="0015154B">
        <w:rPr>
          <w:rFonts w:ascii="Times New Roman" w:hAnsi="Times New Roman" w:cs="Times New Roman"/>
          <w:sz w:val="24"/>
          <w:szCs w:val="24"/>
        </w:rPr>
        <w:t>dzinot ar ES vidējo rādītāju, Latvijā daudz mazāks respondentu īpatsvars</w:t>
      </w:r>
      <w:r w:rsidR="00537C53" w:rsidRPr="0015154B">
        <w:rPr>
          <w:rFonts w:ascii="Times New Roman" w:hAnsi="Times New Roman" w:cs="Times New Roman"/>
          <w:sz w:val="24"/>
          <w:szCs w:val="24"/>
        </w:rPr>
        <w:t xml:space="preserve">, kuriem ir nepieciešams atbalsts aprūpei, norādījuši, ka </w:t>
      </w:r>
      <w:r w:rsidRPr="0015154B">
        <w:rPr>
          <w:rFonts w:ascii="Times New Roman" w:hAnsi="Times New Roman" w:cs="Times New Roman"/>
          <w:sz w:val="24"/>
          <w:szCs w:val="24"/>
        </w:rPr>
        <w:t>saņem profesionāl</w:t>
      </w:r>
      <w:r w:rsidR="00515FFE" w:rsidRPr="0015154B">
        <w:rPr>
          <w:rFonts w:ascii="Times New Roman" w:hAnsi="Times New Roman" w:cs="Times New Roman"/>
          <w:sz w:val="24"/>
          <w:szCs w:val="24"/>
        </w:rPr>
        <w:t>i</w:t>
      </w:r>
      <w:r w:rsidRPr="0015154B">
        <w:rPr>
          <w:rFonts w:ascii="Times New Roman" w:hAnsi="Times New Roman" w:cs="Times New Roman"/>
          <w:sz w:val="24"/>
          <w:szCs w:val="24"/>
        </w:rPr>
        <w:t xml:space="preserve"> nodrošinātu aprūpes pakalpojumu (</w:t>
      </w:r>
      <w:r w:rsidR="00537C53" w:rsidRPr="0015154B">
        <w:rPr>
          <w:rFonts w:ascii="Times New Roman" w:hAnsi="Times New Roman" w:cs="Times New Roman"/>
          <w:sz w:val="24"/>
          <w:szCs w:val="24"/>
        </w:rPr>
        <w:t xml:space="preserve">attiecīgi 28% un </w:t>
      </w:r>
      <w:r w:rsidRPr="0015154B">
        <w:rPr>
          <w:rFonts w:ascii="Times New Roman" w:hAnsi="Times New Roman" w:cs="Times New Roman"/>
          <w:sz w:val="24"/>
          <w:szCs w:val="24"/>
        </w:rPr>
        <w:t>15%)</w:t>
      </w:r>
      <w:r w:rsidR="00537C53" w:rsidRPr="0015154B">
        <w:rPr>
          <w:rFonts w:ascii="Times New Roman" w:hAnsi="Times New Roman" w:cs="Times New Roman"/>
          <w:sz w:val="24"/>
          <w:szCs w:val="24"/>
        </w:rPr>
        <w:t>.</w:t>
      </w:r>
      <w:r w:rsidRPr="0015154B">
        <w:rPr>
          <w:rFonts w:ascii="Times New Roman" w:hAnsi="Times New Roman" w:cs="Times New Roman"/>
          <w:sz w:val="24"/>
          <w:szCs w:val="24"/>
        </w:rPr>
        <w:t xml:space="preserve"> </w:t>
      </w:r>
      <w:r w:rsidR="00537C53" w:rsidRPr="0015154B">
        <w:rPr>
          <w:rFonts w:ascii="Times New Roman" w:hAnsi="Times New Roman" w:cs="Times New Roman"/>
          <w:sz w:val="24"/>
          <w:szCs w:val="24"/>
        </w:rPr>
        <w:t xml:space="preserve">Diemžēl apsekojuma metodoloģiskie ierobežojumi </w:t>
      </w:r>
      <w:r w:rsidRPr="0015154B">
        <w:rPr>
          <w:rFonts w:ascii="Times New Roman" w:hAnsi="Times New Roman" w:cs="Times New Roman"/>
          <w:sz w:val="24"/>
          <w:szCs w:val="24"/>
        </w:rPr>
        <w:t xml:space="preserve">neļauj viennozīmīgi </w:t>
      </w:r>
      <w:r w:rsidR="00537C53" w:rsidRPr="0015154B">
        <w:rPr>
          <w:rFonts w:ascii="Times New Roman" w:hAnsi="Times New Roman" w:cs="Times New Roman"/>
          <w:sz w:val="24"/>
          <w:szCs w:val="24"/>
        </w:rPr>
        <w:t>novērtēt</w:t>
      </w:r>
      <w:r w:rsidRPr="0015154B">
        <w:rPr>
          <w:rFonts w:ascii="Times New Roman" w:hAnsi="Times New Roman" w:cs="Times New Roman"/>
          <w:sz w:val="24"/>
          <w:szCs w:val="24"/>
        </w:rPr>
        <w:t>, vai Latvijas iedzīvotājiem mazāk pieejams</w:t>
      </w:r>
      <w:r w:rsidR="00537C53"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būtu sociālā aprūpētāja un aprūpētāju veiktais sociālās aprūpes mājās pakalpojums, vai ārstniecības personu veiktas medicīniskās manipulācijas mājas </w:t>
      </w:r>
      <w:r w:rsidRPr="0015154B">
        <w:rPr>
          <w:rFonts w:ascii="Times New Roman" w:hAnsi="Times New Roman" w:cs="Times New Roman"/>
          <w:sz w:val="24"/>
          <w:szCs w:val="24"/>
        </w:rPr>
        <w:lastRenderedPageBreak/>
        <w:t>apstākļos. Savukārt 85% no respondentiem, kas saņem aprūpes mājās pakalpojumu Latvijā</w:t>
      </w:r>
      <w:r w:rsidR="00537C53" w:rsidRPr="0015154B">
        <w:rPr>
          <w:rFonts w:ascii="Times New Roman" w:hAnsi="Times New Roman" w:cs="Times New Roman"/>
          <w:sz w:val="24"/>
          <w:szCs w:val="24"/>
        </w:rPr>
        <w:t>,</w:t>
      </w:r>
      <w:r w:rsidRPr="0015154B">
        <w:rPr>
          <w:rFonts w:ascii="Times New Roman" w:hAnsi="Times New Roman" w:cs="Times New Roman"/>
          <w:sz w:val="24"/>
          <w:szCs w:val="24"/>
        </w:rPr>
        <w:t xml:space="preserve">  </w:t>
      </w:r>
      <w:r w:rsidR="00537C53" w:rsidRPr="0015154B">
        <w:rPr>
          <w:rFonts w:ascii="Times New Roman" w:hAnsi="Times New Roman" w:cs="Times New Roman"/>
          <w:sz w:val="24"/>
          <w:szCs w:val="24"/>
        </w:rPr>
        <w:t>norādījuši</w:t>
      </w:r>
      <w:r w:rsidRPr="0015154B">
        <w:rPr>
          <w:rFonts w:ascii="Times New Roman" w:hAnsi="Times New Roman" w:cs="Times New Roman"/>
          <w:sz w:val="24"/>
          <w:szCs w:val="24"/>
        </w:rPr>
        <w:t>, ka viņi par saņemto pakalpojumu nemaksā</w:t>
      </w:r>
      <w:r w:rsidR="00F815C0" w:rsidRPr="0015154B">
        <w:rPr>
          <w:rFonts w:ascii="Times New Roman" w:hAnsi="Times New Roman" w:cs="Times New Roman"/>
          <w:sz w:val="24"/>
          <w:szCs w:val="24"/>
        </w:rPr>
        <w:t>, kas gandrīz uz pusi pārsniedz ES vidējo rādītāju (45%)</w:t>
      </w:r>
      <w:r w:rsidRPr="0015154B">
        <w:rPr>
          <w:rFonts w:ascii="Times New Roman" w:hAnsi="Times New Roman" w:cs="Times New Roman"/>
          <w:sz w:val="24"/>
          <w:szCs w:val="24"/>
        </w:rPr>
        <w:t>. Latvijā ir augstākais par pakalpojumu nemaksājošo personu un zemākais par paka</w:t>
      </w:r>
      <w:r w:rsidR="00F815C0" w:rsidRPr="0015154B">
        <w:rPr>
          <w:rFonts w:ascii="Times New Roman" w:hAnsi="Times New Roman" w:cs="Times New Roman"/>
          <w:sz w:val="24"/>
          <w:szCs w:val="24"/>
        </w:rPr>
        <w:t>l</w:t>
      </w:r>
      <w:r w:rsidRPr="0015154B">
        <w:rPr>
          <w:rFonts w:ascii="Times New Roman" w:hAnsi="Times New Roman" w:cs="Times New Roman"/>
          <w:sz w:val="24"/>
          <w:szCs w:val="24"/>
        </w:rPr>
        <w:t xml:space="preserve">pojumu maksājošo personu īpatsvars starp visām </w:t>
      </w:r>
      <w:r w:rsidR="00F815C0" w:rsidRPr="0015154B">
        <w:rPr>
          <w:rFonts w:ascii="Times New Roman" w:hAnsi="Times New Roman" w:cs="Times New Roman"/>
          <w:sz w:val="24"/>
          <w:szCs w:val="24"/>
        </w:rPr>
        <w:t xml:space="preserve">apsekojumā </w:t>
      </w:r>
      <w:r w:rsidRPr="0015154B">
        <w:rPr>
          <w:rFonts w:ascii="Times New Roman" w:hAnsi="Times New Roman" w:cs="Times New Roman"/>
          <w:sz w:val="24"/>
          <w:szCs w:val="24"/>
        </w:rPr>
        <w:t xml:space="preserve">iekļautajām valstīm.  </w:t>
      </w:r>
    </w:p>
    <w:p w14:paraId="06F0776B" w14:textId="77079226" w:rsidR="009978A2" w:rsidRPr="0015154B" w:rsidRDefault="00537C53"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Vairāk nekā trešā daļa respondentu </w:t>
      </w:r>
      <w:r w:rsidR="009978A2" w:rsidRPr="0015154B">
        <w:rPr>
          <w:rFonts w:ascii="Times New Roman" w:hAnsi="Times New Roman" w:cs="Times New Roman"/>
          <w:sz w:val="24"/>
          <w:szCs w:val="24"/>
        </w:rPr>
        <w:t>Latvijā</w:t>
      </w:r>
      <w:r w:rsidRPr="0015154B">
        <w:rPr>
          <w:rFonts w:ascii="Times New Roman" w:hAnsi="Times New Roman" w:cs="Times New Roman"/>
          <w:sz w:val="24"/>
          <w:szCs w:val="24"/>
        </w:rPr>
        <w:t xml:space="preserve"> (39%) norādījuši, ka </w:t>
      </w:r>
      <w:r w:rsidR="009978A2"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viņu vajadzības pēc aprūpes mājās pakalpojuma nav apmierinātas (ES vidēji - </w:t>
      </w:r>
      <w:r w:rsidR="009978A2" w:rsidRPr="0015154B">
        <w:rPr>
          <w:rFonts w:ascii="Times New Roman" w:hAnsi="Times New Roman" w:cs="Times New Roman"/>
          <w:sz w:val="24"/>
          <w:szCs w:val="24"/>
        </w:rPr>
        <w:t>32%)</w:t>
      </w:r>
      <w:r w:rsidRPr="0015154B">
        <w:rPr>
          <w:rFonts w:ascii="Times New Roman" w:hAnsi="Times New Roman" w:cs="Times New Roman"/>
          <w:sz w:val="24"/>
          <w:szCs w:val="24"/>
        </w:rPr>
        <w:t>.</w:t>
      </w:r>
      <w:r w:rsidR="009978A2" w:rsidRPr="0015154B">
        <w:rPr>
          <w:rFonts w:ascii="Times New Roman" w:hAnsi="Times New Roman" w:cs="Times New Roman"/>
          <w:sz w:val="24"/>
          <w:szCs w:val="24"/>
        </w:rPr>
        <w:t xml:space="preserve">  Kā iemesl</w:t>
      </w:r>
      <w:r w:rsidRPr="0015154B">
        <w:rPr>
          <w:rFonts w:ascii="Times New Roman" w:hAnsi="Times New Roman" w:cs="Times New Roman"/>
          <w:sz w:val="24"/>
          <w:szCs w:val="24"/>
        </w:rPr>
        <w:t>s</w:t>
      </w:r>
      <w:r w:rsidR="009978A2" w:rsidRPr="0015154B">
        <w:rPr>
          <w:rFonts w:ascii="Times New Roman" w:hAnsi="Times New Roman" w:cs="Times New Roman"/>
          <w:sz w:val="24"/>
          <w:szCs w:val="24"/>
        </w:rPr>
        <w:t>, kāpēc personas nesaņem aprūpes mājās paka</w:t>
      </w:r>
      <w:r w:rsidRPr="0015154B">
        <w:rPr>
          <w:rFonts w:ascii="Times New Roman" w:hAnsi="Times New Roman" w:cs="Times New Roman"/>
          <w:sz w:val="24"/>
          <w:szCs w:val="24"/>
        </w:rPr>
        <w:t>l</w:t>
      </w:r>
      <w:r w:rsidR="009978A2" w:rsidRPr="0015154B">
        <w:rPr>
          <w:rFonts w:ascii="Times New Roman" w:hAnsi="Times New Roman" w:cs="Times New Roman"/>
          <w:sz w:val="24"/>
          <w:szCs w:val="24"/>
        </w:rPr>
        <w:t>pojumu vai paka</w:t>
      </w:r>
      <w:r w:rsidRPr="0015154B">
        <w:rPr>
          <w:rFonts w:ascii="Times New Roman" w:hAnsi="Times New Roman" w:cs="Times New Roman"/>
          <w:sz w:val="24"/>
          <w:szCs w:val="24"/>
        </w:rPr>
        <w:t>l</w:t>
      </w:r>
      <w:r w:rsidR="009978A2" w:rsidRPr="0015154B">
        <w:rPr>
          <w:rFonts w:ascii="Times New Roman" w:hAnsi="Times New Roman" w:cs="Times New Roman"/>
          <w:sz w:val="24"/>
          <w:szCs w:val="24"/>
        </w:rPr>
        <w:t>pojum</w:t>
      </w:r>
      <w:r w:rsidR="00F06E40" w:rsidRPr="0015154B">
        <w:rPr>
          <w:rFonts w:ascii="Times New Roman" w:hAnsi="Times New Roman" w:cs="Times New Roman"/>
          <w:sz w:val="24"/>
          <w:szCs w:val="24"/>
        </w:rPr>
        <w:t>u</w:t>
      </w:r>
      <w:r w:rsidR="009978A2" w:rsidRPr="0015154B">
        <w:rPr>
          <w:rFonts w:ascii="Times New Roman" w:hAnsi="Times New Roman" w:cs="Times New Roman"/>
          <w:sz w:val="24"/>
          <w:szCs w:val="24"/>
        </w:rPr>
        <w:t xml:space="preserve"> </w:t>
      </w:r>
      <w:r w:rsidRPr="0015154B">
        <w:rPr>
          <w:rFonts w:ascii="Times New Roman" w:hAnsi="Times New Roman" w:cs="Times New Roman"/>
          <w:sz w:val="24"/>
          <w:szCs w:val="24"/>
        </w:rPr>
        <w:t>nepieciešamajā apjomā,</w:t>
      </w:r>
      <w:r w:rsidR="009978A2"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48% gadījumu </w:t>
      </w:r>
      <w:r w:rsidR="009978A2" w:rsidRPr="0015154B">
        <w:rPr>
          <w:rFonts w:ascii="Times New Roman" w:hAnsi="Times New Roman" w:cs="Times New Roman"/>
          <w:sz w:val="24"/>
          <w:szCs w:val="24"/>
        </w:rPr>
        <w:t xml:space="preserve">Latvijā </w:t>
      </w:r>
      <w:r w:rsidRPr="0015154B">
        <w:rPr>
          <w:rFonts w:ascii="Times New Roman" w:hAnsi="Times New Roman" w:cs="Times New Roman"/>
          <w:sz w:val="24"/>
          <w:szCs w:val="24"/>
        </w:rPr>
        <w:t xml:space="preserve">ir minēta respondenta nespēja to finansiāli atļauties (ES vidēji - </w:t>
      </w:r>
      <w:r w:rsidR="009978A2" w:rsidRPr="0015154B">
        <w:rPr>
          <w:rFonts w:ascii="Times New Roman" w:hAnsi="Times New Roman" w:cs="Times New Roman"/>
          <w:sz w:val="24"/>
          <w:szCs w:val="24"/>
        </w:rPr>
        <w:t>46,5%)</w:t>
      </w:r>
      <w:r w:rsidRPr="0015154B">
        <w:rPr>
          <w:rFonts w:ascii="Times New Roman" w:hAnsi="Times New Roman" w:cs="Times New Roman"/>
          <w:sz w:val="24"/>
          <w:szCs w:val="24"/>
        </w:rPr>
        <w:t>.</w:t>
      </w:r>
      <w:r w:rsidR="009978A2" w:rsidRPr="0015154B">
        <w:rPr>
          <w:rFonts w:ascii="Times New Roman" w:hAnsi="Times New Roman" w:cs="Times New Roman"/>
          <w:sz w:val="24"/>
          <w:szCs w:val="24"/>
        </w:rPr>
        <w:t xml:space="preserve"> Ņemot vērā, ka 85% no aprūpes mājās pakalpojumu saņēmušajiem norādījuši, ka viņi par pakalpojumu nemaksā, nevar viennozīmīgi izdarīt secinājumu, cik objektīvs vai subjektīvs ir respondentu vērtējums </w:t>
      </w:r>
      <w:r w:rsidRPr="0015154B">
        <w:rPr>
          <w:rFonts w:ascii="Times New Roman" w:hAnsi="Times New Roman" w:cs="Times New Roman"/>
          <w:sz w:val="24"/>
          <w:szCs w:val="24"/>
        </w:rPr>
        <w:t xml:space="preserve">par </w:t>
      </w:r>
      <w:r w:rsidR="009978A2" w:rsidRPr="0015154B">
        <w:rPr>
          <w:rFonts w:ascii="Times New Roman" w:hAnsi="Times New Roman" w:cs="Times New Roman"/>
          <w:sz w:val="24"/>
          <w:szCs w:val="24"/>
        </w:rPr>
        <w:t>aprūpes mājās pakalpojuma finansiāl</w:t>
      </w:r>
      <w:r w:rsidRPr="0015154B">
        <w:rPr>
          <w:rFonts w:ascii="Times New Roman" w:hAnsi="Times New Roman" w:cs="Times New Roman"/>
          <w:sz w:val="24"/>
          <w:szCs w:val="24"/>
        </w:rPr>
        <w:t>o</w:t>
      </w:r>
      <w:r w:rsidR="009978A2" w:rsidRPr="0015154B">
        <w:rPr>
          <w:rFonts w:ascii="Times New Roman" w:hAnsi="Times New Roman" w:cs="Times New Roman"/>
          <w:sz w:val="24"/>
          <w:szCs w:val="24"/>
        </w:rPr>
        <w:t xml:space="preserve"> pieejamīb</w:t>
      </w:r>
      <w:r w:rsidRPr="0015154B">
        <w:rPr>
          <w:rFonts w:ascii="Times New Roman" w:hAnsi="Times New Roman" w:cs="Times New Roman"/>
          <w:sz w:val="24"/>
          <w:szCs w:val="24"/>
        </w:rPr>
        <w:t>u</w:t>
      </w:r>
      <w:r w:rsidR="009978A2" w:rsidRPr="0015154B">
        <w:rPr>
          <w:rFonts w:ascii="Times New Roman" w:hAnsi="Times New Roman" w:cs="Times New Roman"/>
          <w:sz w:val="24"/>
          <w:szCs w:val="24"/>
        </w:rPr>
        <w:t>. Savukārt 18% respondent</w:t>
      </w:r>
      <w:r w:rsidR="00F815C0" w:rsidRPr="0015154B">
        <w:rPr>
          <w:rFonts w:ascii="Times New Roman" w:hAnsi="Times New Roman" w:cs="Times New Roman"/>
          <w:sz w:val="24"/>
          <w:szCs w:val="24"/>
        </w:rPr>
        <w:t>u</w:t>
      </w:r>
      <w:r w:rsidR="009978A2" w:rsidRPr="0015154B">
        <w:rPr>
          <w:rFonts w:ascii="Times New Roman" w:hAnsi="Times New Roman" w:cs="Times New Roman"/>
          <w:sz w:val="24"/>
          <w:szCs w:val="24"/>
        </w:rPr>
        <w:t xml:space="preserve"> Latvijā kā iemeslu, kāpēc personas nesaņem nepieciešamo aprūpes mājās paka</w:t>
      </w:r>
      <w:r w:rsidR="00974F0C">
        <w:rPr>
          <w:rFonts w:ascii="Times New Roman" w:hAnsi="Times New Roman" w:cs="Times New Roman"/>
          <w:sz w:val="24"/>
          <w:szCs w:val="24"/>
        </w:rPr>
        <w:t>l</w:t>
      </w:r>
      <w:r w:rsidR="009978A2" w:rsidRPr="0015154B">
        <w:rPr>
          <w:rFonts w:ascii="Times New Roman" w:hAnsi="Times New Roman" w:cs="Times New Roman"/>
          <w:sz w:val="24"/>
          <w:szCs w:val="24"/>
        </w:rPr>
        <w:t>pojumu vai lielāku šī pakalpojuma apjomu</w:t>
      </w:r>
      <w:r w:rsidR="000C220D">
        <w:rPr>
          <w:rFonts w:ascii="Times New Roman" w:hAnsi="Times New Roman" w:cs="Times New Roman"/>
          <w:sz w:val="24"/>
          <w:szCs w:val="24"/>
        </w:rPr>
        <w:t>,</w:t>
      </w:r>
      <w:r w:rsidR="009978A2" w:rsidRPr="0015154B">
        <w:rPr>
          <w:rFonts w:ascii="Times New Roman" w:hAnsi="Times New Roman" w:cs="Times New Roman"/>
          <w:sz w:val="24"/>
          <w:szCs w:val="24"/>
        </w:rPr>
        <w:t xml:space="preserve"> min, ka nav pieejams tāds pakalpojums, kā viņam nepieciešams. </w:t>
      </w:r>
    </w:p>
    <w:p w14:paraId="7C3D6173" w14:textId="2E155DE9"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Latvijā ievērojami vairāk re</w:t>
      </w:r>
      <w:r w:rsidR="00974F0C">
        <w:rPr>
          <w:rFonts w:ascii="Times New Roman" w:hAnsi="Times New Roman" w:cs="Times New Roman"/>
          <w:sz w:val="24"/>
          <w:szCs w:val="24"/>
        </w:rPr>
        <w:t>s</w:t>
      </w:r>
      <w:r w:rsidRPr="0015154B">
        <w:rPr>
          <w:rFonts w:ascii="Times New Roman" w:hAnsi="Times New Roman" w:cs="Times New Roman"/>
          <w:sz w:val="24"/>
          <w:szCs w:val="24"/>
        </w:rPr>
        <w:t xml:space="preserve">pondentu nekā vidēji </w:t>
      </w:r>
      <w:r w:rsidR="00E4061F" w:rsidRPr="0015154B">
        <w:rPr>
          <w:rFonts w:ascii="Times New Roman" w:hAnsi="Times New Roman" w:cs="Times New Roman"/>
          <w:sz w:val="24"/>
          <w:szCs w:val="24"/>
        </w:rPr>
        <w:t>ES</w:t>
      </w:r>
      <w:r w:rsidRPr="0015154B">
        <w:rPr>
          <w:rFonts w:ascii="Times New Roman" w:hAnsi="Times New Roman" w:cs="Times New Roman"/>
          <w:sz w:val="24"/>
          <w:szCs w:val="24"/>
        </w:rPr>
        <w:t xml:space="preserve"> ir atbildējuši, ka par saņe</w:t>
      </w:r>
      <w:r w:rsidR="00E4061F" w:rsidRPr="0015154B">
        <w:rPr>
          <w:rFonts w:ascii="Times New Roman" w:hAnsi="Times New Roman" w:cs="Times New Roman"/>
          <w:sz w:val="24"/>
          <w:szCs w:val="24"/>
        </w:rPr>
        <w:t>m</w:t>
      </w:r>
      <w:r w:rsidRPr="0015154B">
        <w:rPr>
          <w:rFonts w:ascii="Times New Roman" w:hAnsi="Times New Roman" w:cs="Times New Roman"/>
          <w:sz w:val="24"/>
          <w:szCs w:val="24"/>
        </w:rPr>
        <w:t>tajiem aprūpes mājās paka</w:t>
      </w:r>
      <w:r w:rsidR="00974F0C">
        <w:rPr>
          <w:rFonts w:ascii="Times New Roman" w:hAnsi="Times New Roman" w:cs="Times New Roman"/>
          <w:sz w:val="24"/>
          <w:szCs w:val="24"/>
        </w:rPr>
        <w:t>l</w:t>
      </w:r>
      <w:r w:rsidRPr="0015154B">
        <w:rPr>
          <w:rFonts w:ascii="Times New Roman" w:hAnsi="Times New Roman" w:cs="Times New Roman"/>
          <w:sz w:val="24"/>
          <w:szCs w:val="24"/>
        </w:rPr>
        <w:t>pojumiem spēj samaksāt ar lielākām vai mazākām grūtībām</w:t>
      </w:r>
      <w:r w:rsidR="00E4061F" w:rsidRPr="0015154B">
        <w:rPr>
          <w:rFonts w:ascii="Times New Roman" w:hAnsi="Times New Roman" w:cs="Times New Roman"/>
          <w:sz w:val="24"/>
          <w:szCs w:val="24"/>
        </w:rPr>
        <w:t xml:space="preserve"> (attiecīgi 80,5 % un 61,9%)</w:t>
      </w:r>
      <w:r w:rsidRPr="0015154B">
        <w:rPr>
          <w:rFonts w:ascii="Times New Roman" w:hAnsi="Times New Roman" w:cs="Times New Roman"/>
          <w:sz w:val="24"/>
          <w:szCs w:val="24"/>
        </w:rPr>
        <w:t>. Latvijā neviens nav norādījis, ka par paka</w:t>
      </w:r>
      <w:r w:rsidR="00F06E40" w:rsidRPr="0015154B">
        <w:rPr>
          <w:rFonts w:ascii="Times New Roman" w:hAnsi="Times New Roman" w:cs="Times New Roman"/>
          <w:sz w:val="24"/>
          <w:szCs w:val="24"/>
        </w:rPr>
        <w:t>l</w:t>
      </w:r>
      <w:r w:rsidRPr="0015154B">
        <w:rPr>
          <w:rFonts w:ascii="Times New Roman" w:hAnsi="Times New Roman" w:cs="Times New Roman"/>
          <w:sz w:val="24"/>
          <w:szCs w:val="24"/>
        </w:rPr>
        <w:t xml:space="preserve">pojumu spēj norēķināties viegli vai ļoti viegli. </w:t>
      </w:r>
      <w:r w:rsidR="00E4061F" w:rsidRPr="0015154B">
        <w:rPr>
          <w:rFonts w:ascii="Times New Roman" w:hAnsi="Times New Roman" w:cs="Times New Roman"/>
          <w:sz w:val="24"/>
          <w:szCs w:val="24"/>
        </w:rPr>
        <w:t>SPSPL</w:t>
      </w:r>
      <w:r w:rsidRPr="0015154B">
        <w:rPr>
          <w:rFonts w:ascii="Times New Roman" w:hAnsi="Times New Roman" w:cs="Times New Roman"/>
          <w:sz w:val="24"/>
          <w:szCs w:val="24"/>
        </w:rPr>
        <w:t xml:space="preserve"> regulējums aprūpi mājās iekļauj to sociālo pakalpojumu skaitā, par kuriem pakal</w:t>
      </w:r>
      <w:r w:rsidR="00974F0C">
        <w:rPr>
          <w:rFonts w:ascii="Times New Roman" w:hAnsi="Times New Roman" w:cs="Times New Roman"/>
          <w:sz w:val="24"/>
          <w:szCs w:val="24"/>
        </w:rPr>
        <w:t>p</w:t>
      </w:r>
      <w:r w:rsidRPr="0015154B">
        <w:rPr>
          <w:rFonts w:ascii="Times New Roman" w:hAnsi="Times New Roman" w:cs="Times New Roman"/>
          <w:sz w:val="24"/>
          <w:szCs w:val="24"/>
        </w:rPr>
        <w:t>ojuma saņēmējiem un viņa apgādniekiem jāmaksā. Normatīvais regulējums paredz pašvaldībām arī tiesības noteikt pakalpojuma saņēmējam labvēlīgākus samaksas nosacījumus par saņemto sociālās aprūpes pakalpojumu, lielāku summu maksājot no pašvaldības budžeta</w:t>
      </w:r>
      <w:r w:rsidR="00515FFE" w:rsidRPr="0015154B">
        <w:rPr>
          <w:rFonts w:ascii="Times New Roman" w:hAnsi="Times New Roman" w:cs="Times New Roman"/>
          <w:sz w:val="24"/>
          <w:szCs w:val="24"/>
        </w:rPr>
        <w:t>,</w:t>
      </w:r>
      <w:r w:rsidRPr="0015154B">
        <w:rPr>
          <w:rFonts w:ascii="Times New Roman" w:hAnsi="Times New Roman" w:cs="Times New Roman"/>
          <w:sz w:val="24"/>
          <w:szCs w:val="24"/>
        </w:rPr>
        <w:t xml:space="preserve"> un prakse rāda, ka arvien lielāks pašvaldību skaits palielina personas rīcībā paliekušo ienākumu l</w:t>
      </w:r>
      <w:r w:rsidR="00E4061F" w:rsidRPr="0015154B">
        <w:rPr>
          <w:rFonts w:ascii="Times New Roman" w:hAnsi="Times New Roman" w:cs="Times New Roman"/>
          <w:sz w:val="24"/>
          <w:szCs w:val="24"/>
        </w:rPr>
        <w:t>ie</w:t>
      </w:r>
      <w:r w:rsidRPr="0015154B">
        <w:rPr>
          <w:rFonts w:ascii="Times New Roman" w:hAnsi="Times New Roman" w:cs="Times New Roman"/>
          <w:sz w:val="24"/>
          <w:szCs w:val="24"/>
        </w:rPr>
        <w:t>lumu vai vispār finansē visu paka</w:t>
      </w:r>
      <w:r w:rsidR="00E4061F" w:rsidRPr="0015154B">
        <w:rPr>
          <w:rFonts w:ascii="Times New Roman" w:hAnsi="Times New Roman" w:cs="Times New Roman"/>
          <w:sz w:val="24"/>
          <w:szCs w:val="24"/>
        </w:rPr>
        <w:t>l</w:t>
      </w:r>
      <w:r w:rsidRPr="0015154B">
        <w:rPr>
          <w:rFonts w:ascii="Times New Roman" w:hAnsi="Times New Roman" w:cs="Times New Roman"/>
          <w:sz w:val="24"/>
          <w:szCs w:val="24"/>
        </w:rPr>
        <w:t>pojuma cenu. Savukārt paka</w:t>
      </w:r>
      <w:r w:rsidR="00E4061F" w:rsidRPr="0015154B">
        <w:rPr>
          <w:rFonts w:ascii="Times New Roman" w:hAnsi="Times New Roman" w:cs="Times New Roman"/>
          <w:sz w:val="24"/>
          <w:szCs w:val="24"/>
        </w:rPr>
        <w:t>l</w:t>
      </w:r>
      <w:r w:rsidRPr="0015154B">
        <w:rPr>
          <w:rFonts w:ascii="Times New Roman" w:hAnsi="Times New Roman" w:cs="Times New Roman"/>
          <w:sz w:val="24"/>
          <w:szCs w:val="24"/>
        </w:rPr>
        <w:t>pojuma cenu ietekmē līdzekļu daudzum</w:t>
      </w:r>
      <w:r w:rsidR="00E4061F" w:rsidRPr="0015154B">
        <w:rPr>
          <w:rFonts w:ascii="Times New Roman" w:hAnsi="Times New Roman" w:cs="Times New Roman"/>
          <w:sz w:val="24"/>
          <w:szCs w:val="24"/>
        </w:rPr>
        <w:t>s</w:t>
      </w:r>
      <w:r w:rsidRPr="0015154B">
        <w:rPr>
          <w:rFonts w:ascii="Times New Roman" w:hAnsi="Times New Roman" w:cs="Times New Roman"/>
          <w:sz w:val="24"/>
          <w:szCs w:val="24"/>
        </w:rPr>
        <w:t>, kas pakalpojuma sniedzējam nepieciešams atbilstoša skaita un kvalifikācijas aprūpes personāla algošanai, un paka</w:t>
      </w:r>
      <w:r w:rsidR="008F3508" w:rsidRPr="0015154B">
        <w:rPr>
          <w:rFonts w:ascii="Times New Roman" w:hAnsi="Times New Roman" w:cs="Times New Roman"/>
          <w:sz w:val="24"/>
          <w:szCs w:val="24"/>
        </w:rPr>
        <w:t>l</w:t>
      </w:r>
      <w:r w:rsidRPr="0015154B">
        <w:rPr>
          <w:rFonts w:ascii="Times New Roman" w:hAnsi="Times New Roman" w:cs="Times New Roman"/>
          <w:sz w:val="24"/>
          <w:szCs w:val="24"/>
        </w:rPr>
        <w:t>pojuma nodrošināš</w:t>
      </w:r>
      <w:r w:rsidR="008F3508" w:rsidRPr="0015154B">
        <w:rPr>
          <w:rFonts w:ascii="Times New Roman" w:hAnsi="Times New Roman" w:cs="Times New Roman"/>
          <w:sz w:val="24"/>
          <w:szCs w:val="24"/>
        </w:rPr>
        <w:t>a</w:t>
      </w:r>
      <w:r w:rsidRPr="0015154B">
        <w:rPr>
          <w:rFonts w:ascii="Times New Roman" w:hAnsi="Times New Roman" w:cs="Times New Roman"/>
          <w:sz w:val="24"/>
          <w:szCs w:val="24"/>
        </w:rPr>
        <w:t>nai nepieciešamajā līmenī. Tādējādi veidojas neatbilstība starp pakalpojuma saņēmēja nepietiekamo ienākumu līmeni, pašvaldības pienākumu no sava budžeta nodrošināt nepieciešamos sociālos pakalpojumus visiem pašvaldības iedzīvotājiem un cenu, par kādu paka</w:t>
      </w:r>
      <w:r w:rsidR="008F3508" w:rsidRPr="0015154B">
        <w:rPr>
          <w:rFonts w:ascii="Times New Roman" w:hAnsi="Times New Roman" w:cs="Times New Roman"/>
          <w:sz w:val="24"/>
          <w:szCs w:val="24"/>
        </w:rPr>
        <w:t>l</w:t>
      </w:r>
      <w:r w:rsidRPr="0015154B">
        <w:rPr>
          <w:rFonts w:ascii="Times New Roman" w:hAnsi="Times New Roman" w:cs="Times New Roman"/>
          <w:sz w:val="24"/>
          <w:szCs w:val="24"/>
        </w:rPr>
        <w:t>pojuma sniedzējs var nodrošināt šī paka</w:t>
      </w:r>
      <w:r w:rsidR="008F3508" w:rsidRPr="0015154B">
        <w:rPr>
          <w:rFonts w:ascii="Times New Roman" w:hAnsi="Times New Roman" w:cs="Times New Roman"/>
          <w:sz w:val="24"/>
          <w:szCs w:val="24"/>
        </w:rPr>
        <w:t>l</w:t>
      </w:r>
      <w:r w:rsidRPr="0015154B">
        <w:rPr>
          <w:rFonts w:ascii="Times New Roman" w:hAnsi="Times New Roman" w:cs="Times New Roman"/>
          <w:sz w:val="24"/>
          <w:szCs w:val="24"/>
        </w:rPr>
        <w:t>pojuma sniegšanu. Sociālās aprūpes paka</w:t>
      </w:r>
      <w:r w:rsidR="008F3508" w:rsidRPr="0015154B">
        <w:rPr>
          <w:rFonts w:ascii="Times New Roman" w:hAnsi="Times New Roman" w:cs="Times New Roman"/>
          <w:sz w:val="24"/>
          <w:szCs w:val="24"/>
        </w:rPr>
        <w:t>l</w:t>
      </w:r>
      <w:r w:rsidRPr="0015154B">
        <w:rPr>
          <w:rFonts w:ascii="Times New Roman" w:hAnsi="Times New Roman" w:cs="Times New Roman"/>
          <w:sz w:val="24"/>
          <w:szCs w:val="24"/>
        </w:rPr>
        <w:t>pojumu nodrošināšana sastopas ar izaicinājumu izveidot tādu aprūpes mājās finansēšanas kārtību, kas nodrošinātu pakalpojuma sniedzējam pietiekamus fin</w:t>
      </w:r>
      <w:r w:rsidR="008F3508" w:rsidRPr="0015154B">
        <w:rPr>
          <w:rFonts w:ascii="Times New Roman" w:hAnsi="Times New Roman" w:cs="Times New Roman"/>
          <w:sz w:val="24"/>
          <w:szCs w:val="24"/>
        </w:rPr>
        <w:t>a</w:t>
      </w:r>
      <w:r w:rsidRPr="0015154B">
        <w:rPr>
          <w:rFonts w:ascii="Times New Roman" w:hAnsi="Times New Roman" w:cs="Times New Roman"/>
          <w:sz w:val="24"/>
          <w:szCs w:val="24"/>
        </w:rPr>
        <w:t>nšu līdzekļus, lai sniegtu pakalpojumu vajadzīgajā līmenī un apjomā, vienlaikus nepadarot pakalpojumu finansiāli nepieejamu tā saņēmējam un neizsmeļot pašvaldības finansiālās iespējas.</w:t>
      </w:r>
    </w:p>
    <w:p w14:paraId="2C035AD9" w14:textId="57A752A0" w:rsidR="009978A2" w:rsidRPr="0015154B" w:rsidRDefault="009978A2" w:rsidP="004837A8">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hAnsi="Times New Roman" w:cs="Times New Roman"/>
          <w:sz w:val="24"/>
          <w:szCs w:val="24"/>
        </w:rPr>
        <w:t xml:space="preserve">Gan aprūpes mājās, gan SAC pakalpojumu sniedzējs savu iespēju un finansējuma robežās veic </w:t>
      </w:r>
      <w:r w:rsidRPr="0015154B">
        <w:rPr>
          <w:rFonts w:ascii="Times New Roman" w:hAnsi="Times New Roman" w:cs="Times New Roman"/>
          <w:b/>
          <w:sz w:val="24"/>
          <w:szCs w:val="24"/>
        </w:rPr>
        <w:t>pakalpojuma kvalitātes uzlabošanas</w:t>
      </w:r>
      <w:r w:rsidRPr="0015154B">
        <w:rPr>
          <w:rFonts w:ascii="Times New Roman" w:hAnsi="Times New Roman" w:cs="Times New Roman"/>
          <w:sz w:val="24"/>
          <w:szCs w:val="24"/>
        </w:rPr>
        <w:t xml:space="preserve"> pasākumus. U</w:t>
      </w:r>
      <w:r w:rsidRPr="0015154B">
        <w:rPr>
          <w:rFonts w:ascii="Times New Roman" w:hAnsi="Times New Roman" w:cs="Times New Roman"/>
          <w:color w:val="000000"/>
          <w:sz w:val="24"/>
          <w:szCs w:val="24"/>
        </w:rPr>
        <w:t xml:space="preserve">zlabojumi galvenokārt ir saistīti ar pakalpojuma modernizēšanu, papildus speciālistu piesaisti, ar jauna aprīkojuma iegādi pakalpojuma nodrošināšanai, aprūpes mājās pakalpojuma gadījumā - aprīkojuma un automašīnu iegāde, lai nodrošinātu ātrāku un ērtāku nokļūšanu pie klienta, vienlaikus uzlabojot pakalpojuma pieejamību attālākajās novada apdzīvotajās vietās un mājsaimniecībās. Vecāka gada gājuma cilvēki un personas ar smagu invaliditāti lauku reģionos īpaši izjūt izolētību un </w:t>
      </w:r>
      <w:r w:rsidR="00515FFE" w:rsidRPr="0015154B">
        <w:rPr>
          <w:rFonts w:ascii="Times New Roman" w:hAnsi="Times New Roman" w:cs="Times New Roman"/>
          <w:color w:val="000000"/>
          <w:sz w:val="24"/>
          <w:szCs w:val="24"/>
        </w:rPr>
        <w:t>trauksmi</w:t>
      </w:r>
      <w:r w:rsidRPr="0015154B">
        <w:rPr>
          <w:rFonts w:ascii="Times New Roman" w:hAnsi="Times New Roman" w:cs="Times New Roman"/>
          <w:color w:val="000000"/>
          <w:sz w:val="24"/>
          <w:szCs w:val="24"/>
        </w:rPr>
        <w:t xml:space="preserve"> par savu drošību, tāpēc aprūpes mājās pakalpojuma pieejamībai un kvalitātes uzlabošanai ir būtiska loma cilvēka drošībai. Lai arī aprūpes mājās saņēmēji ne vienmēr ir gatavi izmantot </w:t>
      </w:r>
      <w:r w:rsidRPr="0015154B">
        <w:rPr>
          <w:rFonts w:ascii="Times New Roman" w:hAnsi="Times New Roman" w:cs="Times New Roman"/>
          <w:b/>
          <w:color w:val="000000"/>
          <w:sz w:val="24"/>
          <w:szCs w:val="24"/>
        </w:rPr>
        <w:t>jaunas metodes un tehnoloģijas</w:t>
      </w:r>
      <w:r w:rsidRPr="0015154B">
        <w:rPr>
          <w:rFonts w:ascii="Times New Roman" w:hAnsi="Times New Roman" w:cs="Times New Roman"/>
          <w:color w:val="000000"/>
          <w:sz w:val="24"/>
          <w:szCs w:val="24"/>
        </w:rPr>
        <w:t xml:space="preserve">, pēdējos gados aizvien vairāk klientu izmanto arī attālinātā darba metodes sociālās aprūpes </w:t>
      </w:r>
      <w:r w:rsidR="00E52E22" w:rsidRPr="0015154B">
        <w:rPr>
          <w:rFonts w:ascii="Times New Roman" w:hAnsi="Times New Roman" w:cs="Times New Roman"/>
          <w:color w:val="000000"/>
          <w:sz w:val="24"/>
          <w:szCs w:val="24"/>
        </w:rPr>
        <w:t>pakalpojumu sa</w:t>
      </w:r>
      <w:r w:rsidR="00974F0C">
        <w:rPr>
          <w:rFonts w:ascii="Times New Roman" w:hAnsi="Times New Roman" w:cs="Times New Roman"/>
          <w:color w:val="000000"/>
          <w:sz w:val="24"/>
          <w:szCs w:val="24"/>
        </w:rPr>
        <w:t>ņe</w:t>
      </w:r>
      <w:r w:rsidR="00E52E22" w:rsidRPr="0015154B">
        <w:rPr>
          <w:rFonts w:ascii="Times New Roman" w:hAnsi="Times New Roman" w:cs="Times New Roman"/>
          <w:color w:val="000000"/>
          <w:sz w:val="24"/>
          <w:szCs w:val="24"/>
        </w:rPr>
        <w:t>mšanā</w:t>
      </w:r>
      <w:r w:rsidRPr="0015154B">
        <w:rPr>
          <w:rFonts w:ascii="Times New Roman" w:hAnsi="Times New Roman" w:cs="Times New Roman"/>
          <w:color w:val="000000"/>
          <w:sz w:val="24"/>
          <w:szCs w:val="24"/>
        </w:rPr>
        <w:t>, piemēram</w:t>
      </w:r>
      <w:r w:rsidR="00E52E22" w:rsidRPr="0015154B">
        <w:rPr>
          <w:rFonts w:ascii="Times New Roman" w:hAnsi="Times New Roman" w:cs="Times New Roman"/>
          <w:color w:val="000000"/>
          <w:sz w:val="24"/>
          <w:szCs w:val="24"/>
        </w:rPr>
        <w:t>,</w:t>
      </w:r>
      <w:r w:rsidRPr="0015154B">
        <w:rPr>
          <w:rFonts w:ascii="Times New Roman" w:hAnsi="Times New Roman" w:cs="Times New Roman"/>
          <w:color w:val="000000"/>
          <w:sz w:val="24"/>
          <w:szCs w:val="24"/>
        </w:rPr>
        <w:t xml:space="preserve"> drošības pogas pakalpojumu (2019.</w:t>
      </w:r>
      <w:r w:rsidR="00515FFE" w:rsidRPr="0015154B">
        <w:rPr>
          <w:rFonts w:ascii="Times New Roman" w:hAnsi="Times New Roman" w:cs="Times New Roman"/>
          <w:color w:val="000000"/>
          <w:sz w:val="24"/>
          <w:szCs w:val="24"/>
        </w:rPr>
        <w:t> </w:t>
      </w:r>
      <w:r w:rsidRPr="0015154B">
        <w:rPr>
          <w:rFonts w:ascii="Times New Roman" w:hAnsi="Times New Roman" w:cs="Times New Roman"/>
          <w:color w:val="000000"/>
          <w:sz w:val="24"/>
          <w:szCs w:val="24"/>
        </w:rPr>
        <w:t xml:space="preserve">gadā 4,5% no aprūpes mājās pakalpojumu saņēmušo klientu kopskaita), kā arī informācijas tehnoloģijas saziņai ar sociālo pakalpojumu sniedzējiem. Izmantojot informācijas tehnoloģijas, klientiem ir iespējas sazināties ar sociāla pakalpojuma sniedzēju attālināti, izstāstīt par situācijām, kuras izraisa bažas, saņemt konsultāciju vai padomu, kā tālāk rīkoties, savukārt darbinieks var novērtēt situāciju attālināti un lemt, vai ir nepieciešams izbraukt pie klienta, vai tomēr situācija ir kontrolējama un nav nepieciešamības mērot ceļu pie klienta. Attālināti sazinoties ar klientu, ir iespējams arī konstatēt, ka ir </w:t>
      </w:r>
      <w:r w:rsidRPr="0015154B">
        <w:rPr>
          <w:rFonts w:ascii="Times New Roman" w:hAnsi="Times New Roman" w:cs="Times New Roman"/>
          <w:color w:val="000000"/>
          <w:sz w:val="24"/>
          <w:szCs w:val="24"/>
        </w:rPr>
        <w:lastRenderedPageBreak/>
        <w:t>nepieciešama arī citu dienestu iesaistīšana, piemēram</w:t>
      </w:r>
      <w:r w:rsidR="00E52E22" w:rsidRPr="0015154B">
        <w:rPr>
          <w:rFonts w:ascii="Times New Roman" w:hAnsi="Times New Roman" w:cs="Times New Roman"/>
          <w:color w:val="000000"/>
          <w:sz w:val="24"/>
          <w:szCs w:val="24"/>
        </w:rPr>
        <w:t>,</w:t>
      </w:r>
      <w:r w:rsidRPr="0015154B">
        <w:rPr>
          <w:rFonts w:ascii="Times New Roman" w:hAnsi="Times New Roman" w:cs="Times New Roman"/>
          <w:color w:val="000000"/>
          <w:sz w:val="24"/>
          <w:szCs w:val="24"/>
        </w:rPr>
        <w:t xml:space="preserve"> Neatliekamās medicīniskās palīdzības dienesta brigādes izsaukšana. Savukārt SAC informācijas tehnoloģijas ir vērtīgs atspaids, veicot procesu aprakstus, datu vākšanu un apstrādi, COVID</w:t>
      </w:r>
      <w:r w:rsidR="00DD525B" w:rsidRPr="0015154B">
        <w:rPr>
          <w:rFonts w:ascii="Times New Roman" w:hAnsi="Times New Roman" w:cs="Times New Roman"/>
          <w:color w:val="000000"/>
          <w:sz w:val="24"/>
          <w:szCs w:val="24"/>
        </w:rPr>
        <w:t>-</w:t>
      </w:r>
      <w:r w:rsidRPr="0015154B">
        <w:rPr>
          <w:rFonts w:ascii="Times New Roman" w:hAnsi="Times New Roman" w:cs="Times New Roman"/>
          <w:color w:val="000000"/>
          <w:sz w:val="24"/>
          <w:szCs w:val="24"/>
        </w:rPr>
        <w:t xml:space="preserve">19 epidēmijas ierobežojumu laikā būtiski pieauga arī attālināto konsultāciju nodrošināšana. </w:t>
      </w:r>
      <w:r w:rsidRPr="0015154B">
        <w:rPr>
          <w:rFonts w:ascii="Times New Roman" w:hAnsi="Times New Roman" w:cs="Times New Roman"/>
          <w:sz w:val="24"/>
          <w:szCs w:val="24"/>
        </w:rPr>
        <w:t xml:space="preserve">Laika periodā no 2014.gada aktualizējās jautājums par higiēnas prasību ievērošanu un vides pieejamības nodrošināšanu, kā arī cilvēktiesību ievērošanu SAC. </w:t>
      </w:r>
    </w:p>
    <w:p w14:paraId="17C105A9" w14:textId="45A52891"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Pensijas vecuma personām un personām ar invaliditāti, kā arī citām personu grupām, kurām ir nepieciešams atbalsts dienas laikā,  pašvaldības nodrošina </w:t>
      </w:r>
      <w:r w:rsidRPr="0015154B">
        <w:rPr>
          <w:rFonts w:ascii="Times New Roman" w:hAnsi="Times New Roman" w:cs="Times New Roman"/>
          <w:b/>
          <w:bCs/>
          <w:sz w:val="24"/>
          <w:szCs w:val="24"/>
        </w:rPr>
        <w:t>dienas aprūpes centru pakalpojumus</w:t>
      </w:r>
      <w:r w:rsidR="00A22C2A" w:rsidRPr="0015154B">
        <w:rPr>
          <w:rFonts w:ascii="Times New Roman" w:hAnsi="Times New Roman" w:cs="Times New Roman"/>
          <w:b/>
          <w:bCs/>
          <w:sz w:val="24"/>
          <w:szCs w:val="24"/>
        </w:rPr>
        <w:t xml:space="preserve"> </w:t>
      </w:r>
      <w:r w:rsidR="00A22C2A" w:rsidRPr="0015154B">
        <w:rPr>
          <w:rFonts w:ascii="Times New Roman" w:hAnsi="Times New Roman" w:cs="Times New Roman"/>
          <w:bCs/>
          <w:sz w:val="24"/>
          <w:szCs w:val="24"/>
          <w:highlight w:val="yellow"/>
        </w:rPr>
        <w:t>(skat. 3.pielikuma 1</w:t>
      </w:r>
      <w:r w:rsidR="00255BAD" w:rsidRPr="0015154B">
        <w:rPr>
          <w:rFonts w:ascii="Times New Roman" w:hAnsi="Times New Roman" w:cs="Times New Roman"/>
          <w:bCs/>
          <w:sz w:val="24"/>
          <w:szCs w:val="24"/>
          <w:highlight w:val="yellow"/>
        </w:rPr>
        <w:t>2</w:t>
      </w:r>
      <w:r w:rsidR="00A22C2A" w:rsidRPr="0015154B">
        <w:rPr>
          <w:rFonts w:ascii="Times New Roman" w:hAnsi="Times New Roman" w:cs="Times New Roman"/>
          <w:bCs/>
          <w:sz w:val="24"/>
          <w:szCs w:val="24"/>
          <w:highlight w:val="yellow"/>
        </w:rPr>
        <w:t>.tabulu</w:t>
      </w:r>
      <w:r w:rsidR="00A22C2A" w:rsidRPr="0015154B">
        <w:rPr>
          <w:rFonts w:ascii="Times New Roman" w:hAnsi="Times New Roman" w:cs="Times New Roman"/>
          <w:bCs/>
          <w:sz w:val="24"/>
          <w:szCs w:val="24"/>
        </w:rPr>
        <w:t>)</w:t>
      </w:r>
      <w:r w:rsidRPr="0015154B">
        <w:rPr>
          <w:rFonts w:ascii="Times New Roman" w:hAnsi="Times New Roman" w:cs="Times New Roman"/>
          <w:sz w:val="24"/>
          <w:szCs w:val="24"/>
        </w:rPr>
        <w:t>. Kopējais klientu skaits dienas centros 2019.gadā sasniedza 21</w:t>
      </w:r>
      <w:r w:rsidR="008F3508"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162 klientus, kas vēl aizvien ir mazāks par 2015.gadā bijušo klientu skaitu </w:t>
      </w:r>
      <w:r w:rsidR="004837A8">
        <w:rPr>
          <w:rFonts w:ascii="Times New Roman" w:hAnsi="Times New Roman" w:cs="Times New Roman"/>
          <w:sz w:val="24"/>
          <w:szCs w:val="24"/>
        </w:rPr>
        <w:t>–</w:t>
      </w:r>
      <w:r w:rsidRPr="0015154B">
        <w:rPr>
          <w:rFonts w:ascii="Times New Roman" w:hAnsi="Times New Roman" w:cs="Times New Roman"/>
          <w:sz w:val="24"/>
          <w:szCs w:val="24"/>
        </w:rPr>
        <w:t xml:space="preserve"> 23</w:t>
      </w:r>
      <w:r w:rsidR="004837A8">
        <w:rPr>
          <w:rFonts w:ascii="Times New Roman" w:hAnsi="Times New Roman" w:cs="Times New Roman"/>
          <w:sz w:val="24"/>
          <w:szCs w:val="24"/>
        </w:rPr>
        <w:t> </w:t>
      </w:r>
      <w:r w:rsidRPr="0015154B">
        <w:rPr>
          <w:rFonts w:ascii="Times New Roman" w:hAnsi="Times New Roman" w:cs="Times New Roman"/>
          <w:sz w:val="24"/>
          <w:szCs w:val="24"/>
        </w:rPr>
        <w:t xml:space="preserve">808 personas (2014.gadā </w:t>
      </w:r>
      <w:r w:rsidR="008F3508" w:rsidRPr="0015154B">
        <w:rPr>
          <w:rFonts w:ascii="Times New Roman" w:hAnsi="Times New Roman" w:cs="Times New Roman"/>
          <w:sz w:val="24"/>
          <w:szCs w:val="24"/>
        </w:rPr>
        <w:t>–</w:t>
      </w:r>
      <w:r w:rsidRPr="0015154B">
        <w:rPr>
          <w:rFonts w:ascii="Times New Roman" w:hAnsi="Times New Roman" w:cs="Times New Roman"/>
          <w:sz w:val="24"/>
          <w:szCs w:val="24"/>
        </w:rPr>
        <w:t xml:space="preserve"> 31</w:t>
      </w:r>
      <w:r w:rsidR="008F3508" w:rsidRPr="0015154B">
        <w:rPr>
          <w:rFonts w:ascii="Times New Roman" w:hAnsi="Times New Roman" w:cs="Times New Roman"/>
          <w:sz w:val="24"/>
          <w:szCs w:val="24"/>
        </w:rPr>
        <w:t xml:space="preserve"> </w:t>
      </w:r>
      <w:r w:rsidRPr="0015154B">
        <w:rPr>
          <w:rFonts w:ascii="Times New Roman" w:hAnsi="Times New Roman" w:cs="Times New Roman"/>
          <w:sz w:val="24"/>
          <w:szCs w:val="24"/>
        </w:rPr>
        <w:t>132 personas).</w:t>
      </w:r>
    </w:p>
    <w:p w14:paraId="6302DB2A" w14:textId="6C1224C1"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Dienas aprūpes centru pakalpojumi personām ar demenci būtu nozīmīgs resurss, lai personai nebūtu jāpārceļas uz dzīvi SAC. Taču jaunu dienas centru veidošana minētajai personu grupai</w:t>
      </w:r>
      <w:r w:rsidR="004837A8">
        <w:rPr>
          <w:rFonts w:ascii="Times New Roman" w:hAnsi="Times New Roman" w:cs="Times New Roman"/>
          <w:sz w:val="24"/>
          <w:szCs w:val="24"/>
        </w:rPr>
        <w:t>,</w:t>
      </w:r>
      <w:r w:rsidRPr="0015154B">
        <w:rPr>
          <w:rFonts w:ascii="Times New Roman" w:hAnsi="Times New Roman" w:cs="Times New Roman"/>
          <w:sz w:val="24"/>
          <w:szCs w:val="24"/>
        </w:rPr>
        <w:t xml:space="preserve"> nav vērojama, kas tiek skaidrots ar pieprasījuma trūkumu, kā arī ierobežotajiem pašvaldību finanšu resursiem un cilvēkresursiem. Ņemot vērā kopējo valsts iedzīvotāju skaita samazināšanos, un līdz ar to veco ļaužu skaita pieaugumu, nākotnē pašvaldībās ir jāplāno papildus resursus dienas aprūpes centru personām ar demenci izveidei, jo šāda pakalpojuma nepieciešamība pieaugs, neskatoties uz to,  ka šobrīd potenciālie klienti, iespējams, paši nevēršas pašvaldību sociālajos dienestos. </w:t>
      </w:r>
    </w:p>
    <w:p w14:paraId="7F9ED1FD" w14:textId="77777777" w:rsidR="009978A2" w:rsidRPr="0015154B" w:rsidRDefault="009978A2" w:rsidP="009978A2">
      <w:pPr>
        <w:spacing w:after="0" w:line="240" w:lineRule="auto"/>
        <w:ind w:firstLine="720"/>
        <w:jc w:val="both"/>
        <w:rPr>
          <w:rFonts w:ascii="Times New Roman" w:hAnsi="Times New Roman" w:cs="Times New Roman"/>
          <w:sz w:val="24"/>
          <w:szCs w:val="24"/>
        </w:rPr>
      </w:pPr>
    </w:p>
    <w:p w14:paraId="0AEAE128" w14:textId="27A4EF84" w:rsidR="009978A2" w:rsidRPr="0015154B" w:rsidRDefault="009978A2" w:rsidP="001101F7">
      <w:pPr>
        <w:pStyle w:val="Heading3"/>
        <w:rPr>
          <w:lang w:eastAsia="lv-LV"/>
        </w:rPr>
      </w:pPr>
      <w:bookmarkStart w:id="43" w:name="_Toc55316082"/>
      <w:r w:rsidRPr="0015154B">
        <w:rPr>
          <w:lang w:eastAsia="lv-LV"/>
        </w:rPr>
        <w:t>Sociālie pakalpojumi personām ar garīga rakstura traucējumiem</w:t>
      </w:r>
      <w:bookmarkEnd w:id="43"/>
      <w:r w:rsidRPr="0015154B">
        <w:rPr>
          <w:lang w:eastAsia="lv-LV"/>
        </w:rPr>
        <w:t xml:space="preserve"> </w:t>
      </w:r>
    </w:p>
    <w:p w14:paraId="6FCC73F3" w14:textId="00CF7512" w:rsidR="009978A2" w:rsidRDefault="009978A2" w:rsidP="009978A2">
      <w:pPr>
        <w:spacing w:after="0" w:line="240" w:lineRule="auto"/>
        <w:ind w:firstLine="720"/>
        <w:jc w:val="both"/>
        <w:rPr>
          <w:rFonts w:ascii="Times New Roman" w:hAnsi="Times New Roman" w:cs="Times New Roman"/>
          <w:sz w:val="24"/>
          <w:szCs w:val="24"/>
        </w:rPr>
      </w:pPr>
      <w:r w:rsidRPr="0015154B">
        <w:rPr>
          <w:rFonts w:ascii="Times New Roman" w:hAnsi="Times New Roman" w:cs="Times New Roman"/>
          <w:bCs/>
          <w:sz w:val="24"/>
          <w:szCs w:val="24"/>
          <w:lang w:eastAsia="lv-LV"/>
        </w:rPr>
        <w:t>Personu ar smagiem garīga rakstura traucējumiem</w:t>
      </w:r>
      <w:r w:rsidR="008F3508" w:rsidRPr="0015154B">
        <w:rPr>
          <w:rFonts w:ascii="Times New Roman" w:hAnsi="Times New Roman" w:cs="Times New Roman"/>
          <w:bCs/>
          <w:sz w:val="24"/>
          <w:szCs w:val="24"/>
          <w:lang w:eastAsia="lv-LV"/>
        </w:rPr>
        <w:t xml:space="preserve"> (turpmāk- GRT)</w:t>
      </w:r>
      <w:r w:rsidRPr="0015154B">
        <w:rPr>
          <w:rFonts w:ascii="Times New Roman" w:hAnsi="Times New Roman" w:cs="Times New Roman"/>
          <w:bCs/>
          <w:sz w:val="24"/>
          <w:szCs w:val="24"/>
          <w:lang w:eastAsia="lv-LV"/>
        </w:rPr>
        <w:t xml:space="preserve"> aprūpē vēl aizvien ir liels </w:t>
      </w:r>
      <w:r w:rsidRPr="0015154B">
        <w:rPr>
          <w:rFonts w:ascii="Times New Roman" w:hAnsi="Times New Roman" w:cs="Times New Roman"/>
          <w:b/>
          <w:bCs/>
          <w:sz w:val="24"/>
          <w:szCs w:val="24"/>
          <w:lang w:eastAsia="lv-LV"/>
        </w:rPr>
        <w:t>institucionālās aprūpes īpatsvars</w:t>
      </w:r>
      <w:r w:rsidRPr="0015154B">
        <w:rPr>
          <w:rFonts w:ascii="Times New Roman" w:hAnsi="Times New Roman" w:cs="Times New Roman"/>
          <w:bCs/>
          <w:sz w:val="24"/>
          <w:szCs w:val="24"/>
          <w:lang w:eastAsia="lv-LV"/>
        </w:rPr>
        <w:t xml:space="preserve">. </w:t>
      </w:r>
      <w:r w:rsidRPr="0015154B">
        <w:rPr>
          <w:rFonts w:ascii="Times New Roman" w:hAnsi="Times New Roman" w:cs="Times New Roman"/>
          <w:sz w:val="24"/>
          <w:szCs w:val="24"/>
        </w:rPr>
        <w:t xml:space="preserve">2019.gadā ir palielinājies kopējais dienas aprūpes centru skaits personām ar </w:t>
      </w:r>
      <w:r w:rsidR="008F3508" w:rsidRPr="0015154B">
        <w:rPr>
          <w:rFonts w:ascii="Times New Roman" w:hAnsi="Times New Roman" w:cs="Times New Roman"/>
          <w:sz w:val="24"/>
          <w:szCs w:val="24"/>
        </w:rPr>
        <w:t>GRT, sasniedzot</w:t>
      </w:r>
      <w:r w:rsidRPr="0015154B">
        <w:rPr>
          <w:rFonts w:ascii="Times New Roman" w:hAnsi="Times New Roman" w:cs="Times New Roman"/>
          <w:sz w:val="24"/>
          <w:szCs w:val="24"/>
        </w:rPr>
        <w:t xml:space="preserve"> 33, kas ir lielākais minētā pakalpojuma sniedzēju skaits kopš sociālā pakalpojuma sniegšanas uzsākšanas. Minētā tendence norāda uz to, ka uzlabojas institūcijām alternatīvo sociālo pakalpojumu nodrošināšana personām ar garīga rakstura traucējumiem, un pašvaldības ne tikai nodrošina minētos pakalpojumus pašas, bet iepērk pakalpojumu arī no citās pašvaldībās esošiem pakalpojumu sniedzējiem. Tādējādi arī tās pašvaldības, kurās ir mazs attiecīgā pakalpojuma saņēmēju skaits (piemēram, viens klients), spēj nodrošināt klientiem nepieciešamo pakalpojumu. Lai arī lēni, bet pozitīva virzība ir arī specializēto darbnīcu pakalpojuma pieejamības nodrošināšanā. Taču aprūpes mājās pakalpojumu saņēm</w:t>
      </w:r>
      <w:r w:rsidR="008F3508" w:rsidRPr="0015154B">
        <w:rPr>
          <w:rFonts w:ascii="Times New Roman" w:hAnsi="Times New Roman" w:cs="Times New Roman"/>
          <w:sz w:val="24"/>
          <w:szCs w:val="24"/>
        </w:rPr>
        <w:t>ē</w:t>
      </w:r>
      <w:r w:rsidRPr="0015154B">
        <w:rPr>
          <w:rFonts w:ascii="Times New Roman" w:hAnsi="Times New Roman" w:cs="Times New Roman"/>
          <w:sz w:val="24"/>
          <w:szCs w:val="24"/>
        </w:rPr>
        <w:t>ju skaitā ir vērojams samazinājums (</w:t>
      </w:r>
      <w:r w:rsidRPr="0015154B">
        <w:rPr>
          <w:rFonts w:ascii="Times New Roman" w:hAnsi="Times New Roman" w:cs="Times New Roman"/>
          <w:sz w:val="24"/>
          <w:szCs w:val="24"/>
          <w:highlight w:val="yellow"/>
        </w:rPr>
        <w:t>skat</w:t>
      </w:r>
      <w:r w:rsidR="00164535" w:rsidRPr="0015154B">
        <w:rPr>
          <w:rFonts w:ascii="Times New Roman" w:hAnsi="Times New Roman" w:cs="Times New Roman"/>
          <w:sz w:val="24"/>
          <w:szCs w:val="24"/>
          <w:highlight w:val="yellow"/>
        </w:rPr>
        <w:t>. 1</w:t>
      </w:r>
      <w:r w:rsidR="00974F0C">
        <w:rPr>
          <w:rFonts w:ascii="Times New Roman" w:hAnsi="Times New Roman" w:cs="Times New Roman"/>
          <w:sz w:val="24"/>
          <w:szCs w:val="24"/>
          <w:highlight w:val="yellow"/>
        </w:rPr>
        <w:t>5</w:t>
      </w:r>
      <w:r w:rsidR="00164535" w:rsidRPr="0015154B">
        <w:rPr>
          <w:rFonts w:ascii="Times New Roman" w:hAnsi="Times New Roman" w:cs="Times New Roman"/>
          <w:sz w:val="24"/>
          <w:szCs w:val="24"/>
          <w:highlight w:val="yellow"/>
        </w:rPr>
        <w:t>.</w:t>
      </w:r>
      <w:r w:rsidRPr="0015154B">
        <w:rPr>
          <w:rFonts w:ascii="Times New Roman" w:hAnsi="Times New Roman" w:cs="Times New Roman"/>
          <w:sz w:val="24"/>
          <w:szCs w:val="24"/>
          <w:highlight w:val="yellow"/>
        </w:rPr>
        <w:t>tabulu</w:t>
      </w:r>
      <w:r w:rsidRPr="0015154B">
        <w:rPr>
          <w:rFonts w:ascii="Times New Roman" w:hAnsi="Times New Roman" w:cs="Times New Roman"/>
          <w:sz w:val="24"/>
          <w:szCs w:val="24"/>
        </w:rPr>
        <w:t>)</w:t>
      </w:r>
      <w:r w:rsidR="008101CF" w:rsidRPr="0015154B">
        <w:rPr>
          <w:rFonts w:ascii="Times New Roman" w:hAnsi="Times New Roman" w:cs="Times New Roman"/>
          <w:sz w:val="24"/>
          <w:szCs w:val="24"/>
        </w:rPr>
        <w:t>.</w:t>
      </w:r>
    </w:p>
    <w:p w14:paraId="559F951D" w14:textId="4919A0A9" w:rsidR="00431EF9" w:rsidRDefault="00431EF9" w:rsidP="00431EF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Nākotnē ir sagaidāms būtisks sociālo pakalpojumu pieejamības uzlabojums, jo  deinstitucionalizācijas projektu ietvaros tiek plānota 53 jaunu grupu māju (dzīvokļu), 57 dienas aprūpes centru un 34 specializēto darbnīcu izveide. </w:t>
      </w:r>
    </w:p>
    <w:p w14:paraId="773559BE" w14:textId="57367B34" w:rsidR="004837A8" w:rsidRPr="0015154B" w:rsidRDefault="004837A8" w:rsidP="00431EF9">
      <w:pPr>
        <w:spacing w:before="120" w:after="0" w:line="240" w:lineRule="auto"/>
        <w:ind w:firstLine="720"/>
        <w:jc w:val="both"/>
        <w:rPr>
          <w:rFonts w:ascii="Times New Roman" w:hAnsi="Times New Roman" w:cs="Times New Roman"/>
          <w:sz w:val="24"/>
          <w:szCs w:val="24"/>
        </w:rPr>
      </w:pPr>
      <w:r w:rsidRPr="0015154B">
        <w:rPr>
          <w:rStyle w:val="Strong"/>
          <w:rFonts w:ascii="Times New Roman" w:eastAsia="SimSun" w:hAnsi="Times New Roman"/>
          <w:b w:val="0"/>
          <w:bCs w:val="0"/>
          <w:sz w:val="24"/>
          <w:szCs w:val="24"/>
        </w:rPr>
        <w:t xml:space="preserve">Personām ar GRT nepieciešams atbalsts dažādās jomās, tai skaitā lēmumu pieņemšanā, tādēļ </w:t>
      </w:r>
      <w:r w:rsidRPr="0015154B">
        <w:rPr>
          <w:rFonts w:ascii="Times New Roman" w:hAnsi="Times New Roman"/>
          <w:sz w:val="24"/>
          <w:szCs w:val="24"/>
        </w:rPr>
        <w:t>LM īstenotā Eiropas Sociālā fonda projekta „Sociālo pakalpojumu atbalsta sistēmas pilnveide” ietvaros</w:t>
      </w:r>
      <w:r w:rsidRPr="0015154B">
        <w:rPr>
          <w:rStyle w:val="Strong"/>
          <w:rFonts w:ascii="Times New Roman" w:eastAsia="SimSun" w:hAnsi="Times New Roman"/>
          <w:b w:val="0"/>
          <w:bCs w:val="0"/>
          <w:sz w:val="24"/>
          <w:szCs w:val="24"/>
        </w:rPr>
        <w:t xml:space="preserve"> </w:t>
      </w:r>
      <w:r w:rsidRPr="0015154B">
        <w:rPr>
          <w:rFonts w:ascii="Times New Roman" w:hAnsi="Times New Roman"/>
          <w:sz w:val="24"/>
          <w:szCs w:val="24"/>
        </w:rPr>
        <w:t xml:space="preserve">no 2017.gada 1.decembra līdz 2019.gada 30.novembrim </w:t>
      </w:r>
      <w:r w:rsidRPr="0015154B">
        <w:rPr>
          <w:rStyle w:val="Strong"/>
          <w:rFonts w:ascii="Times New Roman" w:eastAsia="SimSun" w:hAnsi="Times New Roman"/>
          <w:b w:val="0"/>
          <w:bCs w:val="0"/>
          <w:sz w:val="24"/>
          <w:szCs w:val="24"/>
        </w:rPr>
        <w:t>b</w:t>
      </w:r>
      <w:r w:rsidRPr="0015154B">
        <w:rPr>
          <w:rFonts w:ascii="Times New Roman" w:hAnsi="Times New Roman"/>
          <w:sz w:val="24"/>
          <w:szCs w:val="24"/>
        </w:rPr>
        <w:t xml:space="preserve">iedrība “Resursu centrs cilvēkiem ar garīgiem traucējumiem “ZELDA”” īstenoja </w:t>
      </w:r>
      <w:r w:rsidRPr="0015154B">
        <w:rPr>
          <w:rFonts w:ascii="Times New Roman" w:hAnsi="Times New Roman"/>
          <w:b/>
          <w:i/>
          <w:sz w:val="24"/>
          <w:szCs w:val="24"/>
        </w:rPr>
        <w:t>Atbalsta personas pakalpojuma</w:t>
      </w:r>
      <w:r w:rsidRPr="0015154B">
        <w:rPr>
          <w:rFonts w:ascii="Times New Roman" w:hAnsi="Times New Roman"/>
          <w:b/>
          <w:sz w:val="24"/>
          <w:szCs w:val="24"/>
        </w:rPr>
        <w:t xml:space="preserve"> izmēģinājumprojektu</w:t>
      </w:r>
      <w:r w:rsidRPr="0015154B">
        <w:rPr>
          <w:rFonts w:ascii="Times New Roman" w:hAnsi="Times New Roman"/>
          <w:sz w:val="24"/>
          <w:szCs w:val="24"/>
        </w:rPr>
        <w:t xml:space="preserve">. Izmēģinājumprojekta ietvaros visos plānošanas reģionos 2018.-2019.gadā kopumā 12 mēnešus strādāja 22 atbalsta personas, sniedzot atbalstu personām ar GRT savai dzīvesvietai tuvākās teritorijas. Visā izmēģinājumprojekta laikā kopā atbalstu ir saņēmušas 332 personas ar GRT. 2020.gadā, balstoties uz izmēģinājumprojekta rezultātiem, projekta ietvaros </w:t>
      </w:r>
      <w:r>
        <w:rPr>
          <w:rFonts w:ascii="Times New Roman" w:hAnsi="Times New Roman"/>
          <w:sz w:val="24"/>
          <w:szCs w:val="24"/>
        </w:rPr>
        <w:t>norit darbs pie</w:t>
      </w:r>
      <w:r w:rsidRPr="0015154B">
        <w:rPr>
          <w:rFonts w:ascii="Times New Roman" w:hAnsi="Times New Roman"/>
          <w:sz w:val="24"/>
          <w:szCs w:val="24"/>
        </w:rPr>
        <w:t xml:space="preserve"> atbalsta personas pakalpojuma aprakst</w:t>
      </w:r>
      <w:r>
        <w:rPr>
          <w:rFonts w:ascii="Times New Roman" w:hAnsi="Times New Roman"/>
          <w:sz w:val="24"/>
          <w:szCs w:val="24"/>
        </w:rPr>
        <w:t>a</w:t>
      </w:r>
      <w:r w:rsidRPr="0015154B">
        <w:rPr>
          <w:rFonts w:ascii="Times New Roman" w:hAnsi="Times New Roman"/>
          <w:sz w:val="24"/>
          <w:szCs w:val="24"/>
        </w:rPr>
        <w:t>, organizēšanas un finansēšanas kārtība</w:t>
      </w:r>
      <w:r>
        <w:rPr>
          <w:rFonts w:ascii="Times New Roman" w:hAnsi="Times New Roman"/>
          <w:sz w:val="24"/>
          <w:szCs w:val="24"/>
        </w:rPr>
        <w:t>s</w:t>
      </w:r>
      <w:r w:rsidRPr="0015154B">
        <w:rPr>
          <w:rFonts w:ascii="Times New Roman" w:hAnsi="Times New Roman"/>
          <w:sz w:val="24"/>
          <w:szCs w:val="24"/>
        </w:rPr>
        <w:t>, uz kuras pamata balstīsies turpmākie priekšlikumi ANO Konvencijas par personu ar invaliditāti tiesībām 12.panta (Vienlīdzīga tiesībspējas atzīšana) īstenošanai.</w:t>
      </w:r>
    </w:p>
    <w:p w14:paraId="5E41BFF4" w14:textId="77777777" w:rsidR="008F3508" w:rsidRPr="0015154B" w:rsidRDefault="008F3508" w:rsidP="008F3508">
      <w:pPr>
        <w:spacing w:after="0" w:line="240" w:lineRule="auto"/>
        <w:rPr>
          <w:rFonts w:ascii="Times New Roman" w:hAnsi="Times New Roman" w:cs="Times New Roman"/>
          <w:b/>
          <w:sz w:val="24"/>
          <w:szCs w:val="24"/>
        </w:rPr>
      </w:pPr>
    </w:p>
    <w:p w14:paraId="7C0B8248" w14:textId="77777777" w:rsidR="004837A8" w:rsidRDefault="004837A8">
      <w:pPr>
        <w:rPr>
          <w:rFonts w:ascii="Times New Roman" w:hAnsi="Times New Roman" w:cs="Times New Roman"/>
          <w:sz w:val="24"/>
          <w:szCs w:val="24"/>
        </w:rPr>
      </w:pPr>
      <w:r>
        <w:rPr>
          <w:rFonts w:ascii="Times New Roman" w:hAnsi="Times New Roman" w:cs="Times New Roman"/>
          <w:sz w:val="24"/>
          <w:szCs w:val="24"/>
        </w:rPr>
        <w:br w:type="page"/>
      </w:r>
    </w:p>
    <w:p w14:paraId="118928DE" w14:textId="60216423" w:rsidR="009978A2" w:rsidRPr="0015154B" w:rsidRDefault="008101CF" w:rsidP="008F3508">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lastRenderedPageBreak/>
        <w:t>1</w:t>
      </w:r>
      <w:r w:rsidR="00974F0C">
        <w:rPr>
          <w:rFonts w:ascii="Times New Roman" w:hAnsi="Times New Roman" w:cs="Times New Roman"/>
          <w:sz w:val="24"/>
          <w:szCs w:val="24"/>
        </w:rPr>
        <w:t>5</w:t>
      </w:r>
      <w:r w:rsidRPr="0015154B">
        <w:rPr>
          <w:rFonts w:ascii="Times New Roman" w:hAnsi="Times New Roman" w:cs="Times New Roman"/>
          <w:sz w:val="24"/>
          <w:szCs w:val="24"/>
        </w:rPr>
        <w:t>.</w:t>
      </w:r>
      <w:r w:rsidR="009978A2" w:rsidRPr="0015154B">
        <w:rPr>
          <w:rFonts w:ascii="Times New Roman" w:hAnsi="Times New Roman" w:cs="Times New Roman"/>
          <w:sz w:val="24"/>
          <w:szCs w:val="24"/>
        </w:rPr>
        <w:t>tabula</w:t>
      </w:r>
    </w:p>
    <w:p w14:paraId="55F17C3A" w14:textId="3CB35D04" w:rsidR="009978A2" w:rsidRPr="0015154B" w:rsidRDefault="009978A2" w:rsidP="008F3508">
      <w:pPr>
        <w:spacing w:after="0" w:line="240" w:lineRule="auto"/>
        <w:jc w:val="center"/>
        <w:rPr>
          <w:rFonts w:ascii="Times New Roman" w:hAnsi="Times New Roman" w:cs="Times New Roman"/>
          <w:b/>
          <w:color w:val="002060"/>
          <w:sz w:val="24"/>
          <w:szCs w:val="24"/>
          <w:lang w:eastAsia="lv-LV"/>
        </w:rPr>
      </w:pPr>
      <w:r w:rsidRPr="0015154B">
        <w:rPr>
          <w:rFonts w:ascii="Times New Roman" w:hAnsi="Times New Roman" w:cs="Times New Roman"/>
          <w:b/>
          <w:color w:val="002060"/>
          <w:sz w:val="24"/>
          <w:szCs w:val="24"/>
          <w:lang w:eastAsia="lv-LV"/>
        </w:rPr>
        <w:t>Nodrošinātie sociālie pakalpojumi personām ar garīga rakstura traucējumiem</w:t>
      </w:r>
    </w:p>
    <w:p w14:paraId="2C37A406" w14:textId="77777777" w:rsidR="009978A2" w:rsidRPr="0015154B" w:rsidRDefault="009978A2" w:rsidP="009978A2">
      <w:pPr>
        <w:spacing w:after="0" w:line="240" w:lineRule="auto"/>
        <w:jc w:val="center"/>
        <w:rPr>
          <w:rFonts w:ascii="Times New Roman" w:hAnsi="Times New Roman" w:cs="Times New Roman"/>
          <w:b/>
          <w:sz w:val="24"/>
          <w:szCs w:val="24"/>
        </w:rPr>
      </w:pPr>
    </w:p>
    <w:tbl>
      <w:tblPr>
        <w:tblW w:w="8926" w:type="dxa"/>
        <w:tblLayout w:type="fixed"/>
        <w:tblCellMar>
          <w:top w:w="15" w:type="dxa"/>
          <w:bottom w:w="15" w:type="dxa"/>
        </w:tblCellMar>
        <w:tblLook w:val="04A0" w:firstRow="1" w:lastRow="0" w:firstColumn="1" w:lastColumn="0" w:noHBand="0" w:noVBand="1"/>
      </w:tblPr>
      <w:tblGrid>
        <w:gridCol w:w="2343"/>
        <w:gridCol w:w="1097"/>
        <w:gridCol w:w="1097"/>
        <w:gridCol w:w="1097"/>
        <w:gridCol w:w="1097"/>
        <w:gridCol w:w="1097"/>
        <w:gridCol w:w="1098"/>
      </w:tblGrid>
      <w:tr w:rsidR="00825BD5" w:rsidRPr="0015154B" w14:paraId="79D75B94" w14:textId="77777777" w:rsidTr="00825BD5">
        <w:trPr>
          <w:trHeight w:val="274"/>
        </w:trPr>
        <w:tc>
          <w:tcPr>
            <w:tcW w:w="2343"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6D9C43AF" w14:textId="77777777" w:rsidR="009978A2" w:rsidRPr="0015154B" w:rsidRDefault="009978A2" w:rsidP="006B303C">
            <w:pPr>
              <w:spacing w:after="0" w:line="240" w:lineRule="auto"/>
              <w:jc w:val="both"/>
              <w:rPr>
                <w:rFonts w:ascii="Times New Roman" w:eastAsia="Times New Roman" w:hAnsi="Times New Roman" w:cs="Times New Roman"/>
                <w:b/>
                <w:color w:val="002060"/>
                <w:sz w:val="24"/>
                <w:szCs w:val="24"/>
                <w:lang w:eastAsia="lv-LV"/>
              </w:rPr>
            </w:pPr>
          </w:p>
        </w:tc>
        <w:tc>
          <w:tcPr>
            <w:tcW w:w="1097"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bottom"/>
            <w:hideMark/>
          </w:tcPr>
          <w:p w14:paraId="1EDD71AF" w14:textId="17B96F93" w:rsidR="009978A2" w:rsidRPr="0015154B" w:rsidRDefault="009978A2" w:rsidP="00C1006C">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2014</w:t>
            </w:r>
          </w:p>
        </w:tc>
        <w:tc>
          <w:tcPr>
            <w:tcW w:w="1097"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bottom"/>
            <w:hideMark/>
          </w:tcPr>
          <w:p w14:paraId="305F09A3" w14:textId="23AC9C4F" w:rsidR="009978A2" w:rsidRPr="0015154B" w:rsidRDefault="009978A2" w:rsidP="00C1006C">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2015</w:t>
            </w:r>
          </w:p>
        </w:tc>
        <w:tc>
          <w:tcPr>
            <w:tcW w:w="1097"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bottom"/>
            <w:hideMark/>
          </w:tcPr>
          <w:p w14:paraId="49017B7F" w14:textId="5B0D5FA2" w:rsidR="009978A2" w:rsidRPr="0015154B" w:rsidRDefault="009978A2" w:rsidP="00C1006C">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2016</w:t>
            </w:r>
          </w:p>
        </w:tc>
        <w:tc>
          <w:tcPr>
            <w:tcW w:w="1097"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58EB8356" w14:textId="1DA93668" w:rsidR="009978A2" w:rsidRPr="0015154B" w:rsidRDefault="009978A2" w:rsidP="00C1006C">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2017</w:t>
            </w:r>
          </w:p>
        </w:tc>
        <w:tc>
          <w:tcPr>
            <w:tcW w:w="1097"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5E1A7007" w14:textId="5376D6CC" w:rsidR="009978A2" w:rsidRPr="0015154B" w:rsidRDefault="009978A2" w:rsidP="00C1006C">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2018</w:t>
            </w:r>
          </w:p>
        </w:tc>
        <w:tc>
          <w:tcPr>
            <w:tcW w:w="1098"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3748AB10" w14:textId="539DFE53" w:rsidR="009978A2" w:rsidRPr="0015154B" w:rsidRDefault="009978A2" w:rsidP="00C1006C">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2019</w:t>
            </w:r>
          </w:p>
        </w:tc>
      </w:tr>
      <w:tr w:rsidR="009978A2" w:rsidRPr="0015154B" w14:paraId="582CD98C" w14:textId="77777777" w:rsidTr="005E1993">
        <w:trPr>
          <w:trHeight w:val="375"/>
        </w:trPr>
        <w:tc>
          <w:tcPr>
            <w:tcW w:w="2343"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55E123A4" w14:textId="77777777" w:rsidR="009978A2" w:rsidRPr="0015154B" w:rsidRDefault="009978A2" w:rsidP="006B303C">
            <w:pPr>
              <w:spacing w:after="0" w:line="240" w:lineRule="auto"/>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 xml:space="preserve">Personu ar GRT aprūpes mājās pakalpojuma saņēmēju  skaits </w:t>
            </w:r>
          </w:p>
        </w:tc>
        <w:tc>
          <w:tcPr>
            <w:tcW w:w="1097" w:type="dxa"/>
            <w:tcBorders>
              <w:top w:val="single" w:sz="4" w:space="0" w:color="auto"/>
              <w:left w:val="single" w:sz="4" w:space="0" w:color="auto"/>
              <w:bottom w:val="single" w:sz="4" w:space="0" w:color="auto"/>
              <w:right w:val="single" w:sz="4" w:space="0" w:color="auto"/>
            </w:tcBorders>
            <w:noWrap/>
            <w:vAlign w:val="center"/>
          </w:tcPr>
          <w:p w14:paraId="3921338E"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168</w:t>
            </w:r>
          </w:p>
        </w:tc>
        <w:tc>
          <w:tcPr>
            <w:tcW w:w="1097" w:type="dxa"/>
            <w:tcBorders>
              <w:top w:val="single" w:sz="4" w:space="0" w:color="auto"/>
              <w:left w:val="single" w:sz="4" w:space="0" w:color="auto"/>
              <w:bottom w:val="single" w:sz="4" w:space="0" w:color="auto"/>
              <w:right w:val="single" w:sz="4" w:space="0" w:color="auto"/>
            </w:tcBorders>
            <w:noWrap/>
            <w:vAlign w:val="center"/>
          </w:tcPr>
          <w:p w14:paraId="49C3946B"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179</w:t>
            </w:r>
          </w:p>
        </w:tc>
        <w:tc>
          <w:tcPr>
            <w:tcW w:w="1097" w:type="dxa"/>
            <w:tcBorders>
              <w:top w:val="single" w:sz="4" w:space="0" w:color="auto"/>
              <w:left w:val="single" w:sz="4" w:space="0" w:color="auto"/>
              <w:bottom w:val="single" w:sz="4" w:space="0" w:color="auto"/>
              <w:right w:val="single" w:sz="4" w:space="0" w:color="auto"/>
            </w:tcBorders>
            <w:noWrap/>
            <w:vAlign w:val="center"/>
          </w:tcPr>
          <w:p w14:paraId="6F21B1CC"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188</w:t>
            </w:r>
          </w:p>
        </w:tc>
        <w:tc>
          <w:tcPr>
            <w:tcW w:w="1097" w:type="dxa"/>
            <w:tcBorders>
              <w:top w:val="single" w:sz="4" w:space="0" w:color="auto"/>
              <w:left w:val="single" w:sz="4" w:space="0" w:color="auto"/>
              <w:bottom w:val="single" w:sz="4" w:space="0" w:color="auto"/>
              <w:right w:val="single" w:sz="4" w:space="0" w:color="auto"/>
            </w:tcBorders>
            <w:vAlign w:val="center"/>
          </w:tcPr>
          <w:p w14:paraId="7AAED2A5"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168</w:t>
            </w:r>
          </w:p>
        </w:tc>
        <w:tc>
          <w:tcPr>
            <w:tcW w:w="1097" w:type="dxa"/>
            <w:tcBorders>
              <w:top w:val="single" w:sz="4" w:space="0" w:color="auto"/>
              <w:left w:val="single" w:sz="4" w:space="0" w:color="auto"/>
              <w:bottom w:val="single" w:sz="4" w:space="0" w:color="auto"/>
              <w:right w:val="single" w:sz="4" w:space="0" w:color="auto"/>
            </w:tcBorders>
            <w:vAlign w:val="center"/>
          </w:tcPr>
          <w:p w14:paraId="1FD407BE"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150</w:t>
            </w:r>
          </w:p>
        </w:tc>
        <w:tc>
          <w:tcPr>
            <w:tcW w:w="1098" w:type="dxa"/>
            <w:tcBorders>
              <w:top w:val="single" w:sz="4" w:space="0" w:color="auto"/>
              <w:left w:val="single" w:sz="4" w:space="0" w:color="auto"/>
              <w:bottom w:val="single" w:sz="4" w:space="0" w:color="auto"/>
              <w:right w:val="single" w:sz="4" w:space="0" w:color="auto"/>
            </w:tcBorders>
            <w:vAlign w:val="center"/>
          </w:tcPr>
          <w:p w14:paraId="2439CAFC"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148</w:t>
            </w:r>
          </w:p>
        </w:tc>
      </w:tr>
      <w:tr w:rsidR="009978A2" w:rsidRPr="0015154B" w14:paraId="10FC99C9" w14:textId="77777777" w:rsidTr="005E1993">
        <w:trPr>
          <w:trHeight w:val="440"/>
        </w:trPr>
        <w:tc>
          <w:tcPr>
            <w:tcW w:w="2343"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4BA2ABF2" w14:textId="77777777" w:rsidR="009978A2" w:rsidRPr="0015154B" w:rsidRDefault="009978A2" w:rsidP="006B303C">
            <w:pPr>
              <w:spacing w:after="0" w:line="240" w:lineRule="auto"/>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 xml:space="preserve">Klientu skaits dienas aprūpes centros personām ar GRT </w:t>
            </w:r>
          </w:p>
        </w:tc>
        <w:tc>
          <w:tcPr>
            <w:tcW w:w="1097" w:type="dxa"/>
            <w:tcBorders>
              <w:top w:val="single" w:sz="4" w:space="0" w:color="auto"/>
              <w:left w:val="single" w:sz="4" w:space="0" w:color="auto"/>
              <w:bottom w:val="single" w:sz="4" w:space="0" w:color="auto"/>
              <w:right w:val="single" w:sz="4" w:space="0" w:color="auto"/>
            </w:tcBorders>
            <w:vAlign w:val="center"/>
            <w:hideMark/>
          </w:tcPr>
          <w:p w14:paraId="3AAB45D2"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811</w:t>
            </w:r>
          </w:p>
        </w:tc>
        <w:tc>
          <w:tcPr>
            <w:tcW w:w="1097" w:type="dxa"/>
            <w:tcBorders>
              <w:top w:val="single" w:sz="4" w:space="0" w:color="auto"/>
              <w:left w:val="single" w:sz="4" w:space="0" w:color="auto"/>
              <w:bottom w:val="single" w:sz="4" w:space="0" w:color="auto"/>
              <w:right w:val="single" w:sz="4" w:space="0" w:color="auto"/>
            </w:tcBorders>
            <w:vAlign w:val="center"/>
            <w:hideMark/>
          </w:tcPr>
          <w:p w14:paraId="57A25A23"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1064</w:t>
            </w:r>
          </w:p>
        </w:tc>
        <w:tc>
          <w:tcPr>
            <w:tcW w:w="1097" w:type="dxa"/>
            <w:tcBorders>
              <w:top w:val="single" w:sz="4" w:space="0" w:color="auto"/>
              <w:left w:val="single" w:sz="4" w:space="0" w:color="auto"/>
              <w:bottom w:val="single" w:sz="4" w:space="0" w:color="auto"/>
              <w:right w:val="single" w:sz="4" w:space="0" w:color="auto"/>
            </w:tcBorders>
            <w:vAlign w:val="center"/>
            <w:hideMark/>
          </w:tcPr>
          <w:p w14:paraId="0A68CA2F"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954</w:t>
            </w:r>
          </w:p>
        </w:tc>
        <w:tc>
          <w:tcPr>
            <w:tcW w:w="1097" w:type="dxa"/>
            <w:tcBorders>
              <w:top w:val="single" w:sz="4" w:space="0" w:color="auto"/>
              <w:left w:val="single" w:sz="4" w:space="0" w:color="auto"/>
              <w:bottom w:val="single" w:sz="4" w:space="0" w:color="auto"/>
              <w:right w:val="single" w:sz="4" w:space="0" w:color="auto"/>
            </w:tcBorders>
            <w:vAlign w:val="center"/>
          </w:tcPr>
          <w:p w14:paraId="71211BE7"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939</w:t>
            </w:r>
          </w:p>
        </w:tc>
        <w:tc>
          <w:tcPr>
            <w:tcW w:w="1097" w:type="dxa"/>
            <w:tcBorders>
              <w:top w:val="single" w:sz="4" w:space="0" w:color="auto"/>
              <w:left w:val="single" w:sz="4" w:space="0" w:color="auto"/>
              <w:bottom w:val="single" w:sz="4" w:space="0" w:color="auto"/>
              <w:right w:val="single" w:sz="4" w:space="0" w:color="auto"/>
            </w:tcBorders>
            <w:vAlign w:val="center"/>
          </w:tcPr>
          <w:p w14:paraId="1E385AEA"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931</w:t>
            </w:r>
          </w:p>
        </w:tc>
        <w:tc>
          <w:tcPr>
            <w:tcW w:w="1098" w:type="dxa"/>
            <w:tcBorders>
              <w:top w:val="single" w:sz="4" w:space="0" w:color="auto"/>
              <w:left w:val="single" w:sz="4" w:space="0" w:color="auto"/>
              <w:bottom w:val="single" w:sz="4" w:space="0" w:color="auto"/>
              <w:right w:val="single" w:sz="4" w:space="0" w:color="auto"/>
            </w:tcBorders>
            <w:vAlign w:val="center"/>
          </w:tcPr>
          <w:p w14:paraId="73048F5B"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1064</w:t>
            </w:r>
          </w:p>
        </w:tc>
      </w:tr>
      <w:tr w:rsidR="009978A2" w:rsidRPr="0015154B" w14:paraId="252656E8" w14:textId="77777777" w:rsidTr="005E1993">
        <w:trPr>
          <w:trHeight w:val="440"/>
        </w:trPr>
        <w:tc>
          <w:tcPr>
            <w:tcW w:w="2343"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45A47415" w14:textId="77777777" w:rsidR="009978A2" w:rsidRPr="0015154B" w:rsidRDefault="009978A2" w:rsidP="006B303C">
            <w:pPr>
              <w:spacing w:after="0" w:line="240" w:lineRule="auto"/>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Klientu skaits grupu mājās (dzīvokļos)</w:t>
            </w:r>
          </w:p>
        </w:tc>
        <w:tc>
          <w:tcPr>
            <w:tcW w:w="1097" w:type="dxa"/>
            <w:tcBorders>
              <w:top w:val="single" w:sz="4" w:space="0" w:color="auto"/>
              <w:left w:val="single" w:sz="4" w:space="0" w:color="auto"/>
              <w:bottom w:val="single" w:sz="4" w:space="0" w:color="auto"/>
              <w:right w:val="single" w:sz="4" w:space="0" w:color="auto"/>
            </w:tcBorders>
            <w:vAlign w:val="center"/>
          </w:tcPr>
          <w:p w14:paraId="51062F15"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242</w:t>
            </w:r>
          </w:p>
        </w:tc>
        <w:tc>
          <w:tcPr>
            <w:tcW w:w="1097" w:type="dxa"/>
            <w:tcBorders>
              <w:top w:val="single" w:sz="4" w:space="0" w:color="auto"/>
              <w:left w:val="single" w:sz="4" w:space="0" w:color="auto"/>
              <w:bottom w:val="single" w:sz="4" w:space="0" w:color="auto"/>
              <w:right w:val="single" w:sz="4" w:space="0" w:color="auto"/>
            </w:tcBorders>
            <w:vAlign w:val="center"/>
          </w:tcPr>
          <w:p w14:paraId="75491038"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238</w:t>
            </w:r>
          </w:p>
        </w:tc>
        <w:tc>
          <w:tcPr>
            <w:tcW w:w="1097" w:type="dxa"/>
            <w:tcBorders>
              <w:top w:val="single" w:sz="4" w:space="0" w:color="auto"/>
              <w:left w:val="single" w:sz="4" w:space="0" w:color="auto"/>
              <w:bottom w:val="single" w:sz="4" w:space="0" w:color="auto"/>
              <w:right w:val="single" w:sz="4" w:space="0" w:color="auto"/>
            </w:tcBorders>
            <w:vAlign w:val="center"/>
          </w:tcPr>
          <w:p w14:paraId="0F001B26"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236</w:t>
            </w:r>
          </w:p>
        </w:tc>
        <w:tc>
          <w:tcPr>
            <w:tcW w:w="1097" w:type="dxa"/>
            <w:tcBorders>
              <w:top w:val="single" w:sz="4" w:space="0" w:color="auto"/>
              <w:left w:val="single" w:sz="4" w:space="0" w:color="auto"/>
              <w:bottom w:val="single" w:sz="4" w:space="0" w:color="auto"/>
              <w:right w:val="single" w:sz="4" w:space="0" w:color="auto"/>
            </w:tcBorders>
            <w:vAlign w:val="center"/>
          </w:tcPr>
          <w:p w14:paraId="121E3C60"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241</w:t>
            </w:r>
          </w:p>
        </w:tc>
        <w:tc>
          <w:tcPr>
            <w:tcW w:w="1097" w:type="dxa"/>
            <w:tcBorders>
              <w:top w:val="single" w:sz="4" w:space="0" w:color="auto"/>
              <w:left w:val="single" w:sz="4" w:space="0" w:color="auto"/>
              <w:bottom w:val="single" w:sz="4" w:space="0" w:color="auto"/>
              <w:right w:val="single" w:sz="4" w:space="0" w:color="auto"/>
            </w:tcBorders>
            <w:vAlign w:val="center"/>
          </w:tcPr>
          <w:p w14:paraId="2CFEF1DD"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253</w:t>
            </w:r>
          </w:p>
        </w:tc>
        <w:tc>
          <w:tcPr>
            <w:tcW w:w="1098" w:type="dxa"/>
            <w:tcBorders>
              <w:top w:val="single" w:sz="4" w:space="0" w:color="auto"/>
              <w:left w:val="single" w:sz="4" w:space="0" w:color="auto"/>
              <w:bottom w:val="single" w:sz="4" w:space="0" w:color="auto"/>
              <w:right w:val="single" w:sz="4" w:space="0" w:color="auto"/>
            </w:tcBorders>
            <w:vAlign w:val="center"/>
          </w:tcPr>
          <w:p w14:paraId="4B916D99"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254</w:t>
            </w:r>
          </w:p>
        </w:tc>
      </w:tr>
      <w:tr w:rsidR="009978A2" w:rsidRPr="0015154B" w14:paraId="1E47D1C9" w14:textId="77777777" w:rsidTr="005E1993">
        <w:trPr>
          <w:trHeight w:val="440"/>
        </w:trPr>
        <w:tc>
          <w:tcPr>
            <w:tcW w:w="2343"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4AE0D155" w14:textId="77777777" w:rsidR="009978A2" w:rsidRPr="0015154B" w:rsidRDefault="009978A2" w:rsidP="006B303C">
            <w:pPr>
              <w:spacing w:after="0" w:line="240" w:lineRule="auto"/>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 xml:space="preserve">Klientu skaits specializētājās darbnīcās </w:t>
            </w:r>
          </w:p>
        </w:tc>
        <w:tc>
          <w:tcPr>
            <w:tcW w:w="1097" w:type="dxa"/>
            <w:tcBorders>
              <w:top w:val="single" w:sz="4" w:space="0" w:color="auto"/>
              <w:left w:val="single" w:sz="4" w:space="0" w:color="auto"/>
              <w:bottom w:val="single" w:sz="4" w:space="0" w:color="auto"/>
              <w:right w:val="single" w:sz="4" w:space="0" w:color="auto"/>
            </w:tcBorders>
            <w:vAlign w:val="center"/>
          </w:tcPr>
          <w:p w14:paraId="2DCB758F"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64</w:t>
            </w:r>
          </w:p>
        </w:tc>
        <w:tc>
          <w:tcPr>
            <w:tcW w:w="1097" w:type="dxa"/>
            <w:tcBorders>
              <w:top w:val="single" w:sz="4" w:space="0" w:color="auto"/>
              <w:left w:val="single" w:sz="4" w:space="0" w:color="auto"/>
              <w:bottom w:val="single" w:sz="4" w:space="0" w:color="auto"/>
              <w:right w:val="single" w:sz="4" w:space="0" w:color="auto"/>
            </w:tcBorders>
            <w:vAlign w:val="center"/>
          </w:tcPr>
          <w:p w14:paraId="7169B3F5"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69</w:t>
            </w:r>
          </w:p>
        </w:tc>
        <w:tc>
          <w:tcPr>
            <w:tcW w:w="1097" w:type="dxa"/>
            <w:tcBorders>
              <w:top w:val="single" w:sz="4" w:space="0" w:color="auto"/>
              <w:left w:val="single" w:sz="4" w:space="0" w:color="auto"/>
              <w:bottom w:val="single" w:sz="4" w:space="0" w:color="auto"/>
              <w:right w:val="single" w:sz="4" w:space="0" w:color="auto"/>
            </w:tcBorders>
            <w:vAlign w:val="center"/>
          </w:tcPr>
          <w:p w14:paraId="7F29A301"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68</w:t>
            </w:r>
          </w:p>
        </w:tc>
        <w:tc>
          <w:tcPr>
            <w:tcW w:w="1097" w:type="dxa"/>
            <w:tcBorders>
              <w:top w:val="single" w:sz="4" w:space="0" w:color="auto"/>
              <w:left w:val="single" w:sz="4" w:space="0" w:color="auto"/>
              <w:bottom w:val="single" w:sz="4" w:space="0" w:color="auto"/>
              <w:right w:val="single" w:sz="4" w:space="0" w:color="auto"/>
            </w:tcBorders>
            <w:vAlign w:val="center"/>
          </w:tcPr>
          <w:p w14:paraId="7B5F57DE"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68</w:t>
            </w:r>
          </w:p>
        </w:tc>
        <w:tc>
          <w:tcPr>
            <w:tcW w:w="1097" w:type="dxa"/>
            <w:tcBorders>
              <w:top w:val="single" w:sz="4" w:space="0" w:color="auto"/>
              <w:left w:val="single" w:sz="4" w:space="0" w:color="auto"/>
              <w:bottom w:val="single" w:sz="4" w:space="0" w:color="auto"/>
              <w:right w:val="single" w:sz="4" w:space="0" w:color="auto"/>
            </w:tcBorders>
            <w:vAlign w:val="center"/>
          </w:tcPr>
          <w:p w14:paraId="13BADF41" w14:textId="77777777" w:rsidR="009978A2" w:rsidRPr="0015154B" w:rsidRDefault="009978A2" w:rsidP="00C1006C">
            <w:pPr>
              <w:spacing w:after="0" w:line="240" w:lineRule="auto"/>
              <w:jc w:val="center"/>
              <w:rPr>
                <w:rFonts w:ascii="Times New Roman" w:hAnsi="Times New Roman" w:cs="Times New Roman"/>
                <w:b/>
                <w:bCs/>
                <w:color w:val="000000"/>
                <w:sz w:val="24"/>
                <w:szCs w:val="24"/>
              </w:rPr>
            </w:pPr>
            <w:r w:rsidRPr="0015154B">
              <w:rPr>
                <w:rFonts w:ascii="Times New Roman" w:eastAsia="Times New Roman" w:hAnsi="Times New Roman" w:cs="Times New Roman"/>
                <w:color w:val="000000"/>
                <w:sz w:val="24"/>
                <w:szCs w:val="24"/>
                <w:lang w:eastAsia="lv-LV"/>
              </w:rPr>
              <w:t>94</w:t>
            </w:r>
          </w:p>
        </w:tc>
        <w:tc>
          <w:tcPr>
            <w:tcW w:w="1098" w:type="dxa"/>
            <w:tcBorders>
              <w:top w:val="single" w:sz="4" w:space="0" w:color="auto"/>
              <w:left w:val="single" w:sz="4" w:space="0" w:color="auto"/>
              <w:bottom w:val="single" w:sz="4" w:space="0" w:color="auto"/>
              <w:right w:val="single" w:sz="4" w:space="0" w:color="auto"/>
            </w:tcBorders>
            <w:vAlign w:val="center"/>
          </w:tcPr>
          <w:p w14:paraId="031380FB" w14:textId="77777777" w:rsidR="009978A2" w:rsidRPr="0015154B" w:rsidRDefault="009978A2" w:rsidP="00C1006C">
            <w:pPr>
              <w:spacing w:after="0" w:line="240" w:lineRule="auto"/>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82</w:t>
            </w:r>
          </w:p>
        </w:tc>
      </w:tr>
      <w:tr w:rsidR="009978A2" w:rsidRPr="0015154B" w14:paraId="1A587D19" w14:textId="77777777" w:rsidTr="005E1993">
        <w:trPr>
          <w:trHeight w:val="440"/>
        </w:trPr>
        <w:tc>
          <w:tcPr>
            <w:tcW w:w="2343" w:type="dxa"/>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4447D321" w14:textId="77777777" w:rsidR="009978A2" w:rsidRPr="0015154B" w:rsidRDefault="009978A2" w:rsidP="006B303C">
            <w:pPr>
              <w:spacing w:after="0" w:line="240" w:lineRule="auto"/>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 xml:space="preserve">Klientu skaits valsts finansētajos sociālās aprūpes centros </w:t>
            </w:r>
          </w:p>
        </w:tc>
        <w:tc>
          <w:tcPr>
            <w:tcW w:w="1097" w:type="dxa"/>
            <w:tcBorders>
              <w:top w:val="single" w:sz="4" w:space="0" w:color="auto"/>
              <w:left w:val="single" w:sz="4" w:space="0" w:color="auto"/>
              <w:bottom w:val="single" w:sz="4" w:space="0" w:color="auto"/>
              <w:right w:val="single" w:sz="4" w:space="0" w:color="auto"/>
            </w:tcBorders>
            <w:vAlign w:val="center"/>
          </w:tcPr>
          <w:p w14:paraId="127B71EE"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5 478</w:t>
            </w:r>
          </w:p>
        </w:tc>
        <w:tc>
          <w:tcPr>
            <w:tcW w:w="1097" w:type="dxa"/>
            <w:tcBorders>
              <w:top w:val="single" w:sz="4" w:space="0" w:color="auto"/>
              <w:left w:val="single" w:sz="4" w:space="0" w:color="auto"/>
              <w:bottom w:val="single" w:sz="4" w:space="0" w:color="auto"/>
              <w:right w:val="single" w:sz="4" w:space="0" w:color="auto"/>
            </w:tcBorders>
            <w:vAlign w:val="center"/>
          </w:tcPr>
          <w:p w14:paraId="24CE823E"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5 400</w:t>
            </w:r>
          </w:p>
        </w:tc>
        <w:tc>
          <w:tcPr>
            <w:tcW w:w="1097" w:type="dxa"/>
            <w:tcBorders>
              <w:top w:val="single" w:sz="4" w:space="0" w:color="auto"/>
              <w:left w:val="single" w:sz="4" w:space="0" w:color="auto"/>
              <w:bottom w:val="single" w:sz="4" w:space="0" w:color="auto"/>
              <w:right w:val="single" w:sz="4" w:space="0" w:color="auto"/>
            </w:tcBorders>
            <w:vAlign w:val="center"/>
          </w:tcPr>
          <w:p w14:paraId="216742A4" w14:textId="77777777" w:rsidR="009978A2" w:rsidRPr="0015154B" w:rsidRDefault="009978A2" w:rsidP="00C1006C">
            <w:pPr>
              <w:spacing w:after="0" w:line="240" w:lineRule="auto"/>
              <w:jc w:val="center"/>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5 300</w:t>
            </w:r>
          </w:p>
        </w:tc>
        <w:tc>
          <w:tcPr>
            <w:tcW w:w="1097" w:type="dxa"/>
            <w:tcBorders>
              <w:top w:val="single" w:sz="4" w:space="0" w:color="auto"/>
              <w:left w:val="single" w:sz="4" w:space="0" w:color="auto"/>
              <w:bottom w:val="single" w:sz="4" w:space="0" w:color="auto"/>
              <w:right w:val="single" w:sz="4" w:space="0" w:color="auto"/>
            </w:tcBorders>
            <w:vAlign w:val="center"/>
          </w:tcPr>
          <w:p w14:paraId="11745750" w14:textId="77777777" w:rsidR="009978A2" w:rsidRPr="0015154B" w:rsidRDefault="009978A2" w:rsidP="00C1006C">
            <w:pPr>
              <w:spacing w:after="0" w:line="240" w:lineRule="auto"/>
              <w:jc w:val="center"/>
              <w:rPr>
                <w:rFonts w:ascii="Times New Roman" w:hAnsi="Times New Roman" w:cs="Times New Roman"/>
                <w:b/>
                <w:bCs/>
                <w:color w:val="000000"/>
                <w:sz w:val="24"/>
                <w:szCs w:val="24"/>
              </w:rPr>
            </w:pPr>
            <w:r w:rsidRPr="0015154B">
              <w:rPr>
                <w:rFonts w:ascii="Times New Roman" w:eastAsia="Times New Roman" w:hAnsi="Times New Roman" w:cs="Times New Roman"/>
                <w:color w:val="000000"/>
                <w:sz w:val="24"/>
                <w:szCs w:val="24"/>
                <w:lang w:eastAsia="lv-LV"/>
              </w:rPr>
              <w:t>5 121</w:t>
            </w:r>
          </w:p>
        </w:tc>
        <w:tc>
          <w:tcPr>
            <w:tcW w:w="1097" w:type="dxa"/>
            <w:tcBorders>
              <w:top w:val="single" w:sz="4" w:space="0" w:color="auto"/>
              <w:left w:val="single" w:sz="4" w:space="0" w:color="auto"/>
              <w:bottom w:val="single" w:sz="4" w:space="0" w:color="auto"/>
              <w:right w:val="single" w:sz="4" w:space="0" w:color="auto"/>
            </w:tcBorders>
            <w:vAlign w:val="center"/>
          </w:tcPr>
          <w:p w14:paraId="37464159" w14:textId="77777777" w:rsidR="009978A2" w:rsidRPr="0015154B" w:rsidRDefault="009978A2" w:rsidP="00C1006C">
            <w:pPr>
              <w:spacing w:after="0" w:line="240" w:lineRule="auto"/>
              <w:jc w:val="center"/>
              <w:rPr>
                <w:rFonts w:ascii="Times New Roman" w:hAnsi="Times New Roman" w:cs="Times New Roman"/>
                <w:b/>
                <w:bCs/>
                <w:color w:val="000000"/>
                <w:sz w:val="24"/>
                <w:szCs w:val="24"/>
              </w:rPr>
            </w:pPr>
            <w:r w:rsidRPr="0015154B">
              <w:rPr>
                <w:rFonts w:ascii="Times New Roman" w:eastAsia="Times New Roman" w:hAnsi="Times New Roman" w:cs="Times New Roman"/>
                <w:color w:val="000000"/>
                <w:sz w:val="24"/>
                <w:szCs w:val="24"/>
                <w:lang w:eastAsia="lv-LV"/>
              </w:rPr>
              <w:t>4 935</w:t>
            </w:r>
          </w:p>
        </w:tc>
        <w:tc>
          <w:tcPr>
            <w:tcW w:w="1098" w:type="dxa"/>
            <w:tcBorders>
              <w:top w:val="single" w:sz="4" w:space="0" w:color="auto"/>
              <w:left w:val="single" w:sz="4" w:space="0" w:color="auto"/>
              <w:bottom w:val="single" w:sz="4" w:space="0" w:color="auto"/>
              <w:right w:val="single" w:sz="4" w:space="0" w:color="auto"/>
            </w:tcBorders>
            <w:vAlign w:val="center"/>
          </w:tcPr>
          <w:p w14:paraId="1D45D065" w14:textId="77777777" w:rsidR="009978A2" w:rsidRPr="0015154B" w:rsidRDefault="009978A2" w:rsidP="00C1006C">
            <w:pPr>
              <w:spacing w:after="0" w:line="240" w:lineRule="auto"/>
              <w:jc w:val="center"/>
              <w:rPr>
                <w:rFonts w:ascii="Times New Roman" w:hAnsi="Times New Roman" w:cs="Times New Roman"/>
                <w:b/>
                <w:bCs/>
                <w:color w:val="000000"/>
                <w:sz w:val="24"/>
                <w:szCs w:val="24"/>
              </w:rPr>
            </w:pPr>
            <w:r w:rsidRPr="0015154B">
              <w:rPr>
                <w:rFonts w:ascii="Times New Roman" w:eastAsia="Times New Roman" w:hAnsi="Times New Roman" w:cs="Times New Roman"/>
                <w:color w:val="000000"/>
                <w:sz w:val="24"/>
                <w:szCs w:val="24"/>
                <w:lang w:eastAsia="lv-LV"/>
              </w:rPr>
              <w:t>4 828</w:t>
            </w:r>
          </w:p>
        </w:tc>
      </w:tr>
    </w:tbl>
    <w:p w14:paraId="4FC3E9B8" w14:textId="77777777" w:rsidR="009978A2" w:rsidRPr="0015154B" w:rsidRDefault="009978A2" w:rsidP="009978A2">
      <w:pPr>
        <w:spacing w:after="0" w:line="240" w:lineRule="auto"/>
        <w:jc w:val="both"/>
        <w:rPr>
          <w:rFonts w:ascii="Times New Roman" w:hAnsi="Times New Roman" w:cs="Times New Roman"/>
          <w:sz w:val="24"/>
          <w:szCs w:val="24"/>
        </w:rPr>
      </w:pPr>
      <w:r w:rsidRPr="0015154B">
        <w:rPr>
          <w:rFonts w:ascii="Times New Roman" w:hAnsi="Times New Roman" w:cs="Times New Roman"/>
          <w:sz w:val="20"/>
          <w:szCs w:val="20"/>
        </w:rPr>
        <w:t>Datu avots:</w:t>
      </w:r>
      <w:r w:rsidRPr="0015154B">
        <w:rPr>
          <w:rFonts w:ascii="Times New Roman" w:hAnsi="Times New Roman" w:cs="Times New Roman"/>
        </w:rPr>
        <w:t xml:space="preserve"> </w:t>
      </w:r>
      <w:r w:rsidRPr="0015154B">
        <w:rPr>
          <w:rFonts w:ascii="Times New Roman" w:hAnsi="Times New Roman" w:cs="Times New Roman"/>
          <w:sz w:val="20"/>
          <w:szCs w:val="20"/>
        </w:rPr>
        <w:t>Pārskati par sociālajiem pakalpojumiem un sociālo palīdzību novada/republikas pilsētas pašvaldībā kopsavilkumi par 2014.-2019. gadu, LM dati</w:t>
      </w:r>
    </w:p>
    <w:p w14:paraId="29EA162E" w14:textId="77777777" w:rsidR="009978A2" w:rsidRPr="0015154B" w:rsidRDefault="009978A2" w:rsidP="009978A2">
      <w:pPr>
        <w:spacing w:after="0" w:line="240" w:lineRule="auto"/>
        <w:ind w:right="175" w:firstLine="720"/>
        <w:jc w:val="both"/>
        <w:rPr>
          <w:rFonts w:ascii="Times New Roman" w:hAnsi="Times New Roman" w:cs="Times New Roman"/>
          <w:sz w:val="24"/>
          <w:szCs w:val="24"/>
        </w:rPr>
      </w:pPr>
    </w:p>
    <w:p w14:paraId="7BF49D67" w14:textId="79E57EA9" w:rsidR="009978A2" w:rsidRPr="0015154B" w:rsidRDefault="009978A2" w:rsidP="00FE676E">
      <w:pPr>
        <w:spacing w:before="120" w:after="0" w:line="240" w:lineRule="auto"/>
        <w:ind w:right="-1"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Līdz ar izmaiņām rīcībspējas tiesiskajā regulējumā, personu ar smagiem </w:t>
      </w:r>
      <w:r w:rsidR="00596BC0" w:rsidRPr="0015154B">
        <w:rPr>
          <w:rFonts w:ascii="Times New Roman" w:hAnsi="Times New Roman" w:cs="Times New Roman"/>
          <w:sz w:val="24"/>
          <w:szCs w:val="24"/>
        </w:rPr>
        <w:t>GRT</w:t>
      </w:r>
      <w:r w:rsidRPr="0015154B">
        <w:rPr>
          <w:rFonts w:ascii="Times New Roman" w:hAnsi="Times New Roman" w:cs="Times New Roman"/>
          <w:sz w:val="24"/>
          <w:szCs w:val="24"/>
        </w:rPr>
        <w:t xml:space="preserve"> aprūpē pakāpeniski ir ieviestas izmaiņas, akcentējot personas vajadzībām atbilstošas sociālās rehabilitācijas un aktīva brīva laika pavadīšanas iespēju pilnveides nozīmi, tajā skaitā uzsverot pašas personas līdzestības nozīmi. Tāpat, ievērojot Latvijas Republikas </w:t>
      </w:r>
      <w:r w:rsidR="00974F0C">
        <w:rPr>
          <w:rFonts w:ascii="Times New Roman" w:hAnsi="Times New Roman" w:cs="Times New Roman"/>
          <w:sz w:val="24"/>
          <w:szCs w:val="24"/>
        </w:rPr>
        <w:t>T</w:t>
      </w:r>
      <w:r w:rsidRPr="0015154B">
        <w:rPr>
          <w:rFonts w:ascii="Times New Roman" w:hAnsi="Times New Roman" w:cs="Times New Roman"/>
          <w:sz w:val="24"/>
          <w:szCs w:val="24"/>
        </w:rPr>
        <w:t xml:space="preserve">iesībsarga ziņojumos par cilvēktiesību ievērošanu norādīto, tika aktualizēts jautājums par cilvēktiesību ievērošanas nodrošināšanu  SAC. </w:t>
      </w:r>
    </w:p>
    <w:p w14:paraId="724773E6" w14:textId="5B59AD05" w:rsidR="009978A2" w:rsidRPr="0015154B" w:rsidRDefault="009978A2" w:rsidP="00FE676E">
      <w:pPr>
        <w:spacing w:before="120" w:after="0" w:line="240" w:lineRule="auto"/>
        <w:ind w:right="-1"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Vienlaikus periodā no 2014.gada aktualizēts jautājums par klientu dzīves apstākļu uzlabošanu, tajā skaitā vēršot uzmanību uz </w:t>
      </w:r>
      <w:r w:rsidRPr="0015154B">
        <w:rPr>
          <w:rFonts w:ascii="Times New Roman" w:hAnsi="Times New Roman" w:cs="Times New Roman"/>
          <w:b/>
          <w:sz w:val="24"/>
          <w:szCs w:val="24"/>
        </w:rPr>
        <w:t>higiēnas prasību</w:t>
      </w:r>
      <w:r w:rsidRPr="0015154B">
        <w:rPr>
          <w:rFonts w:ascii="Times New Roman" w:hAnsi="Times New Roman" w:cs="Times New Roman"/>
          <w:sz w:val="24"/>
          <w:szCs w:val="24"/>
        </w:rPr>
        <w:t xml:space="preserve"> izpildi un </w:t>
      </w:r>
      <w:r w:rsidRPr="0015154B">
        <w:rPr>
          <w:rFonts w:ascii="Times New Roman" w:hAnsi="Times New Roman" w:cs="Times New Roman"/>
          <w:b/>
          <w:sz w:val="24"/>
          <w:szCs w:val="24"/>
        </w:rPr>
        <w:t>vides pieejamības</w:t>
      </w:r>
      <w:r w:rsidRPr="0015154B">
        <w:rPr>
          <w:rFonts w:ascii="Times New Roman" w:hAnsi="Times New Roman" w:cs="Times New Roman"/>
          <w:sz w:val="24"/>
          <w:szCs w:val="24"/>
        </w:rPr>
        <w:t xml:space="preserve"> nodrošināšanu. Minēto prasību izpildei kopējais VSAC klientu vietu skaits ir samazināts par 17</w:t>
      </w:r>
      <w:r w:rsidR="00FE676E">
        <w:rPr>
          <w:rFonts w:ascii="Times New Roman" w:hAnsi="Times New Roman" w:cs="Times New Roman"/>
          <w:sz w:val="24"/>
          <w:szCs w:val="24"/>
        </w:rPr>
        <w:t> </w:t>
      </w:r>
      <w:r w:rsidRPr="0015154B">
        <w:rPr>
          <w:rFonts w:ascii="Times New Roman" w:hAnsi="Times New Roman" w:cs="Times New Roman"/>
          <w:sz w:val="24"/>
          <w:szCs w:val="24"/>
        </w:rPr>
        <w:t xml:space="preserve">%. Papildus jāmin, ka saistībā ar VSAC ēku tehniskā stāvokļa bīstamību vai neatbilstību prasībām no 2013. līdz 2019.gadam tika izbeigta 5 filiāļu darbība. Savukārt, sagatavojoties deinstitucionalizācijas pasākumiem, jau ar 2016.gadu būtiska nozīme ir pievērsta arī klientu darba prasmju un sadzīves iemaņu attīstīšanai, tajā skaitā visās filiālēs tika ieviesta klientu sagatavošana patstāvīgai dzīves uzsākšanai atbilstoši Vadlīnijām sociālās rehabilitācijas pakalpojuma organizēšanai pusceļa mājā personām ar garīga rakstura traucējumiem. </w:t>
      </w:r>
    </w:p>
    <w:p w14:paraId="3A362595" w14:textId="2B6F79D2" w:rsidR="009978A2" w:rsidRPr="0015154B" w:rsidRDefault="00FE676E" w:rsidP="00FE676E">
      <w:pPr>
        <w:spacing w:before="120" w:after="0" w:line="240" w:lineRule="auto"/>
        <w:ind w:right="-1" w:firstLine="720"/>
        <w:jc w:val="both"/>
        <w:rPr>
          <w:rFonts w:ascii="Times New Roman" w:hAnsi="Times New Roman" w:cs="Times New Roman"/>
          <w:sz w:val="24"/>
          <w:szCs w:val="24"/>
        </w:rPr>
      </w:pPr>
      <w:r>
        <w:rPr>
          <w:rFonts w:ascii="Times New Roman" w:hAnsi="Times New Roman" w:cs="Times New Roman"/>
          <w:sz w:val="24"/>
          <w:szCs w:val="24"/>
        </w:rPr>
        <w:t>A</w:t>
      </w:r>
      <w:r w:rsidR="009978A2" w:rsidRPr="0015154B">
        <w:rPr>
          <w:rFonts w:ascii="Times New Roman" w:hAnsi="Times New Roman" w:cs="Times New Roman"/>
          <w:sz w:val="24"/>
          <w:szCs w:val="24"/>
        </w:rPr>
        <w:t xml:space="preserve">r 2017.gadu pakāpeniski uzsākta klientu sociālās aprūpes un sociālās rehabilitācijas organizēšana atbilstoši noteiktajam </w:t>
      </w:r>
      <w:r w:rsidR="009978A2" w:rsidRPr="0015154B">
        <w:rPr>
          <w:rFonts w:ascii="Times New Roman" w:hAnsi="Times New Roman" w:cs="Times New Roman"/>
          <w:b/>
          <w:sz w:val="24"/>
          <w:szCs w:val="24"/>
        </w:rPr>
        <w:t>aprūpes līmenim</w:t>
      </w:r>
      <w:r w:rsidR="009978A2" w:rsidRPr="0015154B">
        <w:rPr>
          <w:rFonts w:ascii="Times New Roman" w:hAnsi="Times New Roman" w:cs="Times New Roman"/>
          <w:sz w:val="24"/>
          <w:szCs w:val="24"/>
        </w:rPr>
        <w:t>. Vienlaicīgi ar 2017.gada 1.decembri valsts finansētie ilgstošas sociālās aprūpes un sociālās rehabilitācijas pakalpojumi tiek piešķirti tikai tām personām, kurām ir noteikts 3. vai 4.aprūpes līmenis.</w:t>
      </w:r>
    </w:p>
    <w:p w14:paraId="4A4C95AD" w14:textId="04C939E1" w:rsidR="009978A2" w:rsidRPr="0015154B" w:rsidRDefault="009978A2" w:rsidP="00FE676E">
      <w:pPr>
        <w:spacing w:before="120" w:after="0" w:line="240" w:lineRule="auto"/>
        <w:ind w:right="-1" w:firstLine="720"/>
        <w:jc w:val="both"/>
        <w:rPr>
          <w:rFonts w:ascii="Times New Roman" w:eastAsia="Times New Roman" w:hAnsi="Times New Roman" w:cs="Times New Roman"/>
          <w:sz w:val="24"/>
          <w:szCs w:val="24"/>
          <w:lang w:eastAsia="lv-LV"/>
        </w:rPr>
      </w:pPr>
      <w:r w:rsidRPr="0015154B">
        <w:rPr>
          <w:rFonts w:ascii="Times New Roman" w:hAnsi="Times New Roman" w:cs="Times New Roman"/>
          <w:sz w:val="24"/>
          <w:szCs w:val="24"/>
        </w:rPr>
        <w:t xml:space="preserve">Pašlaik SAC saskaras ar jaunu izaicinājumu - </w:t>
      </w:r>
      <w:r w:rsidRPr="0015154B">
        <w:rPr>
          <w:rFonts w:ascii="Times New Roman" w:hAnsi="Times New Roman" w:cs="Times New Roman"/>
          <w:b/>
          <w:sz w:val="24"/>
          <w:szCs w:val="24"/>
        </w:rPr>
        <w:t>klientu un darbinieku aizsardzības nodrošināšanu</w:t>
      </w:r>
      <w:r w:rsidRPr="0015154B">
        <w:rPr>
          <w:rFonts w:ascii="Times New Roman" w:hAnsi="Times New Roman" w:cs="Times New Roman"/>
          <w:sz w:val="24"/>
          <w:szCs w:val="24"/>
        </w:rPr>
        <w:t xml:space="preserve"> COVID-19 infekcijas izplatības apstākļos. Līdz ar to ir aktualizējies ne tikai jautājums par </w:t>
      </w:r>
      <w:r w:rsidR="00FE676E">
        <w:rPr>
          <w:rFonts w:ascii="Times New Roman" w:hAnsi="Times New Roman" w:cs="Times New Roman"/>
          <w:sz w:val="24"/>
          <w:szCs w:val="24"/>
        </w:rPr>
        <w:t xml:space="preserve">individuālās </w:t>
      </w:r>
      <w:r w:rsidRPr="0015154B">
        <w:rPr>
          <w:rFonts w:ascii="Times New Roman" w:hAnsi="Times New Roman" w:cs="Times New Roman"/>
          <w:sz w:val="24"/>
          <w:szCs w:val="24"/>
        </w:rPr>
        <w:t>aizsardzības līdzekļu pieejamību, bet arī jautājums par darbinieku aizvietošanas iespējām un izolācijas telpu izveides iespējām. Tādējādi ilgstošas sociālās aprūpes un so</w:t>
      </w:r>
      <w:r w:rsidR="00FE676E">
        <w:rPr>
          <w:rFonts w:ascii="Times New Roman" w:hAnsi="Times New Roman" w:cs="Times New Roman"/>
          <w:sz w:val="24"/>
          <w:szCs w:val="24"/>
        </w:rPr>
        <w:t>c</w:t>
      </w:r>
      <w:r w:rsidRPr="0015154B">
        <w:rPr>
          <w:rFonts w:ascii="Times New Roman" w:hAnsi="Times New Roman" w:cs="Times New Roman"/>
          <w:sz w:val="24"/>
          <w:szCs w:val="24"/>
        </w:rPr>
        <w:t>iālās rehabilitācijas pakalpojumu ietvaros arī turpmāk tiek plānotas būtiskas izmaiņas, ne vien, lai turpinātu uzlabot klientu dzīves apstākļus, tajā skaitā palielinot platību uz 1 klientu</w:t>
      </w:r>
      <w:r w:rsidR="00596BC0" w:rsidRPr="0015154B">
        <w:rPr>
          <w:rFonts w:ascii="Times New Roman" w:hAnsi="Times New Roman" w:cs="Times New Roman"/>
          <w:sz w:val="24"/>
          <w:szCs w:val="24"/>
        </w:rPr>
        <w:t xml:space="preserve"> un</w:t>
      </w:r>
      <w:r w:rsidRPr="0015154B">
        <w:rPr>
          <w:rFonts w:ascii="Times New Roman" w:hAnsi="Times New Roman" w:cs="Times New Roman"/>
          <w:sz w:val="24"/>
          <w:szCs w:val="24"/>
        </w:rPr>
        <w:t xml:space="preserve"> nodrošinot vides pieejamību ar universālā dizaina elementiem, bet arī, lai nodrošinātu SAC dzīvojošo klientu aizsardzību pret COVID-19, tajā skaitā ieviešot arī tehnoloģiskus risinājumus.</w:t>
      </w:r>
    </w:p>
    <w:p w14:paraId="01F26D49" w14:textId="77777777" w:rsidR="009978A2" w:rsidRPr="0015154B" w:rsidRDefault="009978A2" w:rsidP="009978A2">
      <w:pPr>
        <w:spacing w:after="0" w:line="240" w:lineRule="auto"/>
        <w:ind w:firstLine="720"/>
        <w:rPr>
          <w:rFonts w:ascii="Times New Roman" w:hAnsi="Times New Roman" w:cs="Times New Roman"/>
          <w:b/>
          <w:sz w:val="24"/>
          <w:szCs w:val="24"/>
        </w:rPr>
      </w:pPr>
    </w:p>
    <w:p w14:paraId="4C574217" w14:textId="05D3AE7B" w:rsidR="009978A2" w:rsidRPr="0015154B" w:rsidRDefault="009978A2" w:rsidP="001101F7">
      <w:pPr>
        <w:pStyle w:val="Heading3"/>
      </w:pPr>
      <w:bookmarkStart w:id="44" w:name="_Toc55316083"/>
      <w:r w:rsidRPr="0015154B">
        <w:t>Atbalsts bāreņiem un bez vecāku gādības palikušajiem bērniem, bērniem ar smagiem funkcionāliem traucējumiem</w:t>
      </w:r>
      <w:bookmarkEnd w:id="44"/>
    </w:p>
    <w:p w14:paraId="7650EBA7" w14:textId="4F3B8172" w:rsidR="009978A2" w:rsidRPr="0015154B" w:rsidRDefault="009978A2" w:rsidP="009978A2">
      <w:pPr>
        <w:spacing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Latvijā bērnam, kas dažādu iemeslu dēļ palicis bez vecāku aprūpes, ārpusģimenes aprūpe tiek nodrošināta trīs veidos – nodibinot bērnam aizbildnību, ievietojot bērnu audžuģimenē vai ievietojot SAC. Diemžēl visiem bērniem nav iespējams nodrošināt iespēju dzīvot ģimeniskā vidē (pie aizbildņa vai audžuģimenē), tomēr laika posmā no 2014. līdz 2019.gadam ir samazinājusies vidējā SAC bez vecāku gādības palikušo bērnu skaita proporcija no kopumā ārpusģimenes aprūpē esošo bērnu skaita no 20% līdz 12% (</w:t>
      </w:r>
      <w:r w:rsidRPr="0015154B">
        <w:rPr>
          <w:rFonts w:ascii="Times New Roman" w:hAnsi="Times New Roman" w:cs="Times New Roman"/>
          <w:sz w:val="24"/>
          <w:szCs w:val="24"/>
          <w:highlight w:val="yellow"/>
        </w:rPr>
        <w:t>skat</w:t>
      </w:r>
      <w:r w:rsidR="00596BC0" w:rsidRPr="0015154B">
        <w:rPr>
          <w:rFonts w:ascii="Times New Roman" w:hAnsi="Times New Roman" w:cs="Times New Roman"/>
          <w:sz w:val="24"/>
          <w:szCs w:val="24"/>
          <w:highlight w:val="yellow"/>
        </w:rPr>
        <w:t>.</w:t>
      </w:r>
      <w:r w:rsidR="008101CF" w:rsidRPr="0015154B">
        <w:rPr>
          <w:rFonts w:ascii="Times New Roman" w:hAnsi="Times New Roman" w:cs="Times New Roman"/>
          <w:sz w:val="24"/>
          <w:szCs w:val="24"/>
          <w:highlight w:val="yellow"/>
        </w:rPr>
        <w:t xml:space="preserve"> 1</w:t>
      </w:r>
      <w:r w:rsidR="00974F0C">
        <w:rPr>
          <w:rFonts w:ascii="Times New Roman" w:hAnsi="Times New Roman" w:cs="Times New Roman"/>
          <w:sz w:val="24"/>
          <w:szCs w:val="24"/>
          <w:highlight w:val="yellow"/>
        </w:rPr>
        <w:t>6</w:t>
      </w:r>
      <w:r w:rsidRPr="0015154B">
        <w:rPr>
          <w:rFonts w:ascii="Times New Roman" w:hAnsi="Times New Roman" w:cs="Times New Roman"/>
          <w:sz w:val="24"/>
          <w:szCs w:val="24"/>
          <w:highlight w:val="yellow"/>
        </w:rPr>
        <w:t>.tabulu</w:t>
      </w:r>
      <w:r w:rsidRPr="0015154B">
        <w:rPr>
          <w:rFonts w:ascii="Times New Roman" w:hAnsi="Times New Roman" w:cs="Times New Roman"/>
          <w:sz w:val="24"/>
          <w:szCs w:val="24"/>
        </w:rPr>
        <w:t xml:space="preserve">). </w:t>
      </w:r>
    </w:p>
    <w:p w14:paraId="4388C361" w14:textId="77777777" w:rsidR="00FD05BB" w:rsidRPr="0015154B" w:rsidRDefault="00FD05BB" w:rsidP="00FD05BB">
      <w:pPr>
        <w:spacing w:after="0" w:line="240" w:lineRule="auto"/>
        <w:rPr>
          <w:rFonts w:ascii="Times New Roman" w:hAnsi="Times New Roman" w:cs="Times New Roman"/>
          <w:sz w:val="24"/>
          <w:szCs w:val="24"/>
        </w:rPr>
      </w:pPr>
    </w:p>
    <w:p w14:paraId="7C03A5F8" w14:textId="4C344AF4" w:rsidR="00FD05BB" w:rsidRPr="0015154B" w:rsidRDefault="008101CF" w:rsidP="00FD05BB">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t>1</w:t>
      </w:r>
      <w:r w:rsidR="00974F0C">
        <w:rPr>
          <w:rFonts w:ascii="Times New Roman" w:hAnsi="Times New Roman" w:cs="Times New Roman"/>
          <w:sz w:val="24"/>
          <w:szCs w:val="24"/>
        </w:rPr>
        <w:t>6</w:t>
      </w:r>
      <w:r w:rsidRPr="0015154B">
        <w:rPr>
          <w:rFonts w:ascii="Times New Roman" w:hAnsi="Times New Roman" w:cs="Times New Roman"/>
          <w:sz w:val="24"/>
          <w:szCs w:val="24"/>
        </w:rPr>
        <w:t>.</w:t>
      </w:r>
      <w:r w:rsidR="00FD05BB" w:rsidRPr="0015154B">
        <w:rPr>
          <w:rFonts w:ascii="Times New Roman" w:hAnsi="Times New Roman" w:cs="Times New Roman"/>
          <w:sz w:val="24"/>
          <w:szCs w:val="24"/>
        </w:rPr>
        <w:t xml:space="preserve">tabula </w:t>
      </w:r>
    </w:p>
    <w:p w14:paraId="33031ED2" w14:textId="0D8EFDF0" w:rsidR="00FD05BB" w:rsidRPr="0015154B" w:rsidRDefault="00FD05BB" w:rsidP="00FD05BB">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Informācija par ā</w:t>
      </w:r>
      <w:r w:rsidR="005E5CD1">
        <w:rPr>
          <w:rFonts w:ascii="Times New Roman" w:hAnsi="Times New Roman" w:cs="Times New Roman"/>
          <w:b/>
          <w:color w:val="002060"/>
          <w:sz w:val="24"/>
          <w:szCs w:val="24"/>
        </w:rPr>
        <w:t>r</w:t>
      </w:r>
      <w:r w:rsidRPr="0015154B">
        <w:rPr>
          <w:rFonts w:ascii="Times New Roman" w:hAnsi="Times New Roman" w:cs="Times New Roman"/>
          <w:b/>
          <w:color w:val="002060"/>
          <w:sz w:val="24"/>
          <w:szCs w:val="24"/>
        </w:rPr>
        <w:t>pusģimenes aprūpē esošo bērnu skaitu</w:t>
      </w:r>
    </w:p>
    <w:p w14:paraId="19C21E5B" w14:textId="77777777" w:rsidR="00FD05BB" w:rsidRPr="0015154B" w:rsidRDefault="00FD05BB" w:rsidP="00FD05BB">
      <w:pPr>
        <w:spacing w:after="0" w:line="240" w:lineRule="auto"/>
        <w:jc w:val="both"/>
        <w:rPr>
          <w:rFonts w:ascii="Times New Roman" w:hAnsi="Times New Roman"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856"/>
        <w:gridCol w:w="856"/>
        <w:gridCol w:w="856"/>
        <w:gridCol w:w="990"/>
        <w:gridCol w:w="1134"/>
        <w:gridCol w:w="1134"/>
      </w:tblGrid>
      <w:tr w:rsidR="00825BD5" w:rsidRPr="0015154B" w14:paraId="497C6EED" w14:textId="77777777" w:rsidTr="00825BD5">
        <w:trPr>
          <w:trHeight w:val="390"/>
          <w:jc w:val="center"/>
        </w:trPr>
        <w:tc>
          <w:tcPr>
            <w:tcW w:w="3241"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47134826" w14:textId="23948147" w:rsidR="00FD05BB" w:rsidRPr="0015154B" w:rsidRDefault="00FD05BB" w:rsidP="00A728BA">
            <w:pPr>
              <w:spacing w:after="0" w:line="240" w:lineRule="auto"/>
              <w:jc w:val="right"/>
              <w:rPr>
                <w:rFonts w:ascii="Times New Roman" w:hAnsi="Times New Roman" w:cs="Times New Roman"/>
                <w:b/>
                <w:color w:val="002060"/>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49C3B165" w14:textId="77777777" w:rsidR="00FD05BB" w:rsidRPr="0015154B" w:rsidRDefault="00FD05BB" w:rsidP="00A728BA">
            <w:pPr>
              <w:spacing w:after="0" w:line="240" w:lineRule="auto"/>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2014</w:t>
            </w:r>
          </w:p>
        </w:tc>
        <w:tc>
          <w:tcPr>
            <w:tcW w:w="856"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7379567D" w14:textId="77777777" w:rsidR="00FD05BB" w:rsidRPr="0015154B" w:rsidRDefault="00FD05BB" w:rsidP="00A728BA">
            <w:pPr>
              <w:spacing w:after="0" w:line="240" w:lineRule="auto"/>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2015</w:t>
            </w:r>
          </w:p>
        </w:tc>
        <w:tc>
          <w:tcPr>
            <w:tcW w:w="856"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10F801B5" w14:textId="77777777" w:rsidR="00FD05BB" w:rsidRPr="0015154B" w:rsidRDefault="00FD05BB" w:rsidP="00A728BA">
            <w:pPr>
              <w:spacing w:after="0" w:line="240" w:lineRule="auto"/>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2016</w:t>
            </w:r>
          </w:p>
        </w:tc>
        <w:tc>
          <w:tcPr>
            <w:tcW w:w="990"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15663FD1" w14:textId="77777777" w:rsidR="00FD05BB" w:rsidRPr="0015154B" w:rsidRDefault="00FD05BB" w:rsidP="00A728BA">
            <w:pPr>
              <w:spacing w:after="0" w:line="240" w:lineRule="auto"/>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2017</w:t>
            </w:r>
          </w:p>
        </w:tc>
        <w:tc>
          <w:tcPr>
            <w:tcW w:w="1134"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0EAAFE36" w14:textId="77777777" w:rsidR="00FD05BB" w:rsidRPr="0015154B" w:rsidRDefault="00FD05BB" w:rsidP="00A728BA">
            <w:pPr>
              <w:spacing w:after="0" w:line="240" w:lineRule="auto"/>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2018</w:t>
            </w:r>
          </w:p>
        </w:tc>
        <w:tc>
          <w:tcPr>
            <w:tcW w:w="1134"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50E70375" w14:textId="77777777" w:rsidR="00FD05BB" w:rsidRPr="0015154B" w:rsidRDefault="00FD05BB" w:rsidP="00A728BA">
            <w:pPr>
              <w:spacing w:after="0" w:line="240" w:lineRule="auto"/>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2019</w:t>
            </w:r>
          </w:p>
        </w:tc>
      </w:tr>
      <w:tr w:rsidR="00FD05BB" w:rsidRPr="0015154B" w14:paraId="5061CE90" w14:textId="77777777" w:rsidTr="00AF6D84">
        <w:trPr>
          <w:trHeight w:val="420"/>
          <w:jc w:val="center"/>
        </w:trPr>
        <w:tc>
          <w:tcPr>
            <w:tcW w:w="3241"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45B8689E" w14:textId="77777777" w:rsidR="00FD05BB" w:rsidRPr="0015154B" w:rsidRDefault="00FD05BB" w:rsidP="00A728BA">
            <w:pPr>
              <w:spacing w:after="0" w:line="240" w:lineRule="auto"/>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 xml:space="preserve">Ārpusģimenes aprūpē esošo bērnu skaits pārskata gada 31.decembrī </w:t>
            </w:r>
          </w:p>
        </w:tc>
        <w:tc>
          <w:tcPr>
            <w:tcW w:w="856" w:type="dxa"/>
            <w:tcBorders>
              <w:top w:val="single" w:sz="4" w:space="0" w:color="auto"/>
              <w:left w:val="single" w:sz="4" w:space="0" w:color="auto"/>
              <w:bottom w:val="single" w:sz="4" w:space="0" w:color="auto"/>
              <w:right w:val="single" w:sz="4" w:space="0" w:color="auto"/>
            </w:tcBorders>
            <w:vAlign w:val="center"/>
          </w:tcPr>
          <w:p w14:paraId="4E924C2A"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7606</w:t>
            </w:r>
          </w:p>
        </w:tc>
        <w:tc>
          <w:tcPr>
            <w:tcW w:w="856" w:type="dxa"/>
            <w:tcBorders>
              <w:top w:val="single" w:sz="4" w:space="0" w:color="auto"/>
              <w:left w:val="single" w:sz="4" w:space="0" w:color="auto"/>
              <w:bottom w:val="single" w:sz="4" w:space="0" w:color="auto"/>
              <w:right w:val="single" w:sz="4" w:space="0" w:color="auto"/>
            </w:tcBorders>
            <w:vAlign w:val="center"/>
          </w:tcPr>
          <w:p w14:paraId="5D80CE22"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7281</w:t>
            </w:r>
          </w:p>
        </w:tc>
        <w:tc>
          <w:tcPr>
            <w:tcW w:w="856" w:type="dxa"/>
            <w:tcBorders>
              <w:top w:val="single" w:sz="4" w:space="0" w:color="auto"/>
              <w:left w:val="single" w:sz="4" w:space="0" w:color="auto"/>
              <w:bottom w:val="single" w:sz="4" w:space="0" w:color="auto"/>
              <w:right w:val="single" w:sz="4" w:space="0" w:color="auto"/>
            </w:tcBorders>
            <w:vAlign w:val="center"/>
          </w:tcPr>
          <w:p w14:paraId="3170D741"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6957</w:t>
            </w:r>
          </w:p>
        </w:tc>
        <w:tc>
          <w:tcPr>
            <w:tcW w:w="990" w:type="dxa"/>
            <w:tcBorders>
              <w:top w:val="single" w:sz="4" w:space="0" w:color="auto"/>
              <w:left w:val="single" w:sz="4" w:space="0" w:color="auto"/>
              <w:bottom w:val="single" w:sz="4" w:space="0" w:color="auto"/>
              <w:right w:val="single" w:sz="4" w:space="0" w:color="auto"/>
            </w:tcBorders>
            <w:vAlign w:val="center"/>
          </w:tcPr>
          <w:p w14:paraId="52060C5E" w14:textId="62F11CF2" w:rsidR="00FD05BB" w:rsidRPr="0015154B" w:rsidRDefault="00FD05BB" w:rsidP="00DD525B">
            <w:pPr>
              <w:spacing w:after="0" w:line="240" w:lineRule="auto"/>
              <w:jc w:val="center"/>
              <w:rPr>
                <w:rFonts w:ascii="Times New Roman" w:hAnsi="Times New Roman" w:cs="Times New Roman"/>
                <w:sz w:val="24"/>
                <w:szCs w:val="24"/>
              </w:rPr>
            </w:pPr>
            <w:r w:rsidRPr="0015154B">
              <w:rPr>
                <w:rFonts w:ascii="Times New Roman" w:hAnsi="Times New Roman" w:cs="Times New Roman"/>
                <w:color w:val="000000"/>
                <w:sz w:val="24"/>
                <w:szCs w:val="24"/>
              </w:rPr>
              <w:t>6 669</w:t>
            </w:r>
          </w:p>
        </w:tc>
        <w:tc>
          <w:tcPr>
            <w:tcW w:w="1134" w:type="dxa"/>
            <w:tcBorders>
              <w:top w:val="single" w:sz="4" w:space="0" w:color="auto"/>
              <w:left w:val="single" w:sz="4" w:space="0" w:color="auto"/>
              <w:bottom w:val="single" w:sz="4" w:space="0" w:color="auto"/>
              <w:right w:val="single" w:sz="4" w:space="0" w:color="auto"/>
            </w:tcBorders>
            <w:vAlign w:val="center"/>
          </w:tcPr>
          <w:p w14:paraId="4D156550" w14:textId="77777777" w:rsidR="00FD05BB" w:rsidRPr="0015154B" w:rsidRDefault="00FD05BB" w:rsidP="00A728BA">
            <w:pPr>
              <w:spacing w:after="0" w:line="240" w:lineRule="auto"/>
              <w:jc w:val="center"/>
              <w:rPr>
                <w:rFonts w:ascii="Times New Roman" w:hAnsi="Times New Roman" w:cs="Times New Roman"/>
                <w:sz w:val="24"/>
                <w:szCs w:val="24"/>
              </w:rPr>
            </w:pPr>
            <w:r w:rsidRPr="0015154B">
              <w:rPr>
                <w:rFonts w:ascii="Times New Roman" w:hAnsi="Times New Roman" w:cs="Times New Roman"/>
                <w:color w:val="000000"/>
                <w:sz w:val="24"/>
                <w:szCs w:val="24"/>
              </w:rPr>
              <w:t>6 438</w:t>
            </w:r>
          </w:p>
        </w:tc>
        <w:tc>
          <w:tcPr>
            <w:tcW w:w="1134" w:type="dxa"/>
            <w:tcBorders>
              <w:top w:val="single" w:sz="4" w:space="0" w:color="auto"/>
              <w:left w:val="single" w:sz="4" w:space="0" w:color="auto"/>
              <w:bottom w:val="single" w:sz="4" w:space="0" w:color="auto"/>
              <w:right w:val="single" w:sz="4" w:space="0" w:color="auto"/>
            </w:tcBorders>
            <w:vAlign w:val="center"/>
          </w:tcPr>
          <w:p w14:paraId="48DC8EDF" w14:textId="77777777" w:rsidR="00FD05BB" w:rsidRPr="0015154B" w:rsidRDefault="00FD05BB" w:rsidP="00A728BA">
            <w:pPr>
              <w:spacing w:after="0" w:line="240" w:lineRule="auto"/>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6252</w:t>
            </w:r>
          </w:p>
        </w:tc>
      </w:tr>
      <w:tr w:rsidR="00FD05BB" w:rsidRPr="0015154B" w14:paraId="096851E5" w14:textId="77777777" w:rsidTr="00AF6D84">
        <w:trPr>
          <w:trHeight w:val="420"/>
          <w:jc w:val="center"/>
        </w:trPr>
        <w:tc>
          <w:tcPr>
            <w:tcW w:w="3241"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533E4413" w14:textId="2CC42230" w:rsidR="00FD05BB" w:rsidRPr="0015154B" w:rsidRDefault="00FD05BB" w:rsidP="00A728BA">
            <w:pPr>
              <w:spacing w:after="0" w:line="240" w:lineRule="auto"/>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SAC atrodošos bērnu skaits pārskata gada 31.decembrī</w:t>
            </w:r>
          </w:p>
          <w:p w14:paraId="16C67DF9" w14:textId="1E0123B9" w:rsidR="00FD05BB" w:rsidRPr="0015154B" w:rsidRDefault="00FD05BB" w:rsidP="00A728BA">
            <w:pPr>
              <w:spacing w:after="0" w:line="240" w:lineRule="auto"/>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(no tiem bez vecāku gādības palikušie bērni)</w:t>
            </w:r>
          </w:p>
        </w:tc>
        <w:tc>
          <w:tcPr>
            <w:tcW w:w="856" w:type="dxa"/>
            <w:tcBorders>
              <w:top w:val="single" w:sz="4" w:space="0" w:color="auto"/>
              <w:left w:val="single" w:sz="4" w:space="0" w:color="auto"/>
              <w:bottom w:val="single" w:sz="4" w:space="0" w:color="auto"/>
              <w:right w:val="single" w:sz="4" w:space="0" w:color="auto"/>
            </w:tcBorders>
            <w:vAlign w:val="center"/>
          </w:tcPr>
          <w:p w14:paraId="57DB709A"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1618</w:t>
            </w:r>
          </w:p>
          <w:p w14:paraId="187BB829"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(1551)</w:t>
            </w:r>
          </w:p>
        </w:tc>
        <w:tc>
          <w:tcPr>
            <w:tcW w:w="856" w:type="dxa"/>
            <w:tcBorders>
              <w:top w:val="single" w:sz="4" w:space="0" w:color="auto"/>
              <w:left w:val="single" w:sz="4" w:space="0" w:color="auto"/>
              <w:bottom w:val="single" w:sz="4" w:space="0" w:color="auto"/>
              <w:right w:val="single" w:sz="4" w:space="0" w:color="auto"/>
            </w:tcBorders>
            <w:vAlign w:val="center"/>
          </w:tcPr>
          <w:p w14:paraId="5D54CC2B"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1491</w:t>
            </w:r>
          </w:p>
          <w:p w14:paraId="19296E35"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(1429)</w:t>
            </w:r>
          </w:p>
        </w:tc>
        <w:tc>
          <w:tcPr>
            <w:tcW w:w="856" w:type="dxa"/>
            <w:tcBorders>
              <w:top w:val="single" w:sz="4" w:space="0" w:color="auto"/>
              <w:left w:val="single" w:sz="4" w:space="0" w:color="auto"/>
              <w:bottom w:val="single" w:sz="4" w:space="0" w:color="auto"/>
              <w:right w:val="single" w:sz="4" w:space="0" w:color="auto"/>
            </w:tcBorders>
            <w:vAlign w:val="center"/>
          </w:tcPr>
          <w:p w14:paraId="65759FE6"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1300</w:t>
            </w:r>
          </w:p>
          <w:p w14:paraId="6C8420AE"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(1216)</w:t>
            </w:r>
          </w:p>
        </w:tc>
        <w:tc>
          <w:tcPr>
            <w:tcW w:w="990" w:type="dxa"/>
            <w:tcBorders>
              <w:top w:val="single" w:sz="4" w:space="0" w:color="auto"/>
              <w:left w:val="single" w:sz="4" w:space="0" w:color="auto"/>
              <w:bottom w:val="single" w:sz="4" w:space="0" w:color="auto"/>
              <w:right w:val="single" w:sz="4" w:space="0" w:color="auto"/>
            </w:tcBorders>
            <w:vAlign w:val="center"/>
          </w:tcPr>
          <w:p w14:paraId="23E6A328" w14:textId="77777777" w:rsidR="00FD05BB" w:rsidRPr="0015154B" w:rsidRDefault="00FD05BB" w:rsidP="00A728BA">
            <w:pPr>
              <w:spacing w:after="0" w:line="240" w:lineRule="auto"/>
              <w:jc w:val="center"/>
              <w:rPr>
                <w:rFonts w:ascii="Times New Roman" w:hAnsi="Times New Roman" w:cs="Times New Roman"/>
                <w:color w:val="000000"/>
                <w:sz w:val="24"/>
                <w:szCs w:val="24"/>
              </w:rPr>
            </w:pPr>
            <w:r w:rsidRPr="0015154B">
              <w:rPr>
                <w:rFonts w:ascii="Times New Roman" w:hAnsi="Times New Roman" w:cs="Times New Roman"/>
                <w:color w:val="000000"/>
                <w:sz w:val="24"/>
                <w:szCs w:val="24"/>
              </w:rPr>
              <w:t>1170</w:t>
            </w:r>
          </w:p>
          <w:p w14:paraId="620DF764"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color w:val="000000"/>
                <w:sz w:val="24"/>
                <w:szCs w:val="24"/>
              </w:rPr>
              <w:t>(1037)</w:t>
            </w:r>
          </w:p>
        </w:tc>
        <w:tc>
          <w:tcPr>
            <w:tcW w:w="1134" w:type="dxa"/>
            <w:tcBorders>
              <w:top w:val="single" w:sz="4" w:space="0" w:color="auto"/>
              <w:left w:val="single" w:sz="4" w:space="0" w:color="auto"/>
              <w:bottom w:val="single" w:sz="4" w:space="0" w:color="auto"/>
              <w:right w:val="single" w:sz="4" w:space="0" w:color="auto"/>
            </w:tcBorders>
            <w:vAlign w:val="center"/>
          </w:tcPr>
          <w:p w14:paraId="4CD8AA91"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868</w:t>
            </w:r>
          </w:p>
          <w:p w14:paraId="2F146474"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(794)</w:t>
            </w:r>
          </w:p>
        </w:tc>
        <w:tc>
          <w:tcPr>
            <w:tcW w:w="1134" w:type="dxa"/>
            <w:tcBorders>
              <w:top w:val="single" w:sz="4" w:space="0" w:color="auto"/>
              <w:left w:val="single" w:sz="4" w:space="0" w:color="auto"/>
              <w:bottom w:val="single" w:sz="4" w:space="0" w:color="auto"/>
              <w:right w:val="single" w:sz="4" w:space="0" w:color="auto"/>
            </w:tcBorders>
            <w:vAlign w:val="center"/>
          </w:tcPr>
          <w:p w14:paraId="3C5E7F92"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712</w:t>
            </w:r>
          </w:p>
          <w:p w14:paraId="1050DE2E"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(679)</w:t>
            </w:r>
          </w:p>
        </w:tc>
      </w:tr>
      <w:tr w:rsidR="00FD05BB" w:rsidRPr="0015154B" w14:paraId="596E1BCF" w14:textId="77777777" w:rsidTr="00AF6D84">
        <w:trPr>
          <w:trHeight w:val="420"/>
          <w:jc w:val="center"/>
        </w:trPr>
        <w:tc>
          <w:tcPr>
            <w:tcW w:w="3241"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021A871A" w14:textId="77777777" w:rsidR="00FD05BB" w:rsidRPr="0015154B" w:rsidRDefault="00FD05BB" w:rsidP="00A728BA">
            <w:pPr>
              <w:spacing w:after="0" w:line="240" w:lineRule="auto"/>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 xml:space="preserve">SAC atrodošo bērnu skaita īpatsvars, % </w:t>
            </w:r>
          </w:p>
          <w:p w14:paraId="4EBD99CE" w14:textId="77777777" w:rsidR="00FD05BB" w:rsidRPr="0015154B" w:rsidRDefault="00FD05BB" w:rsidP="00A728BA">
            <w:pPr>
              <w:spacing w:after="0" w:line="240" w:lineRule="auto"/>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(no tiem bez vecāku gādības palikušo bērnu īpatsvars, %)</w:t>
            </w:r>
          </w:p>
        </w:tc>
        <w:tc>
          <w:tcPr>
            <w:tcW w:w="856" w:type="dxa"/>
            <w:tcBorders>
              <w:top w:val="single" w:sz="4" w:space="0" w:color="auto"/>
              <w:left w:val="single" w:sz="4" w:space="0" w:color="auto"/>
              <w:bottom w:val="single" w:sz="4" w:space="0" w:color="auto"/>
              <w:right w:val="single" w:sz="4" w:space="0" w:color="auto"/>
            </w:tcBorders>
            <w:vAlign w:val="center"/>
          </w:tcPr>
          <w:p w14:paraId="5AC257DE"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21</w:t>
            </w:r>
          </w:p>
          <w:p w14:paraId="6CB1BCEF"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(20)</w:t>
            </w:r>
          </w:p>
        </w:tc>
        <w:tc>
          <w:tcPr>
            <w:tcW w:w="856" w:type="dxa"/>
            <w:tcBorders>
              <w:top w:val="single" w:sz="4" w:space="0" w:color="auto"/>
              <w:left w:val="single" w:sz="4" w:space="0" w:color="auto"/>
              <w:bottom w:val="single" w:sz="4" w:space="0" w:color="auto"/>
              <w:right w:val="single" w:sz="4" w:space="0" w:color="auto"/>
            </w:tcBorders>
            <w:vAlign w:val="center"/>
          </w:tcPr>
          <w:p w14:paraId="79A9FC21"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20</w:t>
            </w:r>
          </w:p>
          <w:p w14:paraId="093A7FFE"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(19)</w:t>
            </w:r>
          </w:p>
        </w:tc>
        <w:tc>
          <w:tcPr>
            <w:tcW w:w="856" w:type="dxa"/>
            <w:tcBorders>
              <w:top w:val="single" w:sz="4" w:space="0" w:color="auto"/>
              <w:left w:val="single" w:sz="4" w:space="0" w:color="auto"/>
              <w:bottom w:val="single" w:sz="4" w:space="0" w:color="auto"/>
              <w:right w:val="single" w:sz="4" w:space="0" w:color="auto"/>
            </w:tcBorders>
            <w:vAlign w:val="center"/>
          </w:tcPr>
          <w:p w14:paraId="244CEC72"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19</w:t>
            </w:r>
          </w:p>
          <w:p w14:paraId="36179B98"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(17)</w:t>
            </w:r>
          </w:p>
        </w:tc>
        <w:tc>
          <w:tcPr>
            <w:tcW w:w="990" w:type="dxa"/>
            <w:tcBorders>
              <w:top w:val="single" w:sz="4" w:space="0" w:color="auto"/>
              <w:left w:val="single" w:sz="4" w:space="0" w:color="auto"/>
              <w:bottom w:val="single" w:sz="4" w:space="0" w:color="auto"/>
              <w:right w:val="single" w:sz="4" w:space="0" w:color="auto"/>
            </w:tcBorders>
            <w:vAlign w:val="center"/>
          </w:tcPr>
          <w:p w14:paraId="42B8E950"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18</w:t>
            </w:r>
          </w:p>
          <w:p w14:paraId="4ADB8CC3"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w:t>
            </w:r>
            <w:r w:rsidRPr="0015154B">
              <w:rPr>
                <w:rFonts w:ascii="Times New Roman" w:hAnsi="Times New Roman" w:cs="Times New Roman"/>
                <w:color w:val="000000"/>
                <w:sz w:val="24"/>
                <w:szCs w:val="24"/>
              </w:rPr>
              <w:t>16)</w:t>
            </w:r>
          </w:p>
        </w:tc>
        <w:tc>
          <w:tcPr>
            <w:tcW w:w="1134" w:type="dxa"/>
            <w:tcBorders>
              <w:top w:val="single" w:sz="4" w:space="0" w:color="auto"/>
              <w:left w:val="single" w:sz="4" w:space="0" w:color="auto"/>
              <w:bottom w:val="single" w:sz="4" w:space="0" w:color="auto"/>
              <w:right w:val="single" w:sz="4" w:space="0" w:color="auto"/>
            </w:tcBorders>
            <w:vAlign w:val="center"/>
          </w:tcPr>
          <w:p w14:paraId="63B3E17D"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13</w:t>
            </w:r>
          </w:p>
          <w:p w14:paraId="06DE71A6"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w:t>
            </w:r>
            <w:r w:rsidRPr="0015154B">
              <w:rPr>
                <w:rFonts w:ascii="Times New Roman" w:hAnsi="Times New Roman" w:cs="Times New Roman"/>
                <w:color w:val="000000"/>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14:paraId="1EBA9CBD"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11</w:t>
            </w:r>
          </w:p>
          <w:p w14:paraId="781BB14F" w14:textId="77777777" w:rsidR="00FD05BB" w:rsidRPr="0015154B" w:rsidRDefault="00FD05BB" w:rsidP="00A728BA">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(11)</w:t>
            </w:r>
          </w:p>
        </w:tc>
      </w:tr>
    </w:tbl>
    <w:p w14:paraId="196D6AAB" w14:textId="52E7B46A" w:rsidR="009978A2" w:rsidRPr="0015154B" w:rsidRDefault="00FD05BB" w:rsidP="009978A2">
      <w:pPr>
        <w:spacing w:after="0" w:line="240" w:lineRule="auto"/>
        <w:rPr>
          <w:rFonts w:ascii="Times New Roman" w:hAnsi="Times New Roman" w:cs="Times New Roman"/>
          <w:sz w:val="20"/>
          <w:szCs w:val="20"/>
        </w:rPr>
      </w:pPr>
      <w:r w:rsidRPr="0015154B">
        <w:rPr>
          <w:rFonts w:ascii="Times New Roman" w:hAnsi="Times New Roman" w:cs="Times New Roman"/>
          <w:sz w:val="20"/>
          <w:szCs w:val="20"/>
        </w:rPr>
        <w:t>Datu avots:</w:t>
      </w:r>
      <w:r w:rsidR="0000783E" w:rsidRPr="0015154B">
        <w:rPr>
          <w:rFonts w:ascii="Times New Roman" w:hAnsi="Times New Roman" w:cs="Times New Roman"/>
          <w:sz w:val="20"/>
          <w:szCs w:val="20"/>
        </w:rPr>
        <w:t xml:space="preserve"> Pārskati par ilgstošas sociālās aprūpes un sociālās rehabilitācijas pakalpojumu sniegšanu 2014. - 2019. gadā, Pārskatu par bāriņtiesu darbu 2014. -  2019. gadā kopsavilkumi</w:t>
      </w:r>
    </w:p>
    <w:p w14:paraId="72F61B24" w14:textId="77777777" w:rsidR="00FD05BB" w:rsidRPr="0015154B" w:rsidRDefault="00FD05BB" w:rsidP="009978A2">
      <w:pPr>
        <w:spacing w:after="0" w:line="240" w:lineRule="auto"/>
        <w:rPr>
          <w:rFonts w:ascii="Times New Roman" w:hAnsi="Times New Roman" w:cs="Times New Roman"/>
          <w:sz w:val="24"/>
          <w:szCs w:val="24"/>
        </w:rPr>
      </w:pPr>
    </w:p>
    <w:p w14:paraId="15A1E57C" w14:textId="72038755"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Bērns, </w:t>
      </w:r>
      <w:r w:rsidR="004837A8">
        <w:rPr>
          <w:rFonts w:ascii="Times New Roman" w:hAnsi="Times New Roman" w:cs="Times New Roman"/>
          <w:sz w:val="24"/>
          <w:szCs w:val="24"/>
        </w:rPr>
        <w:t>kurš</w:t>
      </w:r>
      <w:r w:rsidRPr="0015154B">
        <w:rPr>
          <w:rFonts w:ascii="Times New Roman" w:hAnsi="Times New Roman" w:cs="Times New Roman"/>
          <w:sz w:val="24"/>
          <w:szCs w:val="24"/>
        </w:rPr>
        <w:t xml:space="preserve"> ir nonācis </w:t>
      </w:r>
      <w:r w:rsidRPr="0015154B">
        <w:rPr>
          <w:rFonts w:ascii="Times New Roman" w:hAnsi="Times New Roman" w:cs="Times New Roman"/>
          <w:b/>
          <w:sz w:val="24"/>
          <w:szCs w:val="24"/>
        </w:rPr>
        <w:t>bērnu SAC</w:t>
      </w:r>
      <w:r w:rsidRPr="0015154B">
        <w:rPr>
          <w:rFonts w:ascii="Times New Roman" w:hAnsi="Times New Roman" w:cs="Times New Roman"/>
          <w:sz w:val="24"/>
          <w:szCs w:val="24"/>
        </w:rPr>
        <w:t xml:space="preserve">, saņem aprūpi (pārtiku, apģērbu, pajumti, sociālo un veselības aprūpi, izglītību), bet zaudē ģimeniskā vidē iegūstamu individuālu uzmanību un emocionālo piesaisti, kas nepieciešama pilnvērtīgai attīstībai, kā arī vairumā gadījumu – iespēju ikdienā dabiskā vidē pakāpeniski apgūt praktiskās dzīves iemaņas. Institucionālajai aprūpei ir raksturīgs liels personāls, liels bērnu skaits uz vienu aprūpētāju un liela aprūpētāju mainība, rutinēta ikdiena ar laika grafiku, kā arī strikta kontrole un sanitārās normas, kas objektīvi nepieciešamas lielai bērnu grupai, bet vienlaikus negatīvi ietekmē katra atsevišķa bērna iespējas izjust un iepazīt apkārtējo vidi. Zinātniskie pētījumi par bērnu agrīno attīstību liecina, ka attiecībā uz ļoti maziem bērniem pat salīdzinoši īsa uzturēšanās institūcijā var negatīvi ietekmēt smadzeņu attīstību un atstāt paliekošas sekas uz emocionālo labklājību un uzvedību. Starp pētījumos biežāk konstatētajām negatīvajām institucionālās aprūpes sekām bērnam minamas: </w:t>
      </w:r>
    </w:p>
    <w:p w14:paraId="7EED84D5" w14:textId="66A000B2" w:rsidR="009978A2" w:rsidRPr="0015154B" w:rsidRDefault="009978A2" w:rsidP="00AC38FA">
      <w:pPr>
        <w:pStyle w:val="ListParagraph"/>
        <w:numPr>
          <w:ilvl w:val="0"/>
          <w:numId w:val="33"/>
        </w:num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lēnāka fiziskā un garīgā attīstība, grūtības mācīties nepietiekamas attīstības stimulēšanas dēļ;</w:t>
      </w:r>
    </w:p>
    <w:p w14:paraId="790DE7D2" w14:textId="1DB7EBA3" w:rsidR="009978A2" w:rsidRPr="0015154B" w:rsidRDefault="009978A2" w:rsidP="00AC38FA">
      <w:pPr>
        <w:pStyle w:val="ListParagraph"/>
        <w:numPr>
          <w:ilvl w:val="0"/>
          <w:numId w:val="33"/>
        </w:num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uzvedības un saskarsmes traucējumi, kas izriet no individuālas uzmanības un mīlestības trūkuma. Bērns var iemācīties, ka kaitēšana sev vai citiem palīdz pievērst aprūpētāju uzmanību. Negatīva uzmanība bērnam šķiet vēlamāka nekā uzmanības trūkums, kas raksturīgs lielām aprūpes institūcijām;</w:t>
      </w:r>
    </w:p>
    <w:p w14:paraId="25835AA7" w14:textId="3BF856A2" w:rsidR="009978A2" w:rsidRPr="0015154B" w:rsidRDefault="009978A2" w:rsidP="00AC38FA">
      <w:pPr>
        <w:pStyle w:val="ListParagraph"/>
        <w:numPr>
          <w:ilvl w:val="0"/>
          <w:numId w:val="33"/>
        </w:num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grūtības veidot emocionāli tuvas attiecības šādu attiecību pieredzes trūkuma dēļ.</w:t>
      </w:r>
    </w:p>
    <w:p w14:paraId="3B3979C8" w14:textId="0C6BAEE9"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Bērnam, augot institucionālā vidē, ir ierobežotas iespējas veidot emocionālo piesaisti vienam pieaugušajam, kā tas ir ģimeņu bērniem, tādējādi institucionālā vidē augošo bērnu attīstība ir kavēta, ierobežota, netiek pilnvērtīgi nodrošināta bērna personīgo resursu izmantošana un bērniem nākotnē ir neiespējami vai grūti iekļauties sabiedrībā. Arī negatīvā </w:t>
      </w:r>
      <w:r w:rsidRPr="0015154B">
        <w:rPr>
          <w:rFonts w:ascii="Times New Roman" w:hAnsi="Times New Roman" w:cs="Times New Roman"/>
          <w:sz w:val="24"/>
          <w:szCs w:val="24"/>
        </w:rPr>
        <w:lastRenderedPageBreak/>
        <w:t>pieredze bērnībā, izpratnes trūkums par patstāvīgu dzīvi un no bērnības mantotās ilgas pēc uzmanības un mīlestības, kā arī vecāku un paplašinātās ģimenes atbalsta trūkums var negatīvi ietekmēt bērna dzīvi. Attiecīgi pieaug risks, ka bērnam pēc pilngadības sasniegšanas būs jārisina institucionālās aprūpes sekas</w:t>
      </w:r>
      <w:r w:rsidR="00FE676E">
        <w:rPr>
          <w:rFonts w:ascii="Times New Roman" w:hAnsi="Times New Roman" w:cs="Times New Roman"/>
          <w:sz w:val="24"/>
          <w:szCs w:val="24"/>
        </w:rPr>
        <w:t>,</w:t>
      </w:r>
      <w:r w:rsidRPr="0015154B">
        <w:rPr>
          <w:rFonts w:ascii="Times New Roman" w:hAnsi="Times New Roman" w:cs="Times New Roman"/>
          <w:sz w:val="24"/>
          <w:szCs w:val="24"/>
        </w:rPr>
        <w:t xml:space="preserve"> turpmākas institucionālās aprūpes nodrošināšanas vai apjomīga finansējuma (“nauda seko klientam”) piešķīruma sabiedrībā balstītu sociālo pakalpojumu un cita veida atbalsta nodrošināšanai veidā. </w:t>
      </w:r>
    </w:p>
    <w:p w14:paraId="176C6789" w14:textId="4BAC8FDE" w:rsidR="005E61B0"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Lai arī valstī būtiski ir palielinājies audžuģimeņu skaits un tām pieejamā atbalsta apjoms, VSAC filiālēs joprojām atrodas bērni, kuriem vairāku gadu garumā nav izdevies atrast ģimeni bērna smagā veselības un funkcionālā stāvokļa dēļ</w:t>
      </w:r>
      <w:r w:rsidR="00D61914" w:rsidRPr="0015154B">
        <w:rPr>
          <w:rFonts w:ascii="Times New Roman" w:hAnsi="Times New Roman" w:cs="Times New Roman"/>
          <w:sz w:val="24"/>
          <w:szCs w:val="24"/>
        </w:rPr>
        <w:t xml:space="preserve"> (</w:t>
      </w:r>
      <w:r w:rsidRPr="0015154B">
        <w:rPr>
          <w:rFonts w:ascii="Times New Roman" w:hAnsi="Times New Roman" w:cs="Times New Roman"/>
          <w:sz w:val="24"/>
          <w:szCs w:val="24"/>
        </w:rPr>
        <w:t>31.12.2010. pakalpojumu saņēma 602 bērni, 31.12.2015. - 392 bērni, bet 26.05.2020. - 157 bērni (</w:t>
      </w:r>
      <w:r w:rsidRPr="0015154B">
        <w:rPr>
          <w:rFonts w:ascii="Times New Roman" w:hAnsi="Times New Roman" w:cs="Times New Roman"/>
          <w:sz w:val="24"/>
          <w:szCs w:val="24"/>
          <w:highlight w:val="yellow"/>
        </w:rPr>
        <w:t>skat</w:t>
      </w:r>
      <w:r w:rsidR="00E824FA" w:rsidRPr="0015154B">
        <w:rPr>
          <w:rFonts w:ascii="Times New Roman" w:hAnsi="Times New Roman" w:cs="Times New Roman"/>
          <w:sz w:val="24"/>
          <w:szCs w:val="24"/>
          <w:highlight w:val="yellow"/>
        </w:rPr>
        <w:t>. 3.pielikuma</w:t>
      </w:r>
      <w:r w:rsidR="009764D1" w:rsidRPr="0015154B">
        <w:rPr>
          <w:rFonts w:ascii="Times New Roman" w:hAnsi="Times New Roman" w:cs="Times New Roman"/>
          <w:sz w:val="24"/>
          <w:szCs w:val="24"/>
          <w:highlight w:val="yellow"/>
        </w:rPr>
        <w:t xml:space="preserve"> 1</w:t>
      </w:r>
      <w:r w:rsidR="00255BAD" w:rsidRPr="0015154B">
        <w:rPr>
          <w:rFonts w:ascii="Times New Roman" w:hAnsi="Times New Roman" w:cs="Times New Roman"/>
          <w:sz w:val="24"/>
          <w:szCs w:val="24"/>
          <w:highlight w:val="yellow"/>
        </w:rPr>
        <w:t>3</w:t>
      </w:r>
      <w:r w:rsidR="009764D1" w:rsidRPr="0015154B">
        <w:rPr>
          <w:rFonts w:ascii="Times New Roman" w:hAnsi="Times New Roman" w:cs="Times New Roman"/>
          <w:sz w:val="24"/>
          <w:szCs w:val="24"/>
          <w:highlight w:val="yellow"/>
        </w:rPr>
        <w:t>.</w:t>
      </w:r>
      <w:r w:rsidRPr="0015154B">
        <w:rPr>
          <w:rFonts w:ascii="Times New Roman" w:hAnsi="Times New Roman" w:cs="Times New Roman"/>
          <w:sz w:val="24"/>
          <w:szCs w:val="24"/>
          <w:highlight w:val="yellow"/>
        </w:rPr>
        <w:t>tabulu</w:t>
      </w:r>
      <w:r w:rsidRPr="0015154B">
        <w:rPr>
          <w:rFonts w:ascii="Times New Roman" w:hAnsi="Times New Roman" w:cs="Times New Roman"/>
          <w:sz w:val="24"/>
          <w:szCs w:val="24"/>
        </w:rPr>
        <w:t>)</w:t>
      </w:r>
      <w:r w:rsidR="00D61914" w:rsidRPr="0015154B">
        <w:rPr>
          <w:rFonts w:ascii="Times New Roman" w:hAnsi="Times New Roman" w:cs="Times New Roman"/>
          <w:sz w:val="24"/>
          <w:szCs w:val="24"/>
        </w:rPr>
        <w:t>)</w:t>
      </w:r>
      <w:r w:rsidRPr="0015154B">
        <w:rPr>
          <w:rFonts w:ascii="Times New Roman" w:hAnsi="Times New Roman" w:cs="Times New Roman"/>
          <w:sz w:val="24"/>
          <w:szCs w:val="24"/>
        </w:rPr>
        <w:t>.</w:t>
      </w:r>
    </w:p>
    <w:p w14:paraId="5A319910" w14:textId="4773E932" w:rsidR="009978A2" w:rsidRPr="00573B49"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eastAsia="Calibri" w:hAnsi="Times New Roman" w:cs="Times New Roman"/>
          <w:sz w:val="24"/>
          <w:szCs w:val="24"/>
        </w:rPr>
        <w:t>Latvija ir pievienojusies ANO Bērnu tiesību konvencijai</w:t>
      </w:r>
      <w:r w:rsidRPr="007157D3">
        <w:rPr>
          <w:rFonts w:ascii="Times New Roman" w:eastAsia="Calibri" w:hAnsi="Times New Roman" w:cs="Times New Roman"/>
          <w:sz w:val="24"/>
          <w:szCs w:val="24"/>
          <w:vertAlign w:val="superscript"/>
        </w:rPr>
        <w:footnoteReference w:id="125"/>
      </w:r>
      <w:r w:rsidRPr="007157D3">
        <w:rPr>
          <w:rFonts w:ascii="Times New Roman" w:eastAsia="Calibri" w:hAnsi="Times New Roman" w:cs="Times New Roman"/>
          <w:sz w:val="24"/>
          <w:szCs w:val="24"/>
        </w:rPr>
        <w:t xml:space="preserve"> un sociālās politikas plānošanā ievēro arī citus </w:t>
      </w:r>
      <w:r w:rsidRPr="007157D3">
        <w:rPr>
          <w:rFonts w:ascii="Times New Roman" w:eastAsia="Times New Roman" w:hAnsi="Times New Roman" w:cs="Times New Roman"/>
          <w:sz w:val="24"/>
          <w:szCs w:val="24"/>
        </w:rPr>
        <w:t xml:space="preserve">ES </w:t>
      </w:r>
      <w:r w:rsidRPr="007157D3">
        <w:rPr>
          <w:rFonts w:ascii="Times New Roman" w:eastAsia="Calibri" w:hAnsi="Times New Roman" w:cs="Times New Roman"/>
          <w:sz w:val="24"/>
          <w:szCs w:val="24"/>
        </w:rPr>
        <w:t>dokumentus</w:t>
      </w:r>
      <w:r w:rsidRPr="007157D3">
        <w:rPr>
          <w:rStyle w:val="FootnoteReference"/>
          <w:rFonts w:ascii="Times New Roman" w:eastAsia="Calibri" w:hAnsi="Times New Roman" w:cs="Times New Roman"/>
          <w:sz w:val="24"/>
          <w:szCs w:val="24"/>
        </w:rPr>
        <w:footnoteReference w:id="126"/>
      </w:r>
      <w:r w:rsidRPr="007157D3">
        <w:rPr>
          <w:rFonts w:ascii="Times New Roman" w:eastAsia="Calibri" w:hAnsi="Times New Roman" w:cs="Times New Roman"/>
          <w:sz w:val="24"/>
          <w:szCs w:val="24"/>
        </w:rPr>
        <w:t>, kā arī vadās pēc dalībvalstu labās prakses</w:t>
      </w:r>
      <w:r w:rsidRPr="007157D3">
        <w:rPr>
          <w:rStyle w:val="FootnoteReference"/>
          <w:rFonts w:ascii="Times New Roman" w:eastAsia="Calibri" w:hAnsi="Times New Roman" w:cs="Times New Roman"/>
          <w:sz w:val="24"/>
          <w:szCs w:val="24"/>
        </w:rPr>
        <w:footnoteReference w:id="127"/>
      </w:r>
      <w:r w:rsidRPr="007157D3">
        <w:rPr>
          <w:rFonts w:ascii="Times New Roman" w:eastAsia="Calibri" w:hAnsi="Times New Roman" w:cs="Times New Roman"/>
          <w:sz w:val="24"/>
          <w:szCs w:val="24"/>
        </w:rPr>
        <w:t xml:space="preserve">, kas atspoguļo izpratni par institucionālās aprūpes nepiemērotību un ģimeniskas vides būtisko lomu. </w:t>
      </w:r>
      <w:r w:rsidR="005E61B0" w:rsidRPr="007157D3">
        <w:rPr>
          <w:rFonts w:ascii="Times New Roman" w:eastAsia="Calibri" w:hAnsi="Times New Roman" w:cs="Times New Roman"/>
          <w:sz w:val="24"/>
          <w:szCs w:val="24"/>
        </w:rPr>
        <w:t xml:space="preserve">Tādēļ </w:t>
      </w:r>
      <w:r w:rsidR="00EA0C4E" w:rsidRPr="007157D3">
        <w:rPr>
          <w:rFonts w:ascii="Times New Roman" w:hAnsi="Times New Roman" w:cs="Times New Roman"/>
          <w:sz w:val="24"/>
          <w:szCs w:val="24"/>
        </w:rPr>
        <w:t xml:space="preserve">līdz </w:t>
      </w:r>
      <w:r w:rsidR="00EA0C4E" w:rsidRPr="002F5278">
        <w:rPr>
          <w:rFonts w:ascii="Times New Roman" w:hAnsi="Times New Roman" w:cs="Times New Roman"/>
          <w:b/>
          <w:sz w:val="24"/>
          <w:szCs w:val="24"/>
        </w:rPr>
        <w:t>01.01.</w:t>
      </w:r>
      <w:r w:rsidR="00EA0C4E" w:rsidRPr="00573B49">
        <w:rPr>
          <w:rFonts w:ascii="Times New Roman" w:hAnsi="Times New Roman" w:cs="Times New Roman"/>
          <w:b/>
          <w:bCs/>
          <w:sz w:val="24"/>
          <w:szCs w:val="24"/>
        </w:rPr>
        <w:t>2023.</w:t>
      </w:r>
      <w:r w:rsidR="00EA0C4E" w:rsidRPr="00573B49">
        <w:rPr>
          <w:rFonts w:ascii="Times New Roman" w:hAnsi="Times New Roman" w:cs="Times New Roman"/>
          <w:sz w:val="24"/>
          <w:szCs w:val="24"/>
        </w:rPr>
        <w:t xml:space="preserve"> visām bērnu aprūpes institūcijām, tai skaitā arī VSAC filiālēm, ir jāievieš </w:t>
      </w:r>
      <w:r w:rsidR="00EA0C4E" w:rsidRPr="00573B49">
        <w:rPr>
          <w:rFonts w:ascii="Times New Roman" w:hAnsi="Times New Roman" w:cs="Times New Roman"/>
          <w:b/>
          <w:sz w:val="24"/>
          <w:szCs w:val="24"/>
        </w:rPr>
        <w:t>nosacījum</w:t>
      </w:r>
      <w:r w:rsidR="00590B21" w:rsidRPr="00573B49">
        <w:rPr>
          <w:rFonts w:ascii="Times New Roman" w:hAnsi="Times New Roman" w:cs="Times New Roman"/>
          <w:b/>
          <w:sz w:val="24"/>
          <w:szCs w:val="24"/>
        </w:rPr>
        <w:t>i</w:t>
      </w:r>
      <w:r w:rsidR="00EA0C4E" w:rsidRPr="0025422D">
        <w:rPr>
          <w:rFonts w:ascii="Times New Roman" w:hAnsi="Times New Roman" w:cs="Times New Roman"/>
          <w:b/>
          <w:sz w:val="24"/>
          <w:szCs w:val="24"/>
        </w:rPr>
        <w:t xml:space="preserve"> par ģimeniskai videi pietuvināta sociālā</w:t>
      </w:r>
      <w:r w:rsidR="00EA0C4E" w:rsidRPr="00A857F2">
        <w:rPr>
          <w:rFonts w:ascii="Times New Roman" w:hAnsi="Times New Roman" w:cs="Times New Roman"/>
          <w:b/>
          <w:sz w:val="24"/>
          <w:szCs w:val="24"/>
        </w:rPr>
        <w:t xml:space="preserve"> pakalpojuma nodrošināšanu</w:t>
      </w:r>
      <w:r w:rsidR="00EA0C4E" w:rsidRPr="00662D1E">
        <w:rPr>
          <w:rFonts w:ascii="Times New Roman" w:hAnsi="Times New Roman" w:cs="Times New Roman"/>
          <w:sz w:val="24"/>
          <w:szCs w:val="24"/>
        </w:rPr>
        <w:t xml:space="preserve"> - pakalpojumu veido atsevišķās dzīvokļa tipa sociālā pakalpojuma sniegšanas vietās; aprūpē esošo bērnu skaits vienā grupā nav lielāks par astoņiem bērniem; ēkā neatrodas vairāk par 24 aprūpē esošiem bērniem</w:t>
      </w:r>
      <w:r w:rsidR="004837A8">
        <w:rPr>
          <w:rFonts w:ascii="Times New Roman" w:hAnsi="Times New Roman" w:cs="Times New Roman"/>
          <w:sz w:val="24"/>
          <w:szCs w:val="24"/>
        </w:rPr>
        <w:t>,</w:t>
      </w:r>
      <w:r w:rsidR="00EA0C4E" w:rsidRPr="00662D1E">
        <w:rPr>
          <w:rFonts w:ascii="Times New Roman" w:hAnsi="Times New Roman" w:cs="Times New Roman"/>
          <w:sz w:val="24"/>
          <w:szCs w:val="24"/>
        </w:rPr>
        <w:t xml:space="preserve"> un tiem nav kopīgu sanitāro telpu, virtuves telp</w:t>
      </w:r>
      <w:r w:rsidR="00EA0C4E" w:rsidRPr="009703E6">
        <w:rPr>
          <w:rFonts w:ascii="Times New Roman" w:hAnsi="Times New Roman" w:cs="Times New Roman"/>
          <w:sz w:val="24"/>
          <w:szCs w:val="24"/>
        </w:rPr>
        <w:t>u un sadzīves telpu, kopīgas var būt nodarbību telpas, darbinieku kabineti un brīvā laika nodarbību telpas.</w:t>
      </w:r>
      <w:r w:rsidR="00590B21" w:rsidRPr="007157D3">
        <w:rPr>
          <w:rStyle w:val="FootnoteReference"/>
          <w:rFonts w:ascii="Times New Roman" w:hAnsi="Times New Roman" w:cs="Times New Roman"/>
          <w:sz w:val="24"/>
          <w:szCs w:val="24"/>
        </w:rPr>
        <w:footnoteReference w:id="128"/>
      </w:r>
      <w:r w:rsidR="00EA0C4E" w:rsidRPr="007157D3">
        <w:rPr>
          <w:rFonts w:ascii="Times New Roman" w:hAnsi="Times New Roman" w:cs="Times New Roman"/>
          <w:sz w:val="24"/>
          <w:szCs w:val="24"/>
        </w:rPr>
        <w:t xml:space="preserve"> </w:t>
      </w:r>
      <w:r w:rsidRPr="007157D3">
        <w:rPr>
          <w:rFonts w:ascii="Times New Roman" w:eastAsia="Times New Roman" w:hAnsi="Times New Roman" w:cs="Times New Roman"/>
          <w:sz w:val="24"/>
          <w:szCs w:val="24"/>
        </w:rPr>
        <w:t>Ar ES struktūrfondu 2014. – 2020.gada plānošanas periodā atbalstu ģimeniskai videi pietuvinātu pakalpojumu bērnu aprūpes institūcij</w:t>
      </w:r>
      <w:r w:rsidR="00645900">
        <w:rPr>
          <w:rFonts w:ascii="Times New Roman" w:eastAsia="Times New Roman" w:hAnsi="Times New Roman" w:cs="Times New Roman"/>
          <w:sz w:val="24"/>
          <w:szCs w:val="24"/>
        </w:rPr>
        <w:t>ā</w:t>
      </w:r>
      <w:r w:rsidRPr="007157D3">
        <w:rPr>
          <w:rFonts w:ascii="Times New Roman" w:eastAsia="Times New Roman" w:hAnsi="Times New Roman" w:cs="Times New Roman"/>
          <w:sz w:val="24"/>
          <w:szCs w:val="24"/>
        </w:rPr>
        <w:t xml:space="preserve">s attīstīta tās pašvaldības, kuras ir iesaistījušās deinstitucionalizācijas projektā. Tā kā </w:t>
      </w:r>
      <w:r w:rsidR="00645900">
        <w:rPr>
          <w:rFonts w:ascii="Times New Roman" w:eastAsia="Times New Roman" w:hAnsi="Times New Roman" w:cs="Times New Roman"/>
          <w:sz w:val="24"/>
          <w:szCs w:val="24"/>
        </w:rPr>
        <w:t xml:space="preserve">valsts </w:t>
      </w:r>
      <w:r w:rsidRPr="007157D3">
        <w:rPr>
          <w:rFonts w:ascii="Times New Roman" w:eastAsia="Times New Roman" w:hAnsi="Times New Roman" w:cs="Times New Roman"/>
          <w:sz w:val="24"/>
          <w:szCs w:val="24"/>
        </w:rPr>
        <w:t xml:space="preserve">SAC nevarēja saņemt ES struktūrfondu līdzfinansējumu bērnu filiāļu pārveidošanai ģimeniskai videi pietuvināta sociālā pakalpojuma sniegšanai, tad </w:t>
      </w:r>
      <w:r w:rsidR="00645900">
        <w:rPr>
          <w:rFonts w:ascii="Times New Roman" w:eastAsia="Times New Roman" w:hAnsi="Times New Roman" w:cs="Times New Roman"/>
          <w:sz w:val="24"/>
          <w:szCs w:val="24"/>
        </w:rPr>
        <w:t xml:space="preserve">valsts </w:t>
      </w:r>
      <w:r w:rsidRPr="007157D3">
        <w:rPr>
          <w:rFonts w:ascii="Times New Roman" w:eastAsia="Times New Roman" w:hAnsi="Times New Roman" w:cs="Times New Roman"/>
          <w:sz w:val="24"/>
          <w:szCs w:val="24"/>
        </w:rPr>
        <w:t>SAC ir jādomā par risinājumiem, kā nodrošināt minētās normas izpildi savās filiālēs, tiecoties uz ģimeniskai videi pietuvināta pakalpoj</w:t>
      </w:r>
      <w:r w:rsidRPr="002F5278">
        <w:rPr>
          <w:rFonts w:ascii="Times New Roman" w:eastAsia="Times New Roman" w:hAnsi="Times New Roman" w:cs="Times New Roman"/>
          <w:sz w:val="24"/>
          <w:szCs w:val="24"/>
        </w:rPr>
        <w:t xml:space="preserve">uma nodrošināšanu. </w:t>
      </w:r>
    </w:p>
    <w:p w14:paraId="484643F8" w14:textId="2A6B2AA8" w:rsidR="009978A2" w:rsidRPr="00573B49" w:rsidRDefault="00D61914" w:rsidP="00AC38FA">
      <w:pPr>
        <w:spacing w:before="120" w:after="0" w:line="240" w:lineRule="auto"/>
        <w:ind w:firstLine="720"/>
        <w:jc w:val="both"/>
        <w:rPr>
          <w:rFonts w:ascii="Times New Roman" w:eastAsia="Times New Roman" w:hAnsi="Times New Roman" w:cs="Times New Roman"/>
          <w:sz w:val="24"/>
          <w:szCs w:val="24"/>
        </w:rPr>
      </w:pPr>
      <w:r w:rsidRPr="00573B49">
        <w:rPr>
          <w:rFonts w:ascii="Times New Roman" w:hAnsi="Times New Roman" w:cs="Times New Roman"/>
          <w:sz w:val="24"/>
          <w:szCs w:val="24"/>
        </w:rPr>
        <w:t xml:space="preserve">Lai </w:t>
      </w:r>
      <w:r w:rsidR="009978A2" w:rsidRPr="00573B49">
        <w:rPr>
          <w:rFonts w:ascii="Times New Roman" w:hAnsi="Times New Roman" w:cs="Times New Roman"/>
          <w:sz w:val="24"/>
          <w:szCs w:val="24"/>
        </w:rPr>
        <w:t>pilnveidot</w:t>
      </w:r>
      <w:r w:rsidRPr="0025422D">
        <w:rPr>
          <w:rFonts w:ascii="Times New Roman" w:hAnsi="Times New Roman" w:cs="Times New Roman"/>
          <w:sz w:val="24"/>
          <w:szCs w:val="24"/>
        </w:rPr>
        <w:t>u</w:t>
      </w:r>
      <w:r w:rsidR="009978A2" w:rsidRPr="00A857F2">
        <w:rPr>
          <w:rFonts w:ascii="Times New Roman" w:hAnsi="Times New Roman" w:cs="Times New Roman"/>
          <w:sz w:val="24"/>
          <w:szCs w:val="24"/>
        </w:rPr>
        <w:t xml:space="preserve"> ilgstošas sociālās aprūpes un sociālās rehabilitācijas pakalpojumu bērniem ar smagiem funkcionāliem traucējumie</w:t>
      </w:r>
      <w:r w:rsidR="009978A2" w:rsidRPr="00662D1E">
        <w:rPr>
          <w:rFonts w:ascii="Times New Roman" w:hAnsi="Times New Roman" w:cs="Times New Roman"/>
          <w:sz w:val="24"/>
          <w:szCs w:val="24"/>
        </w:rPr>
        <w:t>m, izstrādājot un aprobējot ģimeniskai videi pietuvināta sociālā pakalpojuma (ģimenes tipa bērnu aprūpes modeli) sniegšanu</w:t>
      </w:r>
      <w:r w:rsidRPr="009703E6">
        <w:rPr>
          <w:rFonts w:ascii="Times New Roman" w:hAnsi="Times New Roman" w:cs="Times New Roman"/>
          <w:sz w:val="24"/>
          <w:szCs w:val="24"/>
        </w:rPr>
        <w:t xml:space="preserve">, 2018.gadā VSAC “Rīga” filiāle “Rīga” tika uzsākts </w:t>
      </w:r>
      <w:r w:rsidRPr="0015154B">
        <w:rPr>
          <w:rFonts w:ascii="Times New Roman" w:hAnsi="Times New Roman" w:cs="Times New Roman"/>
          <w:b/>
          <w:sz w:val="24"/>
          <w:szCs w:val="24"/>
        </w:rPr>
        <w:t>izmēģinājuma projekts</w:t>
      </w:r>
      <w:r w:rsidR="009978A2" w:rsidRPr="0015154B">
        <w:rPr>
          <w:rFonts w:ascii="Times New Roman" w:hAnsi="Times New Roman" w:cs="Times New Roman"/>
          <w:sz w:val="24"/>
          <w:szCs w:val="24"/>
        </w:rPr>
        <w:t>. Izmēģinājuma projektā ir iesaistīti 7 (2020.gadā pavasarī vairs tikai 6</w:t>
      </w:r>
      <w:r w:rsidR="009978A2" w:rsidRPr="007157D3">
        <w:rPr>
          <w:rStyle w:val="FootnoteReference"/>
          <w:rFonts w:ascii="Times New Roman" w:hAnsi="Times New Roman" w:cs="Times New Roman"/>
          <w:sz w:val="24"/>
          <w:szCs w:val="24"/>
        </w:rPr>
        <w:footnoteReference w:id="129"/>
      </w:r>
      <w:r w:rsidR="009978A2" w:rsidRPr="007157D3">
        <w:rPr>
          <w:rFonts w:ascii="Times New Roman" w:hAnsi="Times New Roman" w:cs="Times New Roman"/>
          <w:sz w:val="24"/>
          <w:szCs w:val="24"/>
        </w:rPr>
        <w:t>) bērni</w:t>
      </w:r>
      <w:r w:rsidR="009978A2" w:rsidRPr="007157D3">
        <w:rPr>
          <w:rFonts w:ascii="Times New Roman" w:eastAsia="Times New Roman" w:hAnsi="Times New Roman" w:cs="Times New Roman"/>
          <w:sz w:val="24"/>
          <w:szCs w:val="24"/>
        </w:rPr>
        <w:t>. Pakalpojumā, veicinot ģimenisku sajūtu un individuālu pieeju, aprūpi nodrošina viena “mamma” un divas vai trīs “auklītes”, kopumā veicot tās funkcijas, ko pilda vecāki. Izmēģinājuma projekta īstenošanā ir</w:t>
      </w:r>
      <w:r w:rsidR="00590B21" w:rsidRPr="002F5278">
        <w:rPr>
          <w:rFonts w:ascii="Times New Roman" w:eastAsia="Times New Roman" w:hAnsi="Times New Roman" w:cs="Times New Roman"/>
          <w:sz w:val="24"/>
          <w:szCs w:val="24"/>
        </w:rPr>
        <w:t xml:space="preserve"> </w:t>
      </w:r>
      <w:r w:rsidR="009978A2" w:rsidRPr="00573B49">
        <w:rPr>
          <w:rFonts w:ascii="Times New Roman" w:eastAsia="Times New Roman" w:hAnsi="Times New Roman" w:cs="Times New Roman"/>
          <w:sz w:val="24"/>
          <w:szCs w:val="24"/>
        </w:rPr>
        <w:t xml:space="preserve">vērojama bērna pozitīvāka un straujāka attīstība, bērni ir labi pielāgojušies jaunajiem apstākļiem, kļuvuši mierīgāki, mazāk lieto zāles. </w:t>
      </w:r>
    </w:p>
    <w:p w14:paraId="064F5EE7" w14:textId="42C7BABD" w:rsidR="009978A2" w:rsidRPr="0015154B" w:rsidRDefault="009978A2" w:rsidP="00AC38FA">
      <w:pPr>
        <w:spacing w:before="120" w:after="0" w:line="240" w:lineRule="auto"/>
        <w:ind w:firstLine="720"/>
        <w:jc w:val="both"/>
        <w:rPr>
          <w:rFonts w:ascii="Times New Roman" w:eastAsia="Times New Roman" w:hAnsi="Times New Roman" w:cs="Times New Roman"/>
          <w:sz w:val="24"/>
          <w:szCs w:val="24"/>
        </w:rPr>
      </w:pPr>
      <w:r w:rsidRPr="00573B49">
        <w:rPr>
          <w:rFonts w:ascii="Times New Roman" w:eastAsia="Times New Roman" w:hAnsi="Times New Roman" w:cs="Times New Roman"/>
          <w:sz w:val="24"/>
          <w:szCs w:val="24"/>
        </w:rPr>
        <w:t xml:space="preserve">Pamatojoties uz izmēģinājuma projektā aprobēto ģimeniskai videi pietuvinātā sociālā pakalpojuma pieredzi, VSAC “Rīga” pakāpeniski ievieš līdzīgu aprūpes modeli. Ģimenes tipa bērnu aprūpes modeļa nodrošināšanai tiek pārstrukturēta VSAC ēku infrastruktūra – izbūvēts </w:t>
      </w:r>
      <w:r w:rsidRPr="00573B49">
        <w:rPr>
          <w:rFonts w:ascii="Times New Roman" w:eastAsia="Times New Roman" w:hAnsi="Times New Roman" w:cs="Times New Roman"/>
          <w:sz w:val="24"/>
          <w:szCs w:val="24"/>
        </w:rPr>
        <w:lastRenderedPageBreak/>
        <w:t>virtuves, pārveidotas bērnu grupu telpas. Tomēr jāatzīmē, ka neviena ēka, kurā sniedz ilgstošas sociālās aprūp</w:t>
      </w:r>
      <w:r w:rsidRPr="0025422D">
        <w:rPr>
          <w:rFonts w:ascii="Times New Roman" w:eastAsia="Times New Roman" w:hAnsi="Times New Roman" w:cs="Times New Roman"/>
          <w:sz w:val="24"/>
          <w:szCs w:val="24"/>
        </w:rPr>
        <w:t>es pakalpojumu</w:t>
      </w:r>
      <w:r w:rsidR="00590B21" w:rsidRPr="00A857F2">
        <w:rPr>
          <w:rFonts w:ascii="Times New Roman" w:eastAsia="Times New Roman" w:hAnsi="Times New Roman" w:cs="Times New Roman"/>
          <w:sz w:val="24"/>
          <w:szCs w:val="24"/>
        </w:rPr>
        <w:t>,</w:t>
      </w:r>
      <w:r w:rsidRPr="00662D1E">
        <w:rPr>
          <w:rFonts w:ascii="Times New Roman" w:eastAsia="Times New Roman" w:hAnsi="Times New Roman" w:cs="Times New Roman"/>
          <w:sz w:val="24"/>
          <w:szCs w:val="24"/>
        </w:rPr>
        <w:t xml:space="preserve"> nebija sāk</w:t>
      </w:r>
      <w:r w:rsidRPr="009703E6">
        <w:rPr>
          <w:rFonts w:ascii="Times New Roman" w:eastAsia="Times New Roman" w:hAnsi="Times New Roman" w:cs="Times New Roman"/>
          <w:sz w:val="24"/>
          <w:szCs w:val="24"/>
        </w:rPr>
        <w:t>otnēji plānota bērnu ar smagiem funkcionāliem traucējumiem izmitināšanai - ēkās ir šauri koridori, telpu plānojums pamatā ir veidots, orientējoties uz bērnu aprūpi grupās līdz 12 bērniem, atsevišķās filiālēs nav ierīkoti lifti vai pacēlāji, līdz ar to ir l</w:t>
      </w:r>
      <w:r w:rsidRPr="0015154B">
        <w:rPr>
          <w:rFonts w:ascii="Times New Roman" w:eastAsia="Times New Roman" w:hAnsi="Times New Roman" w:cs="Times New Roman"/>
          <w:sz w:val="24"/>
          <w:szCs w:val="24"/>
        </w:rPr>
        <w:t>ielas grūtības nodrošināt bērnu, kuri pārvietojas r</w:t>
      </w:r>
      <w:r w:rsidR="0003198E">
        <w:rPr>
          <w:rFonts w:ascii="Times New Roman" w:eastAsia="Times New Roman" w:hAnsi="Times New Roman" w:cs="Times New Roman"/>
          <w:sz w:val="24"/>
          <w:szCs w:val="24"/>
        </w:rPr>
        <w:t>a</w:t>
      </w:r>
      <w:r w:rsidRPr="0015154B">
        <w:rPr>
          <w:rFonts w:ascii="Times New Roman" w:eastAsia="Times New Roman" w:hAnsi="Times New Roman" w:cs="Times New Roman"/>
          <w:sz w:val="24"/>
          <w:szCs w:val="24"/>
        </w:rPr>
        <w:t>t</w:t>
      </w:r>
      <w:r w:rsidR="0003198E">
        <w:rPr>
          <w:rFonts w:ascii="Times New Roman" w:eastAsia="Times New Roman" w:hAnsi="Times New Roman" w:cs="Times New Roman"/>
          <w:sz w:val="24"/>
          <w:szCs w:val="24"/>
        </w:rPr>
        <w:t>i</w:t>
      </w:r>
      <w:r w:rsidRPr="0015154B">
        <w:rPr>
          <w:rFonts w:ascii="Times New Roman" w:eastAsia="Times New Roman" w:hAnsi="Times New Roman" w:cs="Times New Roman"/>
          <w:sz w:val="24"/>
          <w:szCs w:val="24"/>
        </w:rPr>
        <w:t>ņkrēslā, iekļūšanu un izkļūšanu no ēkas.</w:t>
      </w:r>
    </w:p>
    <w:p w14:paraId="304B3371" w14:textId="54BB5631" w:rsidR="009978A2" w:rsidRPr="0015154B" w:rsidRDefault="009978A2" w:rsidP="00AC38FA">
      <w:pPr>
        <w:spacing w:before="120" w:after="0" w:line="240" w:lineRule="auto"/>
        <w:ind w:firstLine="567"/>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Pašvaldības, veicot sociālās vides izpēti, nosaka esošās problēmas un attiecīgi veido tādus sociālos pakalpojumu</w:t>
      </w:r>
      <w:r w:rsidR="0003198E">
        <w:rPr>
          <w:rFonts w:ascii="Times New Roman" w:eastAsia="Times New Roman" w:hAnsi="Times New Roman" w:cs="Times New Roman"/>
          <w:sz w:val="24"/>
          <w:szCs w:val="24"/>
          <w:lang w:eastAsia="lv-LV"/>
        </w:rPr>
        <w:t>s</w:t>
      </w:r>
      <w:r w:rsidRPr="0015154B">
        <w:rPr>
          <w:rFonts w:ascii="Times New Roman" w:eastAsia="Times New Roman" w:hAnsi="Times New Roman" w:cs="Times New Roman"/>
          <w:sz w:val="24"/>
          <w:szCs w:val="24"/>
          <w:lang w:eastAsia="lv-LV"/>
        </w:rPr>
        <w:t>, kas maksimāli precīzi atbilst pašvaldības iedzīvotāju vajadzībām, tai skaitā arī bērnu ar funkcionāliem traucējumiem vajadzībām. Lai nodrošinātu bērnu ar smagiem funkcionālie</w:t>
      </w:r>
      <w:r w:rsidR="00590B21" w:rsidRPr="0015154B">
        <w:rPr>
          <w:rFonts w:ascii="Times New Roman" w:eastAsia="Times New Roman" w:hAnsi="Times New Roman" w:cs="Times New Roman"/>
          <w:sz w:val="24"/>
          <w:szCs w:val="24"/>
          <w:lang w:eastAsia="lv-LV"/>
        </w:rPr>
        <w:t>m</w:t>
      </w:r>
      <w:r w:rsidRPr="0015154B">
        <w:rPr>
          <w:rFonts w:ascii="Times New Roman" w:eastAsia="Times New Roman" w:hAnsi="Times New Roman" w:cs="Times New Roman"/>
          <w:sz w:val="24"/>
          <w:szCs w:val="24"/>
          <w:lang w:eastAsia="lv-LV"/>
        </w:rPr>
        <w:t xml:space="preserve"> traucējumiem atbilstošu aprūpi</w:t>
      </w:r>
      <w:r w:rsidR="00590B21" w:rsidRPr="0015154B">
        <w:rPr>
          <w:rFonts w:ascii="Times New Roman" w:eastAsia="Times New Roman" w:hAnsi="Times New Roman" w:cs="Times New Roman"/>
          <w:sz w:val="24"/>
          <w:szCs w:val="24"/>
          <w:lang w:eastAsia="lv-LV"/>
        </w:rPr>
        <w:t>,</w:t>
      </w:r>
      <w:r w:rsidRPr="0015154B">
        <w:rPr>
          <w:rFonts w:ascii="Times New Roman" w:eastAsia="Times New Roman" w:hAnsi="Times New Roman" w:cs="Times New Roman"/>
          <w:sz w:val="24"/>
          <w:szCs w:val="24"/>
          <w:lang w:eastAsia="lv-LV"/>
        </w:rPr>
        <w:t xml:space="preserve"> pašvaldības nodrošina aprūpes mājās pakalpojumu (2019.gadā aprūpes mājās pakalpojums tika nodrošināts 70 bērniem) vai dienas aprūpes centra pakalpojumu (2019.gadā dienas aprūpes centra  pakalpojums nodrošināts 249 bērniem).</w:t>
      </w:r>
      <w:r w:rsidR="00590B21" w:rsidRPr="0015154B">
        <w:rPr>
          <w:rFonts w:ascii="Times New Roman" w:eastAsia="Times New Roman" w:hAnsi="Times New Roman" w:cs="Times New Roman"/>
          <w:sz w:val="24"/>
          <w:szCs w:val="24"/>
          <w:lang w:eastAsia="lv-LV"/>
        </w:rPr>
        <w:t xml:space="preserve"> LM</w:t>
      </w:r>
      <w:r w:rsidRPr="0015154B">
        <w:rPr>
          <w:rFonts w:ascii="Times New Roman" w:hAnsi="Times New Roman" w:cs="Times New Roman"/>
          <w:color w:val="000000"/>
          <w:sz w:val="24"/>
          <w:szCs w:val="24"/>
        </w:rPr>
        <w:t xml:space="preserve"> nodrošina atbalstu un paplašina iespējas pašvaldībām attīstīt nepieciešamos pakalpojumus bērniem ar funkcionāliem traucējumiem, piemēram, DI procesam pieejamais </w:t>
      </w:r>
      <w:r w:rsidR="00590B21" w:rsidRPr="0015154B">
        <w:rPr>
          <w:rFonts w:ascii="Times New Roman" w:hAnsi="Times New Roman" w:cs="Times New Roman"/>
          <w:color w:val="000000"/>
          <w:sz w:val="24"/>
          <w:szCs w:val="24"/>
        </w:rPr>
        <w:t>ERAF</w:t>
      </w:r>
      <w:r w:rsidRPr="0015154B">
        <w:rPr>
          <w:rFonts w:ascii="Times New Roman" w:hAnsi="Times New Roman" w:cs="Times New Roman"/>
          <w:color w:val="000000"/>
          <w:sz w:val="24"/>
          <w:szCs w:val="24"/>
        </w:rPr>
        <w:t xml:space="preserve"> finansējums ir piešķirts pašvaldībām nepieciešamās sabiedrībā balstītu sociālo pakalpojumu infrastruktūras izveidei un pašvaldībās līdz 2022. gada beigām plānots izveidot 25 dienas aprūpes centrus bērniem ar funkcionāliem traucējumiem.</w:t>
      </w:r>
    </w:p>
    <w:p w14:paraId="50014DA4" w14:textId="78E713C9" w:rsidR="009978A2" w:rsidRDefault="009978A2" w:rsidP="00AC38FA">
      <w:pPr>
        <w:spacing w:before="120" w:after="0" w:line="240" w:lineRule="auto"/>
        <w:ind w:firstLine="567"/>
        <w:jc w:val="both"/>
        <w:rPr>
          <w:rFonts w:ascii="Times New Roman" w:eastAsia="Times New Roman" w:hAnsi="Times New Roman" w:cs="Times New Roman"/>
          <w:sz w:val="24"/>
          <w:szCs w:val="24"/>
        </w:rPr>
      </w:pPr>
      <w:r w:rsidRPr="0015154B">
        <w:rPr>
          <w:rFonts w:ascii="Times New Roman" w:eastAsia="Times New Roman" w:hAnsi="Times New Roman" w:cs="Times New Roman"/>
          <w:sz w:val="24"/>
          <w:szCs w:val="24"/>
        </w:rPr>
        <w:t xml:space="preserve">Tāpat </w:t>
      </w:r>
      <w:r w:rsidRPr="0015154B">
        <w:rPr>
          <w:rFonts w:ascii="Times New Roman" w:eastAsia="Times New Roman" w:hAnsi="Times New Roman" w:cs="Times New Roman"/>
          <w:b/>
          <w:sz w:val="24"/>
          <w:szCs w:val="24"/>
        </w:rPr>
        <w:t>valsts atbalsts</w:t>
      </w:r>
      <w:r w:rsidRPr="0015154B">
        <w:rPr>
          <w:rFonts w:ascii="Times New Roman" w:eastAsia="Times New Roman" w:hAnsi="Times New Roman" w:cs="Times New Roman"/>
          <w:sz w:val="24"/>
          <w:szCs w:val="24"/>
        </w:rPr>
        <w:t xml:space="preserve"> ģimenēm, kuras audzina bērnu ar invaliditāti, tiek nodrošināts pakalpojumu un atvieglojumu veidā, kā</w:t>
      </w:r>
      <w:r w:rsidR="00645900">
        <w:rPr>
          <w:rFonts w:ascii="Times New Roman" w:eastAsia="Times New Roman" w:hAnsi="Times New Roman" w:cs="Times New Roman"/>
          <w:sz w:val="24"/>
          <w:szCs w:val="24"/>
        </w:rPr>
        <w:t>,</w:t>
      </w:r>
      <w:r w:rsidRPr="0015154B">
        <w:rPr>
          <w:rFonts w:ascii="Times New Roman" w:eastAsia="Times New Roman" w:hAnsi="Times New Roman" w:cs="Times New Roman"/>
          <w:sz w:val="24"/>
          <w:szCs w:val="24"/>
        </w:rPr>
        <w:t xml:space="preserve"> piemēram:</w:t>
      </w:r>
    </w:p>
    <w:p w14:paraId="53EEF583" w14:textId="77777777" w:rsidR="00645900" w:rsidRPr="0015154B" w:rsidRDefault="00645900" w:rsidP="00AC38FA">
      <w:pPr>
        <w:spacing w:before="120" w:after="0" w:line="240" w:lineRule="auto"/>
        <w:ind w:firstLine="567"/>
        <w:jc w:val="both"/>
        <w:rPr>
          <w:rFonts w:ascii="Times New Roman" w:eastAsia="Times New Roman" w:hAnsi="Times New Roman" w:cs="Times New Roman"/>
          <w:sz w:val="24"/>
          <w:szCs w:val="24"/>
        </w:rPr>
      </w:pPr>
    </w:p>
    <w:p w14:paraId="5D0C7361" w14:textId="7D256ECA" w:rsidR="009978A2"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psihologa konsultācijas (10 konsultācijas) bērnam, kuram noteikta pirmreizējā invaliditāte, kā arī bērna vecākiem vai viņa likumiskajiem pārstāvjiem;</w:t>
      </w:r>
    </w:p>
    <w:p w14:paraId="41B3322B" w14:textId="49455D2D" w:rsidR="009978A2"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 xml:space="preserve">asistenta pakalpojums pašvaldībā un izglītības iestādē bērniem ar ļoti smagu invaliditāti, kuriem izsniegts </w:t>
      </w:r>
      <w:r w:rsidR="00590B21" w:rsidRPr="00E1089B">
        <w:rPr>
          <w:rFonts w:ascii="Times New Roman" w:eastAsia="Times New Roman" w:hAnsi="Times New Roman" w:cs="Times New Roman"/>
          <w:sz w:val="24"/>
          <w:szCs w:val="24"/>
        </w:rPr>
        <w:t>VDEĀVK</w:t>
      </w:r>
      <w:r w:rsidRPr="00E1089B">
        <w:rPr>
          <w:rFonts w:ascii="Times New Roman" w:eastAsia="Times New Roman" w:hAnsi="Times New Roman" w:cs="Times New Roman"/>
          <w:sz w:val="24"/>
          <w:szCs w:val="24"/>
        </w:rPr>
        <w:t xml:space="preserve"> atzinums par īpašas kopšanas nepieciešamību;</w:t>
      </w:r>
    </w:p>
    <w:p w14:paraId="129884F9" w14:textId="1D23B0F1" w:rsidR="009978A2"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surdotulka pakalpojumi bērnam ar dzirdes invaliditāti, izglītības programmas apguvei un saskarsmes nodrošināšanai;</w:t>
      </w:r>
    </w:p>
    <w:p w14:paraId="003206C6" w14:textId="6963BBAA" w:rsidR="009978A2"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tehniskie palīglīdzekļi;</w:t>
      </w:r>
    </w:p>
    <w:p w14:paraId="1A3A83E4" w14:textId="400E25FD" w:rsidR="009978A2"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bezmaksas starppilsētu sabiedriskais transports bērnam ar invaliditāti un bērnu pavadošai personai;</w:t>
      </w:r>
    </w:p>
    <w:p w14:paraId="51E290E1" w14:textId="57681723" w:rsidR="009978A2"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atbrīvojums no transportlīdzekļa ekspluatācijas nodokļa, ja apgādībā ir bērns ar invaliditāti;</w:t>
      </w:r>
    </w:p>
    <w:p w14:paraId="7BDCE1C8" w14:textId="79329FA1" w:rsidR="009978A2"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elektroenerģijas maksas atvieglojumi mājsaimniecībai;</w:t>
      </w:r>
    </w:p>
    <w:p w14:paraId="63CEA419" w14:textId="10E11C5C" w:rsidR="009978A2"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 xml:space="preserve">personu ar invaliditāti automašīnu stāvvietu izmantošanas karte, ja bērnam ir pārvietošanās traucējumi un </w:t>
      </w:r>
      <w:r w:rsidR="000C220D">
        <w:rPr>
          <w:rFonts w:ascii="Times New Roman" w:eastAsia="Times New Roman" w:hAnsi="Times New Roman" w:cs="Times New Roman"/>
          <w:sz w:val="24"/>
          <w:szCs w:val="24"/>
        </w:rPr>
        <w:t>VDEĀVK</w:t>
      </w:r>
      <w:r w:rsidRPr="00E1089B">
        <w:rPr>
          <w:rFonts w:ascii="Times New Roman" w:eastAsia="Times New Roman" w:hAnsi="Times New Roman" w:cs="Times New Roman"/>
          <w:sz w:val="24"/>
          <w:szCs w:val="24"/>
        </w:rPr>
        <w:t xml:space="preserve"> ir izsniegusi atzinumu par medicīniskām indikācijām vieglā automobiļa speciālai pielāgošanai un pabalsta saņemšanai transporta izdevumu kompensēšanai;</w:t>
      </w:r>
    </w:p>
    <w:p w14:paraId="097A4966" w14:textId="16C55EA2" w:rsidR="009978A2"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iedzīvotāju ienākuma nodokļa atvieglojums par apgādībā esošiem bērniem vai nestrādājošo laulāto, kura apgādībā  ir bērns ar invaliditāti;</w:t>
      </w:r>
    </w:p>
    <w:p w14:paraId="3B8DBFAE" w14:textId="3FC4CBF7" w:rsidR="00590B21" w:rsidRPr="00E1089B" w:rsidRDefault="009978A2" w:rsidP="00E1089B">
      <w:pPr>
        <w:pStyle w:val="ListParagraph"/>
        <w:numPr>
          <w:ilvl w:val="0"/>
          <w:numId w:val="67"/>
        </w:numPr>
        <w:pBdr>
          <w:left w:val="single" w:sz="24" w:space="4" w:color="549E39" w:themeColor="accent1"/>
        </w:pBdr>
        <w:spacing w:before="120" w:after="0" w:line="240" w:lineRule="auto"/>
        <w:ind w:left="1797" w:right="1134" w:hanging="357"/>
        <w:contextualSpacing w:val="0"/>
        <w:jc w:val="both"/>
        <w:rPr>
          <w:rFonts w:ascii="Times New Roman" w:eastAsia="Times New Roman" w:hAnsi="Times New Roman" w:cs="Times New Roman"/>
          <w:sz w:val="24"/>
          <w:szCs w:val="24"/>
        </w:rPr>
      </w:pPr>
      <w:r w:rsidRPr="00E1089B">
        <w:rPr>
          <w:rFonts w:ascii="Times New Roman" w:eastAsia="Times New Roman" w:hAnsi="Times New Roman" w:cs="Times New Roman"/>
          <w:sz w:val="24"/>
          <w:szCs w:val="24"/>
        </w:rPr>
        <w:t>u.c.</w:t>
      </w:r>
    </w:p>
    <w:p w14:paraId="66494702" w14:textId="77777777" w:rsidR="00645900" w:rsidRDefault="00645900" w:rsidP="00AC38FA">
      <w:pPr>
        <w:spacing w:before="120" w:after="0" w:line="240" w:lineRule="auto"/>
        <w:ind w:firstLine="720"/>
        <w:jc w:val="both"/>
        <w:rPr>
          <w:rFonts w:ascii="Times New Roman" w:eastAsia="Times New Roman" w:hAnsi="Times New Roman" w:cs="Times New Roman"/>
          <w:sz w:val="24"/>
          <w:szCs w:val="24"/>
        </w:rPr>
      </w:pPr>
    </w:p>
    <w:p w14:paraId="492FCE4E" w14:textId="114D8739" w:rsidR="00590B21" w:rsidRPr="0015154B" w:rsidRDefault="009978A2" w:rsidP="00AC38FA">
      <w:pPr>
        <w:spacing w:before="120" w:after="0" w:line="240" w:lineRule="auto"/>
        <w:ind w:firstLine="720"/>
        <w:jc w:val="both"/>
        <w:rPr>
          <w:rFonts w:ascii="Times New Roman" w:eastAsia="Times New Roman" w:hAnsi="Times New Roman" w:cs="Times New Roman"/>
          <w:sz w:val="24"/>
          <w:szCs w:val="24"/>
        </w:rPr>
      </w:pPr>
      <w:r w:rsidRPr="0015154B">
        <w:rPr>
          <w:rFonts w:ascii="Times New Roman" w:eastAsia="Times New Roman" w:hAnsi="Times New Roman" w:cs="Times New Roman"/>
          <w:sz w:val="24"/>
          <w:szCs w:val="24"/>
        </w:rPr>
        <w:lastRenderedPageBreak/>
        <w:t xml:space="preserve">Latvijā nav vienotas datu bāzes par neizārstējamām slimībām - ģenētiskām, iedzimtām patoloģijām un neiroloģiskām slimībām, kas ļautu spriest par potenciālo tādu bērnu skaitu, kam būtu nepieciešama paliatīvā aprūpe. Savukārt saskaņā ar </w:t>
      </w:r>
      <w:r w:rsidR="00590B21" w:rsidRPr="0015154B">
        <w:rPr>
          <w:rFonts w:ascii="Times New Roman" w:eastAsia="Times New Roman" w:hAnsi="Times New Roman" w:cs="Times New Roman"/>
          <w:sz w:val="24"/>
          <w:szCs w:val="24"/>
        </w:rPr>
        <w:t>PVO</w:t>
      </w:r>
      <w:r w:rsidRPr="0015154B">
        <w:rPr>
          <w:rFonts w:ascii="Times New Roman" w:eastAsia="Times New Roman" w:hAnsi="Times New Roman" w:cs="Times New Roman"/>
          <w:sz w:val="24"/>
          <w:szCs w:val="24"/>
        </w:rPr>
        <w:t xml:space="preserve"> piedāvāto aprēķina metodiku, no katriem 50 000 bērniem 50 bērniem ar ierobežotu dzīvildzi gada laikā nepieciešama paliatīvā aprūpe. </w:t>
      </w:r>
      <w:r w:rsidRPr="0015154B">
        <w:rPr>
          <w:rFonts w:ascii="Times New Roman" w:eastAsia="Times New Roman" w:hAnsi="Times New Roman" w:cs="Times New Roman"/>
          <w:b/>
          <w:iCs/>
          <w:sz w:val="24"/>
          <w:szCs w:val="24"/>
        </w:rPr>
        <w:t>Paliatīvā aprūpe</w:t>
      </w:r>
      <w:r w:rsidRPr="0015154B">
        <w:rPr>
          <w:rFonts w:ascii="Times New Roman" w:eastAsia="Times New Roman" w:hAnsi="Times New Roman" w:cs="Times New Roman"/>
          <w:iCs/>
          <w:sz w:val="24"/>
          <w:szCs w:val="24"/>
        </w:rPr>
        <w:t xml:space="preserve"> ir starpdisciplināra tādu cilvēku aprūpe, kuru slimība ir dzīvildzi ierobežojoša un nav radikāli ārstējama. Šī aprūpe apvieno sāpju un citu simptomu remdēšanu, psiholoģisku, sociālu un garīgu problēmu risināšanu, kas ļauj cilvēkam maksimāli komfortabli un kvalitatīvi pavadīt pēdējo dzīves posmu, kā arī nodrošina atbalstu piederīgajiem pēc tuvinieka nāves.</w:t>
      </w:r>
    </w:p>
    <w:p w14:paraId="6D40E8CD" w14:textId="6EDCE3B2"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eastAsia="Times New Roman" w:hAnsi="Times New Roman" w:cs="Times New Roman"/>
          <w:sz w:val="24"/>
          <w:szCs w:val="24"/>
        </w:rPr>
        <w:t>Latvijā paliatīvo aprūpi bērni var saņemt kā SAC pakalpojuma sastāvdaļu, kā pakalpojumu stacionārā ārstniecības iestādē vai kā pakalpojumu dzīvesvietā.</w:t>
      </w:r>
      <w:r w:rsidR="00590B21" w:rsidRPr="0015154B">
        <w:rPr>
          <w:rFonts w:ascii="Times New Roman" w:eastAsia="Times New Roman" w:hAnsi="Times New Roman" w:cs="Times New Roman"/>
          <w:sz w:val="24"/>
          <w:szCs w:val="24"/>
        </w:rPr>
        <w:t xml:space="preserve"> </w:t>
      </w:r>
      <w:r w:rsidRPr="0015154B">
        <w:rPr>
          <w:rFonts w:ascii="Times New Roman" w:eastAsia="Times New Roman" w:hAnsi="Times New Roman" w:cs="Times New Roman"/>
          <w:sz w:val="24"/>
          <w:szCs w:val="24"/>
        </w:rPr>
        <w:t>Paliatīvā aprūpē esošiem bērniem iespēja dzīvesvietā saņemt kompleksu paliatīvas aprūpes pakalpojumu, kurā integrēti medicīniskās aprūpes un psihosociālās rehabilitācijas elementi, kopš 2018.gada tiek nodrošināta visā valsts teritorijā</w:t>
      </w:r>
      <w:r w:rsidR="004F2391" w:rsidRPr="0015154B">
        <w:rPr>
          <w:rFonts w:ascii="Times New Roman" w:eastAsia="Times New Roman" w:hAnsi="Times New Roman" w:cs="Times New Roman"/>
          <w:sz w:val="24"/>
          <w:szCs w:val="24"/>
        </w:rPr>
        <w:t xml:space="preserve"> (</w:t>
      </w:r>
      <w:r w:rsidR="004F2391" w:rsidRPr="0015154B">
        <w:rPr>
          <w:rFonts w:ascii="Times New Roman" w:eastAsia="Times New Roman" w:hAnsi="Times New Roman" w:cs="Times New Roman"/>
          <w:sz w:val="24"/>
          <w:szCs w:val="24"/>
          <w:highlight w:val="yellow"/>
        </w:rPr>
        <w:t>skat. 3.pielikuma 14.tabulu</w:t>
      </w:r>
      <w:r w:rsidR="004F2391" w:rsidRPr="0015154B">
        <w:rPr>
          <w:rFonts w:ascii="Times New Roman" w:eastAsia="Times New Roman" w:hAnsi="Times New Roman" w:cs="Times New Roman"/>
          <w:sz w:val="24"/>
          <w:szCs w:val="24"/>
        </w:rPr>
        <w:t>)</w:t>
      </w:r>
      <w:r w:rsidRPr="0015154B">
        <w:rPr>
          <w:rFonts w:ascii="Times New Roman" w:eastAsia="Times New Roman" w:hAnsi="Times New Roman" w:cs="Times New Roman"/>
          <w:sz w:val="24"/>
          <w:szCs w:val="24"/>
        </w:rPr>
        <w:t xml:space="preserve">. Šādā veidā kombinēti pakalpojumi ļauj mazināt slimības simptomus bērnam, vienlaikus mazinot arī paliatīvajā aprūpē esošo bērnu un viņu ģimenes locekļu sociālo spriedzi. </w:t>
      </w:r>
      <w:r w:rsidRPr="0015154B">
        <w:rPr>
          <w:rFonts w:ascii="Times New Roman" w:hAnsi="Times New Roman" w:cs="Times New Roman"/>
          <w:sz w:val="24"/>
          <w:szCs w:val="24"/>
        </w:rPr>
        <w:t xml:space="preserve">Pakalpojuma nodrošināšana deleģēta Bērnu paliatīvās aprūpes biedrībai un pakalpojumu sniedz starpdisciplinārās paliatīvās aprūpes komandas, kurās  bez ārsta, medicīnas māsas un klīniskā  psihologa ietilpst arī  kapelāns un sociālais darbinieks. </w:t>
      </w:r>
    </w:p>
    <w:p w14:paraId="6E2FE33A" w14:textId="77777777"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Kā norāda BKUS, Paliatīvās aprūpes kabinetu uzskaitē esošo bērnu skaits ik gadu palielinās un šobrīd aprūpējamo ģimeņu skaits ir ap 350. Laika periodā no 2013.gada līdz 2019.gadam ik gadu paliatīvās aprūpes kabinetā no jauna reģistrēto bērnu skaits svārstās no 40 līdz 50, bet mirušo skaits no 14 līdz 20, savukārt bērnu skaits, kuriem, stabilizējoties veselības stāvoklim, paliatīvā aprūpe vairs nav nepieciešama, svārstās no 15 līdz 30. Bērnam un viņa ģimenei paliatīvās aprūpes komandas sniegtie pakalpojumi visbiežāk ir nepieciešami ilgstoši – pat vairākus gadus. BKUS speciālisti norāda, ka bērnu paliatīvās aprūpes pakalpojuma rezultativitātes rādītājs ir paliatīvās aprūpes mājās saņēmušo pacientu skaits, kuri nav stacionēti. Pēc BKUS sniegtajiem datiem kopš 2015.gada palielinājies to pacientu skaits, kuriem nav nepieciešama hospitalizācija un tas apstiprina paliatīvās aprūpes mājās programmas efektivitāti. Laika posmā no 2013. līdz 2019. gadam hospitalizācija pamata slimības dēļ bijusi nepieciešama vidēji 30% bērnu, kuri paliatīvo aprūpi saņem mājās, bet akūtas saslimšanas dēļ hospitalizēti vidēji 18% bērnu. </w:t>
      </w:r>
    </w:p>
    <w:p w14:paraId="3E2D117F" w14:textId="797FE53D"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Viena no būtiskākajām problēmām, ar kuru saskaras bērni, to ģimenes locekļi un ārstniecības personas, ir pieejamo valsts apmaksāto paliatīvās aprūpes pakalpojumu klāsta pieejamības samazināšana, bērnam sasniedzot 18 gadu vecumu. Pēc šī vecuma sasniegšanas netiek nodrošināta valsts finansēta psihosociālā rehabilitācija paliatīvās aprūpes periodā bērnam un viņa ģimenes locekļiem.</w:t>
      </w:r>
    </w:p>
    <w:p w14:paraId="6E72E9F2" w14:textId="692B8C9A" w:rsidR="009978A2" w:rsidRPr="0015154B" w:rsidRDefault="009978A2" w:rsidP="009A0784">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LM sadarbībā ar 10 pašvaldībām, 2017.-2020. </w:t>
      </w:r>
      <w:r w:rsidR="000C220D">
        <w:rPr>
          <w:rFonts w:ascii="Times New Roman" w:hAnsi="Times New Roman" w:cs="Times New Roman"/>
          <w:sz w:val="24"/>
          <w:szCs w:val="24"/>
        </w:rPr>
        <w:t xml:space="preserve">gadā </w:t>
      </w:r>
      <w:r w:rsidRPr="0015154B">
        <w:rPr>
          <w:rFonts w:ascii="Times New Roman" w:hAnsi="Times New Roman" w:cs="Times New Roman"/>
          <w:sz w:val="24"/>
          <w:szCs w:val="24"/>
        </w:rPr>
        <w:t>īstenoja i</w:t>
      </w:r>
      <w:r w:rsidRPr="0015154B">
        <w:rPr>
          <w:rFonts w:ascii="Times New Roman" w:eastAsia="Times New Roman" w:hAnsi="Times New Roman" w:cs="Times New Roman"/>
          <w:b/>
          <w:bCs/>
          <w:color w:val="222222"/>
          <w:sz w:val="24"/>
          <w:szCs w:val="24"/>
          <w:lang w:eastAsia="lv-LV"/>
        </w:rPr>
        <w:t>ndividuālā budžeta</w:t>
      </w:r>
      <w:r w:rsidR="009C3893" w:rsidRPr="0015154B">
        <w:rPr>
          <w:rFonts w:ascii="Times New Roman" w:eastAsia="Times New Roman" w:hAnsi="Times New Roman" w:cs="Times New Roman"/>
          <w:b/>
          <w:bCs/>
          <w:color w:val="222222"/>
          <w:sz w:val="24"/>
          <w:szCs w:val="24"/>
          <w:lang w:eastAsia="lv-LV"/>
        </w:rPr>
        <w:t xml:space="preserve"> (turpmāk- IB)</w:t>
      </w:r>
      <w:r w:rsidRPr="0015154B">
        <w:rPr>
          <w:rFonts w:ascii="Times New Roman" w:eastAsia="Times New Roman" w:hAnsi="Times New Roman" w:cs="Times New Roman"/>
          <w:b/>
          <w:bCs/>
          <w:color w:val="222222"/>
          <w:sz w:val="24"/>
          <w:szCs w:val="24"/>
          <w:lang w:eastAsia="lv-LV"/>
        </w:rPr>
        <w:t xml:space="preserve"> modeļa izmēģinājumprojektu bērniem ar funkcionāliem traucējumiem. </w:t>
      </w:r>
      <w:r w:rsidRPr="0015154B">
        <w:rPr>
          <w:rFonts w:ascii="Times New Roman" w:eastAsia="Times New Roman" w:hAnsi="Times New Roman" w:cs="Times New Roman"/>
          <w:color w:val="222222"/>
          <w:sz w:val="24"/>
          <w:szCs w:val="24"/>
          <w:lang w:eastAsia="lv-LV"/>
        </w:rPr>
        <w:t>Minētā projekta ietvaros 102 bērniem</w:t>
      </w:r>
      <w:r w:rsidRPr="0015154B">
        <w:rPr>
          <w:rFonts w:ascii="Times New Roman" w:hAnsi="Times New Roman" w:cs="Times New Roman"/>
          <w:sz w:val="24"/>
          <w:szCs w:val="24"/>
        </w:rPr>
        <w:t xml:space="preserve"> (68 zēni un 34 meitenes) varēja saņemt dažādus sociālos pak</w:t>
      </w:r>
      <w:r w:rsidR="00D139FD" w:rsidRPr="0015154B">
        <w:rPr>
          <w:rFonts w:ascii="Times New Roman" w:hAnsi="Times New Roman" w:cs="Times New Roman"/>
          <w:sz w:val="24"/>
          <w:szCs w:val="24"/>
        </w:rPr>
        <w:t>al</w:t>
      </w:r>
      <w:r w:rsidRPr="0015154B">
        <w:rPr>
          <w:rFonts w:ascii="Times New Roman" w:hAnsi="Times New Roman" w:cs="Times New Roman"/>
          <w:sz w:val="24"/>
          <w:szCs w:val="24"/>
        </w:rPr>
        <w:t>pojumus, kā arī daļēji veselības aprūpes pakalpojumus, kurus rekomendēja speciāli veidota izvērtēšanas komisija.</w:t>
      </w:r>
      <w:r w:rsidR="00D139FD"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Izmēģinājumprojektā iesaistījās </w:t>
      </w:r>
      <w:r w:rsidR="00D139FD" w:rsidRPr="0015154B">
        <w:rPr>
          <w:rFonts w:ascii="Times New Roman" w:hAnsi="Times New Roman" w:cs="Times New Roman"/>
          <w:sz w:val="24"/>
          <w:szCs w:val="24"/>
        </w:rPr>
        <w:t xml:space="preserve">arī </w:t>
      </w:r>
      <w:r w:rsidRPr="0015154B">
        <w:rPr>
          <w:rFonts w:ascii="Times New Roman" w:hAnsi="Times New Roman" w:cs="Times New Roman"/>
          <w:sz w:val="24"/>
          <w:szCs w:val="24"/>
        </w:rPr>
        <w:t>aizbildņu ģimenes un audžuģimenes.</w:t>
      </w:r>
      <w:r w:rsidR="009C3893" w:rsidRPr="0015154B">
        <w:rPr>
          <w:rFonts w:ascii="Times New Roman" w:hAnsi="Times New Roman" w:cs="Times New Roman"/>
          <w:sz w:val="24"/>
          <w:szCs w:val="24"/>
        </w:rPr>
        <w:t xml:space="preserve"> </w:t>
      </w:r>
      <w:r w:rsidR="009C3893" w:rsidRPr="0015154B">
        <w:rPr>
          <w:rFonts w:ascii="Times New Roman" w:eastAsia="Times New Roman" w:hAnsi="Times New Roman" w:cs="Times New Roman"/>
          <w:color w:val="222222"/>
          <w:sz w:val="24"/>
          <w:szCs w:val="24"/>
          <w:lang w:eastAsia="lv-LV"/>
        </w:rPr>
        <w:t>Izmēģinājumprojekta ietvaros saskaņā ar IB metodiku pakalpojumi tika noteikti kā bērnam un vecākam nepieciešamo pakalpojumu komplekss, kas var ietvert gan izglītības, gan sociālo, gan veselības aprūpes pakalpojumu elementus, lai maksimāli efektīvi un iespējami optimālā termiņā sasniegtu bērna attīstībai vislabāko rezultātu.</w:t>
      </w:r>
    </w:p>
    <w:p w14:paraId="3FEA1C50" w14:textId="7AF889EB" w:rsidR="009978A2" w:rsidRPr="007157D3" w:rsidRDefault="009876E9" w:rsidP="009A0784">
      <w:pPr>
        <w:pBdr>
          <w:top w:val="nil"/>
          <w:left w:val="nil"/>
          <w:bottom w:val="nil"/>
          <w:right w:val="nil"/>
          <w:between w:val="nil"/>
        </w:pBdr>
        <w:spacing w:before="120" w:after="0" w:line="240" w:lineRule="auto"/>
        <w:ind w:firstLine="720"/>
        <w:jc w:val="both"/>
        <w:rPr>
          <w:rFonts w:ascii="Times New Roman" w:eastAsia="Calibri" w:hAnsi="Times New Roman" w:cs="Times New Roman"/>
          <w:sz w:val="24"/>
          <w:szCs w:val="24"/>
          <w:lang w:eastAsia="lv-LV"/>
        </w:rPr>
      </w:pPr>
      <w:r w:rsidRPr="0015154B">
        <w:rPr>
          <w:rFonts w:ascii="Times New Roman" w:eastAsia="Calibri" w:hAnsi="Times New Roman" w:cs="Times New Roman"/>
          <w:sz w:val="24"/>
          <w:szCs w:val="24"/>
          <w:lang w:eastAsia="lv-LV"/>
        </w:rPr>
        <w:t>Izmēģinājumprojektā iesa</w:t>
      </w:r>
      <w:r w:rsidR="008429BE" w:rsidRPr="0015154B">
        <w:rPr>
          <w:rFonts w:ascii="Times New Roman" w:eastAsia="Calibri" w:hAnsi="Times New Roman" w:cs="Times New Roman"/>
          <w:sz w:val="24"/>
          <w:szCs w:val="24"/>
          <w:lang w:eastAsia="lv-LV"/>
        </w:rPr>
        <w:t>i</w:t>
      </w:r>
      <w:r w:rsidRPr="0015154B">
        <w:rPr>
          <w:rFonts w:ascii="Times New Roman" w:eastAsia="Calibri" w:hAnsi="Times New Roman" w:cs="Times New Roman"/>
          <w:sz w:val="24"/>
          <w:szCs w:val="24"/>
          <w:lang w:eastAsia="lv-LV"/>
        </w:rPr>
        <w:t>stītie bērni un vecāki</w:t>
      </w:r>
      <w:r w:rsidR="008429BE" w:rsidRPr="0015154B">
        <w:rPr>
          <w:rFonts w:ascii="Times New Roman" w:eastAsia="Calibri" w:hAnsi="Times New Roman" w:cs="Times New Roman"/>
          <w:sz w:val="24"/>
          <w:szCs w:val="24"/>
          <w:lang w:eastAsia="lv-LV"/>
        </w:rPr>
        <w:t xml:space="preserve"> atzinuši gan individuālās, gan ģimenes dzīves kvalitātes uzlabošanos, īpaši emocionālās labklājības paaugstināšanos. Tāpat arī vērojam</w:t>
      </w:r>
      <w:r w:rsidR="000C220D">
        <w:rPr>
          <w:rFonts w:ascii="Times New Roman" w:eastAsia="Calibri" w:hAnsi="Times New Roman" w:cs="Times New Roman"/>
          <w:sz w:val="24"/>
          <w:szCs w:val="24"/>
          <w:lang w:eastAsia="lv-LV"/>
        </w:rPr>
        <w:t>a</w:t>
      </w:r>
      <w:r w:rsidR="008429BE" w:rsidRPr="0015154B">
        <w:rPr>
          <w:rFonts w:ascii="Times New Roman" w:eastAsia="Calibri" w:hAnsi="Times New Roman" w:cs="Times New Roman"/>
          <w:sz w:val="24"/>
          <w:szCs w:val="24"/>
          <w:lang w:eastAsia="lv-LV"/>
        </w:rPr>
        <w:t xml:space="preserve"> nozīmīga aktivitāšu </w:t>
      </w:r>
      <w:r w:rsidR="009A0784" w:rsidRPr="0015154B">
        <w:rPr>
          <w:rFonts w:ascii="Times New Roman" w:eastAsia="Calibri" w:hAnsi="Times New Roman" w:cs="Times New Roman"/>
          <w:sz w:val="24"/>
          <w:szCs w:val="24"/>
          <w:lang w:eastAsia="lv-LV"/>
        </w:rPr>
        <w:t>ierobežojumu</w:t>
      </w:r>
      <w:r w:rsidR="008429BE" w:rsidRPr="0015154B">
        <w:rPr>
          <w:rFonts w:ascii="Times New Roman" w:eastAsia="Calibri" w:hAnsi="Times New Roman" w:cs="Times New Roman"/>
          <w:sz w:val="24"/>
          <w:szCs w:val="24"/>
          <w:lang w:eastAsia="lv-LV"/>
        </w:rPr>
        <w:t xml:space="preserve"> mazināšanās bērniem kā ikdienas dzīvē un pienākumu veikšanā, tā arī izglītošanās procesā un mijiedarbībā ar citiem cilvēkiem. </w:t>
      </w:r>
      <w:r w:rsidR="00B43ACB" w:rsidRPr="0015154B">
        <w:rPr>
          <w:rFonts w:ascii="Times New Roman" w:eastAsia="Times New Roman" w:hAnsi="Times New Roman" w:cs="Times New Roman"/>
          <w:sz w:val="24"/>
          <w:szCs w:val="24"/>
          <w:lang w:eastAsia="lv-LV"/>
        </w:rPr>
        <w:t xml:space="preserve">Diemžēl </w:t>
      </w:r>
      <w:r w:rsidR="00B43ACB" w:rsidRPr="0015154B">
        <w:rPr>
          <w:rFonts w:ascii="Times New Roman" w:eastAsia="Times New Roman" w:hAnsi="Times New Roman" w:cs="Times New Roman"/>
          <w:sz w:val="24"/>
          <w:szCs w:val="24"/>
          <w:lang w:eastAsia="lv-LV"/>
        </w:rPr>
        <w:lastRenderedPageBreak/>
        <w:t>gan b</w:t>
      </w:r>
      <w:r w:rsidR="009978A2" w:rsidRPr="0015154B">
        <w:rPr>
          <w:rFonts w:ascii="Times New Roman" w:eastAsia="Calibri" w:hAnsi="Times New Roman" w:cs="Times New Roman"/>
          <w:sz w:val="24"/>
          <w:szCs w:val="24"/>
          <w:lang w:eastAsia="lv-LV"/>
        </w:rPr>
        <w:t>ērni</w:t>
      </w:r>
      <w:r w:rsidR="00B43ACB" w:rsidRPr="0015154B">
        <w:rPr>
          <w:rFonts w:ascii="Times New Roman" w:eastAsia="Calibri" w:hAnsi="Times New Roman" w:cs="Times New Roman"/>
          <w:sz w:val="24"/>
          <w:szCs w:val="24"/>
          <w:lang w:eastAsia="lv-LV"/>
        </w:rPr>
        <w:t>, gan vecāki</w:t>
      </w:r>
      <w:r w:rsidR="009978A2" w:rsidRPr="0015154B">
        <w:rPr>
          <w:rFonts w:ascii="Times New Roman" w:eastAsia="Calibri" w:hAnsi="Times New Roman" w:cs="Times New Roman"/>
          <w:bCs/>
          <w:sz w:val="24"/>
          <w:szCs w:val="24"/>
          <w:lang w:eastAsia="lv-LV"/>
        </w:rPr>
        <w:t xml:space="preserve"> uzrādīja zemāku par Eiropas normatīvajiem datiem ar veselību saistītu dzīves kvalitātes vidējo vērtējumu visās </w:t>
      </w:r>
      <w:r w:rsidR="009978A2" w:rsidRPr="0015154B">
        <w:rPr>
          <w:rFonts w:ascii="Times New Roman" w:eastAsia="Calibri" w:hAnsi="Times New Roman" w:cs="Times New Roman"/>
          <w:bCs/>
          <w:i/>
          <w:sz w:val="24"/>
          <w:szCs w:val="24"/>
          <w:lang w:eastAsia="lv-LV"/>
        </w:rPr>
        <w:t>KIDSCREEN</w:t>
      </w:r>
      <w:r w:rsidR="009978A2" w:rsidRPr="0015154B">
        <w:rPr>
          <w:rFonts w:ascii="Times New Roman" w:eastAsia="Calibri" w:hAnsi="Times New Roman" w:cs="Times New Roman"/>
          <w:bCs/>
          <w:sz w:val="24"/>
          <w:szCs w:val="24"/>
          <w:lang w:eastAsia="lv-LV"/>
        </w:rPr>
        <w:t xml:space="preserve"> dimensijās</w:t>
      </w:r>
      <w:r w:rsidR="008429BE" w:rsidRPr="0015154B">
        <w:rPr>
          <w:rFonts w:ascii="Times New Roman" w:eastAsia="Calibri" w:hAnsi="Times New Roman" w:cs="Times New Roman"/>
          <w:bCs/>
          <w:sz w:val="24"/>
          <w:szCs w:val="24"/>
          <w:lang w:eastAsia="lv-LV"/>
        </w:rPr>
        <w:t>.</w:t>
      </w:r>
      <w:r w:rsidR="009978A2" w:rsidRPr="007157D3">
        <w:rPr>
          <w:rFonts w:ascii="Times New Roman" w:eastAsia="Calibri" w:hAnsi="Times New Roman" w:cs="Times New Roman"/>
          <w:bCs/>
          <w:sz w:val="24"/>
          <w:szCs w:val="24"/>
          <w:vertAlign w:val="superscript"/>
          <w:lang w:eastAsia="lv-LV"/>
        </w:rPr>
        <w:footnoteReference w:id="130"/>
      </w:r>
    </w:p>
    <w:p w14:paraId="728882D6" w14:textId="344AFAA4" w:rsidR="009C3893" w:rsidRPr="0025422D" w:rsidRDefault="009C3893" w:rsidP="00AC38FA">
      <w:pPr>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Izmēģinājumprojekta īstenošanas laikā visvairāk finansējuma tika izlietots veselības aprūpes grupas pakalpojumiem un sociālajiem pakalpojumiem, kuri veicina bērniem zaudētās funkcijas kompensēšanu.</w:t>
      </w:r>
      <w:r w:rsidRPr="002F5278">
        <w:rPr>
          <w:rFonts w:ascii="Times New Roman" w:hAnsi="Times New Roman" w:cs="Times New Roman"/>
          <w:sz w:val="24"/>
          <w:szCs w:val="24"/>
        </w:rPr>
        <w:t xml:space="preserve"> Visbiežāk izmanto</w:t>
      </w:r>
      <w:r w:rsidRPr="00573B49">
        <w:rPr>
          <w:rFonts w:ascii="Times New Roman" w:hAnsi="Times New Roman" w:cs="Times New Roman"/>
          <w:sz w:val="24"/>
          <w:szCs w:val="24"/>
        </w:rPr>
        <w:t xml:space="preserve">tie pakalpojumi bija </w:t>
      </w:r>
      <w:r w:rsidRPr="00573B49">
        <w:rPr>
          <w:rFonts w:ascii="Times New Roman" w:eastAsia="Times New Roman" w:hAnsi="Times New Roman" w:cs="Times New Roman"/>
          <w:color w:val="000000"/>
          <w:sz w:val="24"/>
          <w:szCs w:val="24"/>
          <w:lang w:eastAsia="lv-LV"/>
        </w:rPr>
        <w:t xml:space="preserve">fizioterapeita nodarbības, mūzikas terapijas nodarbības, asistenta un pavadoņa pakalpojums, aprūpes mājās pakalpojums, speciālā pedagoga nodarbības. </w:t>
      </w:r>
      <w:r w:rsidRPr="00573B49">
        <w:rPr>
          <w:rFonts w:ascii="Times New Roman" w:hAnsi="Times New Roman" w:cs="Times New Roman"/>
          <w:sz w:val="24"/>
          <w:szCs w:val="24"/>
        </w:rPr>
        <w:t xml:space="preserve">Vērtējot vidēji uz vienu bērnu izlietoto finansējumu pa </w:t>
      </w:r>
      <w:r w:rsidR="009A0784">
        <w:rPr>
          <w:rFonts w:ascii="Times New Roman" w:hAnsi="Times New Roman" w:cs="Times New Roman"/>
          <w:sz w:val="24"/>
          <w:szCs w:val="24"/>
        </w:rPr>
        <w:t>funkcionālo traucējumu</w:t>
      </w:r>
      <w:r w:rsidRPr="00573B49">
        <w:rPr>
          <w:rFonts w:ascii="Times New Roman" w:hAnsi="Times New Roman" w:cs="Times New Roman"/>
          <w:sz w:val="24"/>
          <w:szCs w:val="24"/>
        </w:rPr>
        <w:t xml:space="preserve"> veidiem, secināms, ka vislielākais atbalsts nepieciešamas bērniem ar GRT un multifunkcionāliem traucējumiem. Izmēģinājumprojektā apstiprinājās izvirzītais pieņēmums, ka vidēji bērniem, kuriem ir piešķirts VDEĀVK atzinums par īpašas kopšanas nepieciešamību sakarā ar smagiem FT, ir n</w:t>
      </w:r>
      <w:r w:rsidRPr="0025422D">
        <w:rPr>
          <w:rFonts w:ascii="Times New Roman" w:hAnsi="Times New Roman" w:cs="Times New Roman"/>
          <w:sz w:val="24"/>
          <w:szCs w:val="24"/>
        </w:rPr>
        <w:t>epieciešams lielāks finansējums nekā bērniem, kuriem šāds atzinums nav piešķirts. Starp bērniem, kuriem nav noteikta īpaša kopšana, lielāks finansējums nepieciešams bērniem vecuma grupā no 3 līdz 8 gadiem.</w:t>
      </w:r>
    </w:p>
    <w:p w14:paraId="28FE23B0" w14:textId="2BD004BE" w:rsidR="000247F3" w:rsidRPr="0015154B" w:rsidRDefault="009C3893" w:rsidP="009A0784">
      <w:pPr>
        <w:pBdr>
          <w:top w:val="nil"/>
          <w:left w:val="nil"/>
          <w:bottom w:val="nil"/>
          <w:right w:val="nil"/>
          <w:between w:val="nil"/>
        </w:pBdr>
        <w:spacing w:before="120" w:after="0" w:line="240" w:lineRule="auto"/>
        <w:ind w:firstLine="720"/>
        <w:jc w:val="both"/>
        <w:rPr>
          <w:rFonts w:ascii="Times New Roman" w:eastAsia="Times New Roman" w:hAnsi="Times New Roman" w:cs="Times New Roman"/>
          <w:color w:val="222222"/>
          <w:sz w:val="24"/>
          <w:szCs w:val="24"/>
          <w:lang w:eastAsia="lv-LV"/>
        </w:rPr>
      </w:pPr>
      <w:r w:rsidRPr="00A857F2">
        <w:rPr>
          <w:rFonts w:ascii="Times New Roman" w:eastAsia="Times New Roman" w:hAnsi="Times New Roman" w:cs="Times New Roman"/>
          <w:color w:val="222222"/>
          <w:sz w:val="24"/>
          <w:szCs w:val="24"/>
          <w:lang w:eastAsia="lv-LV"/>
        </w:rPr>
        <w:t>Rezultāti liecina, ka ir nepieciešams būtiski uzlabot sadarbību starp sociāl</w:t>
      </w:r>
      <w:r w:rsidRPr="00662D1E">
        <w:rPr>
          <w:rFonts w:ascii="Times New Roman" w:eastAsia="Times New Roman" w:hAnsi="Times New Roman" w:cs="Times New Roman"/>
          <w:color w:val="222222"/>
          <w:sz w:val="24"/>
          <w:szCs w:val="24"/>
          <w:lang w:eastAsia="lv-LV"/>
        </w:rPr>
        <w:t xml:space="preserve">o, veselības un izglītības jomām, nodrošinot integrēto pieeju atbalsta nodrošināšanā atbilstoši bērnu ar </w:t>
      </w:r>
      <w:r w:rsidR="009A0784">
        <w:rPr>
          <w:rFonts w:ascii="Times New Roman" w:eastAsia="Times New Roman" w:hAnsi="Times New Roman" w:cs="Times New Roman"/>
          <w:color w:val="222222"/>
          <w:sz w:val="24"/>
          <w:szCs w:val="24"/>
          <w:lang w:eastAsia="lv-LV"/>
        </w:rPr>
        <w:t>funkcionāliem traucējumiem</w:t>
      </w:r>
      <w:r w:rsidRPr="00662D1E">
        <w:rPr>
          <w:rFonts w:ascii="Times New Roman" w:eastAsia="Times New Roman" w:hAnsi="Times New Roman" w:cs="Times New Roman"/>
          <w:color w:val="222222"/>
          <w:sz w:val="24"/>
          <w:szCs w:val="24"/>
          <w:lang w:eastAsia="lv-LV"/>
        </w:rPr>
        <w:t xml:space="preserve"> individuālajām vajadzībām. </w:t>
      </w:r>
      <w:r w:rsidR="009978A2" w:rsidRPr="009703E6">
        <w:rPr>
          <w:rFonts w:ascii="Times New Roman" w:hAnsi="Times New Roman" w:cs="Times New Roman"/>
          <w:sz w:val="24"/>
          <w:szCs w:val="24"/>
        </w:rPr>
        <w:t>Šobrīd nav organizēta informācijas aprite starp izglītības iestādi, vecākiem, ārstu – rehabilitologu vai ģimenes ārstu, k</w:t>
      </w:r>
      <w:r w:rsidR="009978A2" w:rsidRPr="0015154B">
        <w:rPr>
          <w:rFonts w:ascii="Times New Roman" w:hAnsi="Times New Roman" w:cs="Times New Roman"/>
          <w:sz w:val="24"/>
          <w:szCs w:val="24"/>
        </w:rPr>
        <w:t>ā arī pašvaldības sociālo darbinieku, lai izstrādātu un īstenotu vienotu atbalsta plānu un bērni saņemtu rehabilitācijas pakalpojumus atbilstošā apjomā un intensitātē. Izmēģinājumprojektā iesaistītie vecāki nebija pietiekami informēti par bērnam nodrošinātajiem pakalpojumiem, to veidiem, intensitāti un rezultātiem izglītības iestādēs, kas apgrūtināja pilnvērtīga atbalsta plāna izstrādi, kurā tiktu ņemti vērā visi bērnam nodrošinātie pakalpojumi un bērna noslodze</w:t>
      </w:r>
      <w:r w:rsidR="009A0784">
        <w:rPr>
          <w:rFonts w:ascii="Times New Roman" w:hAnsi="Times New Roman" w:cs="Times New Roman"/>
          <w:sz w:val="24"/>
          <w:szCs w:val="24"/>
        </w:rPr>
        <w:t>, kā arī visaptverošs atbalsts ģimenei</w:t>
      </w:r>
      <w:r w:rsidR="009978A2" w:rsidRPr="0015154B">
        <w:rPr>
          <w:rFonts w:ascii="Times New Roman" w:hAnsi="Times New Roman" w:cs="Times New Roman"/>
          <w:sz w:val="24"/>
          <w:szCs w:val="24"/>
        </w:rPr>
        <w:t>.</w:t>
      </w:r>
      <w:r w:rsidRPr="0015154B">
        <w:rPr>
          <w:rFonts w:ascii="Times New Roman" w:eastAsia="Times New Roman" w:hAnsi="Times New Roman" w:cs="Times New Roman"/>
          <w:color w:val="222222"/>
          <w:sz w:val="24"/>
          <w:szCs w:val="24"/>
          <w:lang w:eastAsia="lv-LV"/>
        </w:rPr>
        <w:t xml:space="preserve"> </w:t>
      </w:r>
      <w:r w:rsidR="000247F3" w:rsidRPr="0015154B">
        <w:rPr>
          <w:rFonts w:ascii="Times New Roman" w:hAnsi="Times New Roman" w:cs="Times New Roman"/>
          <w:sz w:val="24"/>
          <w:szCs w:val="24"/>
        </w:rPr>
        <w:t xml:space="preserve">Līdz ar to viegli uztverama informācija par pieejamajiem veselības, izglītības un sociālajiem pakalpojumiem un to saņemšanas kārtību </w:t>
      </w:r>
      <w:r w:rsidR="009A0784" w:rsidRPr="0015154B">
        <w:rPr>
          <w:rFonts w:ascii="Times New Roman" w:hAnsi="Times New Roman" w:cs="Times New Roman"/>
          <w:sz w:val="24"/>
          <w:szCs w:val="24"/>
        </w:rPr>
        <w:t xml:space="preserve">nākotnē </w:t>
      </w:r>
      <w:r w:rsidR="000247F3" w:rsidRPr="0015154B">
        <w:rPr>
          <w:rFonts w:ascii="Times New Roman" w:hAnsi="Times New Roman" w:cs="Times New Roman"/>
          <w:sz w:val="24"/>
          <w:szCs w:val="24"/>
        </w:rPr>
        <w:t>veicinātu vecākiem un bērniem nepieciešamo un pieejamo pakalpojumu izmantošanu.</w:t>
      </w:r>
    </w:p>
    <w:p w14:paraId="4961D919" w14:textId="77777777" w:rsidR="000247F3" w:rsidRPr="0015154B" w:rsidRDefault="009978A2" w:rsidP="009A0784">
      <w:pPr>
        <w:pBdr>
          <w:top w:val="nil"/>
          <w:left w:val="nil"/>
          <w:bottom w:val="nil"/>
          <w:right w:val="nil"/>
          <w:between w:val="nil"/>
        </w:pBdr>
        <w:spacing w:before="120" w:after="0" w:line="240" w:lineRule="auto"/>
        <w:ind w:firstLine="720"/>
        <w:jc w:val="both"/>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color w:val="222222"/>
          <w:sz w:val="24"/>
          <w:szCs w:val="24"/>
          <w:lang w:eastAsia="lv-LV"/>
        </w:rPr>
        <w:t xml:space="preserve">Izmēģinājumprojekta rezultātu analīze ļauj pārliecinoši apgalvot, ka </w:t>
      </w:r>
      <w:r w:rsidR="000247F3" w:rsidRPr="0015154B">
        <w:rPr>
          <w:rFonts w:ascii="Times New Roman" w:hAnsi="Times New Roman" w:cs="Times New Roman"/>
          <w:sz w:val="24"/>
          <w:szCs w:val="24"/>
        </w:rPr>
        <w:t>IB metodika ir efektīvs pakalpojumu finansēšanas mehānisms, kas rada pozitīvas izmaiņas bērna funkcionēšanas stāvoklī un uzlabo bērnu un vecāku dzīves kvalitāti. IB pieeja vislielākā mērā sekmē bērna ar FT un viņa vecāku pašnoteikšanās iespējas un nodrošina individualizētu atbalstu, tādējādi veicinot iespējami labākā rezultāta sasniegšanu bērnam un viņa ģimenei kopumā</w:t>
      </w:r>
      <w:r w:rsidRPr="0015154B">
        <w:rPr>
          <w:rFonts w:ascii="Times New Roman" w:eastAsia="Times New Roman" w:hAnsi="Times New Roman" w:cs="Times New Roman"/>
          <w:color w:val="222222"/>
          <w:sz w:val="24"/>
          <w:szCs w:val="24"/>
          <w:lang w:eastAsia="lv-LV"/>
        </w:rPr>
        <w:t>.</w:t>
      </w:r>
      <w:r w:rsidR="00B43ACB" w:rsidRPr="0015154B">
        <w:rPr>
          <w:rFonts w:ascii="Times New Roman" w:eastAsia="Times New Roman" w:hAnsi="Times New Roman" w:cs="Times New Roman"/>
          <w:color w:val="222222"/>
          <w:sz w:val="24"/>
          <w:szCs w:val="24"/>
          <w:lang w:eastAsia="lv-LV"/>
        </w:rPr>
        <w:t xml:space="preserve"> </w:t>
      </w:r>
      <w:r w:rsidR="000247F3" w:rsidRPr="0015154B">
        <w:rPr>
          <w:rFonts w:ascii="Times New Roman" w:eastAsia="Times New Roman" w:hAnsi="Times New Roman" w:cs="Times New Roman"/>
          <w:color w:val="222222"/>
          <w:sz w:val="24"/>
          <w:szCs w:val="24"/>
          <w:lang w:eastAsia="lv-LV"/>
        </w:rPr>
        <w:t>Izmēģinājumprojekts apliecina individuālo vajadzību izvērtēšanas un individuāli piemeklēto pakalpojumu svarīgumu kopējās pozitīvās dinamikas sasniegšanai.</w:t>
      </w:r>
    </w:p>
    <w:p w14:paraId="60C69C63" w14:textId="3CB79F80" w:rsidR="009978A2" w:rsidRPr="0015154B" w:rsidRDefault="009978A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Izm</w:t>
      </w:r>
      <w:r w:rsidR="000247F3" w:rsidRPr="0015154B">
        <w:rPr>
          <w:rFonts w:ascii="Times New Roman" w:hAnsi="Times New Roman" w:cs="Times New Roman"/>
          <w:sz w:val="24"/>
          <w:szCs w:val="24"/>
        </w:rPr>
        <w:t>ē</w:t>
      </w:r>
      <w:r w:rsidRPr="0015154B">
        <w:rPr>
          <w:rFonts w:ascii="Times New Roman" w:hAnsi="Times New Roman" w:cs="Times New Roman"/>
          <w:sz w:val="24"/>
          <w:szCs w:val="24"/>
        </w:rPr>
        <w:t xml:space="preserve">ģinājumprojekta laikā īpaši atzinīgi tika vērtēts, </w:t>
      </w:r>
      <w:r w:rsidR="000247F3" w:rsidRPr="0015154B">
        <w:rPr>
          <w:rFonts w:ascii="Times New Roman" w:hAnsi="Times New Roman" w:cs="Times New Roman"/>
          <w:sz w:val="24"/>
          <w:szCs w:val="24"/>
        </w:rPr>
        <w:t>ka</w:t>
      </w:r>
      <w:r w:rsidRPr="0015154B">
        <w:rPr>
          <w:rFonts w:ascii="Times New Roman" w:hAnsi="Times New Roman" w:cs="Times New Roman"/>
          <w:sz w:val="24"/>
          <w:szCs w:val="24"/>
        </w:rPr>
        <w:t xml:space="preserve"> bērna un vecāku vajadzību izvērtēšanu veic multiprofesionāļu komanda, definējot katram bērnam un vecākiem sasniedzamos mērķus un to sasniegšanai nepieciešamos sociālos, veselības un izglītības pakalpojumus, nodrošinot integrēto pieeju atbalsta sniegšanā. Taču </w:t>
      </w:r>
      <w:r w:rsidR="000247F3" w:rsidRPr="0015154B">
        <w:rPr>
          <w:rFonts w:ascii="Times New Roman" w:hAnsi="Times New Roman" w:cs="Times New Roman"/>
          <w:sz w:val="24"/>
          <w:szCs w:val="24"/>
        </w:rPr>
        <w:t>ierobežotās fiskālās situācijas</w:t>
      </w:r>
      <w:r w:rsidRPr="0015154B">
        <w:rPr>
          <w:rFonts w:ascii="Times New Roman" w:hAnsi="Times New Roman" w:cs="Times New Roman"/>
          <w:sz w:val="24"/>
          <w:szCs w:val="24"/>
        </w:rPr>
        <w:t xml:space="preserve"> </w:t>
      </w:r>
      <w:r w:rsidR="000247F3" w:rsidRPr="0015154B">
        <w:rPr>
          <w:rFonts w:ascii="Times New Roman" w:hAnsi="Times New Roman" w:cs="Times New Roman"/>
          <w:sz w:val="24"/>
          <w:szCs w:val="24"/>
        </w:rPr>
        <w:t>dēļ v</w:t>
      </w:r>
      <w:r w:rsidRPr="0015154B">
        <w:rPr>
          <w:rFonts w:ascii="Times New Roman" w:hAnsi="Times New Roman" w:cs="Times New Roman"/>
          <w:sz w:val="24"/>
          <w:szCs w:val="24"/>
        </w:rPr>
        <w:t>alstī nav resursu, lai nodrošinātu šādas komandas darbu un nodrošinātu profesionālu vajadzību izvērtēšanu un mērķtiecīga un savstarpēji papildinoša atbalsta sniegšanu.</w:t>
      </w:r>
      <w:r w:rsidR="00E007DF">
        <w:rPr>
          <w:rFonts w:ascii="Times New Roman" w:hAnsi="Times New Roman" w:cs="Times New Roman"/>
          <w:sz w:val="24"/>
          <w:szCs w:val="24"/>
        </w:rPr>
        <w:t xml:space="preserve"> Vidēja termiņa uzdevums ir rast risinājumu šī izmēģinājumprojekta rezultātu plašākai izmantošanai un ieviešanai.</w:t>
      </w:r>
    </w:p>
    <w:p w14:paraId="3E6A5A3B" w14:textId="77777777" w:rsidR="009978A2" w:rsidRPr="0015154B" w:rsidRDefault="009978A2" w:rsidP="009978A2">
      <w:pPr>
        <w:spacing w:after="0" w:line="240" w:lineRule="auto"/>
        <w:ind w:left="720"/>
        <w:contextualSpacing/>
        <w:jc w:val="both"/>
        <w:rPr>
          <w:rFonts w:ascii="Times New Roman" w:eastAsia="Calibri" w:hAnsi="Times New Roman" w:cs="Times New Roman"/>
          <w:b/>
          <w:bCs/>
          <w:sz w:val="24"/>
          <w:szCs w:val="24"/>
        </w:rPr>
      </w:pPr>
    </w:p>
    <w:p w14:paraId="1114623A" w14:textId="66B41816" w:rsidR="009978A2" w:rsidRPr="0015154B" w:rsidRDefault="009978A2" w:rsidP="001101F7">
      <w:pPr>
        <w:pStyle w:val="Heading3"/>
        <w:rPr>
          <w:rFonts w:eastAsia="Calibri"/>
        </w:rPr>
      </w:pPr>
      <w:bookmarkStart w:id="45" w:name="_Toc55316084"/>
      <w:r w:rsidRPr="0015154B">
        <w:rPr>
          <w:rFonts w:eastAsia="Calibri"/>
        </w:rPr>
        <w:t>Funkcionālo traucējumu kompensēšana ar tehniskajiem palīglīdzekļiem</w:t>
      </w:r>
      <w:bookmarkEnd w:id="45"/>
    </w:p>
    <w:p w14:paraId="3381625E" w14:textId="27372893" w:rsidR="009978A2" w:rsidRPr="0015154B" w:rsidRDefault="009978A2" w:rsidP="00AC38FA">
      <w:pPr>
        <w:widowControl w:val="0"/>
        <w:spacing w:before="120" w:after="0" w:line="240" w:lineRule="auto"/>
        <w:ind w:firstLine="709"/>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Tehniskie palīglīdzekļi (turpmāk -TPL)</w:t>
      </w:r>
      <w:r w:rsidRPr="0015154B">
        <w:rPr>
          <w:rFonts w:ascii="Times New Roman" w:eastAsia="Times New Roman" w:hAnsi="Times New Roman" w:cs="Times New Roman"/>
          <w:b/>
          <w:bCs/>
          <w:sz w:val="24"/>
          <w:szCs w:val="24"/>
          <w:lang w:eastAsia="lv-LV"/>
        </w:rPr>
        <w:t xml:space="preserve"> </w:t>
      </w:r>
      <w:r w:rsidRPr="0015154B">
        <w:rPr>
          <w:rFonts w:ascii="Times New Roman" w:eastAsia="Times New Roman" w:hAnsi="Times New Roman" w:cs="Times New Roman"/>
          <w:bCs/>
          <w:sz w:val="24"/>
          <w:szCs w:val="24"/>
          <w:lang w:eastAsia="lv-LV"/>
        </w:rPr>
        <w:t>ir aprīkojums vai dažādas tehniskās sistēmas, kas novērš, kompensē, atvieglo vai neitralizē funkcijas pazeminājumu vai invaliditāti</w:t>
      </w:r>
      <w:r w:rsidR="002F3BEA" w:rsidRPr="0015154B">
        <w:rPr>
          <w:rFonts w:ascii="Times New Roman" w:eastAsia="Times New Roman" w:hAnsi="Times New Roman" w:cs="Times New Roman"/>
          <w:bCs/>
          <w:sz w:val="24"/>
          <w:szCs w:val="24"/>
          <w:lang w:eastAsia="lv-LV"/>
        </w:rPr>
        <w:t>.</w:t>
      </w:r>
      <w:r w:rsidRPr="007157D3">
        <w:rPr>
          <w:rFonts w:ascii="Times New Roman" w:eastAsia="Times New Roman" w:hAnsi="Times New Roman" w:cs="Times New Roman"/>
          <w:bCs/>
          <w:sz w:val="24"/>
          <w:szCs w:val="24"/>
          <w:vertAlign w:val="superscript"/>
          <w:lang w:eastAsia="lv-LV"/>
        </w:rPr>
        <w:footnoteReference w:id="131"/>
      </w:r>
      <w:r w:rsidRPr="007157D3">
        <w:rPr>
          <w:rFonts w:ascii="Times New Roman" w:eastAsia="Times New Roman" w:hAnsi="Times New Roman" w:cs="Times New Roman"/>
          <w:bCs/>
          <w:sz w:val="24"/>
          <w:szCs w:val="24"/>
          <w:lang w:eastAsia="lv-LV"/>
        </w:rPr>
        <w:t xml:space="preserve"> Lai </w:t>
      </w:r>
      <w:r w:rsidRPr="007157D3">
        <w:rPr>
          <w:rFonts w:ascii="Times New Roman" w:eastAsia="Times New Roman" w:hAnsi="Times New Roman" w:cs="Times New Roman"/>
          <w:bCs/>
          <w:sz w:val="24"/>
          <w:szCs w:val="24"/>
          <w:lang w:eastAsia="lv-LV"/>
        </w:rPr>
        <w:lastRenderedPageBreak/>
        <w:t>g</w:t>
      </w:r>
      <w:r w:rsidRPr="007157D3">
        <w:rPr>
          <w:rFonts w:ascii="Times New Roman" w:eastAsia="Calibri" w:hAnsi="Times New Roman" w:cs="Times New Roman"/>
          <w:sz w:val="24"/>
          <w:szCs w:val="24"/>
        </w:rPr>
        <w:t xml:space="preserve">an TPL nodrošināšanai paredzētais finansējums un TPL saņēmēju skaits kopš 2014.gada ir palielinājies, viens no būtiskākajiem trūkumiem pakalpojuma attīstībā </w:t>
      </w:r>
      <w:r w:rsidR="000C220D">
        <w:rPr>
          <w:rFonts w:ascii="Times New Roman" w:eastAsia="Calibri" w:hAnsi="Times New Roman" w:cs="Times New Roman"/>
          <w:sz w:val="24"/>
          <w:szCs w:val="24"/>
        </w:rPr>
        <w:t xml:space="preserve">ir </w:t>
      </w:r>
      <w:r w:rsidRPr="007157D3">
        <w:rPr>
          <w:rFonts w:ascii="Times New Roman" w:eastAsia="Calibri" w:hAnsi="Times New Roman" w:cs="Times New Roman"/>
          <w:sz w:val="24"/>
          <w:szCs w:val="24"/>
        </w:rPr>
        <w:t xml:space="preserve">tas, ka ierobežotais finansējuma apjoms nenosedz </w:t>
      </w:r>
      <w:r w:rsidRPr="002F5278">
        <w:rPr>
          <w:rFonts w:ascii="Times New Roman" w:eastAsia="Calibri" w:hAnsi="Times New Roman" w:cs="Times New Roman"/>
          <w:b/>
          <w:sz w:val="24"/>
          <w:szCs w:val="24"/>
        </w:rPr>
        <w:t>strauji augošo p</w:t>
      </w:r>
      <w:r w:rsidRPr="00573B49">
        <w:rPr>
          <w:rFonts w:ascii="Times New Roman" w:eastAsia="Calibri" w:hAnsi="Times New Roman" w:cs="Times New Roman"/>
          <w:b/>
          <w:sz w:val="24"/>
          <w:szCs w:val="24"/>
        </w:rPr>
        <w:t>ieprasījumu</w:t>
      </w:r>
      <w:r w:rsidR="0090281E" w:rsidRPr="00573B49">
        <w:rPr>
          <w:rFonts w:ascii="Times New Roman" w:eastAsia="Calibri" w:hAnsi="Times New Roman" w:cs="Times New Roman"/>
          <w:sz w:val="24"/>
          <w:szCs w:val="24"/>
        </w:rPr>
        <w:t xml:space="preserve"> (</w:t>
      </w:r>
      <w:r w:rsidR="0090281E" w:rsidRPr="00573B49">
        <w:rPr>
          <w:rFonts w:ascii="Times New Roman" w:eastAsia="Calibri" w:hAnsi="Times New Roman" w:cs="Times New Roman"/>
          <w:sz w:val="24"/>
          <w:szCs w:val="24"/>
          <w:highlight w:val="yellow"/>
        </w:rPr>
        <w:t>skat.</w:t>
      </w:r>
      <w:r w:rsidR="006D4103">
        <w:rPr>
          <w:rFonts w:ascii="Times New Roman" w:eastAsia="Calibri" w:hAnsi="Times New Roman" w:cs="Times New Roman"/>
          <w:sz w:val="24"/>
          <w:szCs w:val="24"/>
          <w:highlight w:val="yellow"/>
        </w:rPr>
        <w:t xml:space="preserve"> </w:t>
      </w:r>
      <w:r w:rsidR="0090281E" w:rsidRPr="00573B49">
        <w:rPr>
          <w:rFonts w:ascii="Times New Roman" w:eastAsia="Calibri" w:hAnsi="Times New Roman" w:cs="Times New Roman"/>
          <w:sz w:val="24"/>
          <w:szCs w:val="24"/>
          <w:highlight w:val="yellow"/>
        </w:rPr>
        <w:t>3.pielikuma 15.</w:t>
      </w:r>
      <w:r w:rsidR="00E1506E" w:rsidRPr="00573B49">
        <w:rPr>
          <w:rFonts w:ascii="Times New Roman" w:eastAsia="Calibri" w:hAnsi="Times New Roman" w:cs="Times New Roman"/>
          <w:sz w:val="24"/>
          <w:szCs w:val="24"/>
          <w:highlight w:val="yellow"/>
        </w:rPr>
        <w:t xml:space="preserve"> un</w:t>
      </w:r>
      <w:r w:rsidR="0090281E" w:rsidRPr="0025422D">
        <w:rPr>
          <w:rFonts w:ascii="Times New Roman" w:eastAsia="Calibri" w:hAnsi="Times New Roman" w:cs="Times New Roman"/>
          <w:sz w:val="24"/>
          <w:szCs w:val="24"/>
          <w:highlight w:val="yellow"/>
        </w:rPr>
        <w:t xml:space="preserve"> 16.tabulu</w:t>
      </w:r>
      <w:r w:rsidR="0090281E" w:rsidRPr="00A857F2">
        <w:rPr>
          <w:rFonts w:ascii="Times New Roman" w:eastAsia="Calibri" w:hAnsi="Times New Roman" w:cs="Times New Roman"/>
          <w:sz w:val="24"/>
          <w:szCs w:val="24"/>
        </w:rPr>
        <w:t>)</w:t>
      </w:r>
      <w:r w:rsidRPr="00662D1E">
        <w:rPr>
          <w:rFonts w:ascii="Times New Roman" w:eastAsia="Calibri" w:hAnsi="Times New Roman" w:cs="Times New Roman"/>
          <w:sz w:val="24"/>
          <w:szCs w:val="24"/>
        </w:rPr>
        <w:t>. Pieprasījuma pieaugumu ietekmē personu, kurām gadā pirmreizēji noteikta invaliditāte, skaita pieaugums, sabiedrības novecošanās u.c. faktori. Jo dārgāks un pieprasītāks ir nepieciešamais TPL, jo ilgāks gaidīšanas laiks rindā tā saņem</w:t>
      </w:r>
      <w:r w:rsidRPr="009703E6">
        <w:rPr>
          <w:rFonts w:ascii="Times New Roman" w:eastAsia="Calibri" w:hAnsi="Times New Roman" w:cs="Times New Roman"/>
          <w:sz w:val="24"/>
          <w:szCs w:val="24"/>
        </w:rPr>
        <w:t xml:space="preserve">šanai, </w:t>
      </w:r>
      <w:r w:rsidR="009A0784">
        <w:rPr>
          <w:rFonts w:ascii="Times New Roman" w:eastAsia="Calibri" w:hAnsi="Times New Roman" w:cs="Times New Roman"/>
          <w:sz w:val="24"/>
          <w:szCs w:val="24"/>
        </w:rPr>
        <w:t>un</w:t>
      </w:r>
      <w:r w:rsidRPr="009703E6">
        <w:rPr>
          <w:rFonts w:ascii="Times New Roman" w:eastAsia="Calibri" w:hAnsi="Times New Roman" w:cs="Times New Roman"/>
          <w:sz w:val="24"/>
          <w:szCs w:val="24"/>
        </w:rPr>
        <w:t xml:space="preserve"> finanšu ietilpības dēļ tie tiek iepirkti ierobežotā apjomā. TPL nolietojas, kā rezultātā, arī personas, kuras jau ir saņēmušas TPL, vēršas pēc tiem atkārtoti. Finansējuma nepietiekamais apjoms TPL pakalpojuma nodrošināšanai līdz šim nav ļāvis paa</w:t>
      </w:r>
      <w:r w:rsidRPr="0015154B">
        <w:rPr>
          <w:rFonts w:ascii="Times New Roman" w:eastAsia="Calibri" w:hAnsi="Times New Roman" w:cs="Times New Roman"/>
          <w:sz w:val="24"/>
          <w:szCs w:val="24"/>
        </w:rPr>
        <w:t xml:space="preserve">ugstināt TPL “bāzes cenas”, attiecīgi publisko iepirkumu TPL jomā primāri orientējot uz nepieciešamību nodrošināt ar TPL pakalpojumu pēc iespējas lielāku saņēmēju skaitu. </w:t>
      </w:r>
    </w:p>
    <w:p w14:paraId="05A77922" w14:textId="7B8E8E85" w:rsidR="009978A2" w:rsidRPr="0015154B" w:rsidRDefault="009978A2" w:rsidP="00AC38FA">
      <w:pPr>
        <w:widowControl w:val="0"/>
        <w:spacing w:before="120" w:after="0" w:line="240" w:lineRule="auto"/>
        <w:ind w:firstLine="709"/>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 xml:space="preserve">Lai veicinātu patērētāju tiešās izvēles iespējas, no 2016.gada TPL saņemšanā iespējams </w:t>
      </w:r>
      <w:r w:rsidRPr="0015154B">
        <w:rPr>
          <w:rFonts w:ascii="Times New Roman" w:eastAsia="Calibri" w:hAnsi="Times New Roman" w:cs="Times New Roman"/>
          <w:b/>
          <w:sz w:val="24"/>
          <w:szCs w:val="24"/>
        </w:rPr>
        <w:t>kompensācijas mehānisms</w:t>
      </w:r>
      <w:r w:rsidRPr="0015154B">
        <w:rPr>
          <w:rFonts w:ascii="Times New Roman" w:eastAsia="Calibri" w:hAnsi="Times New Roman" w:cs="Times New Roman"/>
          <w:sz w:val="24"/>
          <w:szCs w:val="24"/>
        </w:rPr>
        <w:t xml:space="preserve">, t.i., </w:t>
      </w:r>
      <w:r w:rsidR="00527FBD" w:rsidRPr="0015154B">
        <w:rPr>
          <w:rFonts w:ascii="Times New Roman" w:eastAsia="Calibri" w:hAnsi="Times New Roman" w:cs="Times New Roman"/>
          <w:sz w:val="24"/>
          <w:szCs w:val="24"/>
        </w:rPr>
        <w:t xml:space="preserve">noteiktus TPL persona var </w:t>
      </w:r>
      <w:r w:rsidRPr="0015154B">
        <w:rPr>
          <w:rFonts w:ascii="Times New Roman" w:eastAsia="Calibri" w:hAnsi="Times New Roman" w:cs="Times New Roman"/>
          <w:sz w:val="24"/>
          <w:szCs w:val="24"/>
        </w:rPr>
        <w:t>iegādā</w:t>
      </w:r>
      <w:r w:rsidR="00527FBD" w:rsidRPr="0015154B">
        <w:rPr>
          <w:rFonts w:ascii="Times New Roman" w:eastAsia="Calibri" w:hAnsi="Times New Roman" w:cs="Times New Roman"/>
          <w:sz w:val="24"/>
          <w:szCs w:val="24"/>
        </w:rPr>
        <w:t>ties</w:t>
      </w:r>
      <w:r w:rsidRPr="0015154B">
        <w:rPr>
          <w:rFonts w:ascii="Times New Roman" w:eastAsia="Calibri" w:hAnsi="Times New Roman" w:cs="Times New Roman"/>
          <w:sz w:val="24"/>
          <w:szCs w:val="24"/>
        </w:rPr>
        <w:t xml:space="preserve"> par saviem līdzekļiem kādā no </w:t>
      </w:r>
      <w:r w:rsidR="00271840" w:rsidRPr="0015154B">
        <w:rPr>
          <w:rFonts w:ascii="Times New Roman" w:eastAsia="Calibri" w:hAnsi="Times New Roman" w:cs="Times New Roman"/>
          <w:sz w:val="24"/>
          <w:szCs w:val="24"/>
        </w:rPr>
        <w:t>ES</w:t>
      </w:r>
      <w:r w:rsidRPr="0015154B">
        <w:rPr>
          <w:rFonts w:ascii="Times New Roman" w:eastAsia="Calibri" w:hAnsi="Times New Roman" w:cs="Times New Roman"/>
          <w:sz w:val="24"/>
          <w:szCs w:val="24"/>
        </w:rPr>
        <w:t xml:space="preserve"> dalībvalstīm</w:t>
      </w:r>
      <w:r w:rsidR="002F3BEA" w:rsidRPr="0015154B">
        <w:rPr>
          <w:rFonts w:ascii="Times New Roman" w:eastAsia="Calibri" w:hAnsi="Times New Roman" w:cs="Times New Roman"/>
          <w:sz w:val="24"/>
          <w:szCs w:val="24"/>
        </w:rPr>
        <w:t xml:space="preserve"> un,</w:t>
      </w:r>
      <w:r w:rsidRPr="0015154B">
        <w:rPr>
          <w:rFonts w:ascii="Times New Roman" w:eastAsia="Calibri" w:hAnsi="Times New Roman" w:cs="Times New Roman"/>
          <w:sz w:val="24"/>
          <w:szCs w:val="24"/>
        </w:rPr>
        <w:t xml:space="preserve"> pienākot rindai, personai no valsts budžeta līdzekļiem izmaksā kompensāciju </w:t>
      </w:r>
      <w:r w:rsidR="002F3BEA" w:rsidRPr="0015154B">
        <w:rPr>
          <w:rFonts w:ascii="Times New Roman" w:eastAsia="Calibri" w:hAnsi="Times New Roman" w:cs="Times New Roman"/>
          <w:sz w:val="24"/>
          <w:szCs w:val="24"/>
        </w:rPr>
        <w:t>noteiktā apmērā</w:t>
      </w:r>
      <w:r w:rsidRPr="0015154B">
        <w:rPr>
          <w:rFonts w:ascii="Times New Roman" w:eastAsia="Calibri" w:hAnsi="Times New Roman" w:cs="Times New Roman"/>
          <w:sz w:val="24"/>
          <w:szCs w:val="24"/>
        </w:rPr>
        <w:t>. Atbilstoši kompensācijas mehānismam iespējams iegādāties arī tiflotehniku un surdotehniku.</w:t>
      </w:r>
    </w:p>
    <w:p w14:paraId="04DEBDAF" w14:textId="491D70FD" w:rsidR="009978A2" w:rsidRDefault="009978A2" w:rsidP="00AC38FA">
      <w:pPr>
        <w:widowControl w:val="0"/>
        <w:spacing w:before="120" w:after="0" w:line="240" w:lineRule="auto"/>
        <w:ind w:firstLine="709"/>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Tomēr ar kompensācijas mehānisma ieviešanu nav iespējams atrisināt citas TPL pakalpojuma sniegšanā identificētas problēmas</w:t>
      </w:r>
      <w:r w:rsidR="00627730" w:rsidRPr="0015154B">
        <w:rPr>
          <w:rFonts w:ascii="Times New Roman" w:eastAsia="Calibri" w:hAnsi="Times New Roman" w:cs="Times New Roman"/>
          <w:sz w:val="24"/>
          <w:szCs w:val="24"/>
        </w:rPr>
        <w:t>:</w:t>
      </w:r>
      <w:r w:rsidRPr="0015154B">
        <w:rPr>
          <w:rFonts w:ascii="Times New Roman" w:eastAsia="Calibri" w:hAnsi="Times New Roman" w:cs="Times New Roman"/>
          <w:sz w:val="24"/>
          <w:szCs w:val="24"/>
        </w:rPr>
        <w:t xml:space="preserve"> </w:t>
      </w:r>
    </w:p>
    <w:p w14:paraId="09846D9C" w14:textId="77777777" w:rsidR="009A0784" w:rsidRDefault="009A0784" w:rsidP="00AC38FA">
      <w:pPr>
        <w:widowControl w:val="0"/>
        <w:spacing w:before="120" w:after="0" w:line="240" w:lineRule="auto"/>
        <w:ind w:firstLine="709"/>
        <w:jc w:val="both"/>
        <w:rPr>
          <w:rFonts w:ascii="Times New Roman" w:eastAsia="Calibri" w:hAnsi="Times New Roman" w:cs="Times New Roman"/>
          <w:sz w:val="24"/>
          <w:szCs w:val="24"/>
        </w:rPr>
      </w:pPr>
    </w:p>
    <w:tbl>
      <w:tblPr>
        <w:tblStyle w:val="TableGrid"/>
        <w:tblW w:w="7938" w:type="dxa"/>
        <w:tblInd w:w="846" w:type="dxa"/>
        <w:tblBorders>
          <w:top w:val="single" w:sz="12" w:space="0" w:color="002060"/>
          <w:left w:val="none" w:sz="0" w:space="0" w:color="auto"/>
          <w:bottom w:val="single" w:sz="12" w:space="0" w:color="002060"/>
          <w:right w:val="none" w:sz="0" w:space="0" w:color="auto"/>
          <w:insideH w:val="single" w:sz="12" w:space="0" w:color="002060"/>
          <w:insideV w:val="single" w:sz="12" w:space="0" w:color="002060"/>
        </w:tblBorders>
        <w:tblLook w:val="04A0" w:firstRow="1" w:lastRow="0" w:firstColumn="1" w:lastColumn="0" w:noHBand="0" w:noVBand="1"/>
      </w:tblPr>
      <w:tblGrid>
        <w:gridCol w:w="7938"/>
      </w:tblGrid>
      <w:tr w:rsidR="009A0784" w14:paraId="382AA286" w14:textId="77777777" w:rsidTr="009A0784">
        <w:tc>
          <w:tcPr>
            <w:tcW w:w="7938" w:type="dxa"/>
          </w:tcPr>
          <w:p w14:paraId="6B0EF71A" w14:textId="37B705F1" w:rsidR="009A0784" w:rsidRDefault="009A0784" w:rsidP="009A0784">
            <w:pPr>
              <w:widowControl w:val="0"/>
              <w:spacing w:before="120" w:after="1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TPL pamatā (izņemot kompensācijas mehānismu) tiek iepirkti Publiskā iepirkumu likuma (turpmāk – PIL) noteiktajā kārtībā. Publiskā iepirkuma procedūra ir neelastīga un laikietilpīga, piegādātāji un ražotāji nav ieinteresēti TPL tirgus attīstībā – tas veido mazu, noslēgtu sistēmu, kurā piegādātāji ir savstarpēji saistīti - tiek manipulēts ar tirgus sadali un cenām, esošie spēlētāji nav gatavi investīcijām pakalpojumu kvalitātes uzlabošanai un sistēmas maiņai kopumā.</w:t>
            </w:r>
          </w:p>
        </w:tc>
      </w:tr>
      <w:tr w:rsidR="009A0784" w14:paraId="46A1947A" w14:textId="77777777" w:rsidTr="009A0784">
        <w:tc>
          <w:tcPr>
            <w:tcW w:w="7938" w:type="dxa"/>
          </w:tcPr>
          <w:p w14:paraId="56A9AEBE" w14:textId="72CD2E4D" w:rsidR="009A0784" w:rsidRDefault="009A0784" w:rsidP="009A0784">
            <w:pPr>
              <w:widowControl w:val="0"/>
              <w:spacing w:before="120" w:after="1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 xml:space="preserve">Daudzi TPL ir nepieciešami ārstniecības procesā un nav nodalāmi no tā (piemēram, elpošanas TPL, pirmreizējās protēzes, abdukcijas ortozes). </w:t>
            </w:r>
            <w:r>
              <w:rPr>
                <w:rFonts w:ascii="Times New Roman" w:eastAsia="Calibri" w:hAnsi="Times New Roman" w:cs="Times New Roman"/>
                <w:sz w:val="24"/>
                <w:szCs w:val="24"/>
              </w:rPr>
              <w:t>S</w:t>
            </w:r>
            <w:r w:rsidRPr="0015154B">
              <w:rPr>
                <w:rFonts w:ascii="Times New Roman" w:eastAsia="Calibri" w:hAnsi="Times New Roman" w:cs="Times New Roman"/>
                <w:sz w:val="24"/>
                <w:szCs w:val="24"/>
              </w:rPr>
              <w:t xml:space="preserve">adarbība starp </w:t>
            </w:r>
            <w:r>
              <w:rPr>
                <w:rFonts w:ascii="Times New Roman" w:eastAsia="Calibri" w:hAnsi="Times New Roman" w:cs="Times New Roman"/>
                <w:sz w:val="24"/>
                <w:szCs w:val="24"/>
              </w:rPr>
              <w:t>veselības un sociālo resoru</w:t>
            </w:r>
            <w:r w:rsidRPr="0015154B">
              <w:rPr>
                <w:rFonts w:ascii="Times New Roman" w:eastAsia="Calibri" w:hAnsi="Times New Roman" w:cs="Times New Roman"/>
                <w:sz w:val="24"/>
                <w:szCs w:val="24"/>
              </w:rPr>
              <w:t xml:space="preserve"> notiek lēni</w:t>
            </w:r>
            <w:r>
              <w:rPr>
                <w:rFonts w:ascii="Times New Roman" w:eastAsia="Calibri" w:hAnsi="Times New Roman" w:cs="Times New Roman"/>
                <w:sz w:val="24"/>
                <w:szCs w:val="24"/>
              </w:rPr>
              <w:t xml:space="preserve"> un</w:t>
            </w:r>
            <w:r w:rsidRPr="0015154B">
              <w:rPr>
                <w:rFonts w:ascii="Times New Roman" w:eastAsia="Calibri" w:hAnsi="Times New Roman" w:cs="Times New Roman"/>
                <w:sz w:val="24"/>
                <w:szCs w:val="24"/>
              </w:rPr>
              <w:t xml:space="preserve"> neefektīvi (rindas, kvotas, dažādi finansēšanas modeļi) un rada problēmas lietotājiem.</w:t>
            </w:r>
          </w:p>
        </w:tc>
      </w:tr>
      <w:tr w:rsidR="009A0784" w14:paraId="3F394872" w14:textId="77777777" w:rsidTr="009A0784">
        <w:tc>
          <w:tcPr>
            <w:tcW w:w="7938" w:type="dxa"/>
          </w:tcPr>
          <w:p w14:paraId="3FC9E3E9" w14:textId="5E3BEBD9" w:rsidR="009A0784" w:rsidRDefault="009A0784" w:rsidP="009A0784">
            <w:pPr>
              <w:widowControl w:val="0"/>
              <w:spacing w:before="120" w:after="1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Personas nav apmierinātas ar sniegtā pakalpojuma apjomu, publiskā iepirkuma procedūrā iegādātu vai Latvijā izgatavotu TPL kvalitāti un pakalpojumu sniedzēju apkalpošanas kvalitāti.</w:t>
            </w:r>
          </w:p>
        </w:tc>
      </w:tr>
    </w:tbl>
    <w:p w14:paraId="6C7805F2" w14:textId="77777777" w:rsidR="009A0784" w:rsidRDefault="009A0784" w:rsidP="00AC38FA">
      <w:pPr>
        <w:widowControl w:val="0"/>
        <w:spacing w:before="120" w:after="0" w:line="240" w:lineRule="auto"/>
        <w:ind w:firstLine="709"/>
        <w:jc w:val="both"/>
        <w:rPr>
          <w:rFonts w:ascii="Times New Roman" w:eastAsia="Calibri" w:hAnsi="Times New Roman" w:cs="Times New Roman"/>
          <w:sz w:val="24"/>
          <w:szCs w:val="24"/>
        </w:rPr>
      </w:pPr>
    </w:p>
    <w:p w14:paraId="1248E6AB" w14:textId="50E783EA" w:rsidR="009978A2" w:rsidRPr="0015154B" w:rsidRDefault="009978A2" w:rsidP="00AC38FA">
      <w:pPr>
        <w:widowControl w:val="0"/>
        <w:spacing w:before="120" w:after="0" w:line="240" w:lineRule="auto"/>
        <w:ind w:firstLine="709"/>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 xml:space="preserve">Lai risinātu identificētās problēmas sadarbībā ar personu ar funkcionēšanas traucējumiem intereses pārstāvošām nevalstiskajām organizācijām (turpmāk – NVO) un nozares ekspertiem LM 2017.gadā un 2018.gadā izstrādāja TPL pakalpojuma organizācijas pilnveidošanas priekšlikumus, kas paredzēja veikt nozīmīgas izmaiņas TPL piešķiršanas kārtībā. </w:t>
      </w:r>
      <w:r w:rsidRPr="0015154B">
        <w:rPr>
          <w:rFonts w:ascii="Times New Roman" w:eastAsia="Calibri" w:hAnsi="Times New Roman" w:cs="Times New Roman"/>
          <w:b/>
          <w:sz w:val="24"/>
          <w:szCs w:val="24"/>
        </w:rPr>
        <w:t>TPL pakalpojuma reformas</w:t>
      </w:r>
      <w:r w:rsidRPr="0015154B">
        <w:rPr>
          <w:rFonts w:ascii="Times New Roman" w:eastAsia="Calibri" w:hAnsi="Times New Roman" w:cs="Times New Roman"/>
          <w:sz w:val="24"/>
          <w:szCs w:val="24"/>
        </w:rPr>
        <w:t xml:space="preserve"> būtība ir ieviest jaunu TPL pakalpojuma organizācijas modeli, paredzot, ka klients izvēlas TPL pie Ministru kabineta noteiktajā kārtībā reģistrētiem ražotājiem vai piegādātājiem, aizstājot TPL publisko iepirkumu ar “kuponu” vai finansējuma kompensācijas sistēmu (turpmāk - “kupona” sistēma). Klienta iespēja izvēlēties TPL pakalpojuma sniedzēju ilgtermiņā veicinātu konkurenci TPL ražotāju vidū, TPL pieejamību un kvalitāti. TPL pakalpojuma reforma paredz, ka nepieciešams izstrādāt kompensējamo cenu noteikšanas metodiku kā individuāli izgatavojamajiem TPL, tā rūpnieciski ražotajiem TPL un prasības TPL pakalpojuma sniedzējiem. Paredzēts, ka “kuponu” sistēmā TPL persona tiks izvērtēta un tai tiks piešķirts t</w:t>
      </w:r>
      <w:r w:rsidR="00F04ECD">
        <w:rPr>
          <w:rFonts w:ascii="Times New Roman" w:eastAsia="Calibri" w:hAnsi="Times New Roman" w:cs="Times New Roman"/>
          <w:sz w:val="24"/>
          <w:szCs w:val="24"/>
        </w:rPr>
        <w:t>ā</w:t>
      </w:r>
      <w:r w:rsidRPr="0015154B">
        <w:rPr>
          <w:rFonts w:ascii="Times New Roman" w:eastAsia="Calibri" w:hAnsi="Times New Roman" w:cs="Times New Roman"/>
          <w:sz w:val="24"/>
          <w:szCs w:val="24"/>
        </w:rPr>
        <w:t xml:space="preserve">s vajadzībām, lietošanas mērķim un aktivitāšu līmenim </w:t>
      </w:r>
      <w:r w:rsidRPr="0015154B">
        <w:rPr>
          <w:rFonts w:ascii="Times New Roman" w:eastAsia="Calibri" w:hAnsi="Times New Roman" w:cs="Times New Roman"/>
          <w:sz w:val="24"/>
          <w:szCs w:val="24"/>
        </w:rPr>
        <w:lastRenderedPageBreak/>
        <w:t xml:space="preserve">atbilstošāks TPL. </w:t>
      </w:r>
    </w:p>
    <w:p w14:paraId="47A9AF6F" w14:textId="7FB65C6C" w:rsidR="00D4308C" w:rsidRDefault="009978A2" w:rsidP="00D4308C">
      <w:pPr>
        <w:widowControl w:val="0"/>
        <w:spacing w:before="120" w:after="0" w:line="240" w:lineRule="auto"/>
        <w:ind w:firstLine="709"/>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TPL reformas teorētiskā pamata izstrādei piesaistīja ekspertus, kuri sniedza savu viedokli par “kupona” sistēmas izveidi. 2018.gadā eksperti veica pētījumu, kura uzdevums bija izstrādāt uz atvērtā tirgus principiem balstītu TPL kompensācijas noteikšanas metodiku, “kupona” sistēmas un klientu brīvās izvēles ieviešanai</w:t>
      </w:r>
      <w:r w:rsidRPr="007157D3">
        <w:rPr>
          <w:rFonts w:ascii="Times New Roman" w:eastAsia="Calibri" w:hAnsi="Times New Roman" w:cs="Times New Roman"/>
          <w:sz w:val="24"/>
          <w:szCs w:val="24"/>
          <w:vertAlign w:val="superscript"/>
        </w:rPr>
        <w:footnoteReference w:id="132"/>
      </w:r>
      <w:r w:rsidRPr="007157D3">
        <w:rPr>
          <w:rFonts w:ascii="Times New Roman" w:eastAsia="Calibri" w:hAnsi="Times New Roman" w:cs="Times New Roman"/>
          <w:sz w:val="24"/>
          <w:szCs w:val="24"/>
        </w:rPr>
        <w:t>, savukārt 2019.gadā tika veikts pētījums individuāli izgatavojamo TPL (ortožu) izgatavošanas tehnisko prasību izstrādei, ko īstenoja SIA “Vivendo”. Reformas ieviešanai tiek veikti šādi pasākumi, kas tiks turpināti un paredz reformas pasākumu ieviešanu līdz 2023.gadam.</w:t>
      </w:r>
    </w:p>
    <w:p w14:paraId="6D176052" w14:textId="77777777" w:rsidR="00D4308C" w:rsidRDefault="00D4308C" w:rsidP="00D4308C">
      <w:pPr>
        <w:widowControl w:val="0"/>
        <w:spacing w:before="120" w:after="0" w:line="240" w:lineRule="auto"/>
        <w:ind w:firstLine="709"/>
        <w:jc w:val="both"/>
        <w:rPr>
          <w:rFonts w:ascii="Times New Roman" w:eastAsia="Calibri" w:hAnsi="Times New Roman" w:cs="Times New Roman"/>
          <w:sz w:val="24"/>
          <w:szCs w:val="24"/>
        </w:rPr>
      </w:pPr>
    </w:p>
    <w:tbl>
      <w:tblPr>
        <w:tblStyle w:val="TableGrid"/>
        <w:tblW w:w="0" w:type="auto"/>
        <w:tblBorders>
          <w:top w:val="single" w:sz="18" w:space="0" w:color="549E39" w:themeColor="accent1"/>
          <w:left w:val="none" w:sz="0" w:space="0" w:color="auto"/>
          <w:bottom w:val="single" w:sz="18" w:space="0" w:color="549E39" w:themeColor="accent1"/>
          <w:right w:val="none" w:sz="0" w:space="0" w:color="auto"/>
          <w:insideH w:val="single" w:sz="18" w:space="0" w:color="549E39" w:themeColor="accent1"/>
          <w:insideV w:val="none" w:sz="0" w:space="0" w:color="auto"/>
        </w:tblBorders>
        <w:tblLook w:val="04A0" w:firstRow="1" w:lastRow="0" w:firstColumn="1" w:lastColumn="0" w:noHBand="0" w:noVBand="1"/>
      </w:tblPr>
      <w:tblGrid>
        <w:gridCol w:w="9061"/>
      </w:tblGrid>
      <w:tr w:rsidR="00D4308C" w14:paraId="756B83F1" w14:textId="77777777" w:rsidTr="00D4308C">
        <w:tc>
          <w:tcPr>
            <w:tcW w:w="9061" w:type="dxa"/>
          </w:tcPr>
          <w:p w14:paraId="782D1AD6" w14:textId="670132BC" w:rsidR="00D4308C" w:rsidRDefault="00D4308C" w:rsidP="00D4308C">
            <w:pPr>
              <w:widowControl w:val="0"/>
              <w:spacing w:before="120" w:after="120"/>
              <w:jc w:val="both"/>
              <w:rPr>
                <w:rFonts w:ascii="Times New Roman" w:eastAsia="Calibri" w:hAnsi="Times New Roman" w:cs="Times New Roman"/>
                <w:sz w:val="24"/>
                <w:szCs w:val="24"/>
              </w:rPr>
            </w:pPr>
            <w:r w:rsidRPr="00D4308C">
              <w:rPr>
                <w:rFonts w:ascii="Times New Roman" w:eastAsia="Calibri" w:hAnsi="Times New Roman" w:cs="Times New Roman"/>
                <w:b/>
                <w:color w:val="002060"/>
                <w:sz w:val="28"/>
                <w:szCs w:val="28"/>
              </w:rPr>
              <w:t>1.</w:t>
            </w:r>
            <w:r w:rsidRPr="00D4308C">
              <w:rPr>
                <w:rFonts w:ascii="Times New Roman" w:eastAsia="Calibri" w:hAnsi="Times New Roman" w:cs="Times New Roman"/>
                <w:color w:val="002060"/>
                <w:sz w:val="24"/>
                <w:szCs w:val="24"/>
              </w:rPr>
              <w:t xml:space="preserve"> </w:t>
            </w:r>
            <w:r>
              <w:rPr>
                <w:rFonts w:ascii="Times New Roman" w:eastAsia="Calibri" w:hAnsi="Times New Roman" w:cs="Times New Roman"/>
                <w:sz w:val="24"/>
                <w:szCs w:val="24"/>
              </w:rPr>
              <w:t>S</w:t>
            </w:r>
            <w:r w:rsidRPr="007157D3">
              <w:rPr>
                <w:rFonts w:ascii="Times New Roman" w:eastAsia="Calibri" w:hAnsi="Times New Roman" w:cs="Times New Roman"/>
                <w:sz w:val="24"/>
                <w:szCs w:val="24"/>
              </w:rPr>
              <w:t xml:space="preserve">adarbībā ar VSIA NRC “Vaivari” </w:t>
            </w:r>
            <w:r>
              <w:rPr>
                <w:rFonts w:ascii="Times New Roman" w:eastAsia="Calibri" w:hAnsi="Times New Roman" w:cs="Times New Roman"/>
                <w:sz w:val="24"/>
                <w:szCs w:val="24"/>
              </w:rPr>
              <w:t xml:space="preserve">ir </w:t>
            </w:r>
            <w:r w:rsidRPr="00127A2E">
              <w:rPr>
                <w:rFonts w:ascii="Times New Roman" w:eastAsia="Calibri" w:hAnsi="Times New Roman" w:cs="Times New Roman"/>
                <w:b/>
                <w:color w:val="002060"/>
                <w:sz w:val="24"/>
                <w:szCs w:val="24"/>
              </w:rPr>
              <w:t>uzsākts izmēģinājumprojekts TPL piešķiršanai ar “kupona” metodi</w:t>
            </w:r>
            <w:r w:rsidRPr="007157D3">
              <w:rPr>
                <w:rFonts w:ascii="Times New Roman" w:eastAsia="Calibri" w:hAnsi="Times New Roman" w:cs="Times New Roman"/>
                <w:sz w:val="24"/>
                <w:szCs w:val="24"/>
              </w:rPr>
              <w:t>. Tā kā šobrīd TPL cenu nosaka publiskais iepirkums, lai ieviestu “kupona” sistēmu, kas ir atšķirīga pieeja TPL iegāde</w:t>
            </w:r>
            <w:r w:rsidRPr="002F5278">
              <w:rPr>
                <w:rFonts w:ascii="Times New Roman" w:eastAsia="Calibri" w:hAnsi="Times New Roman" w:cs="Times New Roman"/>
                <w:sz w:val="24"/>
                <w:szCs w:val="24"/>
              </w:rPr>
              <w:t>i, un sekmētu kvalitātes paaugstināšanos, nepieciešams izstrādāt kompensējamo cenu noteikšanas metodoloģiju gan attiecībā</w:t>
            </w:r>
            <w:r w:rsidRPr="00573B49">
              <w:rPr>
                <w:rFonts w:ascii="Times New Roman" w:eastAsia="Calibri" w:hAnsi="Times New Roman" w:cs="Times New Roman"/>
                <w:sz w:val="24"/>
                <w:szCs w:val="24"/>
              </w:rPr>
              <w:t xml:space="preserve"> uz individuāli izgatavojamajiem TPL, gan attiecībā uz rūpnieciski ražotajiem TPL. VSIA NRC “Vaivari” aprobē “kupona” sistēmu vienam no rūpnieciski izgatavojamo TPL veidiem (aktīvajam riteņkrēslam), kura ietvaros tiek ņemti vērā tādi kritēriji</w:t>
            </w:r>
            <w:r>
              <w:rPr>
                <w:rFonts w:ascii="Times New Roman" w:eastAsia="Calibri" w:hAnsi="Times New Roman" w:cs="Times New Roman"/>
                <w:sz w:val="24"/>
                <w:szCs w:val="24"/>
              </w:rPr>
              <w:t>,</w:t>
            </w:r>
            <w:r w:rsidRPr="00573B49">
              <w:rPr>
                <w:rFonts w:ascii="Times New Roman" w:eastAsia="Calibri" w:hAnsi="Times New Roman" w:cs="Times New Roman"/>
                <w:sz w:val="24"/>
                <w:szCs w:val="24"/>
              </w:rPr>
              <w:t xml:space="preserve"> kā tirgus cena, personas funkcionēšanas stāvoklis un personas izvēle, bet attiecībā uz individuāli izgatavojamajiem TPL </w:t>
            </w:r>
            <w:r>
              <w:rPr>
                <w:rFonts w:ascii="Times New Roman" w:eastAsia="Calibri" w:hAnsi="Times New Roman" w:cs="Times New Roman"/>
                <w:sz w:val="24"/>
                <w:szCs w:val="24"/>
              </w:rPr>
              <w:t>LM</w:t>
            </w:r>
            <w:r w:rsidRPr="00573B49">
              <w:rPr>
                <w:rFonts w:ascii="Times New Roman" w:eastAsia="Calibri" w:hAnsi="Times New Roman" w:cs="Times New Roman"/>
                <w:sz w:val="24"/>
                <w:szCs w:val="24"/>
              </w:rPr>
              <w:t xml:space="preserve"> sadarbībā ar VSIA NRC “Vaivari” izstrādās cenu noteikšanas metodoloģiju, lai noteiktu “kupona” vērtību</w:t>
            </w:r>
            <w:r>
              <w:rPr>
                <w:rFonts w:ascii="Times New Roman" w:eastAsia="Calibri" w:hAnsi="Times New Roman" w:cs="Times New Roman"/>
                <w:sz w:val="24"/>
                <w:szCs w:val="24"/>
              </w:rPr>
              <w:t>.</w:t>
            </w:r>
          </w:p>
        </w:tc>
      </w:tr>
      <w:tr w:rsidR="00D4308C" w14:paraId="1339AFD5" w14:textId="77777777" w:rsidTr="00D4308C">
        <w:tc>
          <w:tcPr>
            <w:tcW w:w="9061" w:type="dxa"/>
          </w:tcPr>
          <w:p w14:paraId="38B1ACA9" w14:textId="42430843" w:rsidR="00D4308C" w:rsidRDefault="00D4308C" w:rsidP="00D4308C">
            <w:pPr>
              <w:widowControl w:val="0"/>
              <w:spacing w:before="120" w:after="120"/>
              <w:jc w:val="both"/>
              <w:rPr>
                <w:rFonts w:ascii="Times New Roman" w:eastAsia="Calibri" w:hAnsi="Times New Roman" w:cs="Times New Roman"/>
                <w:sz w:val="24"/>
                <w:szCs w:val="24"/>
              </w:rPr>
            </w:pPr>
            <w:r w:rsidRPr="00D4308C">
              <w:rPr>
                <w:rFonts w:ascii="Times New Roman" w:eastAsia="Calibri" w:hAnsi="Times New Roman" w:cs="Times New Roman"/>
                <w:b/>
                <w:color w:val="002060"/>
                <w:sz w:val="28"/>
                <w:szCs w:val="28"/>
              </w:rPr>
              <w:t>2.</w:t>
            </w:r>
            <w:r w:rsidRPr="00D4308C">
              <w:rPr>
                <w:rFonts w:ascii="Times New Roman" w:eastAsia="Calibri" w:hAnsi="Times New Roman" w:cs="Times New Roman"/>
                <w:color w:val="002060"/>
                <w:sz w:val="24"/>
                <w:szCs w:val="24"/>
              </w:rPr>
              <w:t xml:space="preserve"> </w:t>
            </w:r>
            <w:r w:rsidRPr="0025422D">
              <w:rPr>
                <w:rFonts w:ascii="Times New Roman" w:eastAsia="Calibri" w:hAnsi="Times New Roman" w:cs="Times New Roman"/>
                <w:sz w:val="24"/>
                <w:szCs w:val="24"/>
              </w:rPr>
              <w:t>SIVA</w:t>
            </w:r>
            <w:r w:rsidRPr="00A857F2">
              <w:rPr>
                <w:rFonts w:ascii="Times New Roman" w:eastAsia="Calibri" w:hAnsi="Times New Roman" w:cs="Times New Roman"/>
                <w:sz w:val="24"/>
                <w:szCs w:val="24"/>
              </w:rPr>
              <w:t xml:space="preserve"> </w:t>
            </w:r>
            <w:r w:rsidRPr="00662D1E">
              <w:rPr>
                <w:rFonts w:ascii="Times New Roman" w:eastAsia="Calibri" w:hAnsi="Times New Roman" w:cs="Times New Roman"/>
                <w:sz w:val="24"/>
                <w:szCs w:val="24"/>
              </w:rPr>
              <w:t>2020.gadā</w:t>
            </w:r>
            <w:r w:rsidRPr="009703E6">
              <w:rPr>
                <w:rFonts w:ascii="Times New Roman" w:eastAsia="Calibri" w:hAnsi="Times New Roman" w:cs="Times New Roman"/>
                <w:sz w:val="24"/>
                <w:szCs w:val="24"/>
              </w:rPr>
              <w:t xml:space="preserve"> uzsāka pilotprojektu “</w:t>
            </w:r>
            <w:r w:rsidRPr="00127A2E">
              <w:rPr>
                <w:rFonts w:ascii="Times New Roman" w:eastAsia="Calibri" w:hAnsi="Times New Roman" w:cs="Times New Roman"/>
                <w:b/>
                <w:color w:val="002060"/>
                <w:sz w:val="24"/>
                <w:szCs w:val="24"/>
              </w:rPr>
              <w:t>kupona” sistēmas ieviešanai auto pielāgošanas</w:t>
            </w:r>
            <w:r w:rsidRPr="00127A2E">
              <w:rPr>
                <w:rFonts w:ascii="Times New Roman" w:eastAsia="Calibri" w:hAnsi="Times New Roman" w:cs="Times New Roman"/>
                <w:color w:val="002060"/>
                <w:sz w:val="24"/>
                <w:szCs w:val="24"/>
              </w:rPr>
              <w:t xml:space="preserve"> </w:t>
            </w:r>
            <w:r w:rsidRPr="0015154B">
              <w:rPr>
                <w:rFonts w:ascii="Times New Roman" w:eastAsia="Calibri" w:hAnsi="Times New Roman" w:cs="Times New Roman"/>
                <w:sz w:val="24"/>
                <w:szCs w:val="24"/>
              </w:rPr>
              <w:t>pakalpojuma nodrošināšanā, lai nākotnē auto pielāgošanu iekļautu vispārējā TPL apritē, attiecinot “kupona” sistēmu arī uz šo pakalpojumu</w:t>
            </w:r>
            <w:r>
              <w:rPr>
                <w:rFonts w:ascii="Times New Roman" w:eastAsia="Calibri" w:hAnsi="Times New Roman" w:cs="Times New Roman"/>
                <w:sz w:val="24"/>
                <w:szCs w:val="24"/>
              </w:rPr>
              <w:t>.</w:t>
            </w:r>
          </w:p>
        </w:tc>
      </w:tr>
      <w:tr w:rsidR="00D4308C" w14:paraId="58041F5C" w14:textId="77777777" w:rsidTr="00D4308C">
        <w:tc>
          <w:tcPr>
            <w:tcW w:w="9061" w:type="dxa"/>
          </w:tcPr>
          <w:p w14:paraId="271B2917" w14:textId="7E0B7EDE" w:rsidR="00D4308C" w:rsidRDefault="00D4308C" w:rsidP="00D4308C">
            <w:pPr>
              <w:widowControl w:val="0"/>
              <w:spacing w:before="120" w:after="120"/>
              <w:jc w:val="both"/>
              <w:rPr>
                <w:rFonts w:ascii="Times New Roman" w:eastAsia="Calibri" w:hAnsi="Times New Roman" w:cs="Times New Roman"/>
                <w:sz w:val="24"/>
                <w:szCs w:val="24"/>
              </w:rPr>
            </w:pPr>
            <w:r w:rsidRPr="00D4308C">
              <w:rPr>
                <w:rFonts w:ascii="Times New Roman" w:eastAsia="Calibri" w:hAnsi="Times New Roman" w:cs="Times New Roman"/>
                <w:b/>
                <w:color w:val="002060"/>
                <w:sz w:val="28"/>
                <w:szCs w:val="28"/>
              </w:rPr>
              <w:t>3.</w:t>
            </w:r>
            <w:r w:rsidRPr="00D4308C">
              <w:rPr>
                <w:rFonts w:ascii="Times New Roman" w:eastAsia="Calibri" w:hAnsi="Times New Roman" w:cs="Times New Roman"/>
                <w:color w:val="002060"/>
                <w:sz w:val="24"/>
                <w:szCs w:val="24"/>
              </w:rPr>
              <w:t xml:space="preserve"> </w:t>
            </w:r>
            <w:r w:rsidRPr="0015154B">
              <w:rPr>
                <w:rFonts w:ascii="Times New Roman" w:eastAsia="Calibri" w:hAnsi="Times New Roman" w:cs="Times New Roman"/>
                <w:sz w:val="24"/>
                <w:szCs w:val="24"/>
              </w:rPr>
              <w:t xml:space="preserve">Ārstniecības personām pacienta aktivitātes līmenis ir jāvērtē arī šobrīd, sniedzot atzinumu par personai atbilstoša TPL saņemšanas nepieciešamību. Diemžēl praksē VSIA NRC “Vaivari” speciālistiem bieži nākas lūgt precizēt ārstējošo ārstu atzinumus, kas nereti izraisa pamatotu klientu neapmierinātību un sūdzības par birokrātisko pieeju. Lai risinātu minēto problēmjautājumu par personas dzīves aktivitātes novērtēšanu, šajā plānošanas periodā ES struktūrfondu projekta ietvaros VSIA NRC “Vaivari” </w:t>
            </w:r>
            <w:r w:rsidRPr="00127A2E">
              <w:rPr>
                <w:rFonts w:ascii="Times New Roman" w:eastAsia="Calibri" w:hAnsi="Times New Roman" w:cs="Times New Roman"/>
                <w:b/>
                <w:color w:val="002060"/>
                <w:sz w:val="24"/>
                <w:szCs w:val="24"/>
              </w:rPr>
              <w:t>veido funkcionēšanas novērtēšanas sistēmu</w:t>
            </w:r>
            <w:r w:rsidRPr="0015154B">
              <w:rPr>
                <w:rFonts w:ascii="Times New Roman" w:eastAsia="Calibri" w:hAnsi="Times New Roman" w:cs="Times New Roman"/>
                <w:sz w:val="24"/>
                <w:szCs w:val="24"/>
              </w:rPr>
              <w:t>, izstrādājot funkcionēšanas novērtēšanas sistēmas aprakstu un to aprobējot jaunizveidotajā funkcionēšanas novērtēšanas laboratorijā. Lai uzlabotu TPL pakalpojumu, t.sk., lai TPL tiktu piešķirti mērķēti atbilstoši personas aktivitātes līmenim, izveidotā sistēma fokusējas uz personas aktivitātes (funkcionēšanas) novērtēšanu, attiecīgi personas individuālajām vajadzībām atbilstošākā TPL piešķiršanu, diferencējot valsts finansējuma apjomu. LM pēc VSIA NRC “Vaivari” īstenotā ES struktūrfondu projekta beigām, balstoties uz projekta rezultātiem, pilnveidos valsts finansēto TPL piešķiršanas kārtību, tādējādi ieviešot aprobēto funkcionēšanas novērtēšanas sistēmu vispārējā praksē, attiecīgi sakārtojot TPL piešķiršanas procesu - padarot to mērķtiecīgāku, pieņemot lēmumu par TPL piešķiršanu, t.sk. atbilstoši personas dzīves aktivitātei, kā arī risinot strīdus situācijas par piešķirtā TPL funkcionalitāti.</w:t>
            </w:r>
          </w:p>
        </w:tc>
      </w:tr>
      <w:tr w:rsidR="00D4308C" w14:paraId="25879041" w14:textId="77777777" w:rsidTr="00D4308C">
        <w:tc>
          <w:tcPr>
            <w:tcW w:w="9061" w:type="dxa"/>
          </w:tcPr>
          <w:p w14:paraId="675AE81D" w14:textId="706C965F" w:rsidR="00D4308C" w:rsidRDefault="00D4308C" w:rsidP="00D4308C">
            <w:pPr>
              <w:widowControl w:val="0"/>
              <w:spacing w:before="120" w:after="120"/>
              <w:jc w:val="both"/>
              <w:rPr>
                <w:rFonts w:ascii="Times New Roman" w:eastAsia="Calibri" w:hAnsi="Times New Roman" w:cs="Times New Roman"/>
                <w:sz w:val="24"/>
                <w:szCs w:val="24"/>
              </w:rPr>
            </w:pPr>
            <w:r w:rsidRPr="00D4308C">
              <w:rPr>
                <w:rFonts w:ascii="Times New Roman" w:eastAsia="Calibri" w:hAnsi="Times New Roman" w:cs="Times New Roman"/>
                <w:b/>
                <w:color w:val="002060"/>
                <w:sz w:val="28"/>
                <w:szCs w:val="28"/>
              </w:rPr>
              <w:t>4.</w:t>
            </w:r>
            <w:r w:rsidRPr="00D4308C">
              <w:rPr>
                <w:rFonts w:ascii="Times New Roman" w:eastAsia="Calibri" w:hAnsi="Times New Roman" w:cs="Times New Roman"/>
                <w:color w:val="002060"/>
                <w:sz w:val="24"/>
                <w:szCs w:val="24"/>
              </w:rPr>
              <w:t xml:space="preserve"> </w:t>
            </w:r>
            <w:r>
              <w:rPr>
                <w:rFonts w:ascii="Times New Roman" w:eastAsia="Calibri" w:hAnsi="Times New Roman" w:cs="Times New Roman"/>
                <w:sz w:val="24"/>
                <w:szCs w:val="24"/>
              </w:rPr>
              <w:t>T</w:t>
            </w:r>
            <w:r w:rsidRPr="0015154B">
              <w:rPr>
                <w:rFonts w:ascii="Times New Roman" w:eastAsia="Calibri" w:hAnsi="Times New Roman" w:cs="Times New Roman"/>
                <w:sz w:val="24"/>
                <w:szCs w:val="24"/>
              </w:rPr>
              <w:t xml:space="preserve">ā kā TPL pakalpojuma informācijas aprites uzskaites sistēma šobrīd nenodrošina kvalitatīvas un pilnvērtīgas informācijas apriti starp pakalpojuma sniegšanā iesaistītajām </w:t>
            </w:r>
            <w:r w:rsidRPr="0015154B">
              <w:rPr>
                <w:rFonts w:ascii="Times New Roman" w:eastAsia="Calibri" w:hAnsi="Times New Roman" w:cs="Times New Roman"/>
                <w:sz w:val="24"/>
                <w:szCs w:val="24"/>
              </w:rPr>
              <w:lastRenderedPageBreak/>
              <w:t xml:space="preserve">institūcijām, pakalpojumu sniedzējiem un klientu, </w:t>
            </w:r>
            <w:r w:rsidRPr="00127A2E">
              <w:rPr>
                <w:rFonts w:ascii="Times New Roman" w:eastAsia="Calibri" w:hAnsi="Times New Roman" w:cs="Times New Roman"/>
                <w:b/>
                <w:color w:val="002060"/>
                <w:sz w:val="24"/>
                <w:szCs w:val="24"/>
              </w:rPr>
              <w:t>uzsāk</w:t>
            </w:r>
            <w:r w:rsidR="00127A2E" w:rsidRPr="00127A2E">
              <w:rPr>
                <w:rFonts w:ascii="Times New Roman" w:eastAsia="Calibri" w:hAnsi="Times New Roman" w:cs="Times New Roman"/>
                <w:b/>
                <w:color w:val="002060"/>
                <w:sz w:val="24"/>
                <w:szCs w:val="24"/>
              </w:rPr>
              <w:t>t</w:t>
            </w:r>
            <w:r w:rsidRPr="00127A2E">
              <w:rPr>
                <w:rFonts w:ascii="Times New Roman" w:eastAsia="Calibri" w:hAnsi="Times New Roman" w:cs="Times New Roman"/>
                <w:b/>
                <w:color w:val="002060"/>
                <w:sz w:val="24"/>
                <w:szCs w:val="24"/>
              </w:rPr>
              <w:t>a jaunas, modernas datu bāzes izstrāde</w:t>
            </w:r>
            <w:r w:rsidRPr="0015154B">
              <w:rPr>
                <w:rFonts w:ascii="Times New Roman" w:eastAsia="Calibri" w:hAnsi="Times New Roman" w:cs="Times New Roman"/>
                <w:sz w:val="24"/>
                <w:szCs w:val="24"/>
              </w:rPr>
              <w:t xml:space="preserve"> TPL pakalpojuma uzskaites nodrošināšanai. </w:t>
            </w:r>
            <w:r>
              <w:rPr>
                <w:rFonts w:ascii="Times New Roman" w:eastAsia="Calibri" w:hAnsi="Times New Roman" w:cs="Times New Roman"/>
                <w:sz w:val="24"/>
                <w:szCs w:val="24"/>
              </w:rPr>
              <w:t>V</w:t>
            </w:r>
            <w:r w:rsidRPr="0015154B">
              <w:rPr>
                <w:rFonts w:ascii="Times New Roman" w:eastAsia="Calibri" w:hAnsi="Times New Roman" w:cs="Times New Roman"/>
                <w:sz w:val="24"/>
                <w:szCs w:val="24"/>
              </w:rPr>
              <w:t>iena no galvenajām aktivitātēm ir jauna TPL pakalpojuma administrēšanas moduļa izstrāde. Projekta ietvaros tiks atvieglota dokumentu aprite starp klientu, TPL pakalpojuma administrētāju un TPL  pakalpojuma sniedzēju.</w:t>
            </w:r>
          </w:p>
        </w:tc>
      </w:tr>
    </w:tbl>
    <w:p w14:paraId="375D1C56" w14:textId="47A3E4F2" w:rsidR="009978A2" w:rsidRPr="0015154B" w:rsidRDefault="009978A2" w:rsidP="00D4308C">
      <w:pPr>
        <w:widowControl w:val="0"/>
        <w:spacing w:before="120" w:after="0" w:line="240" w:lineRule="auto"/>
        <w:jc w:val="both"/>
        <w:rPr>
          <w:rFonts w:ascii="Times New Roman" w:eastAsia="Calibri" w:hAnsi="Times New Roman" w:cs="Times New Roman"/>
          <w:sz w:val="24"/>
          <w:szCs w:val="24"/>
        </w:rPr>
      </w:pPr>
    </w:p>
    <w:p w14:paraId="0A14DB4C" w14:textId="78156A09" w:rsidR="009978A2" w:rsidRPr="0015154B" w:rsidRDefault="009978A2" w:rsidP="00AC38FA">
      <w:pPr>
        <w:widowControl w:val="0"/>
        <w:spacing w:before="120" w:after="0" w:line="240" w:lineRule="auto"/>
        <w:ind w:firstLine="709"/>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2018.gad</w:t>
      </w:r>
      <w:r w:rsidR="00295F72">
        <w:rPr>
          <w:rFonts w:ascii="Times New Roman" w:eastAsia="Calibri" w:hAnsi="Times New Roman" w:cs="Times New Roman"/>
          <w:sz w:val="24"/>
          <w:szCs w:val="24"/>
        </w:rPr>
        <w:t>ā TPL reforma, īstenojot “kupona” sistēmu, TPL iegādē, neguva politisko atbalstu Saeimā, jo</w:t>
      </w:r>
      <w:r w:rsidR="00F04ECD">
        <w:rPr>
          <w:rFonts w:ascii="Times New Roman" w:eastAsia="Calibri" w:hAnsi="Times New Roman" w:cs="Times New Roman"/>
          <w:sz w:val="24"/>
          <w:szCs w:val="24"/>
        </w:rPr>
        <w:t>,</w:t>
      </w:r>
      <w:r w:rsidR="00295F72">
        <w:rPr>
          <w:rFonts w:ascii="Times New Roman" w:eastAsia="Calibri" w:hAnsi="Times New Roman" w:cs="Times New Roman"/>
          <w:sz w:val="24"/>
          <w:szCs w:val="24"/>
        </w:rPr>
        <w:t xml:space="preserve"> lai gan sistēma uzlabos kvalitatīvāku un personas individuālajām vajadzībām piemērotāka TPL pieejamību, vienlaikus nepalielinoties kopējam pieejamajam finansējuma apjomam, rinda pēc TPL palielināsies, jo tie būs pieejami mazākam cilvēku lokam (palielinās izmaksas uz vienu TPL). </w:t>
      </w:r>
      <w:r w:rsidRPr="0015154B">
        <w:rPr>
          <w:rFonts w:ascii="Times New Roman" w:eastAsia="Calibri" w:hAnsi="Times New Roman" w:cs="Times New Roman"/>
          <w:sz w:val="24"/>
          <w:szCs w:val="24"/>
        </w:rPr>
        <w:t>Piemēram</w:t>
      </w:r>
      <w:r w:rsidR="00F04ECD">
        <w:rPr>
          <w:rFonts w:ascii="Times New Roman" w:eastAsia="Calibri" w:hAnsi="Times New Roman" w:cs="Times New Roman"/>
          <w:sz w:val="24"/>
          <w:szCs w:val="24"/>
        </w:rPr>
        <w:t>,</w:t>
      </w:r>
      <w:r w:rsidRPr="0015154B">
        <w:rPr>
          <w:rFonts w:ascii="Times New Roman" w:eastAsia="Calibri" w:hAnsi="Times New Roman" w:cs="Times New Roman"/>
          <w:sz w:val="24"/>
          <w:szCs w:val="24"/>
        </w:rPr>
        <w:t xml:space="preserve"> 2019.gada pētījumā par individuāli izgatavojamo TPL (ortožu) izgatavošanas tehnisko prasību izstrādi, ko īstenoja SIA “Vivendo”, secināts, ka, mainot cenu aprēķināšanas metodiku, budžetā finansējuma apjomam ortožu grupā jāpalielinās par 63%. Pamatojoties uz pētījuma rezultātiem</w:t>
      </w:r>
      <w:r w:rsidR="00F04ECD">
        <w:rPr>
          <w:rFonts w:ascii="Times New Roman" w:eastAsia="Calibri" w:hAnsi="Times New Roman" w:cs="Times New Roman"/>
          <w:sz w:val="24"/>
          <w:szCs w:val="24"/>
        </w:rPr>
        <w:t>,</w:t>
      </w:r>
      <w:r w:rsidRPr="0015154B">
        <w:rPr>
          <w:rFonts w:ascii="Times New Roman" w:eastAsia="Calibri" w:hAnsi="Times New Roman" w:cs="Times New Roman"/>
          <w:sz w:val="24"/>
          <w:szCs w:val="24"/>
        </w:rPr>
        <w:t xml:space="preserve"> līdz 2020.gada 30.decembrim tiks izstrādāta metodika individuāli izgatavojamo TPL bāzes cenas aprēķinam, kas tiks piemērota</w:t>
      </w:r>
      <w:r w:rsidR="00F04ECD">
        <w:rPr>
          <w:rFonts w:ascii="Times New Roman" w:eastAsia="Calibri" w:hAnsi="Times New Roman" w:cs="Times New Roman"/>
          <w:sz w:val="24"/>
          <w:szCs w:val="24"/>
        </w:rPr>
        <w:t>,</w:t>
      </w:r>
      <w:r w:rsidRPr="0015154B">
        <w:rPr>
          <w:rFonts w:ascii="Times New Roman" w:eastAsia="Calibri" w:hAnsi="Times New Roman" w:cs="Times New Roman"/>
          <w:sz w:val="24"/>
          <w:szCs w:val="24"/>
        </w:rPr>
        <w:t xml:space="preserve"> izvēloties individuāli izgatavojamo TPL pakalpojuma sniedzējus kā “kupona” sistēmas ietvaros (nosakot TPL kompensējamo cenu), tā publiskajos iepirkumos (izvirzot prasības TPL pakalpojuma sniedzējiem) esošajā TPL nodrošināšanas sistēmā un iekļaus arī papildus nepieciešamo izdevumu apjomu. </w:t>
      </w:r>
    </w:p>
    <w:p w14:paraId="18238BB4" w14:textId="77777777" w:rsidR="009978A2" w:rsidRPr="0015154B" w:rsidRDefault="009978A2" w:rsidP="009978A2">
      <w:pPr>
        <w:jc w:val="both"/>
        <w:rPr>
          <w:rFonts w:ascii="Times New Roman" w:hAnsi="Times New Roman"/>
          <w:iCs/>
          <w:sz w:val="24"/>
          <w:szCs w:val="24"/>
        </w:rPr>
      </w:pPr>
    </w:p>
    <w:p w14:paraId="26B33FF3" w14:textId="4654B2E0" w:rsidR="009978A2" w:rsidRPr="0015154B" w:rsidRDefault="009978A2" w:rsidP="001101F7">
      <w:pPr>
        <w:pStyle w:val="Heading3"/>
      </w:pPr>
      <w:bookmarkStart w:id="46" w:name="_Toc55316085"/>
      <w:r w:rsidRPr="0015154B">
        <w:t>Sociālā rehabilitācija personām ar funkcionāliem traucējumiem</w:t>
      </w:r>
      <w:bookmarkEnd w:id="46"/>
    </w:p>
    <w:p w14:paraId="2CF935F8" w14:textId="5D997B00" w:rsidR="009978A2" w:rsidRPr="0015154B" w:rsidRDefault="009978A2" w:rsidP="00AC38FA">
      <w:pPr>
        <w:spacing w:before="120" w:after="0" w:line="240" w:lineRule="auto"/>
        <w:ind w:right="45" w:firstLine="720"/>
        <w:jc w:val="both"/>
        <w:rPr>
          <w:rFonts w:ascii="Times New Roman" w:eastAsia="Times New Roman" w:hAnsi="Times New Roman" w:cs="Times New Roman"/>
          <w:bCs/>
          <w:iCs/>
          <w:sz w:val="24"/>
          <w:szCs w:val="24"/>
          <w:lang w:eastAsia="lv-LV"/>
        </w:rPr>
      </w:pPr>
      <w:r w:rsidRPr="0015154B">
        <w:rPr>
          <w:rFonts w:ascii="Times New Roman" w:hAnsi="Times New Roman" w:cs="Times New Roman"/>
          <w:sz w:val="24"/>
          <w:szCs w:val="24"/>
        </w:rPr>
        <w:t xml:space="preserve">Sociālā rehabilitācija ir aktīvs un dinamisks process, kura laikā persona ar funkcionēšanas traucējumiem apgūst zināšanas un prasmes, lai sasniegtu maksimālu sociālu funkcionēšanu un paaugstinātu kapacitāti savas funkcionēšanas uzlabošanai un ierobežojošo barjeru mazināšanai. </w:t>
      </w:r>
      <w:r w:rsidR="00B57798" w:rsidRPr="0015154B">
        <w:rPr>
          <w:rFonts w:ascii="Times New Roman" w:hAnsi="Times New Roman" w:cs="Times New Roman"/>
          <w:sz w:val="24"/>
          <w:szCs w:val="24"/>
        </w:rPr>
        <w:t>P</w:t>
      </w:r>
      <w:r w:rsidRPr="0015154B">
        <w:rPr>
          <w:rFonts w:ascii="Times New Roman" w:hAnsi="Times New Roman" w:cs="Times New Roman"/>
          <w:iCs/>
          <w:sz w:val="24"/>
          <w:szCs w:val="24"/>
        </w:rPr>
        <w:t xml:space="preserve">akalpojums ir vērsts uz to, lai personas iemācītos sadzīvot ar funkcionālajiem traucējumiem, atjaunotu vai iemācītos tās prasmes, </w:t>
      </w:r>
      <w:r w:rsidR="00F04ECD">
        <w:rPr>
          <w:rFonts w:ascii="Times New Roman" w:hAnsi="Times New Roman" w:cs="Times New Roman"/>
          <w:iCs/>
          <w:sz w:val="24"/>
          <w:szCs w:val="24"/>
        </w:rPr>
        <w:t>kuras</w:t>
      </w:r>
      <w:r w:rsidRPr="0015154B">
        <w:rPr>
          <w:rFonts w:ascii="Times New Roman" w:hAnsi="Times New Roman" w:cs="Times New Roman"/>
          <w:iCs/>
          <w:sz w:val="24"/>
          <w:szCs w:val="24"/>
        </w:rPr>
        <w:t xml:space="preserve"> dažādu apstākļu dēļ ir zudušas, ar mērķi personu atgriezt ne tikai aktīvā sabiedriskajā dzīvē, bet primāri darba tirgū, kas veicina personas ekonomisko patstāvību. Sociālās rehabilitācijas pakalpojuma mērķis ir maksimāli efektīvi atbalstīt personu tajā periodā, kad vēl ir iespējams novērst darbspēju</w:t>
      </w:r>
      <w:r w:rsidRPr="0015154B">
        <w:rPr>
          <w:rFonts w:ascii="Times New Roman" w:hAnsi="Times New Roman" w:cs="Times New Roman"/>
          <w:sz w:val="24"/>
          <w:szCs w:val="24"/>
        </w:rPr>
        <w:t xml:space="preserve"> zaudēšanu. Atsevišķos gadījumos sociālās rehabilitācijas pakalpojumu sniedz personām, </w:t>
      </w:r>
      <w:r w:rsidR="00295F72">
        <w:rPr>
          <w:rFonts w:ascii="Times New Roman" w:hAnsi="Times New Roman" w:cs="Times New Roman"/>
          <w:sz w:val="24"/>
          <w:szCs w:val="24"/>
        </w:rPr>
        <w:t>kuras</w:t>
      </w:r>
      <w:r w:rsidRPr="0015154B">
        <w:rPr>
          <w:rFonts w:ascii="Times New Roman" w:hAnsi="Times New Roman" w:cs="Times New Roman"/>
          <w:sz w:val="24"/>
          <w:szCs w:val="24"/>
        </w:rPr>
        <w:t xml:space="preserve"> piederīgas noteiktai grupai</w:t>
      </w:r>
      <w:r w:rsidR="00B57798" w:rsidRPr="0015154B">
        <w:rPr>
          <w:rFonts w:ascii="Times New Roman" w:hAnsi="Times New Roman" w:cs="Times New Roman"/>
          <w:sz w:val="24"/>
          <w:szCs w:val="24"/>
        </w:rPr>
        <w:t xml:space="preserve">. </w:t>
      </w:r>
      <w:r w:rsidR="00FB3AD9" w:rsidRPr="0015154B">
        <w:rPr>
          <w:rFonts w:ascii="Times New Roman" w:hAnsi="Times New Roman" w:cs="Times New Roman"/>
          <w:sz w:val="24"/>
          <w:szCs w:val="24"/>
        </w:rPr>
        <w:t>ČAES seku likvidēšanas dalībnieki un cietušās personas</w:t>
      </w:r>
      <w:r w:rsidRPr="0015154B">
        <w:rPr>
          <w:rFonts w:ascii="Times New Roman" w:eastAsia="Times New Roman" w:hAnsi="Times New Roman" w:cs="Times New Roman"/>
          <w:bCs/>
          <w:iCs/>
          <w:sz w:val="24"/>
          <w:szCs w:val="24"/>
          <w:lang w:eastAsia="lv-LV"/>
        </w:rPr>
        <w:t xml:space="preserve">, </w:t>
      </w:r>
      <w:r w:rsidR="00FB3AD9" w:rsidRPr="0015154B">
        <w:rPr>
          <w:rFonts w:ascii="Times New Roman" w:hAnsi="Times New Roman" w:cs="Times New Roman"/>
          <w:sz w:val="24"/>
          <w:szCs w:val="24"/>
        </w:rPr>
        <w:t>politiski represētās personas</w:t>
      </w:r>
      <w:r w:rsidR="00FB3AD9" w:rsidRPr="0015154B">
        <w:rPr>
          <w:rFonts w:ascii="Times New Roman" w:eastAsia="Times New Roman" w:hAnsi="Times New Roman" w:cs="Times New Roman"/>
          <w:bCs/>
          <w:iCs/>
          <w:sz w:val="24"/>
          <w:szCs w:val="24"/>
          <w:lang w:eastAsia="lv-LV"/>
        </w:rPr>
        <w:t xml:space="preserve"> </w:t>
      </w:r>
      <w:r w:rsidRPr="0015154B">
        <w:rPr>
          <w:rFonts w:ascii="Times New Roman" w:eastAsia="Times New Roman" w:hAnsi="Times New Roman" w:cs="Times New Roman"/>
          <w:bCs/>
          <w:iCs/>
          <w:sz w:val="24"/>
          <w:szCs w:val="24"/>
          <w:lang w:eastAsia="lv-LV"/>
        </w:rPr>
        <w:t>un personas ar prognozējamu invaliditāti pakalpojumus saņem atbilstoši piederībai noteiktam statusam, šīs mērķa grupas atbilstība sociālās rehabilitācijas pakalpojuma saņēmēju statusam līdz ar to netiek vērtēta.</w:t>
      </w:r>
    </w:p>
    <w:p w14:paraId="6F984455" w14:textId="230B9A79" w:rsidR="009978A2" w:rsidRPr="0015154B" w:rsidRDefault="00295F72" w:rsidP="00AC38FA">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w:t>
      </w:r>
      <w:r w:rsidR="009978A2" w:rsidRPr="0015154B">
        <w:rPr>
          <w:rFonts w:ascii="Times New Roman" w:hAnsi="Times New Roman" w:cs="Times New Roman"/>
          <w:sz w:val="24"/>
          <w:szCs w:val="24"/>
        </w:rPr>
        <w:t>o 2020. gada 1. janvāra personas ar funkcionēšanas traucējumiem var saņemt 14 dienu ilgu sociālās rehabilitācijas kursu tikai pēc valsts apmaksātas multiprofesionālas medicīniskās rehabilitācijas (subakūtā etapa) pabeigšanas stacionārā vai dienas stacionārā:</w:t>
      </w:r>
    </w:p>
    <w:p w14:paraId="3F825788" w14:textId="77777777" w:rsidR="009978A2" w:rsidRPr="0015154B" w:rsidRDefault="009978A2" w:rsidP="00AC38FA">
      <w:pPr>
        <w:pStyle w:val="ListParagraph"/>
        <w:numPr>
          <w:ilvl w:val="0"/>
          <w:numId w:val="31"/>
        </w:numPr>
        <w:spacing w:before="120" w:after="0" w:line="240" w:lineRule="auto"/>
        <w:ind w:right="45"/>
        <w:jc w:val="both"/>
        <w:rPr>
          <w:rFonts w:ascii="Times New Roman" w:hAnsi="Times New Roman" w:cs="Times New Roman"/>
          <w:sz w:val="24"/>
          <w:szCs w:val="24"/>
        </w:rPr>
      </w:pPr>
      <w:r w:rsidRPr="0015154B">
        <w:rPr>
          <w:rFonts w:ascii="Times New Roman" w:hAnsi="Times New Roman" w:cs="Times New Roman"/>
          <w:sz w:val="24"/>
          <w:szCs w:val="24"/>
        </w:rPr>
        <w:t>ja slimības izraisītie funkcionēšanas traucējumi atbilstoši Starptautiskajai funkcionēšanas, nespējas un veselības klasifikācijai ir aktivitāšu un dalības līmenī;</w:t>
      </w:r>
    </w:p>
    <w:p w14:paraId="0664D08E" w14:textId="7A099242" w:rsidR="009978A2" w:rsidRPr="0015154B" w:rsidRDefault="009978A2" w:rsidP="00AC38FA">
      <w:pPr>
        <w:pStyle w:val="ListParagraph"/>
        <w:numPr>
          <w:ilvl w:val="0"/>
          <w:numId w:val="31"/>
        </w:numPr>
        <w:spacing w:before="120" w:after="0" w:line="240" w:lineRule="auto"/>
        <w:ind w:right="45"/>
        <w:jc w:val="both"/>
        <w:rPr>
          <w:rFonts w:ascii="Times New Roman" w:hAnsi="Times New Roman" w:cs="Times New Roman"/>
          <w:sz w:val="24"/>
          <w:szCs w:val="24"/>
        </w:rPr>
      </w:pPr>
      <w:r w:rsidRPr="0015154B">
        <w:rPr>
          <w:rFonts w:ascii="Times New Roman" w:hAnsi="Times New Roman" w:cs="Times New Roman"/>
          <w:sz w:val="24"/>
          <w:szCs w:val="24"/>
        </w:rPr>
        <w:t>ja ārstniecības iestāde izrakstā par medicīniskās rehabilitācijas pabeigšanu ir rekomendējusi saņemt sociālo rehabilitāciju un norādījusi tās mērķi.</w:t>
      </w:r>
    </w:p>
    <w:p w14:paraId="237E974A" w14:textId="7A4FAA62" w:rsidR="009120A7" w:rsidRPr="0015154B" w:rsidRDefault="009120A7" w:rsidP="00AC38FA">
      <w:pPr>
        <w:spacing w:before="120" w:after="0" w:line="240" w:lineRule="auto"/>
        <w:ind w:right="45"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Minētās izmaiņas tika veiktas ar mērķi nodrošināt sociālās rehabilitācijas pakalpojumu tieši tām personām, kurām sociālās rehabilitācijas pakalpojums ir nepieciešams uzreiz pēctecīgi pēc nepieciešamo veselības aprūpes pakalpojumu saņemšanas – pēc traumām vai operācijām un tām sekojošas medicīniskās rehabilitācijas, pēc kurām personai saglabājas augsts rehabilitācijas potenciāls un liela iespēja pilnībā atgriezties sabiedrībā un būt </w:t>
      </w:r>
      <w:r w:rsidR="00295F72" w:rsidRPr="0015154B">
        <w:rPr>
          <w:rFonts w:ascii="Times New Roman" w:hAnsi="Times New Roman" w:cs="Times New Roman"/>
          <w:sz w:val="24"/>
          <w:szCs w:val="24"/>
        </w:rPr>
        <w:t>ekonomiski</w:t>
      </w:r>
      <w:r w:rsidRPr="0015154B">
        <w:rPr>
          <w:rFonts w:ascii="Times New Roman" w:hAnsi="Times New Roman" w:cs="Times New Roman"/>
          <w:sz w:val="24"/>
          <w:szCs w:val="24"/>
        </w:rPr>
        <w:t xml:space="preserve"> aktīvai. </w:t>
      </w:r>
      <w:r w:rsidR="00295F72">
        <w:rPr>
          <w:rFonts w:ascii="Times New Roman" w:hAnsi="Times New Roman" w:cs="Times New Roman"/>
          <w:sz w:val="24"/>
          <w:szCs w:val="24"/>
        </w:rPr>
        <w:t>Pretējā gadījumā</w:t>
      </w:r>
      <w:r w:rsidRPr="0015154B">
        <w:rPr>
          <w:rFonts w:ascii="Times New Roman" w:hAnsi="Times New Roman" w:cs="Times New Roman"/>
          <w:sz w:val="24"/>
          <w:szCs w:val="24"/>
        </w:rPr>
        <w:t xml:space="preserve"> personai, kurai ir nepieciešama sociālā rehabilitācija un ir augsts rehabilitācijas potenciāls, vairākus gadus ir jāgaida minētā pakalpojuma saņemšana, </w:t>
      </w:r>
      <w:r w:rsidRPr="0015154B">
        <w:rPr>
          <w:rFonts w:ascii="Times New Roman" w:hAnsi="Times New Roman" w:cs="Times New Roman"/>
          <w:sz w:val="24"/>
          <w:szCs w:val="24"/>
        </w:rPr>
        <w:lastRenderedPageBreak/>
        <w:t>mazinās gan personas motivācija, gan iespēja, ka persona tiešām pilnvērtīgi atgriezīsies savā iepriekšējā dzīvē.</w:t>
      </w:r>
    </w:p>
    <w:p w14:paraId="4A7EC44E" w14:textId="64707CF5" w:rsidR="009120A7" w:rsidRPr="0015154B" w:rsidRDefault="009120A7" w:rsidP="00AC38FA">
      <w:pPr>
        <w:spacing w:before="120" w:after="0" w:line="240" w:lineRule="auto"/>
        <w:ind w:right="45" w:firstLine="720"/>
        <w:jc w:val="both"/>
        <w:rPr>
          <w:rFonts w:ascii="Times New Roman" w:hAnsi="Times New Roman" w:cs="Times New Roman"/>
          <w:sz w:val="24"/>
          <w:szCs w:val="24"/>
        </w:rPr>
      </w:pPr>
      <w:r w:rsidRPr="0015154B">
        <w:rPr>
          <w:rFonts w:ascii="Times New Roman" w:hAnsi="Times New Roman" w:cs="Times New Roman"/>
          <w:sz w:val="24"/>
          <w:szCs w:val="24"/>
        </w:rPr>
        <w:t>Viens no sociālās rehabilitācijas mērķiem ir palīdzēt personai atgriezties arī darba dzīvē, tomēr šobrīd sociālās rehabilitācijas pakalpojuma sniegšanas laiks (14 dienas) un saturs (uzsvars tiek likts uz personas veselības stāvokļa uzlabošanu) to tieši neveicina, tāpēc viens no iespējamiem virzieniem, kā turpmāk uzlabot un pilnveidot sociālās rehabilitācijas pakalpojumu, būtu – integrēt to vienotā pakalpojumā kopā ar profesionālās rehabilitācijas pakalpojumu, kurā vienlaikus ar klasiskajiem sociālās rehabilitācijas pakalpojumiem tiktu ilgstoši un mērķtiecīgi pilnveidotas, atjaunotas vai uzlabotas personas profesionālās iemaņas un spējas.</w:t>
      </w:r>
      <w:r w:rsidR="00295F72">
        <w:rPr>
          <w:rFonts w:ascii="Times New Roman" w:hAnsi="Times New Roman" w:cs="Times New Roman"/>
          <w:sz w:val="24"/>
          <w:szCs w:val="24"/>
        </w:rPr>
        <w:t xml:space="preserve"> Būtiski ir nodrošināt, ka rehabilitācijas pakalpojums ir mērķtiecīgi sniegts nevis atbilstoši personas piederīgai, kād</w:t>
      </w:r>
      <w:r w:rsidR="00F04ECD">
        <w:rPr>
          <w:rFonts w:ascii="Times New Roman" w:hAnsi="Times New Roman" w:cs="Times New Roman"/>
          <w:sz w:val="24"/>
          <w:szCs w:val="24"/>
        </w:rPr>
        <w:t>ai</w:t>
      </w:r>
      <w:r w:rsidR="00295F72">
        <w:rPr>
          <w:rFonts w:ascii="Times New Roman" w:hAnsi="Times New Roman" w:cs="Times New Roman"/>
          <w:sz w:val="24"/>
          <w:szCs w:val="24"/>
        </w:rPr>
        <w:t xml:space="preserve"> no grupām, bet gan atbilstoši šīs personas vajadzībām.</w:t>
      </w:r>
    </w:p>
    <w:p w14:paraId="5C3CD7C6" w14:textId="77777777" w:rsidR="009120A7" w:rsidRPr="0015154B" w:rsidRDefault="009120A7" w:rsidP="009120A7">
      <w:pPr>
        <w:spacing w:after="0" w:line="240" w:lineRule="auto"/>
        <w:ind w:right="45"/>
        <w:jc w:val="both"/>
        <w:rPr>
          <w:rFonts w:ascii="Times New Roman" w:hAnsi="Times New Roman" w:cs="Times New Roman"/>
          <w:sz w:val="24"/>
          <w:szCs w:val="24"/>
        </w:rPr>
      </w:pPr>
    </w:p>
    <w:p w14:paraId="6859978E" w14:textId="61711FDD" w:rsidR="00384F2B" w:rsidRPr="0015154B" w:rsidRDefault="00384F2B" w:rsidP="001A0E9C">
      <w:pPr>
        <w:spacing w:after="0" w:line="240" w:lineRule="auto"/>
        <w:ind w:right="45"/>
        <w:jc w:val="both"/>
        <w:rPr>
          <w:rFonts w:ascii="Times New Roman" w:hAnsi="Times New Roman" w:cs="Times New Roman"/>
          <w:sz w:val="24"/>
          <w:szCs w:val="24"/>
        </w:rPr>
      </w:pPr>
      <w:r w:rsidRPr="0015154B">
        <w:rPr>
          <w:rFonts w:ascii="Times New Roman" w:hAnsi="Times New Roman" w:cs="Times New Roman"/>
          <w:sz w:val="24"/>
          <w:szCs w:val="24"/>
        </w:rPr>
        <w:t>1</w:t>
      </w:r>
      <w:r w:rsidR="00974F0C">
        <w:rPr>
          <w:rFonts w:ascii="Times New Roman" w:hAnsi="Times New Roman" w:cs="Times New Roman"/>
          <w:sz w:val="24"/>
          <w:szCs w:val="24"/>
        </w:rPr>
        <w:t>7</w:t>
      </w:r>
      <w:r w:rsidRPr="0015154B">
        <w:rPr>
          <w:rFonts w:ascii="Times New Roman" w:hAnsi="Times New Roman" w:cs="Times New Roman"/>
          <w:sz w:val="24"/>
          <w:szCs w:val="24"/>
        </w:rPr>
        <w:t>.tabula</w:t>
      </w:r>
    </w:p>
    <w:p w14:paraId="48FE30F3" w14:textId="77777777" w:rsidR="002F3BEA" w:rsidRPr="0015154B" w:rsidRDefault="009978A2" w:rsidP="002F3BEA">
      <w:pPr>
        <w:pStyle w:val="NoSpacing"/>
        <w:spacing w:before="0"/>
        <w:jc w:val="center"/>
        <w:rPr>
          <w:rFonts w:ascii="Times New Roman" w:hAnsi="Times New Roman" w:cs="Times New Roman"/>
          <w:b/>
          <w:color w:val="002060"/>
          <w:sz w:val="24"/>
          <w:szCs w:val="24"/>
          <w:shd w:val="clear" w:color="auto" w:fill="FFFFFF"/>
        </w:rPr>
      </w:pPr>
      <w:r w:rsidRPr="0015154B">
        <w:rPr>
          <w:rFonts w:ascii="Times New Roman" w:hAnsi="Times New Roman" w:cs="Times New Roman"/>
          <w:b/>
          <w:color w:val="002060"/>
          <w:sz w:val="24"/>
          <w:szCs w:val="24"/>
          <w:shd w:val="clear" w:color="auto" w:fill="FFFFFF"/>
        </w:rPr>
        <w:t xml:space="preserve">Sociālās rehabilitācijas pakalpojumu saņēmušo skaits un finansējums </w:t>
      </w:r>
    </w:p>
    <w:p w14:paraId="2446D7A6" w14:textId="2A48E176" w:rsidR="009978A2" w:rsidRPr="0015154B" w:rsidRDefault="009978A2" w:rsidP="002F3BEA">
      <w:pPr>
        <w:pStyle w:val="NoSpacing"/>
        <w:spacing w:before="0"/>
        <w:jc w:val="center"/>
        <w:rPr>
          <w:rFonts w:ascii="Times New Roman" w:hAnsi="Times New Roman" w:cs="Times New Roman"/>
          <w:b/>
          <w:color w:val="002060"/>
          <w:sz w:val="24"/>
          <w:szCs w:val="24"/>
          <w:shd w:val="clear" w:color="auto" w:fill="FFFFFF"/>
        </w:rPr>
      </w:pPr>
      <w:r w:rsidRPr="0015154B">
        <w:rPr>
          <w:rFonts w:ascii="Times New Roman" w:hAnsi="Times New Roman" w:cs="Times New Roman"/>
          <w:b/>
          <w:color w:val="002060"/>
          <w:sz w:val="24"/>
          <w:szCs w:val="24"/>
          <w:shd w:val="clear" w:color="auto" w:fill="FFFFFF"/>
        </w:rPr>
        <w:t>2014.-2019.gadā</w:t>
      </w:r>
    </w:p>
    <w:p w14:paraId="4CCBD36B" w14:textId="77777777" w:rsidR="009978A2" w:rsidRPr="0015154B" w:rsidRDefault="009978A2" w:rsidP="001A0E9C">
      <w:pPr>
        <w:pStyle w:val="NoSpacing"/>
        <w:spacing w:before="0"/>
        <w:ind w:left="720"/>
        <w:jc w:val="both"/>
        <w:rPr>
          <w:rFonts w:ascii="Times New Roman" w:hAnsi="Times New Roman" w:cs="Times New Roman"/>
          <w:b/>
          <w:sz w:val="24"/>
          <w:szCs w:val="24"/>
          <w:shd w:val="clear" w:color="auto" w:fill="FFFFFF"/>
        </w:rPr>
      </w:pPr>
    </w:p>
    <w:tbl>
      <w:tblPr>
        <w:tblW w:w="5123" w:type="pct"/>
        <w:tblLook w:val="04A0" w:firstRow="1" w:lastRow="0" w:firstColumn="1" w:lastColumn="0" w:noHBand="0" w:noVBand="1"/>
      </w:tblPr>
      <w:tblGrid>
        <w:gridCol w:w="884"/>
        <w:gridCol w:w="1838"/>
        <w:gridCol w:w="1385"/>
        <w:gridCol w:w="1606"/>
        <w:gridCol w:w="1853"/>
        <w:gridCol w:w="1718"/>
      </w:tblGrid>
      <w:tr w:rsidR="00825BD5" w:rsidRPr="0015154B" w14:paraId="51D2DB69" w14:textId="77777777" w:rsidTr="00825BD5">
        <w:trPr>
          <w:trHeight w:val="900"/>
        </w:trPr>
        <w:tc>
          <w:tcPr>
            <w:tcW w:w="476" w:type="pct"/>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427AA117" w14:textId="77777777" w:rsidR="009978A2" w:rsidRPr="0015154B" w:rsidRDefault="009978A2"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 Gads</w:t>
            </w:r>
          </w:p>
        </w:tc>
        <w:tc>
          <w:tcPr>
            <w:tcW w:w="990" w:type="pct"/>
            <w:tcBorders>
              <w:top w:val="single" w:sz="4" w:space="0" w:color="auto"/>
              <w:left w:val="nil"/>
              <w:bottom w:val="single" w:sz="4" w:space="0" w:color="auto"/>
              <w:right w:val="single" w:sz="4" w:space="0" w:color="auto"/>
            </w:tcBorders>
            <w:shd w:val="clear" w:color="auto" w:fill="E8F3D3" w:themeFill="accent2" w:themeFillTint="33"/>
          </w:tcPr>
          <w:p w14:paraId="7582B470" w14:textId="77777777" w:rsidR="009978A2" w:rsidRPr="0015154B" w:rsidRDefault="009978A2"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Personas ar funkcionāliem traucējumiem</w:t>
            </w:r>
          </w:p>
        </w:tc>
        <w:tc>
          <w:tcPr>
            <w:tcW w:w="746" w:type="pct"/>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325118A9" w14:textId="77777777" w:rsidR="009978A2" w:rsidRPr="0015154B" w:rsidRDefault="009978A2"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Politiski represētas personas</w:t>
            </w:r>
          </w:p>
        </w:tc>
        <w:tc>
          <w:tcPr>
            <w:tcW w:w="865" w:type="pct"/>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6C2BDB7E" w14:textId="77777777" w:rsidR="009978A2" w:rsidRPr="0015154B" w:rsidRDefault="009978A2"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ČAES seku likvidēšanas dalībnieki un cietušās personas</w:t>
            </w:r>
          </w:p>
        </w:tc>
        <w:tc>
          <w:tcPr>
            <w:tcW w:w="998" w:type="pct"/>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69905147" w14:textId="77777777" w:rsidR="009978A2" w:rsidRPr="0015154B" w:rsidRDefault="009978A2"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Personas ar prognozējamu invaliditāti</w:t>
            </w:r>
          </w:p>
        </w:tc>
        <w:tc>
          <w:tcPr>
            <w:tcW w:w="925" w:type="pct"/>
            <w:tcBorders>
              <w:top w:val="single" w:sz="4" w:space="0" w:color="auto"/>
              <w:left w:val="single" w:sz="4" w:space="0" w:color="auto"/>
              <w:bottom w:val="single" w:sz="4" w:space="0" w:color="auto"/>
              <w:right w:val="single" w:sz="4" w:space="0" w:color="auto"/>
            </w:tcBorders>
            <w:shd w:val="clear" w:color="auto" w:fill="E8F3D3" w:themeFill="accent2" w:themeFillTint="33"/>
          </w:tcPr>
          <w:p w14:paraId="608B0F32" w14:textId="18F1BDFF" w:rsidR="009978A2" w:rsidRPr="0015154B" w:rsidRDefault="009978A2" w:rsidP="001A0E9C">
            <w:pPr>
              <w:spacing w:after="0" w:line="240" w:lineRule="auto"/>
              <w:rPr>
                <w:rFonts w:ascii="Times New Roman" w:eastAsia="Times New Roman" w:hAnsi="Times New Roman" w:cs="Times New Roman"/>
                <w:b/>
                <w:i/>
                <w:color w:val="002060"/>
                <w:sz w:val="24"/>
                <w:szCs w:val="24"/>
                <w:lang w:eastAsia="lv-LV"/>
              </w:rPr>
            </w:pPr>
            <w:r w:rsidRPr="0015154B">
              <w:rPr>
                <w:rFonts w:ascii="Times New Roman" w:eastAsia="Times New Roman" w:hAnsi="Times New Roman" w:cs="Times New Roman"/>
                <w:b/>
                <w:color w:val="002060"/>
                <w:sz w:val="24"/>
                <w:szCs w:val="24"/>
                <w:lang w:eastAsia="lv-LV"/>
              </w:rPr>
              <w:t xml:space="preserve">LM pārskaitītais finansējums </w:t>
            </w:r>
            <w:r w:rsidRPr="0015154B">
              <w:rPr>
                <w:rFonts w:ascii="Times New Roman" w:eastAsia="Times New Roman" w:hAnsi="Times New Roman" w:cs="Times New Roman"/>
                <w:b/>
                <w:i/>
                <w:color w:val="002060"/>
                <w:sz w:val="24"/>
                <w:szCs w:val="24"/>
                <w:lang w:eastAsia="lv-LV"/>
              </w:rPr>
              <w:t>e</w:t>
            </w:r>
            <w:r w:rsidR="00AC7FB3">
              <w:rPr>
                <w:rFonts w:ascii="Times New Roman" w:eastAsia="Times New Roman" w:hAnsi="Times New Roman" w:cs="Times New Roman"/>
                <w:b/>
                <w:i/>
                <w:color w:val="002060"/>
                <w:sz w:val="24"/>
                <w:szCs w:val="24"/>
                <w:lang w:eastAsia="lv-LV"/>
              </w:rPr>
              <w:t>i</w:t>
            </w:r>
            <w:r w:rsidRPr="0015154B">
              <w:rPr>
                <w:rFonts w:ascii="Times New Roman" w:eastAsia="Times New Roman" w:hAnsi="Times New Roman" w:cs="Times New Roman"/>
                <w:b/>
                <w:i/>
                <w:color w:val="002060"/>
                <w:sz w:val="24"/>
                <w:szCs w:val="24"/>
                <w:lang w:eastAsia="lv-LV"/>
              </w:rPr>
              <w:t>ro</w:t>
            </w:r>
          </w:p>
        </w:tc>
      </w:tr>
      <w:tr w:rsidR="001A0E9C" w:rsidRPr="0015154B" w14:paraId="5965251E" w14:textId="77777777" w:rsidTr="00825BD5">
        <w:trPr>
          <w:trHeight w:val="259"/>
        </w:trPr>
        <w:tc>
          <w:tcPr>
            <w:tcW w:w="476" w:type="pct"/>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bottom"/>
          </w:tcPr>
          <w:p w14:paraId="1389EDF0" w14:textId="38D649F7" w:rsidR="001A0E9C" w:rsidRPr="0015154B" w:rsidRDefault="001A0E9C"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2014</w:t>
            </w:r>
          </w:p>
        </w:tc>
        <w:tc>
          <w:tcPr>
            <w:tcW w:w="990" w:type="pct"/>
            <w:tcBorders>
              <w:top w:val="single" w:sz="4" w:space="0" w:color="auto"/>
              <w:left w:val="nil"/>
              <w:bottom w:val="single" w:sz="4" w:space="0" w:color="auto"/>
              <w:right w:val="single" w:sz="4" w:space="0" w:color="auto"/>
            </w:tcBorders>
          </w:tcPr>
          <w:p w14:paraId="2D79D57F" w14:textId="11508AA6"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1929</w:t>
            </w:r>
          </w:p>
        </w:tc>
        <w:tc>
          <w:tcPr>
            <w:tcW w:w="746" w:type="pct"/>
            <w:tcBorders>
              <w:top w:val="single" w:sz="4" w:space="0" w:color="auto"/>
              <w:left w:val="single" w:sz="4" w:space="0" w:color="auto"/>
              <w:bottom w:val="single" w:sz="4" w:space="0" w:color="auto"/>
              <w:right w:val="single" w:sz="4" w:space="0" w:color="auto"/>
            </w:tcBorders>
          </w:tcPr>
          <w:p w14:paraId="360043A7" w14:textId="59E3CE95"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666</w:t>
            </w:r>
          </w:p>
        </w:tc>
        <w:tc>
          <w:tcPr>
            <w:tcW w:w="865" w:type="pct"/>
            <w:tcBorders>
              <w:top w:val="single" w:sz="4" w:space="0" w:color="auto"/>
              <w:left w:val="single" w:sz="4" w:space="0" w:color="auto"/>
              <w:bottom w:val="single" w:sz="4" w:space="0" w:color="auto"/>
              <w:right w:val="single" w:sz="4" w:space="0" w:color="auto"/>
            </w:tcBorders>
          </w:tcPr>
          <w:p w14:paraId="43302154" w14:textId="13790086"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406</w:t>
            </w:r>
          </w:p>
        </w:tc>
        <w:tc>
          <w:tcPr>
            <w:tcW w:w="998" w:type="pct"/>
            <w:tcBorders>
              <w:top w:val="single" w:sz="4" w:space="0" w:color="auto"/>
              <w:left w:val="single" w:sz="4" w:space="0" w:color="auto"/>
              <w:bottom w:val="single" w:sz="4" w:space="0" w:color="auto"/>
              <w:right w:val="single" w:sz="4" w:space="0" w:color="auto"/>
            </w:tcBorders>
          </w:tcPr>
          <w:p w14:paraId="287B6E2E" w14:textId="4A76C00F" w:rsidR="001A0E9C" w:rsidRPr="00F04ECD" w:rsidRDefault="00F04ECD" w:rsidP="001A0E9C">
            <w:pPr>
              <w:spacing w:after="0" w:line="240" w:lineRule="auto"/>
              <w:rPr>
                <w:rFonts w:ascii="Times New Roman" w:eastAsia="Times New Roman" w:hAnsi="Times New Roman" w:cs="Times New Roman"/>
                <w:sz w:val="24"/>
                <w:szCs w:val="24"/>
                <w:lang w:eastAsia="lv-LV"/>
              </w:rPr>
            </w:pPr>
            <w:r w:rsidRPr="00F04ECD">
              <w:rPr>
                <w:rFonts w:ascii="Times New Roman" w:eastAsia="Times New Roman" w:hAnsi="Times New Roman" w:cs="Times New Roman"/>
                <w:sz w:val="24"/>
                <w:szCs w:val="24"/>
                <w:lang w:eastAsia="lv-LV"/>
              </w:rPr>
              <w:t>0</w:t>
            </w:r>
          </w:p>
        </w:tc>
        <w:tc>
          <w:tcPr>
            <w:tcW w:w="925" w:type="pct"/>
            <w:tcBorders>
              <w:top w:val="single" w:sz="4" w:space="0" w:color="auto"/>
              <w:left w:val="single" w:sz="4" w:space="0" w:color="auto"/>
              <w:bottom w:val="single" w:sz="4" w:space="0" w:color="auto"/>
              <w:right w:val="single" w:sz="4" w:space="0" w:color="auto"/>
            </w:tcBorders>
          </w:tcPr>
          <w:p w14:paraId="223EAC4F" w14:textId="2415D8B7"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hAnsi="Times New Roman" w:cs="Times New Roman"/>
                <w:bCs/>
                <w:sz w:val="24"/>
                <w:szCs w:val="24"/>
              </w:rPr>
              <w:t>1 985 048</w:t>
            </w:r>
          </w:p>
        </w:tc>
      </w:tr>
      <w:tr w:rsidR="001A0E9C" w:rsidRPr="0015154B" w14:paraId="31873758" w14:textId="77777777" w:rsidTr="00825BD5">
        <w:trPr>
          <w:trHeight w:val="249"/>
        </w:trPr>
        <w:tc>
          <w:tcPr>
            <w:tcW w:w="476" w:type="pct"/>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bottom"/>
          </w:tcPr>
          <w:p w14:paraId="4337DB8B" w14:textId="0FE0662B" w:rsidR="001A0E9C" w:rsidRPr="0015154B" w:rsidRDefault="001A0E9C"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 xml:space="preserve">2015 </w:t>
            </w:r>
          </w:p>
        </w:tc>
        <w:tc>
          <w:tcPr>
            <w:tcW w:w="990" w:type="pct"/>
            <w:tcBorders>
              <w:top w:val="single" w:sz="4" w:space="0" w:color="auto"/>
              <w:left w:val="nil"/>
              <w:bottom w:val="single" w:sz="4" w:space="0" w:color="auto"/>
              <w:right w:val="single" w:sz="4" w:space="0" w:color="auto"/>
            </w:tcBorders>
          </w:tcPr>
          <w:p w14:paraId="50EE3099" w14:textId="77147CD5"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2635</w:t>
            </w:r>
          </w:p>
        </w:tc>
        <w:tc>
          <w:tcPr>
            <w:tcW w:w="746" w:type="pct"/>
            <w:tcBorders>
              <w:top w:val="single" w:sz="4" w:space="0" w:color="auto"/>
              <w:left w:val="single" w:sz="4" w:space="0" w:color="auto"/>
              <w:bottom w:val="single" w:sz="4" w:space="0" w:color="auto"/>
              <w:right w:val="single" w:sz="4" w:space="0" w:color="auto"/>
            </w:tcBorders>
          </w:tcPr>
          <w:p w14:paraId="5CCB33E6" w14:textId="6805E320"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635</w:t>
            </w:r>
          </w:p>
        </w:tc>
        <w:tc>
          <w:tcPr>
            <w:tcW w:w="865" w:type="pct"/>
            <w:tcBorders>
              <w:top w:val="single" w:sz="4" w:space="0" w:color="auto"/>
              <w:left w:val="single" w:sz="4" w:space="0" w:color="auto"/>
              <w:bottom w:val="single" w:sz="4" w:space="0" w:color="auto"/>
              <w:right w:val="single" w:sz="4" w:space="0" w:color="auto"/>
            </w:tcBorders>
          </w:tcPr>
          <w:p w14:paraId="7A92E1FB" w14:textId="44E72442"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219</w:t>
            </w:r>
          </w:p>
        </w:tc>
        <w:tc>
          <w:tcPr>
            <w:tcW w:w="998" w:type="pct"/>
            <w:tcBorders>
              <w:top w:val="single" w:sz="4" w:space="0" w:color="auto"/>
              <w:left w:val="single" w:sz="4" w:space="0" w:color="auto"/>
              <w:bottom w:val="single" w:sz="4" w:space="0" w:color="auto"/>
              <w:right w:val="single" w:sz="4" w:space="0" w:color="auto"/>
            </w:tcBorders>
          </w:tcPr>
          <w:p w14:paraId="6FF45BCF" w14:textId="7266C573"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1</w:t>
            </w:r>
          </w:p>
        </w:tc>
        <w:tc>
          <w:tcPr>
            <w:tcW w:w="925" w:type="pct"/>
            <w:tcBorders>
              <w:top w:val="single" w:sz="4" w:space="0" w:color="auto"/>
              <w:left w:val="single" w:sz="4" w:space="0" w:color="auto"/>
              <w:bottom w:val="single" w:sz="4" w:space="0" w:color="auto"/>
              <w:right w:val="single" w:sz="4" w:space="0" w:color="auto"/>
            </w:tcBorders>
          </w:tcPr>
          <w:p w14:paraId="0C72F755" w14:textId="6BB1C5EF"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hAnsi="Times New Roman" w:cs="Times New Roman"/>
                <w:bCs/>
                <w:sz w:val="24"/>
                <w:szCs w:val="24"/>
              </w:rPr>
              <w:t>2 268 616</w:t>
            </w:r>
          </w:p>
        </w:tc>
      </w:tr>
      <w:tr w:rsidR="001A0E9C" w:rsidRPr="0015154B" w14:paraId="452E0B7A" w14:textId="77777777" w:rsidTr="00825BD5">
        <w:trPr>
          <w:trHeight w:val="253"/>
        </w:trPr>
        <w:tc>
          <w:tcPr>
            <w:tcW w:w="476" w:type="pct"/>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bottom"/>
          </w:tcPr>
          <w:p w14:paraId="38FA4E75" w14:textId="07E99643" w:rsidR="001A0E9C" w:rsidRPr="0015154B" w:rsidRDefault="001A0E9C"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2016</w:t>
            </w:r>
          </w:p>
        </w:tc>
        <w:tc>
          <w:tcPr>
            <w:tcW w:w="990" w:type="pct"/>
            <w:tcBorders>
              <w:top w:val="single" w:sz="4" w:space="0" w:color="auto"/>
              <w:left w:val="nil"/>
              <w:bottom w:val="single" w:sz="4" w:space="0" w:color="auto"/>
              <w:right w:val="single" w:sz="4" w:space="0" w:color="auto"/>
            </w:tcBorders>
          </w:tcPr>
          <w:p w14:paraId="75A0C082" w14:textId="55A5E5FE"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2663</w:t>
            </w:r>
          </w:p>
        </w:tc>
        <w:tc>
          <w:tcPr>
            <w:tcW w:w="746" w:type="pct"/>
            <w:tcBorders>
              <w:top w:val="single" w:sz="4" w:space="0" w:color="auto"/>
              <w:left w:val="single" w:sz="4" w:space="0" w:color="auto"/>
              <w:bottom w:val="single" w:sz="4" w:space="0" w:color="auto"/>
              <w:right w:val="single" w:sz="4" w:space="0" w:color="auto"/>
            </w:tcBorders>
          </w:tcPr>
          <w:p w14:paraId="33062B8C" w14:textId="58752C32"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595</w:t>
            </w:r>
          </w:p>
        </w:tc>
        <w:tc>
          <w:tcPr>
            <w:tcW w:w="865" w:type="pct"/>
            <w:tcBorders>
              <w:top w:val="single" w:sz="4" w:space="0" w:color="auto"/>
              <w:left w:val="single" w:sz="4" w:space="0" w:color="auto"/>
              <w:bottom w:val="single" w:sz="4" w:space="0" w:color="auto"/>
              <w:right w:val="single" w:sz="4" w:space="0" w:color="auto"/>
            </w:tcBorders>
          </w:tcPr>
          <w:p w14:paraId="0EC15821" w14:textId="222D5BB9"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324</w:t>
            </w:r>
          </w:p>
        </w:tc>
        <w:tc>
          <w:tcPr>
            <w:tcW w:w="998" w:type="pct"/>
            <w:tcBorders>
              <w:top w:val="single" w:sz="4" w:space="0" w:color="auto"/>
              <w:left w:val="single" w:sz="4" w:space="0" w:color="auto"/>
              <w:bottom w:val="single" w:sz="4" w:space="0" w:color="auto"/>
              <w:right w:val="single" w:sz="4" w:space="0" w:color="auto"/>
            </w:tcBorders>
          </w:tcPr>
          <w:p w14:paraId="2A5E9B4B" w14:textId="41248EB7"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4</w:t>
            </w:r>
          </w:p>
        </w:tc>
        <w:tc>
          <w:tcPr>
            <w:tcW w:w="925" w:type="pct"/>
            <w:tcBorders>
              <w:top w:val="single" w:sz="4" w:space="0" w:color="auto"/>
              <w:left w:val="single" w:sz="4" w:space="0" w:color="auto"/>
              <w:bottom w:val="single" w:sz="4" w:space="0" w:color="auto"/>
              <w:right w:val="single" w:sz="4" w:space="0" w:color="auto"/>
            </w:tcBorders>
          </w:tcPr>
          <w:p w14:paraId="0A7853A8" w14:textId="3283D966"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hAnsi="Times New Roman" w:cs="Times New Roman"/>
                <w:bCs/>
                <w:sz w:val="24"/>
                <w:szCs w:val="24"/>
              </w:rPr>
              <w:t>2 291 019</w:t>
            </w:r>
          </w:p>
        </w:tc>
      </w:tr>
      <w:tr w:rsidR="001A0E9C" w:rsidRPr="0015154B" w14:paraId="20F50710" w14:textId="77777777" w:rsidTr="00825BD5">
        <w:trPr>
          <w:trHeight w:val="257"/>
        </w:trPr>
        <w:tc>
          <w:tcPr>
            <w:tcW w:w="476" w:type="pct"/>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bottom"/>
          </w:tcPr>
          <w:p w14:paraId="5846B5FE" w14:textId="27364230" w:rsidR="001A0E9C" w:rsidRPr="0015154B" w:rsidRDefault="001A0E9C"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2017</w:t>
            </w:r>
          </w:p>
        </w:tc>
        <w:tc>
          <w:tcPr>
            <w:tcW w:w="990" w:type="pct"/>
            <w:tcBorders>
              <w:top w:val="single" w:sz="4" w:space="0" w:color="auto"/>
              <w:left w:val="nil"/>
              <w:bottom w:val="single" w:sz="4" w:space="0" w:color="auto"/>
              <w:right w:val="single" w:sz="4" w:space="0" w:color="auto"/>
            </w:tcBorders>
          </w:tcPr>
          <w:p w14:paraId="2BC0C078" w14:textId="363D6D05"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3037</w:t>
            </w:r>
          </w:p>
        </w:tc>
        <w:tc>
          <w:tcPr>
            <w:tcW w:w="746" w:type="pct"/>
            <w:tcBorders>
              <w:top w:val="single" w:sz="4" w:space="0" w:color="auto"/>
              <w:left w:val="single" w:sz="4" w:space="0" w:color="auto"/>
              <w:bottom w:val="single" w:sz="4" w:space="0" w:color="auto"/>
              <w:right w:val="single" w:sz="4" w:space="0" w:color="auto"/>
            </w:tcBorders>
          </w:tcPr>
          <w:p w14:paraId="1CA4845A" w14:textId="6D8C3979"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652</w:t>
            </w:r>
          </w:p>
        </w:tc>
        <w:tc>
          <w:tcPr>
            <w:tcW w:w="865" w:type="pct"/>
            <w:tcBorders>
              <w:top w:val="single" w:sz="4" w:space="0" w:color="auto"/>
              <w:left w:val="single" w:sz="4" w:space="0" w:color="auto"/>
              <w:bottom w:val="single" w:sz="4" w:space="0" w:color="auto"/>
              <w:right w:val="single" w:sz="4" w:space="0" w:color="auto"/>
            </w:tcBorders>
          </w:tcPr>
          <w:p w14:paraId="6E76327B" w14:textId="3785BCEF"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258</w:t>
            </w:r>
          </w:p>
        </w:tc>
        <w:tc>
          <w:tcPr>
            <w:tcW w:w="998" w:type="pct"/>
            <w:tcBorders>
              <w:top w:val="single" w:sz="4" w:space="0" w:color="auto"/>
              <w:left w:val="single" w:sz="4" w:space="0" w:color="auto"/>
              <w:bottom w:val="single" w:sz="4" w:space="0" w:color="auto"/>
              <w:right w:val="single" w:sz="4" w:space="0" w:color="auto"/>
            </w:tcBorders>
          </w:tcPr>
          <w:p w14:paraId="477B84F4" w14:textId="20ADFEE8"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eastAsia="Times New Roman" w:hAnsi="Times New Roman" w:cs="Times New Roman"/>
                <w:sz w:val="24"/>
                <w:szCs w:val="24"/>
                <w:lang w:eastAsia="lv-LV"/>
              </w:rPr>
              <w:t>2</w:t>
            </w:r>
          </w:p>
        </w:tc>
        <w:tc>
          <w:tcPr>
            <w:tcW w:w="925" w:type="pct"/>
            <w:tcBorders>
              <w:top w:val="single" w:sz="4" w:space="0" w:color="auto"/>
              <w:left w:val="single" w:sz="4" w:space="0" w:color="auto"/>
              <w:bottom w:val="single" w:sz="4" w:space="0" w:color="auto"/>
              <w:right w:val="single" w:sz="4" w:space="0" w:color="auto"/>
            </w:tcBorders>
          </w:tcPr>
          <w:p w14:paraId="68A8709C" w14:textId="4E18DB34" w:rsidR="001A0E9C" w:rsidRPr="0015154B" w:rsidRDefault="001A0E9C" w:rsidP="001A0E9C">
            <w:pPr>
              <w:spacing w:after="0" w:line="240" w:lineRule="auto"/>
              <w:rPr>
                <w:rFonts w:ascii="Times New Roman" w:eastAsia="Times New Roman" w:hAnsi="Times New Roman" w:cs="Times New Roman"/>
                <w:b/>
                <w:sz w:val="24"/>
                <w:szCs w:val="24"/>
                <w:lang w:eastAsia="lv-LV"/>
              </w:rPr>
            </w:pPr>
            <w:r w:rsidRPr="0015154B">
              <w:rPr>
                <w:rFonts w:ascii="Times New Roman" w:hAnsi="Times New Roman" w:cs="Times New Roman"/>
                <w:bCs/>
                <w:sz w:val="24"/>
                <w:szCs w:val="24"/>
              </w:rPr>
              <w:t>2 745 572</w:t>
            </w:r>
          </w:p>
        </w:tc>
      </w:tr>
      <w:tr w:rsidR="001A0E9C" w:rsidRPr="0015154B" w14:paraId="0FE4AEF2" w14:textId="77777777" w:rsidTr="00825BD5">
        <w:trPr>
          <w:trHeight w:val="247"/>
        </w:trPr>
        <w:tc>
          <w:tcPr>
            <w:tcW w:w="476" w:type="pct"/>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bottom"/>
          </w:tcPr>
          <w:p w14:paraId="1297131A" w14:textId="7CE2F9AD" w:rsidR="001A0E9C" w:rsidRPr="0015154B" w:rsidRDefault="001A0E9C"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2018</w:t>
            </w:r>
          </w:p>
        </w:tc>
        <w:tc>
          <w:tcPr>
            <w:tcW w:w="990" w:type="pct"/>
            <w:tcBorders>
              <w:top w:val="single" w:sz="4" w:space="0" w:color="auto"/>
              <w:left w:val="nil"/>
              <w:bottom w:val="single" w:sz="4" w:space="0" w:color="auto"/>
              <w:right w:val="single" w:sz="4" w:space="0" w:color="auto"/>
            </w:tcBorders>
          </w:tcPr>
          <w:p w14:paraId="48C491FB" w14:textId="1C769DE1" w:rsidR="001A0E9C" w:rsidRPr="0015154B" w:rsidRDefault="001A0E9C" w:rsidP="001A0E9C">
            <w:pPr>
              <w:spacing w:after="0" w:line="240" w:lineRule="auto"/>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2766</w:t>
            </w:r>
          </w:p>
        </w:tc>
        <w:tc>
          <w:tcPr>
            <w:tcW w:w="746" w:type="pct"/>
            <w:tcBorders>
              <w:top w:val="single" w:sz="4" w:space="0" w:color="auto"/>
              <w:left w:val="single" w:sz="4" w:space="0" w:color="auto"/>
              <w:bottom w:val="single" w:sz="4" w:space="0" w:color="auto"/>
              <w:right w:val="single" w:sz="4" w:space="0" w:color="auto"/>
            </w:tcBorders>
          </w:tcPr>
          <w:p w14:paraId="3821133D" w14:textId="0D9381C8" w:rsidR="001A0E9C" w:rsidRPr="0015154B" w:rsidRDefault="001A0E9C" w:rsidP="001A0E9C">
            <w:pPr>
              <w:spacing w:after="0" w:line="240" w:lineRule="auto"/>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733</w:t>
            </w:r>
          </w:p>
        </w:tc>
        <w:tc>
          <w:tcPr>
            <w:tcW w:w="865" w:type="pct"/>
            <w:tcBorders>
              <w:top w:val="single" w:sz="4" w:space="0" w:color="auto"/>
              <w:left w:val="single" w:sz="4" w:space="0" w:color="auto"/>
              <w:bottom w:val="single" w:sz="4" w:space="0" w:color="auto"/>
              <w:right w:val="single" w:sz="4" w:space="0" w:color="auto"/>
            </w:tcBorders>
          </w:tcPr>
          <w:p w14:paraId="67EBE8D2" w14:textId="6EE67C3E" w:rsidR="001A0E9C" w:rsidRPr="0015154B" w:rsidRDefault="001A0E9C" w:rsidP="001A0E9C">
            <w:pPr>
              <w:spacing w:after="0" w:line="240" w:lineRule="auto"/>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140</w:t>
            </w:r>
          </w:p>
        </w:tc>
        <w:tc>
          <w:tcPr>
            <w:tcW w:w="998" w:type="pct"/>
            <w:tcBorders>
              <w:top w:val="single" w:sz="4" w:space="0" w:color="auto"/>
              <w:left w:val="single" w:sz="4" w:space="0" w:color="auto"/>
              <w:bottom w:val="single" w:sz="4" w:space="0" w:color="auto"/>
              <w:right w:val="single" w:sz="4" w:space="0" w:color="auto"/>
            </w:tcBorders>
          </w:tcPr>
          <w:p w14:paraId="604F9C13" w14:textId="48B2DF5B" w:rsidR="001A0E9C" w:rsidRPr="0015154B" w:rsidRDefault="00F04ECD" w:rsidP="001A0E9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25" w:type="pct"/>
            <w:tcBorders>
              <w:top w:val="single" w:sz="4" w:space="0" w:color="auto"/>
              <w:left w:val="single" w:sz="4" w:space="0" w:color="auto"/>
              <w:bottom w:val="single" w:sz="4" w:space="0" w:color="auto"/>
              <w:right w:val="single" w:sz="4" w:space="0" w:color="auto"/>
            </w:tcBorders>
          </w:tcPr>
          <w:p w14:paraId="6923724C" w14:textId="1B394545" w:rsidR="001A0E9C" w:rsidRPr="0015154B" w:rsidRDefault="001A0E9C" w:rsidP="001A0E9C">
            <w:pPr>
              <w:spacing w:after="0" w:line="240" w:lineRule="auto"/>
              <w:rPr>
                <w:rFonts w:ascii="Times New Roman" w:hAnsi="Times New Roman" w:cs="Times New Roman"/>
                <w:bCs/>
                <w:sz w:val="24"/>
                <w:szCs w:val="24"/>
              </w:rPr>
            </w:pPr>
            <w:r w:rsidRPr="0015154B">
              <w:rPr>
                <w:rFonts w:ascii="Times New Roman" w:hAnsi="Times New Roman" w:cs="Times New Roman"/>
                <w:bCs/>
                <w:sz w:val="24"/>
                <w:szCs w:val="24"/>
              </w:rPr>
              <w:t>3 321 875</w:t>
            </w:r>
          </w:p>
        </w:tc>
      </w:tr>
      <w:tr w:rsidR="001A0E9C" w:rsidRPr="0015154B" w14:paraId="7CC911A5" w14:textId="77777777" w:rsidTr="00825BD5">
        <w:trPr>
          <w:trHeight w:val="300"/>
        </w:trPr>
        <w:tc>
          <w:tcPr>
            <w:tcW w:w="476" w:type="pct"/>
            <w:tcBorders>
              <w:top w:val="nil"/>
              <w:left w:val="single" w:sz="4" w:space="0" w:color="auto"/>
              <w:bottom w:val="single" w:sz="4" w:space="0" w:color="auto"/>
              <w:right w:val="single" w:sz="4" w:space="0" w:color="auto"/>
            </w:tcBorders>
            <w:shd w:val="clear" w:color="auto" w:fill="E8F3D3" w:themeFill="accent2" w:themeFillTint="33"/>
            <w:noWrap/>
            <w:vAlign w:val="bottom"/>
            <w:hideMark/>
          </w:tcPr>
          <w:p w14:paraId="21383AB7" w14:textId="23B3BDC5" w:rsidR="001A0E9C" w:rsidRPr="0015154B" w:rsidRDefault="001A0E9C" w:rsidP="001A0E9C">
            <w:pPr>
              <w:spacing w:after="0" w:line="240" w:lineRule="auto"/>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2019</w:t>
            </w:r>
          </w:p>
        </w:tc>
        <w:tc>
          <w:tcPr>
            <w:tcW w:w="990" w:type="pct"/>
            <w:tcBorders>
              <w:top w:val="single" w:sz="4" w:space="0" w:color="auto"/>
              <w:left w:val="nil"/>
              <w:bottom w:val="single" w:sz="4" w:space="0" w:color="auto"/>
              <w:right w:val="single" w:sz="4" w:space="0" w:color="auto"/>
            </w:tcBorders>
          </w:tcPr>
          <w:p w14:paraId="053143B8" w14:textId="77777777" w:rsidR="001A0E9C" w:rsidRPr="0015154B" w:rsidRDefault="001A0E9C" w:rsidP="001A0E9C">
            <w:pPr>
              <w:spacing w:after="0" w:line="240" w:lineRule="auto"/>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2409</w:t>
            </w:r>
          </w:p>
        </w:tc>
        <w:tc>
          <w:tcPr>
            <w:tcW w:w="746" w:type="pct"/>
            <w:tcBorders>
              <w:top w:val="single" w:sz="4" w:space="0" w:color="auto"/>
              <w:left w:val="single" w:sz="4" w:space="0" w:color="auto"/>
              <w:bottom w:val="single" w:sz="4" w:space="0" w:color="auto"/>
              <w:right w:val="single" w:sz="4" w:space="0" w:color="auto"/>
            </w:tcBorders>
          </w:tcPr>
          <w:p w14:paraId="4DFF9706" w14:textId="77777777" w:rsidR="001A0E9C" w:rsidRPr="0015154B" w:rsidRDefault="001A0E9C" w:rsidP="001A0E9C">
            <w:pPr>
              <w:spacing w:after="0" w:line="240" w:lineRule="auto"/>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693</w:t>
            </w:r>
          </w:p>
        </w:tc>
        <w:tc>
          <w:tcPr>
            <w:tcW w:w="865" w:type="pct"/>
            <w:tcBorders>
              <w:top w:val="single" w:sz="4" w:space="0" w:color="auto"/>
              <w:left w:val="single" w:sz="4" w:space="0" w:color="auto"/>
              <w:bottom w:val="single" w:sz="4" w:space="0" w:color="auto"/>
              <w:right w:val="single" w:sz="4" w:space="0" w:color="auto"/>
            </w:tcBorders>
          </w:tcPr>
          <w:p w14:paraId="6151AF53" w14:textId="77777777" w:rsidR="001A0E9C" w:rsidRPr="0015154B" w:rsidRDefault="001A0E9C" w:rsidP="001A0E9C">
            <w:pPr>
              <w:spacing w:after="0" w:line="240" w:lineRule="auto"/>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575</w:t>
            </w:r>
          </w:p>
        </w:tc>
        <w:tc>
          <w:tcPr>
            <w:tcW w:w="998" w:type="pct"/>
            <w:tcBorders>
              <w:top w:val="nil"/>
              <w:left w:val="single" w:sz="4" w:space="0" w:color="auto"/>
              <w:bottom w:val="single" w:sz="4" w:space="0" w:color="auto"/>
              <w:right w:val="single" w:sz="4" w:space="0" w:color="auto"/>
            </w:tcBorders>
          </w:tcPr>
          <w:p w14:paraId="15BFDD72" w14:textId="112F9315" w:rsidR="001A0E9C" w:rsidRPr="0015154B" w:rsidRDefault="00F04ECD" w:rsidP="001A0E9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925" w:type="pct"/>
            <w:tcBorders>
              <w:top w:val="nil"/>
              <w:left w:val="single" w:sz="4" w:space="0" w:color="auto"/>
              <w:bottom w:val="single" w:sz="4" w:space="0" w:color="auto"/>
              <w:right w:val="single" w:sz="4" w:space="0" w:color="auto"/>
            </w:tcBorders>
          </w:tcPr>
          <w:p w14:paraId="7C9F0D2A" w14:textId="77777777" w:rsidR="001A0E9C" w:rsidRPr="0015154B" w:rsidRDefault="001A0E9C" w:rsidP="001A0E9C">
            <w:pPr>
              <w:spacing w:after="0" w:line="240" w:lineRule="auto"/>
              <w:rPr>
                <w:rFonts w:ascii="Times New Roman" w:hAnsi="Times New Roman" w:cs="Times New Roman"/>
                <w:b/>
                <w:bCs/>
                <w:i/>
                <w:iCs/>
                <w:sz w:val="24"/>
                <w:szCs w:val="24"/>
              </w:rPr>
            </w:pPr>
            <w:r w:rsidRPr="0015154B">
              <w:rPr>
                <w:rFonts w:ascii="Times New Roman" w:hAnsi="Times New Roman" w:cs="Times New Roman"/>
                <w:bCs/>
                <w:sz w:val="24"/>
                <w:szCs w:val="24"/>
              </w:rPr>
              <w:t>3 082 103</w:t>
            </w:r>
          </w:p>
        </w:tc>
      </w:tr>
    </w:tbl>
    <w:p w14:paraId="652E25BA" w14:textId="08B72F7C" w:rsidR="009978A2" w:rsidRPr="0015154B" w:rsidRDefault="001A0E9C" w:rsidP="001A0E9C">
      <w:pPr>
        <w:pStyle w:val="NoSpacing"/>
        <w:spacing w:before="0"/>
        <w:jc w:val="both"/>
        <w:rPr>
          <w:rFonts w:ascii="Times New Roman" w:hAnsi="Times New Roman" w:cs="Times New Roman"/>
        </w:rPr>
      </w:pPr>
      <w:r w:rsidRPr="00974F0C">
        <w:rPr>
          <w:rFonts w:ascii="Times New Roman" w:hAnsi="Times New Roman" w:cs="Times New Roman"/>
        </w:rPr>
        <w:t>Datu avots:</w:t>
      </w:r>
      <w:r w:rsidR="00FB3AD9" w:rsidRPr="00974F0C">
        <w:rPr>
          <w:rFonts w:ascii="Times New Roman" w:hAnsi="Times New Roman" w:cs="Times New Roman"/>
        </w:rPr>
        <w:t xml:space="preserve"> LM</w:t>
      </w:r>
    </w:p>
    <w:p w14:paraId="60A9580D" w14:textId="77777777" w:rsidR="001A0E9C" w:rsidRPr="0015154B" w:rsidRDefault="001A0E9C" w:rsidP="001A0E9C">
      <w:pPr>
        <w:spacing w:after="0" w:line="240" w:lineRule="auto"/>
        <w:ind w:firstLine="720"/>
        <w:jc w:val="both"/>
        <w:rPr>
          <w:rFonts w:ascii="Times New Roman" w:hAnsi="Times New Roman" w:cs="Times New Roman"/>
          <w:sz w:val="24"/>
          <w:szCs w:val="24"/>
        </w:rPr>
      </w:pPr>
    </w:p>
    <w:p w14:paraId="6084F26C" w14:textId="54A479D9" w:rsidR="009978A2" w:rsidRPr="0015154B" w:rsidRDefault="009978A2" w:rsidP="00FB3AD9">
      <w:pPr>
        <w:spacing w:after="0" w:line="240" w:lineRule="auto"/>
        <w:ind w:right="45"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Joprojām viena no lielākajām sociālās rehabilitācijas pakalpojuma </w:t>
      </w:r>
      <w:r w:rsidR="00FB3AD9" w:rsidRPr="0015154B">
        <w:rPr>
          <w:rFonts w:ascii="Times New Roman" w:hAnsi="Times New Roman" w:cs="Times New Roman"/>
          <w:sz w:val="24"/>
          <w:szCs w:val="24"/>
        </w:rPr>
        <w:t xml:space="preserve">nodrošināšanas </w:t>
      </w:r>
      <w:r w:rsidRPr="0015154B">
        <w:rPr>
          <w:rFonts w:ascii="Times New Roman" w:hAnsi="Times New Roman" w:cs="Times New Roman"/>
          <w:sz w:val="24"/>
          <w:szCs w:val="24"/>
        </w:rPr>
        <w:t>problēmām ir ilgais gaidīšanas laiks rindā pakalpojuma saņemšanai, jo pakalpojumam, lai tas sasniegtu vislabākos terapeitiskos rezultātus, jābūt pieejamam uzreiz kolīdz personai ir radusies nepieciešamība pēc pakalpojuma. Lai gan kopš 2020. gada 1. janvāra ir būtiski mainīts pakalpojuma saņēmēju loks, joprojām pakalpojuma saņemšanas rindā gaida personas, kuras šim pakalpojumam ir pieteikušās pirms minētajām izmaiņām.</w:t>
      </w:r>
    </w:p>
    <w:p w14:paraId="675513E4" w14:textId="77777777" w:rsidR="009978A2" w:rsidRPr="0015154B" w:rsidRDefault="009978A2" w:rsidP="001A0E9C">
      <w:pPr>
        <w:spacing w:after="0" w:line="240" w:lineRule="auto"/>
        <w:ind w:right="45"/>
        <w:jc w:val="both"/>
        <w:rPr>
          <w:rFonts w:ascii="Times New Roman" w:hAnsi="Times New Roman" w:cs="Times New Roman"/>
          <w:sz w:val="24"/>
          <w:szCs w:val="24"/>
        </w:rPr>
      </w:pPr>
    </w:p>
    <w:p w14:paraId="45E8F8EE" w14:textId="3C711E6E" w:rsidR="009978A2" w:rsidRPr="0015154B" w:rsidRDefault="009978A2" w:rsidP="001101F7">
      <w:pPr>
        <w:pStyle w:val="Heading3"/>
      </w:pPr>
      <w:bookmarkStart w:id="47" w:name="_Toc55316086"/>
      <w:r w:rsidRPr="0015154B">
        <w:t>Profesionālā rehabilitācija</w:t>
      </w:r>
      <w:bookmarkEnd w:id="47"/>
      <w:r w:rsidRPr="0015154B">
        <w:t xml:space="preserve"> </w:t>
      </w:r>
    </w:p>
    <w:p w14:paraId="3A4EB5D4" w14:textId="77777777" w:rsidR="0033005A" w:rsidRPr="0015154B" w:rsidRDefault="009978A2" w:rsidP="00AC38FA">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eastAsia="lv-LV"/>
        </w:rPr>
      </w:pPr>
      <w:r w:rsidRPr="0015154B">
        <w:rPr>
          <w:rFonts w:ascii="Times New Roman" w:hAnsi="Times New Roman" w:cs="Times New Roman"/>
          <w:kern w:val="32"/>
          <w:sz w:val="24"/>
          <w:szCs w:val="24"/>
        </w:rPr>
        <w:t>Profesionālā rehabilitācija (</w:t>
      </w:r>
      <w:r w:rsidRPr="0015154B">
        <w:rPr>
          <w:rFonts w:ascii="Times New Roman" w:hAnsi="Times New Roman" w:cs="Times New Roman"/>
          <w:i/>
          <w:kern w:val="32"/>
          <w:sz w:val="24"/>
          <w:szCs w:val="24"/>
        </w:rPr>
        <w:t>vocational rehabilitation</w:t>
      </w:r>
      <w:r w:rsidRPr="0015154B">
        <w:rPr>
          <w:rFonts w:ascii="Times New Roman" w:hAnsi="Times New Roman" w:cs="Times New Roman"/>
          <w:kern w:val="32"/>
          <w:sz w:val="24"/>
          <w:szCs w:val="24"/>
        </w:rPr>
        <w:t>) ir starptautiskajos dokumentos atzīts un plaši pielietots pasākumu kopums, kas vērsts uz personu ar invaliditāti nodarbinātības veicināšanu. Valsts finansēti p</w:t>
      </w:r>
      <w:r w:rsidRPr="0015154B">
        <w:rPr>
          <w:rFonts w:ascii="Times New Roman" w:eastAsia="Times New Roman" w:hAnsi="Times New Roman" w:cs="Times New Roman"/>
          <w:sz w:val="24"/>
          <w:szCs w:val="24"/>
          <w:lang w:eastAsia="lv-LV"/>
        </w:rPr>
        <w:t>rofesionālās rehabilitācijas pakalpojumi Latvijā ir pieejami personām ar invaliditāti un personām ar prognozējamu invaliditāti, kuras vēlas apgūt jaunas prasmes vai uzlabot esošās, lai iekļautos darba tirgū</w:t>
      </w:r>
      <w:r w:rsidR="0033005A" w:rsidRPr="0015154B">
        <w:rPr>
          <w:rFonts w:ascii="Times New Roman" w:eastAsia="Times New Roman" w:hAnsi="Times New Roman" w:cs="Times New Roman"/>
          <w:sz w:val="24"/>
          <w:szCs w:val="24"/>
          <w:lang w:eastAsia="lv-LV"/>
        </w:rPr>
        <w:t>, jo:</w:t>
      </w:r>
    </w:p>
    <w:p w14:paraId="78A26313" w14:textId="568A6DB0" w:rsidR="0033005A" w:rsidRPr="00295F72" w:rsidRDefault="0033005A" w:rsidP="00295F72">
      <w:pPr>
        <w:pStyle w:val="ListParagraph"/>
        <w:numPr>
          <w:ilvl w:val="0"/>
          <w:numId w:val="68"/>
        </w:num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295F72">
        <w:rPr>
          <w:rFonts w:ascii="Times New Roman" w:eastAsia="Times New Roman" w:hAnsi="Times New Roman" w:cs="Times New Roman"/>
          <w:sz w:val="24"/>
          <w:szCs w:val="24"/>
          <w:lang w:eastAsia="lv-LV"/>
        </w:rPr>
        <w:t>funkcionālo traucējumu dēļ ir nepieciešams īpašs mācību režīms vai aprūpētāja palīdzība;</w:t>
      </w:r>
    </w:p>
    <w:p w14:paraId="08BFC0AC" w14:textId="0DB3593E" w:rsidR="0033005A" w:rsidRPr="00295F72" w:rsidRDefault="0033005A" w:rsidP="00295F72">
      <w:pPr>
        <w:pStyle w:val="ListParagraph"/>
        <w:numPr>
          <w:ilvl w:val="0"/>
          <w:numId w:val="68"/>
        </w:num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295F72">
        <w:rPr>
          <w:rFonts w:ascii="Times New Roman" w:eastAsia="Times New Roman" w:hAnsi="Times New Roman" w:cs="Times New Roman"/>
          <w:sz w:val="24"/>
          <w:szCs w:val="24"/>
          <w:lang w:eastAsia="lv-LV"/>
        </w:rPr>
        <w:t>nav iepriekšējas pieredzes, mācoties vispārizglītojošajās skolās vai arī tā ir negatīva;</w:t>
      </w:r>
    </w:p>
    <w:p w14:paraId="386713EE" w14:textId="546AE07F" w:rsidR="0033005A" w:rsidRPr="00295F72" w:rsidRDefault="0033005A" w:rsidP="00295F72">
      <w:pPr>
        <w:pStyle w:val="ListParagraph"/>
        <w:numPr>
          <w:ilvl w:val="0"/>
          <w:numId w:val="68"/>
        </w:num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295F72">
        <w:rPr>
          <w:rFonts w:ascii="Times New Roman" w:eastAsia="Times New Roman" w:hAnsi="Times New Roman" w:cs="Times New Roman"/>
          <w:sz w:val="24"/>
          <w:szCs w:val="24"/>
          <w:lang w:eastAsia="lv-LV"/>
        </w:rPr>
        <w:t>ir kustību traucējumi, kuru dēļ ir nepieciešama īpaši pielāgota vide.</w:t>
      </w:r>
    </w:p>
    <w:p w14:paraId="15A299E8" w14:textId="6F8F7DB2" w:rsidR="009978A2" w:rsidRPr="007157D3" w:rsidRDefault="009978A2" w:rsidP="00295F72">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lastRenderedPageBreak/>
        <w:t>Profesionālās rehabilitācijas pakalpojums ietver rofesionālās piemērotības noteikšanu, profesionālās kvalifikācijas iegūšanu</w:t>
      </w:r>
      <w:r w:rsidR="0033005A" w:rsidRPr="007157D3">
        <w:rPr>
          <w:rStyle w:val="FootnoteReference"/>
          <w:rFonts w:ascii="Times New Roman" w:eastAsia="Times New Roman" w:hAnsi="Times New Roman" w:cs="Times New Roman"/>
          <w:sz w:val="24"/>
          <w:szCs w:val="24"/>
          <w:lang w:eastAsia="lv-LV"/>
        </w:rPr>
        <w:footnoteReference w:id="133"/>
      </w:r>
      <w:r w:rsidRPr="007157D3">
        <w:rPr>
          <w:rFonts w:ascii="Times New Roman" w:eastAsia="Times New Roman" w:hAnsi="Times New Roman" w:cs="Times New Roman"/>
          <w:sz w:val="24"/>
          <w:szCs w:val="24"/>
          <w:lang w:eastAsia="lv-LV"/>
        </w:rPr>
        <w:t>, individuālo sociālo rehabilitāciju un atbalsta sniegšanu iekārtošanai darbā pēc profesionālās kvalifikācijas iegūšanas.</w:t>
      </w:r>
    </w:p>
    <w:p w14:paraId="52636A9D" w14:textId="77934667" w:rsidR="009978A2" w:rsidRPr="0015154B" w:rsidRDefault="009978A2" w:rsidP="00AC38FA">
      <w:pPr>
        <w:autoSpaceDE w:val="0"/>
        <w:autoSpaceDN w:val="0"/>
        <w:adjustRightInd w:val="0"/>
        <w:spacing w:before="120" w:after="0" w:line="240" w:lineRule="auto"/>
        <w:ind w:firstLine="709"/>
        <w:jc w:val="both"/>
        <w:rPr>
          <w:rFonts w:ascii="Times New Roman" w:eastAsia="Times New Roman" w:hAnsi="Times New Roman" w:cs="Times New Roman"/>
          <w:sz w:val="24"/>
          <w:szCs w:val="24"/>
          <w:lang w:eastAsia="lv-LV"/>
        </w:rPr>
      </w:pPr>
      <w:r w:rsidRPr="007157D3">
        <w:rPr>
          <w:rFonts w:ascii="Times New Roman" w:eastAsia="Times New Roman" w:hAnsi="Times New Roman" w:cs="Times New Roman"/>
          <w:sz w:val="24"/>
          <w:szCs w:val="24"/>
          <w:lang w:eastAsia="lv-LV"/>
        </w:rPr>
        <w:t>Profesionālās rehabilitācijas pakalpojumus sniedz SIVA Jūrmalas profesionālā vidusskola un SIVA koledža. Jūrmalas profesionālās vidusskolas profesionālās rehabilitācijas programma paredzēta personām ar pamatizglītību, bet SI</w:t>
      </w:r>
      <w:r w:rsidRPr="002F5278">
        <w:rPr>
          <w:rFonts w:ascii="Times New Roman" w:eastAsia="Times New Roman" w:hAnsi="Times New Roman" w:cs="Times New Roman"/>
          <w:sz w:val="24"/>
          <w:szCs w:val="24"/>
          <w:lang w:eastAsia="lv-LV"/>
        </w:rPr>
        <w:t>VA koledžas profesionālās rehabilitācijas programma paredzēta personām ar vidējo vai vidējo profesionālo izglītību</w:t>
      </w:r>
      <w:r w:rsidR="00FB3AD9" w:rsidRPr="002F5278">
        <w:rPr>
          <w:rFonts w:ascii="Times New Roman" w:eastAsia="Times New Roman" w:hAnsi="Times New Roman" w:cs="Times New Roman"/>
          <w:sz w:val="24"/>
          <w:szCs w:val="24"/>
          <w:lang w:eastAsia="lv-LV"/>
        </w:rPr>
        <w:t xml:space="preserve"> (</w:t>
      </w:r>
      <w:r w:rsidR="00FB3AD9" w:rsidRPr="00573B49">
        <w:rPr>
          <w:rFonts w:ascii="Times New Roman" w:eastAsia="Times New Roman" w:hAnsi="Times New Roman" w:cs="Times New Roman"/>
          <w:sz w:val="24"/>
          <w:szCs w:val="24"/>
          <w:highlight w:val="yellow"/>
          <w:lang w:eastAsia="lv-LV"/>
        </w:rPr>
        <w:t>skat</w:t>
      </w:r>
      <w:r w:rsidR="0033005A" w:rsidRPr="00573B49">
        <w:rPr>
          <w:rFonts w:ascii="Times New Roman" w:eastAsia="Times New Roman" w:hAnsi="Times New Roman" w:cs="Times New Roman"/>
          <w:sz w:val="24"/>
          <w:szCs w:val="24"/>
          <w:highlight w:val="yellow"/>
          <w:lang w:eastAsia="lv-LV"/>
        </w:rPr>
        <w:t>. 1</w:t>
      </w:r>
      <w:r w:rsidR="00974F0C">
        <w:rPr>
          <w:rFonts w:ascii="Times New Roman" w:eastAsia="Times New Roman" w:hAnsi="Times New Roman" w:cs="Times New Roman"/>
          <w:sz w:val="24"/>
          <w:szCs w:val="24"/>
          <w:highlight w:val="yellow"/>
          <w:lang w:eastAsia="lv-LV"/>
        </w:rPr>
        <w:t>8</w:t>
      </w:r>
      <w:r w:rsidR="0033005A" w:rsidRPr="00573B49">
        <w:rPr>
          <w:rFonts w:ascii="Times New Roman" w:eastAsia="Times New Roman" w:hAnsi="Times New Roman" w:cs="Times New Roman"/>
          <w:sz w:val="24"/>
          <w:szCs w:val="24"/>
          <w:highlight w:val="yellow"/>
          <w:lang w:eastAsia="lv-LV"/>
        </w:rPr>
        <w:t>.</w:t>
      </w:r>
      <w:r w:rsidR="00FB3AD9" w:rsidRPr="00573B49">
        <w:rPr>
          <w:rFonts w:ascii="Times New Roman" w:eastAsia="Times New Roman" w:hAnsi="Times New Roman" w:cs="Times New Roman"/>
          <w:sz w:val="24"/>
          <w:szCs w:val="24"/>
          <w:highlight w:val="yellow"/>
          <w:lang w:eastAsia="lv-LV"/>
        </w:rPr>
        <w:t>tabulu</w:t>
      </w:r>
      <w:r w:rsidR="00FB3AD9" w:rsidRPr="0025422D">
        <w:rPr>
          <w:rFonts w:ascii="Times New Roman" w:eastAsia="Times New Roman" w:hAnsi="Times New Roman" w:cs="Times New Roman"/>
          <w:sz w:val="24"/>
          <w:szCs w:val="24"/>
          <w:lang w:eastAsia="lv-LV"/>
        </w:rPr>
        <w:t>)</w:t>
      </w:r>
      <w:r w:rsidRPr="00A857F2">
        <w:rPr>
          <w:rFonts w:ascii="Times New Roman" w:eastAsia="Times New Roman" w:hAnsi="Times New Roman" w:cs="Times New Roman"/>
          <w:sz w:val="24"/>
          <w:szCs w:val="24"/>
          <w:lang w:eastAsia="lv-LV"/>
        </w:rPr>
        <w:t>.</w:t>
      </w:r>
      <w:r w:rsidR="00FB3AD9" w:rsidRPr="00662D1E">
        <w:rPr>
          <w:rFonts w:ascii="Times New Roman" w:eastAsia="Times New Roman" w:hAnsi="Times New Roman" w:cs="Times New Roman"/>
          <w:sz w:val="24"/>
          <w:szCs w:val="24"/>
          <w:lang w:eastAsia="lv-LV"/>
        </w:rPr>
        <w:t xml:space="preserve"> </w:t>
      </w:r>
      <w:r w:rsidRPr="009703E6">
        <w:rPr>
          <w:rFonts w:ascii="Times New Roman" w:eastAsia="Times New Roman" w:hAnsi="Times New Roman" w:cs="Times New Roman"/>
          <w:sz w:val="24"/>
          <w:szCs w:val="24"/>
          <w:lang w:eastAsia="lv-LV"/>
        </w:rPr>
        <w:t>Profesionālās</w:t>
      </w:r>
      <w:r w:rsidRPr="0015154B">
        <w:rPr>
          <w:rFonts w:ascii="Times New Roman" w:eastAsia="Times New Roman" w:hAnsi="Times New Roman" w:cs="Times New Roman"/>
          <w:sz w:val="24"/>
          <w:szCs w:val="24"/>
          <w:lang w:eastAsia="lv-LV"/>
        </w:rPr>
        <w:t xml:space="preserve"> rehabilitācijas pakalpojumu ilgums ir atkarīgs no izglītības programmas un to var saņemt tikai pēc tam, kad personai ir veikta profesionālās piemērotības noteikšana, kas arī ir valsts apmaksāts pakalpojums ar mērķi nodrošināt, ka profesionālās rehabilitācijas programmās izglītības ieguvi uzsāk tikai motivētas personas, kā arī izvēlētā mācību programma atbilst personas fiziskajam un garīgajam stāvoklim. </w:t>
      </w:r>
    </w:p>
    <w:p w14:paraId="63AD2197" w14:textId="03EE89C2" w:rsidR="00FB3AD9" w:rsidRPr="0015154B" w:rsidRDefault="00FB3AD9" w:rsidP="001A0E9C">
      <w:pPr>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p>
    <w:p w14:paraId="71277A2A" w14:textId="01772ECA" w:rsidR="00FB3AD9" w:rsidRPr="0015154B" w:rsidRDefault="0033005A" w:rsidP="00FB3AD9">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w:t>
      </w:r>
      <w:r w:rsidR="00974F0C">
        <w:rPr>
          <w:rFonts w:ascii="Times New Roman" w:eastAsia="Times New Roman" w:hAnsi="Times New Roman" w:cs="Times New Roman"/>
          <w:sz w:val="24"/>
          <w:szCs w:val="24"/>
          <w:lang w:eastAsia="lv-LV"/>
        </w:rPr>
        <w:t>8</w:t>
      </w:r>
      <w:r w:rsidRPr="0015154B">
        <w:rPr>
          <w:rFonts w:ascii="Times New Roman" w:eastAsia="Times New Roman" w:hAnsi="Times New Roman" w:cs="Times New Roman"/>
          <w:sz w:val="24"/>
          <w:szCs w:val="24"/>
          <w:lang w:eastAsia="lv-LV"/>
        </w:rPr>
        <w:t>.</w:t>
      </w:r>
      <w:r w:rsidR="00FB3AD9" w:rsidRPr="0015154B">
        <w:rPr>
          <w:rFonts w:ascii="Times New Roman" w:eastAsia="Times New Roman" w:hAnsi="Times New Roman" w:cs="Times New Roman"/>
          <w:sz w:val="24"/>
          <w:szCs w:val="24"/>
          <w:lang w:eastAsia="lv-LV"/>
        </w:rPr>
        <w:t>tabula</w:t>
      </w:r>
    </w:p>
    <w:p w14:paraId="70FB3DD4" w14:textId="62B91A85" w:rsidR="00FB3AD9" w:rsidRPr="0015154B" w:rsidRDefault="00FB3AD9" w:rsidP="00FB3AD9">
      <w:pPr>
        <w:autoSpaceDE w:val="0"/>
        <w:autoSpaceDN w:val="0"/>
        <w:adjustRightInd w:val="0"/>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Profesionālās rehabilitācijas pakalpojuma saņēmēju skaits</w:t>
      </w:r>
    </w:p>
    <w:p w14:paraId="249DEB7D" w14:textId="77777777" w:rsidR="00FB3AD9" w:rsidRPr="0015154B" w:rsidRDefault="00FB3AD9" w:rsidP="00FB3AD9">
      <w:pPr>
        <w:autoSpaceDE w:val="0"/>
        <w:autoSpaceDN w:val="0"/>
        <w:adjustRightInd w:val="0"/>
        <w:spacing w:after="0" w:line="240" w:lineRule="auto"/>
        <w:ind w:firstLine="709"/>
        <w:jc w:val="both"/>
        <w:rPr>
          <w:rFonts w:ascii="Times New Roman" w:eastAsia="Times New Roman" w:hAnsi="Times New Roman" w:cs="Times New Roman"/>
          <w:sz w:val="24"/>
          <w:szCs w:val="24"/>
          <w:lang w:eastAsia="lv-LV"/>
        </w:rPr>
      </w:pPr>
    </w:p>
    <w:tbl>
      <w:tblPr>
        <w:tblStyle w:val="TableGrid"/>
        <w:tblW w:w="5382" w:type="pct"/>
        <w:tblLook w:val="04A0" w:firstRow="1" w:lastRow="0" w:firstColumn="1" w:lastColumn="0" w:noHBand="0" w:noVBand="1"/>
      </w:tblPr>
      <w:tblGrid>
        <w:gridCol w:w="3010"/>
        <w:gridCol w:w="1215"/>
        <w:gridCol w:w="973"/>
        <w:gridCol w:w="1001"/>
        <w:gridCol w:w="1241"/>
        <w:gridCol w:w="1176"/>
        <w:gridCol w:w="1137"/>
      </w:tblGrid>
      <w:tr w:rsidR="00825BD5" w:rsidRPr="0015154B" w14:paraId="53A161F5" w14:textId="77777777" w:rsidTr="00825BD5">
        <w:tc>
          <w:tcPr>
            <w:tcW w:w="1543" w:type="pct"/>
            <w:shd w:val="clear" w:color="auto" w:fill="E8F3D3" w:themeFill="accent2" w:themeFillTint="33"/>
          </w:tcPr>
          <w:p w14:paraId="595FDD8B" w14:textId="77777777" w:rsidR="00FB3AD9" w:rsidRPr="00295F72" w:rsidRDefault="00FB3AD9" w:rsidP="00A728BA">
            <w:pPr>
              <w:rPr>
                <w:rFonts w:ascii="Times New Roman" w:hAnsi="Times New Roman" w:cs="Times New Roman"/>
                <w:b/>
                <w:bCs/>
                <w:color w:val="002060"/>
              </w:rPr>
            </w:pPr>
          </w:p>
        </w:tc>
        <w:tc>
          <w:tcPr>
            <w:tcW w:w="623" w:type="pct"/>
            <w:shd w:val="clear" w:color="auto" w:fill="E8F3D3" w:themeFill="accent2" w:themeFillTint="33"/>
          </w:tcPr>
          <w:p w14:paraId="4DC3141B" w14:textId="77777777" w:rsidR="00FB3AD9" w:rsidRPr="0015154B" w:rsidRDefault="00FB3AD9"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2014</w:t>
            </w:r>
          </w:p>
        </w:tc>
        <w:tc>
          <w:tcPr>
            <w:tcW w:w="499" w:type="pct"/>
            <w:shd w:val="clear" w:color="auto" w:fill="E8F3D3" w:themeFill="accent2" w:themeFillTint="33"/>
          </w:tcPr>
          <w:p w14:paraId="4FE73E41" w14:textId="77777777" w:rsidR="00FB3AD9" w:rsidRPr="0015154B" w:rsidRDefault="00FB3AD9"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2015</w:t>
            </w:r>
          </w:p>
        </w:tc>
        <w:tc>
          <w:tcPr>
            <w:tcW w:w="513" w:type="pct"/>
            <w:shd w:val="clear" w:color="auto" w:fill="E8F3D3" w:themeFill="accent2" w:themeFillTint="33"/>
          </w:tcPr>
          <w:p w14:paraId="754C1369" w14:textId="77777777" w:rsidR="00FB3AD9" w:rsidRPr="0015154B" w:rsidRDefault="00FB3AD9"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2016</w:t>
            </w:r>
          </w:p>
        </w:tc>
        <w:tc>
          <w:tcPr>
            <w:tcW w:w="636" w:type="pct"/>
            <w:shd w:val="clear" w:color="auto" w:fill="E8F3D3" w:themeFill="accent2" w:themeFillTint="33"/>
          </w:tcPr>
          <w:p w14:paraId="02918E25" w14:textId="77777777" w:rsidR="00FB3AD9" w:rsidRPr="0015154B" w:rsidRDefault="00FB3AD9"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2017</w:t>
            </w:r>
          </w:p>
        </w:tc>
        <w:tc>
          <w:tcPr>
            <w:tcW w:w="603" w:type="pct"/>
            <w:shd w:val="clear" w:color="auto" w:fill="E8F3D3" w:themeFill="accent2" w:themeFillTint="33"/>
          </w:tcPr>
          <w:p w14:paraId="2506E39B" w14:textId="77777777" w:rsidR="00FB3AD9" w:rsidRPr="0015154B" w:rsidRDefault="00FB3AD9"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2018</w:t>
            </w:r>
          </w:p>
        </w:tc>
        <w:tc>
          <w:tcPr>
            <w:tcW w:w="583" w:type="pct"/>
            <w:shd w:val="clear" w:color="auto" w:fill="E8F3D3" w:themeFill="accent2" w:themeFillTint="33"/>
          </w:tcPr>
          <w:p w14:paraId="145673B3" w14:textId="77777777" w:rsidR="00FB3AD9" w:rsidRPr="0015154B" w:rsidRDefault="00FB3AD9"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2019</w:t>
            </w:r>
          </w:p>
        </w:tc>
      </w:tr>
      <w:tr w:rsidR="00FB3AD9" w:rsidRPr="0015154B" w14:paraId="43308F94" w14:textId="77777777" w:rsidTr="00AF6D84">
        <w:trPr>
          <w:trHeight w:val="984"/>
        </w:trPr>
        <w:tc>
          <w:tcPr>
            <w:tcW w:w="1543" w:type="pct"/>
            <w:shd w:val="clear" w:color="auto" w:fill="E8F3D3" w:themeFill="accent2" w:themeFillTint="33"/>
            <w:hideMark/>
          </w:tcPr>
          <w:p w14:paraId="7137DC3A" w14:textId="68824635" w:rsidR="00FB3AD9" w:rsidRPr="00295F72" w:rsidRDefault="00FB3AD9" w:rsidP="00A728BA">
            <w:pPr>
              <w:rPr>
                <w:rFonts w:ascii="Times New Roman" w:eastAsia="Times New Roman" w:hAnsi="Times New Roman" w:cs="Times New Roman"/>
                <w:b/>
                <w:bCs/>
                <w:color w:val="002060"/>
                <w:lang w:eastAsia="lv-LV"/>
              </w:rPr>
            </w:pPr>
            <w:r w:rsidRPr="00295F72">
              <w:rPr>
                <w:rFonts w:ascii="Times New Roman" w:eastAsia="Times New Roman" w:hAnsi="Times New Roman" w:cs="Times New Roman"/>
                <w:b/>
                <w:bCs/>
                <w:color w:val="002060"/>
                <w:lang w:eastAsia="lv-LV"/>
              </w:rPr>
              <w:t xml:space="preserve">Personu, </w:t>
            </w:r>
            <w:r w:rsidR="00F04ECD">
              <w:rPr>
                <w:rFonts w:ascii="Times New Roman" w:eastAsia="Times New Roman" w:hAnsi="Times New Roman" w:cs="Times New Roman"/>
                <w:b/>
                <w:bCs/>
                <w:color w:val="002060"/>
                <w:lang w:eastAsia="lv-LV"/>
              </w:rPr>
              <w:t>kuras</w:t>
            </w:r>
            <w:r w:rsidRPr="00295F72">
              <w:rPr>
                <w:rFonts w:ascii="Times New Roman" w:eastAsia="Times New Roman" w:hAnsi="Times New Roman" w:cs="Times New Roman"/>
                <w:b/>
                <w:bCs/>
                <w:color w:val="002060"/>
                <w:lang w:eastAsia="lv-LV"/>
              </w:rPr>
              <w:t xml:space="preserve"> uzsākuš</w:t>
            </w:r>
            <w:r w:rsidR="00F04ECD">
              <w:rPr>
                <w:rFonts w:ascii="Times New Roman" w:eastAsia="Times New Roman" w:hAnsi="Times New Roman" w:cs="Times New Roman"/>
                <w:b/>
                <w:bCs/>
                <w:color w:val="002060"/>
                <w:lang w:eastAsia="lv-LV"/>
              </w:rPr>
              <w:t>as</w:t>
            </w:r>
            <w:r w:rsidRPr="00295F72">
              <w:rPr>
                <w:rFonts w:ascii="Times New Roman" w:eastAsia="Times New Roman" w:hAnsi="Times New Roman" w:cs="Times New Roman"/>
                <w:b/>
                <w:bCs/>
                <w:color w:val="002060"/>
                <w:lang w:eastAsia="lv-LV"/>
              </w:rPr>
              <w:t xml:space="preserve"> mācības profesionālās rehabilitācijas pakalpojuma ietvaros,</w:t>
            </w:r>
            <w:r w:rsidR="00F04ECD">
              <w:rPr>
                <w:rFonts w:ascii="Times New Roman" w:eastAsia="Times New Roman" w:hAnsi="Times New Roman" w:cs="Times New Roman"/>
                <w:b/>
                <w:bCs/>
                <w:color w:val="002060"/>
                <w:lang w:eastAsia="lv-LV"/>
              </w:rPr>
              <w:t xml:space="preserve"> skaits</w:t>
            </w:r>
            <w:r w:rsidRPr="00295F72">
              <w:rPr>
                <w:rFonts w:ascii="Times New Roman" w:eastAsia="Times New Roman" w:hAnsi="Times New Roman" w:cs="Times New Roman"/>
                <w:b/>
                <w:bCs/>
                <w:color w:val="002060"/>
                <w:lang w:eastAsia="lv-LV"/>
              </w:rPr>
              <w:t xml:space="preserve"> t.sk.</w:t>
            </w:r>
          </w:p>
        </w:tc>
        <w:tc>
          <w:tcPr>
            <w:tcW w:w="623" w:type="pct"/>
          </w:tcPr>
          <w:p w14:paraId="07089050" w14:textId="77777777" w:rsidR="00FB3AD9" w:rsidRPr="0015154B" w:rsidRDefault="00FB3AD9"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282</w:t>
            </w:r>
          </w:p>
        </w:tc>
        <w:tc>
          <w:tcPr>
            <w:tcW w:w="499" w:type="pct"/>
          </w:tcPr>
          <w:p w14:paraId="6E950E9F" w14:textId="77777777" w:rsidR="00FB3AD9" w:rsidRPr="0015154B" w:rsidRDefault="00FB3AD9"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234</w:t>
            </w:r>
          </w:p>
        </w:tc>
        <w:tc>
          <w:tcPr>
            <w:tcW w:w="513" w:type="pct"/>
          </w:tcPr>
          <w:p w14:paraId="675EE77D" w14:textId="77777777" w:rsidR="00FB3AD9" w:rsidRPr="0015154B" w:rsidRDefault="00FB3AD9" w:rsidP="00A728BA">
            <w:pP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252</w:t>
            </w:r>
          </w:p>
        </w:tc>
        <w:tc>
          <w:tcPr>
            <w:tcW w:w="636" w:type="pct"/>
          </w:tcPr>
          <w:p w14:paraId="3EE39ED2" w14:textId="77777777" w:rsidR="00FB3AD9" w:rsidRPr="0015154B" w:rsidRDefault="00FB3AD9"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306</w:t>
            </w:r>
          </w:p>
        </w:tc>
        <w:tc>
          <w:tcPr>
            <w:tcW w:w="603" w:type="pct"/>
          </w:tcPr>
          <w:p w14:paraId="3D50B428" w14:textId="77777777" w:rsidR="00FB3AD9" w:rsidRPr="0015154B" w:rsidRDefault="00FB3AD9"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201</w:t>
            </w:r>
          </w:p>
        </w:tc>
        <w:tc>
          <w:tcPr>
            <w:tcW w:w="583" w:type="pct"/>
          </w:tcPr>
          <w:p w14:paraId="5C1C4283" w14:textId="77777777" w:rsidR="00FB3AD9" w:rsidRPr="0015154B" w:rsidRDefault="00FB3AD9"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180</w:t>
            </w:r>
          </w:p>
        </w:tc>
      </w:tr>
      <w:tr w:rsidR="00FB3AD9" w:rsidRPr="0015154B" w14:paraId="7869DDB1" w14:textId="77777777" w:rsidTr="00AF6D84">
        <w:tc>
          <w:tcPr>
            <w:tcW w:w="1543" w:type="pct"/>
            <w:shd w:val="clear" w:color="auto" w:fill="E8F3D3" w:themeFill="accent2" w:themeFillTint="33"/>
          </w:tcPr>
          <w:p w14:paraId="39010180" w14:textId="77777777" w:rsidR="00FB3AD9" w:rsidRPr="00295F72" w:rsidRDefault="00FB3AD9" w:rsidP="00A728BA">
            <w:pPr>
              <w:rPr>
                <w:rFonts w:ascii="Times New Roman" w:hAnsi="Times New Roman" w:cs="Times New Roman"/>
                <w:bCs/>
                <w:color w:val="002060"/>
              </w:rPr>
            </w:pPr>
            <w:r w:rsidRPr="00295F72">
              <w:rPr>
                <w:rFonts w:ascii="Times New Roman" w:hAnsi="Times New Roman" w:cs="Times New Roman"/>
                <w:bCs/>
                <w:color w:val="002060"/>
              </w:rPr>
              <w:t>Jūrmalas profesionālā vidusskola</w:t>
            </w:r>
          </w:p>
        </w:tc>
        <w:tc>
          <w:tcPr>
            <w:tcW w:w="623" w:type="pct"/>
          </w:tcPr>
          <w:p w14:paraId="76A35214"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na</w:t>
            </w:r>
          </w:p>
        </w:tc>
        <w:tc>
          <w:tcPr>
            <w:tcW w:w="499" w:type="pct"/>
          </w:tcPr>
          <w:p w14:paraId="7290CD83"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74</w:t>
            </w:r>
          </w:p>
        </w:tc>
        <w:tc>
          <w:tcPr>
            <w:tcW w:w="513" w:type="pct"/>
          </w:tcPr>
          <w:p w14:paraId="38290B5C"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65</w:t>
            </w:r>
          </w:p>
        </w:tc>
        <w:tc>
          <w:tcPr>
            <w:tcW w:w="636" w:type="pct"/>
          </w:tcPr>
          <w:p w14:paraId="19A58A23"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53</w:t>
            </w:r>
          </w:p>
        </w:tc>
        <w:tc>
          <w:tcPr>
            <w:tcW w:w="603" w:type="pct"/>
          </w:tcPr>
          <w:p w14:paraId="7EB11FA7"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70</w:t>
            </w:r>
          </w:p>
        </w:tc>
        <w:tc>
          <w:tcPr>
            <w:tcW w:w="583" w:type="pct"/>
          </w:tcPr>
          <w:p w14:paraId="6C1839AF"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30</w:t>
            </w:r>
          </w:p>
        </w:tc>
      </w:tr>
      <w:tr w:rsidR="00FB3AD9" w:rsidRPr="0015154B" w14:paraId="39B89AC0" w14:textId="77777777" w:rsidTr="00AF6D84">
        <w:tc>
          <w:tcPr>
            <w:tcW w:w="1543" w:type="pct"/>
            <w:shd w:val="clear" w:color="auto" w:fill="E8F3D3" w:themeFill="accent2" w:themeFillTint="33"/>
          </w:tcPr>
          <w:p w14:paraId="106AB787" w14:textId="77777777" w:rsidR="00FB3AD9" w:rsidRPr="00295F72" w:rsidRDefault="00FB3AD9" w:rsidP="00A728BA">
            <w:pPr>
              <w:rPr>
                <w:rFonts w:ascii="Times New Roman" w:hAnsi="Times New Roman" w:cs="Times New Roman"/>
                <w:bCs/>
                <w:color w:val="002060"/>
              </w:rPr>
            </w:pPr>
            <w:r w:rsidRPr="00295F72">
              <w:rPr>
                <w:rFonts w:ascii="Times New Roman" w:hAnsi="Times New Roman" w:cs="Times New Roman"/>
                <w:bCs/>
                <w:color w:val="002060"/>
              </w:rPr>
              <w:t>Koledža</w:t>
            </w:r>
          </w:p>
        </w:tc>
        <w:tc>
          <w:tcPr>
            <w:tcW w:w="623" w:type="pct"/>
          </w:tcPr>
          <w:p w14:paraId="690F82FE"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91</w:t>
            </w:r>
          </w:p>
        </w:tc>
        <w:tc>
          <w:tcPr>
            <w:tcW w:w="499" w:type="pct"/>
          </w:tcPr>
          <w:p w14:paraId="13213905"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69</w:t>
            </w:r>
          </w:p>
        </w:tc>
        <w:tc>
          <w:tcPr>
            <w:tcW w:w="513" w:type="pct"/>
          </w:tcPr>
          <w:p w14:paraId="7C953A1F"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64</w:t>
            </w:r>
          </w:p>
        </w:tc>
        <w:tc>
          <w:tcPr>
            <w:tcW w:w="636" w:type="pct"/>
          </w:tcPr>
          <w:p w14:paraId="03E3B824"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86</w:t>
            </w:r>
          </w:p>
        </w:tc>
        <w:tc>
          <w:tcPr>
            <w:tcW w:w="603" w:type="pct"/>
          </w:tcPr>
          <w:p w14:paraId="521C00BD"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40</w:t>
            </w:r>
          </w:p>
        </w:tc>
        <w:tc>
          <w:tcPr>
            <w:tcW w:w="583" w:type="pct"/>
          </w:tcPr>
          <w:p w14:paraId="17552D54"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58</w:t>
            </w:r>
          </w:p>
        </w:tc>
      </w:tr>
      <w:tr w:rsidR="00FB3AD9" w:rsidRPr="0015154B" w14:paraId="41791B50" w14:textId="77777777" w:rsidTr="00AF6D84">
        <w:tc>
          <w:tcPr>
            <w:tcW w:w="1543" w:type="pct"/>
            <w:shd w:val="clear" w:color="auto" w:fill="E8F3D3" w:themeFill="accent2" w:themeFillTint="33"/>
          </w:tcPr>
          <w:p w14:paraId="7A158A2B" w14:textId="77777777" w:rsidR="00FB3AD9" w:rsidRPr="00295F72" w:rsidRDefault="00FB3AD9" w:rsidP="00A728BA">
            <w:pPr>
              <w:rPr>
                <w:rFonts w:ascii="Times New Roman" w:hAnsi="Times New Roman" w:cs="Times New Roman"/>
                <w:bCs/>
                <w:color w:val="002060"/>
              </w:rPr>
            </w:pPr>
            <w:r w:rsidRPr="00295F72">
              <w:rPr>
                <w:rFonts w:ascii="Times New Roman" w:hAnsi="Times New Roman" w:cs="Times New Roman"/>
                <w:bCs/>
                <w:color w:val="002060"/>
              </w:rPr>
              <w:t>Kursi</w:t>
            </w:r>
          </w:p>
        </w:tc>
        <w:tc>
          <w:tcPr>
            <w:tcW w:w="623" w:type="pct"/>
          </w:tcPr>
          <w:p w14:paraId="27628C55"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na</w:t>
            </w:r>
          </w:p>
        </w:tc>
        <w:tc>
          <w:tcPr>
            <w:tcW w:w="499" w:type="pct"/>
          </w:tcPr>
          <w:p w14:paraId="0AAE6456"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91</w:t>
            </w:r>
          </w:p>
        </w:tc>
        <w:tc>
          <w:tcPr>
            <w:tcW w:w="513" w:type="pct"/>
          </w:tcPr>
          <w:p w14:paraId="5F4BE758"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123</w:t>
            </w:r>
          </w:p>
        </w:tc>
        <w:tc>
          <w:tcPr>
            <w:tcW w:w="636" w:type="pct"/>
          </w:tcPr>
          <w:p w14:paraId="7DF70C55"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167</w:t>
            </w:r>
          </w:p>
        </w:tc>
        <w:tc>
          <w:tcPr>
            <w:tcW w:w="603" w:type="pct"/>
          </w:tcPr>
          <w:p w14:paraId="09A11244"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91</w:t>
            </w:r>
          </w:p>
        </w:tc>
        <w:tc>
          <w:tcPr>
            <w:tcW w:w="583" w:type="pct"/>
          </w:tcPr>
          <w:p w14:paraId="03467813"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92</w:t>
            </w:r>
          </w:p>
        </w:tc>
      </w:tr>
      <w:tr w:rsidR="00FB3AD9" w:rsidRPr="0015154B" w14:paraId="4C9F4F75" w14:textId="77777777" w:rsidTr="00AF6D84">
        <w:tc>
          <w:tcPr>
            <w:tcW w:w="1543" w:type="pct"/>
            <w:shd w:val="clear" w:color="auto" w:fill="E8F3D3" w:themeFill="accent2" w:themeFillTint="33"/>
          </w:tcPr>
          <w:p w14:paraId="5E199E8F" w14:textId="77777777" w:rsidR="00FB3AD9" w:rsidRPr="00295F72" w:rsidRDefault="00FB3AD9" w:rsidP="00A728BA">
            <w:pPr>
              <w:rPr>
                <w:rFonts w:ascii="Times New Roman" w:hAnsi="Times New Roman" w:cs="Times New Roman"/>
                <w:b/>
                <w:bCs/>
                <w:color w:val="002060"/>
              </w:rPr>
            </w:pPr>
            <w:r w:rsidRPr="00295F72">
              <w:rPr>
                <w:rFonts w:ascii="Times New Roman" w:hAnsi="Times New Roman" w:cs="Times New Roman"/>
                <w:b/>
                <w:bCs/>
                <w:color w:val="002060"/>
              </w:rPr>
              <w:t>Jūrmalas profesionālās vidusskolas un Koledžas absolventu skaits, t.sk.,</w:t>
            </w:r>
          </w:p>
        </w:tc>
        <w:tc>
          <w:tcPr>
            <w:tcW w:w="623" w:type="pct"/>
          </w:tcPr>
          <w:p w14:paraId="17E4C445"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203</w:t>
            </w:r>
          </w:p>
        </w:tc>
        <w:tc>
          <w:tcPr>
            <w:tcW w:w="499" w:type="pct"/>
          </w:tcPr>
          <w:p w14:paraId="3E4A4942"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160</w:t>
            </w:r>
          </w:p>
        </w:tc>
        <w:tc>
          <w:tcPr>
            <w:tcW w:w="513" w:type="pct"/>
          </w:tcPr>
          <w:p w14:paraId="42E939AD"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211</w:t>
            </w:r>
          </w:p>
        </w:tc>
        <w:tc>
          <w:tcPr>
            <w:tcW w:w="636" w:type="pct"/>
          </w:tcPr>
          <w:p w14:paraId="08566D61"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66</w:t>
            </w:r>
          </w:p>
        </w:tc>
        <w:tc>
          <w:tcPr>
            <w:tcW w:w="603" w:type="pct"/>
          </w:tcPr>
          <w:p w14:paraId="76AED94F"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72</w:t>
            </w:r>
          </w:p>
        </w:tc>
        <w:tc>
          <w:tcPr>
            <w:tcW w:w="583" w:type="pct"/>
          </w:tcPr>
          <w:p w14:paraId="2CD398F2"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64</w:t>
            </w:r>
          </w:p>
        </w:tc>
      </w:tr>
      <w:tr w:rsidR="00FB3AD9" w:rsidRPr="0015154B" w14:paraId="428473FD" w14:textId="77777777" w:rsidTr="00AF6D84">
        <w:tc>
          <w:tcPr>
            <w:tcW w:w="1543" w:type="pct"/>
            <w:shd w:val="clear" w:color="auto" w:fill="E8F3D3" w:themeFill="accent2" w:themeFillTint="33"/>
          </w:tcPr>
          <w:p w14:paraId="16B829A7" w14:textId="77777777" w:rsidR="00FB3AD9" w:rsidRPr="00295F72" w:rsidRDefault="00FB3AD9" w:rsidP="00A728BA">
            <w:pPr>
              <w:rPr>
                <w:rFonts w:ascii="Times New Roman" w:hAnsi="Times New Roman" w:cs="Times New Roman"/>
                <w:bCs/>
                <w:color w:val="002060"/>
              </w:rPr>
            </w:pPr>
            <w:r w:rsidRPr="00295F72">
              <w:rPr>
                <w:rFonts w:ascii="Times New Roman" w:hAnsi="Times New Roman" w:cs="Times New Roman"/>
                <w:bCs/>
                <w:color w:val="002060"/>
              </w:rPr>
              <w:t>Jūrmalas profesionālā vidusskola</w:t>
            </w:r>
          </w:p>
        </w:tc>
        <w:tc>
          <w:tcPr>
            <w:tcW w:w="623" w:type="pct"/>
          </w:tcPr>
          <w:p w14:paraId="32229F98"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166</w:t>
            </w:r>
          </w:p>
        </w:tc>
        <w:tc>
          <w:tcPr>
            <w:tcW w:w="499" w:type="pct"/>
          </w:tcPr>
          <w:p w14:paraId="75515F56"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118</w:t>
            </w:r>
          </w:p>
        </w:tc>
        <w:tc>
          <w:tcPr>
            <w:tcW w:w="513" w:type="pct"/>
          </w:tcPr>
          <w:p w14:paraId="4DC34D45"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166</w:t>
            </w:r>
          </w:p>
        </w:tc>
        <w:tc>
          <w:tcPr>
            <w:tcW w:w="636" w:type="pct"/>
          </w:tcPr>
          <w:p w14:paraId="5878209D"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39</w:t>
            </w:r>
          </w:p>
        </w:tc>
        <w:tc>
          <w:tcPr>
            <w:tcW w:w="603" w:type="pct"/>
          </w:tcPr>
          <w:p w14:paraId="13880AFE"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35</w:t>
            </w:r>
          </w:p>
        </w:tc>
        <w:tc>
          <w:tcPr>
            <w:tcW w:w="583" w:type="pct"/>
          </w:tcPr>
          <w:p w14:paraId="651A7196"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33</w:t>
            </w:r>
          </w:p>
        </w:tc>
      </w:tr>
      <w:tr w:rsidR="00FB3AD9" w:rsidRPr="0015154B" w14:paraId="4EFFC6A6" w14:textId="77777777" w:rsidTr="00AF6D84">
        <w:tc>
          <w:tcPr>
            <w:tcW w:w="1543" w:type="pct"/>
            <w:shd w:val="clear" w:color="auto" w:fill="E8F3D3" w:themeFill="accent2" w:themeFillTint="33"/>
          </w:tcPr>
          <w:p w14:paraId="6E628B59" w14:textId="77777777" w:rsidR="00FB3AD9" w:rsidRPr="00295F72" w:rsidRDefault="00FB3AD9" w:rsidP="00A728BA">
            <w:pPr>
              <w:rPr>
                <w:rFonts w:ascii="Times New Roman" w:hAnsi="Times New Roman" w:cs="Times New Roman"/>
                <w:bCs/>
                <w:color w:val="002060"/>
              </w:rPr>
            </w:pPr>
            <w:r w:rsidRPr="00295F72">
              <w:rPr>
                <w:rFonts w:ascii="Times New Roman" w:hAnsi="Times New Roman" w:cs="Times New Roman"/>
                <w:bCs/>
                <w:color w:val="002060"/>
              </w:rPr>
              <w:t>Koledža</w:t>
            </w:r>
          </w:p>
        </w:tc>
        <w:tc>
          <w:tcPr>
            <w:tcW w:w="623" w:type="pct"/>
          </w:tcPr>
          <w:p w14:paraId="5588B863"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37</w:t>
            </w:r>
          </w:p>
        </w:tc>
        <w:tc>
          <w:tcPr>
            <w:tcW w:w="499" w:type="pct"/>
          </w:tcPr>
          <w:p w14:paraId="79168CE5"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42</w:t>
            </w:r>
          </w:p>
        </w:tc>
        <w:tc>
          <w:tcPr>
            <w:tcW w:w="513" w:type="pct"/>
          </w:tcPr>
          <w:p w14:paraId="712832B6"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45</w:t>
            </w:r>
          </w:p>
        </w:tc>
        <w:tc>
          <w:tcPr>
            <w:tcW w:w="636" w:type="pct"/>
          </w:tcPr>
          <w:p w14:paraId="2E2E6455"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27</w:t>
            </w:r>
          </w:p>
        </w:tc>
        <w:tc>
          <w:tcPr>
            <w:tcW w:w="603" w:type="pct"/>
          </w:tcPr>
          <w:p w14:paraId="44CBE03A"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37</w:t>
            </w:r>
          </w:p>
        </w:tc>
        <w:tc>
          <w:tcPr>
            <w:tcW w:w="583" w:type="pct"/>
          </w:tcPr>
          <w:p w14:paraId="5C65F89F"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31</w:t>
            </w:r>
          </w:p>
        </w:tc>
      </w:tr>
      <w:tr w:rsidR="00FB3AD9" w:rsidRPr="0015154B" w14:paraId="1C8ADBA7" w14:textId="77777777" w:rsidTr="00AF6D84">
        <w:tc>
          <w:tcPr>
            <w:tcW w:w="1543" w:type="pct"/>
            <w:shd w:val="clear" w:color="auto" w:fill="E8F3D3" w:themeFill="accent2" w:themeFillTint="33"/>
          </w:tcPr>
          <w:p w14:paraId="4574B4CE" w14:textId="77777777" w:rsidR="00FB3AD9" w:rsidRPr="00295F72" w:rsidRDefault="00FB3AD9" w:rsidP="00A728BA">
            <w:pPr>
              <w:rPr>
                <w:rFonts w:ascii="Times New Roman" w:hAnsi="Times New Roman" w:cs="Times New Roman"/>
                <w:b/>
                <w:bCs/>
                <w:color w:val="002060"/>
              </w:rPr>
            </w:pPr>
            <w:r w:rsidRPr="00295F72">
              <w:rPr>
                <w:rFonts w:ascii="Times New Roman" w:hAnsi="Times New Roman" w:cs="Times New Roman"/>
                <w:b/>
                <w:bCs/>
                <w:color w:val="002060"/>
              </w:rPr>
              <w:t>Profesionālās rehabilitācijas pakalpojumu saņēmēji kopā, t.sk.</w:t>
            </w:r>
          </w:p>
        </w:tc>
        <w:tc>
          <w:tcPr>
            <w:tcW w:w="623" w:type="pct"/>
          </w:tcPr>
          <w:p w14:paraId="29492F42"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577</w:t>
            </w:r>
          </w:p>
        </w:tc>
        <w:tc>
          <w:tcPr>
            <w:tcW w:w="499" w:type="pct"/>
          </w:tcPr>
          <w:p w14:paraId="77A6CA72"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527</w:t>
            </w:r>
          </w:p>
        </w:tc>
        <w:tc>
          <w:tcPr>
            <w:tcW w:w="513" w:type="pct"/>
          </w:tcPr>
          <w:p w14:paraId="54B15E97"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537</w:t>
            </w:r>
          </w:p>
        </w:tc>
        <w:tc>
          <w:tcPr>
            <w:tcW w:w="636" w:type="pct"/>
          </w:tcPr>
          <w:p w14:paraId="3386A557"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309</w:t>
            </w:r>
          </w:p>
        </w:tc>
        <w:tc>
          <w:tcPr>
            <w:tcW w:w="603" w:type="pct"/>
          </w:tcPr>
          <w:p w14:paraId="4F81D651"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267</w:t>
            </w:r>
          </w:p>
        </w:tc>
        <w:tc>
          <w:tcPr>
            <w:tcW w:w="583" w:type="pct"/>
          </w:tcPr>
          <w:p w14:paraId="4307C7DA"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294</w:t>
            </w:r>
          </w:p>
        </w:tc>
      </w:tr>
      <w:tr w:rsidR="00FB3AD9" w:rsidRPr="0015154B" w14:paraId="2B3F54C0" w14:textId="77777777" w:rsidTr="00AF6D84">
        <w:tc>
          <w:tcPr>
            <w:tcW w:w="1543" w:type="pct"/>
            <w:shd w:val="clear" w:color="auto" w:fill="E8F3D3" w:themeFill="accent2" w:themeFillTint="33"/>
          </w:tcPr>
          <w:p w14:paraId="161946E6" w14:textId="77777777" w:rsidR="00FB3AD9" w:rsidRPr="00295F72" w:rsidRDefault="00FB3AD9" w:rsidP="00A728BA">
            <w:pPr>
              <w:rPr>
                <w:rFonts w:ascii="Times New Roman" w:hAnsi="Times New Roman" w:cs="Times New Roman"/>
                <w:bCs/>
                <w:color w:val="002060"/>
              </w:rPr>
            </w:pPr>
            <w:r w:rsidRPr="00295F72">
              <w:rPr>
                <w:rFonts w:ascii="Times New Roman" w:hAnsi="Times New Roman" w:cs="Times New Roman"/>
                <w:bCs/>
                <w:color w:val="002060"/>
              </w:rPr>
              <w:t>Jūrmalas profesionālajā vidusskolā</w:t>
            </w:r>
          </w:p>
        </w:tc>
        <w:tc>
          <w:tcPr>
            <w:tcW w:w="623" w:type="pct"/>
          </w:tcPr>
          <w:p w14:paraId="62C1A5FE"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381</w:t>
            </w:r>
          </w:p>
        </w:tc>
        <w:tc>
          <w:tcPr>
            <w:tcW w:w="499" w:type="pct"/>
          </w:tcPr>
          <w:p w14:paraId="3A09E335"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363</w:t>
            </w:r>
          </w:p>
        </w:tc>
        <w:tc>
          <w:tcPr>
            <w:tcW w:w="513" w:type="pct"/>
          </w:tcPr>
          <w:p w14:paraId="285E2B3E"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384</w:t>
            </w:r>
          </w:p>
        </w:tc>
        <w:tc>
          <w:tcPr>
            <w:tcW w:w="636" w:type="pct"/>
          </w:tcPr>
          <w:p w14:paraId="3FADABD6"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149</w:t>
            </w:r>
          </w:p>
        </w:tc>
        <w:tc>
          <w:tcPr>
            <w:tcW w:w="603" w:type="pct"/>
          </w:tcPr>
          <w:p w14:paraId="04A60112"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140</w:t>
            </w:r>
          </w:p>
        </w:tc>
        <w:tc>
          <w:tcPr>
            <w:tcW w:w="583" w:type="pct"/>
          </w:tcPr>
          <w:p w14:paraId="6F83B839"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116</w:t>
            </w:r>
          </w:p>
        </w:tc>
      </w:tr>
      <w:tr w:rsidR="00FB3AD9" w:rsidRPr="0015154B" w14:paraId="4FED02C2" w14:textId="77777777" w:rsidTr="00AF6D84">
        <w:tc>
          <w:tcPr>
            <w:tcW w:w="1543" w:type="pct"/>
            <w:shd w:val="clear" w:color="auto" w:fill="E8F3D3" w:themeFill="accent2" w:themeFillTint="33"/>
          </w:tcPr>
          <w:p w14:paraId="37A30EE9" w14:textId="77777777" w:rsidR="00FB3AD9" w:rsidRPr="00295F72" w:rsidRDefault="00FB3AD9" w:rsidP="00A728BA">
            <w:pPr>
              <w:rPr>
                <w:rFonts w:ascii="Times New Roman" w:hAnsi="Times New Roman" w:cs="Times New Roman"/>
                <w:bCs/>
                <w:color w:val="002060"/>
              </w:rPr>
            </w:pPr>
            <w:r w:rsidRPr="00295F72">
              <w:rPr>
                <w:rFonts w:ascii="Times New Roman" w:hAnsi="Times New Roman" w:cs="Times New Roman"/>
                <w:bCs/>
                <w:color w:val="002060"/>
              </w:rPr>
              <w:t>Koledžā</w:t>
            </w:r>
          </w:p>
        </w:tc>
        <w:tc>
          <w:tcPr>
            <w:tcW w:w="623" w:type="pct"/>
          </w:tcPr>
          <w:p w14:paraId="057FCD3A"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196</w:t>
            </w:r>
          </w:p>
        </w:tc>
        <w:tc>
          <w:tcPr>
            <w:tcW w:w="499" w:type="pct"/>
          </w:tcPr>
          <w:p w14:paraId="12F0CF9D"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164</w:t>
            </w:r>
          </w:p>
        </w:tc>
        <w:tc>
          <w:tcPr>
            <w:tcW w:w="513" w:type="pct"/>
          </w:tcPr>
          <w:p w14:paraId="3B596D96"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153</w:t>
            </w:r>
          </w:p>
        </w:tc>
        <w:tc>
          <w:tcPr>
            <w:tcW w:w="636" w:type="pct"/>
          </w:tcPr>
          <w:p w14:paraId="70CDEC21"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160</w:t>
            </w:r>
          </w:p>
        </w:tc>
        <w:tc>
          <w:tcPr>
            <w:tcW w:w="603" w:type="pct"/>
          </w:tcPr>
          <w:p w14:paraId="26E8A99F"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128</w:t>
            </w:r>
          </w:p>
        </w:tc>
        <w:tc>
          <w:tcPr>
            <w:tcW w:w="583" w:type="pct"/>
          </w:tcPr>
          <w:p w14:paraId="46C00783" w14:textId="77777777" w:rsidR="00FB3AD9" w:rsidRPr="0015154B" w:rsidRDefault="00FB3AD9" w:rsidP="00A728BA">
            <w:pPr>
              <w:jc w:val="center"/>
              <w:rPr>
                <w:rFonts w:ascii="Times New Roman" w:hAnsi="Times New Roman" w:cs="Times New Roman"/>
                <w:sz w:val="24"/>
                <w:szCs w:val="24"/>
              </w:rPr>
            </w:pPr>
            <w:r w:rsidRPr="0015154B">
              <w:rPr>
                <w:rFonts w:ascii="Times New Roman" w:hAnsi="Times New Roman" w:cs="Times New Roman"/>
                <w:sz w:val="24"/>
                <w:szCs w:val="24"/>
              </w:rPr>
              <w:t>178</w:t>
            </w:r>
          </w:p>
        </w:tc>
      </w:tr>
    </w:tbl>
    <w:p w14:paraId="528FA1F8" w14:textId="606991B9" w:rsidR="00FB3AD9" w:rsidRPr="0015154B" w:rsidRDefault="00FB3AD9" w:rsidP="00FB3AD9">
      <w:pPr>
        <w:spacing w:after="0" w:line="240" w:lineRule="auto"/>
        <w:rPr>
          <w:rFonts w:ascii="Times New Roman" w:hAnsi="Times New Roman" w:cs="Times New Roman"/>
          <w:iCs/>
          <w:sz w:val="20"/>
          <w:szCs w:val="20"/>
        </w:rPr>
      </w:pPr>
      <w:r w:rsidRPr="0015154B">
        <w:rPr>
          <w:rFonts w:ascii="Times New Roman" w:hAnsi="Times New Roman" w:cs="Times New Roman"/>
          <w:iCs/>
          <w:sz w:val="20"/>
          <w:szCs w:val="20"/>
        </w:rPr>
        <w:t>Datu avots: SIVA</w:t>
      </w:r>
    </w:p>
    <w:p w14:paraId="2E4FF4D4" w14:textId="77777777" w:rsidR="00FB3AD9" w:rsidRPr="0015154B" w:rsidRDefault="00FB3AD9" w:rsidP="00FB3AD9">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681E8944" w14:textId="68CC417C" w:rsidR="009120A7" w:rsidRPr="00573B49" w:rsidRDefault="009120A7" w:rsidP="00AC38FA">
      <w:pPr>
        <w:autoSpaceDE w:val="0"/>
        <w:autoSpaceDN w:val="0"/>
        <w:adjustRightInd w:val="0"/>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Lai gan SIVA sniegtais profesionālās rehabilitācijas pakalpojums gan vidusskolas, gan koledžas līmenī ir kvalitatīvs un konkurētspējīgs</w:t>
      </w:r>
      <w:r w:rsidRPr="007157D3">
        <w:rPr>
          <w:rStyle w:val="FootnoteReference"/>
          <w:rFonts w:ascii="Times New Roman" w:eastAsia="Times New Roman" w:hAnsi="Times New Roman" w:cs="Times New Roman"/>
          <w:sz w:val="24"/>
          <w:szCs w:val="24"/>
          <w:lang w:eastAsia="lv-LV"/>
        </w:rPr>
        <w:footnoteReference w:id="134"/>
      </w:r>
      <w:r w:rsidRPr="007157D3">
        <w:rPr>
          <w:rFonts w:ascii="Times New Roman" w:eastAsia="Times New Roman" w:hAnsi="Times New Roman" w:cs="Times New Roman"/>
          <w:sz w:val="24"/>
          <w:szCs w:val="24"/>
          <w:lang w:eastAsia="lv-LV"/>
        </w:rPr>
        <w:t>, nepietiekamā finansējuma dēļ samazinās to personu skaits, kuras SIVA var uzņemt profesionālās rehabilitācijas mācību programmās. Liela problēma, kas daļēji tiek risināta ar obligāto profesionālās piemērotības noteikšanu, ir studentu un skolēnu motivācijas trūkums ne tika</w:t>
      </w:r>
      <w:r w:rsidR="00295F72">
        <w:rPr>
          <w:rFonts w:ascii="Times New Roman" w:eastAsia="Times New Roman" w:hAnsi="Times New Roman" w:cs="Times New Roman"/>
          <w:sz w:val="24"/>
          <w:szCs w:val="24"/>
          <w:lang w:eastAsia="lv-LV"/>
        </w:rPr>
        <w:t>i</w:t>
      </w:r>
      <w:r w:rsidRPr="007157D3">
        <w:rPr>
          <w:rFonts w:ascii="Times New Roman" w:eastAsia="Times New Roman" w:hAnsi="Times New Roman" w:cs="Times New Roman"/>
          <w:sz w:val="24"/>
          <w:szCs w:val="24"/>
          <w:lang w:eastAsia="lv-LV"/>
        </w:rPr>
        <w:t xml:space="preserve"> uzsākt studijas, bet tās arī pabeigt. Ņemot vērā SIVA piedāvātā profesionālās rehabilitācijas pakalpojuma kvalitāti un daudzveidību, kā arī lielāko resursu – SIVA darbinieku pieredzi darbā ar personām ar invaliditāti – viens no iespējamiem turpmākajiem virzieniem profesionālās rehabilitācijas pakalpojuma tālākai attīstībai un pilnveidošanai ir tā sasai</w:t>
      </w:r>
      <w:r w:rsidR="00295F72">
        <w:rPr>
          <w:rFonts w:ascii="Times New Roman" w:eastAsia="Times New Roman" w:hAnsi="Times New Roman" w:cs="Times New Roman"/>
          <w:sz w:val="24"/>
          <w:szCs w:val="24"/>
          <w:lang w:eastAsia="lv-LV"/>
        </w:rPr>
        <w:t>s</w:t>
      </w:r>
      <w:r w:rsidRPr="007157D3">
        <w:rPr>
          <w:rFonts w:ascii="Times New Roman" w:eastAsia="Times New Roman" w:hAnsi="Times New Roman" w:cs="Times New Roman"/>
          <w:sz w:val="24"/>
          <w:szCs w:val="24"/>
          <w:lang w:eastAsia="lv-LV"/>
        </w:rPr>
        <w:t>te ar sociālās reha</w:t>
      </w:r>
      <w:r w:rsidRPr="002F5278">
        <w:rPr>
          <w:rFonts w:ascii="Times New Roman" w:eastAsia="Times New Roman" w:hAnsi="Times New Roman" w:cs="Times New Roman"/>
          <w:sz w:val="24"/>
          <w:szCs w:val="24"/>
          <w:lang w:eastAsia="lv-LV"/>
        </w:rPr>
        <w:t xml:space="preserve">bilitācijas pakalpojumu, to nodrošinot </w:t>
      </w:r>
      <w:r w:rsidRPr="002F5278">
        <w:rPr>
          <w:rFonts w:ascii="Times New Roman" w:eastAsia="Times New Roman" w:hAnsi="Times New Roman" w:cs="Times New Roman"/>
          <w:sz w:val="24"/>
          <w:szCs w:val="24"/>
          <w:lang w:eastAsia="lv-LV"/>
        </w:rPr>
        <w:lastRenderedPageBreak/>
        <w:t>ne tikai personām ar invaliditāti, bet arī personām, kurām profesionālās rehabilit</w:t>
      </w:r>
      <w:r w:rsidRPr="00573B49">
        <w:rPr>
          <w:rFonts w:ascii="Times New Roman" w:eastAsia="Times New Roman" w:hAnsi="Times New Roman" w:cs="Times New Roman"/>
          <w:sz w:val="24"/>
          <w:szCs w:val="24"/>
          <w:lang w:eastAsia="lv-LV"/>
        </w:rPr>
        <w:t>ācijas pakalpojums ir nepieciešams un būtu efektīvs kā daļa no saņemtā sociālās rehabilitācijas pakalpojuma.</w:t>
      </w:r>
    </w:p>
    <w:p w14:paraId="7CB50D45" w14:textId="7C6FCD29" w:rsidR="009978A2" w:rsidRPr="00573B49" w:rsidRDefault="009978A2" w:rsidP="00AC38FA">
      <w:pPr>
        <w:autoSpaceDE w:val="0"/>
        <w:autoSpaceDN w:val="0"/>
        <w:adjustRightInd w:val="0"/>
        <w:spacing w:before="120" w:after="0" w:line="240" w:lineRule="auto"/>
        <w:ind w:firstLine="720"/>
        <w:jc w:val="both"/>
        <w:rPr>
          <w:rFonts w:ascii="Times New Roman" w:eastAsia="Times New Roman" w:hAnsi="Times New Roman" w:cs="Times New Roman"/>
          <w:sz w:val="24"/>
          <w:szCs w:val="24"/>
          <w:lang w:eastAsia="lv-LV"/>
        </w:rPr>
      </w:pPr>
      <w:r w:rsidRPr="00573B49">
        <w:rPr>
          <w:rFonts w:ascii="Times New Roman" w:eastAsia="Times New Roman" w:hAnsi="Times New Roman" w:cs="Times New Roman"/>
          <w:sz w:val="24"/>
          <w:szCs w:val="24"/>
          <w:lang w:eastAsia="lv-LV"/>
        </w:rPr>
        <w:t>Lai personām ar funkcionāliem traucējumiem un personām ar invaliditāti nodrošinātie valsts finansētie sociālās un profesionālās rehabilitācijas pakalpojumi vēl precīzāk sasniegtu savu mērķi</w:t>
      </w:r>
      <w:r w:rsidRPr="007157D3">
        <w:rPr>
          <w:rStyle w:val="FootnoteReference"/>
          <w:rFonts w:ascii="Times New Roman" w:eastAsia="Times New Roman" w:hAnsi="Times New Roman" w:cs="Times New Roman"/>
          <w:sz w:val="24"/>
          <w:szCs w:val="24"/>
          <w:lang w:eastAsia="lv-LV"/>
        </w:rPr>
        <w:footnoteReference w:id="135"/>
      </w:r>
      <w:r w:rsidRPr="007157D3">
        <w:rPr>
          <w:rFonts w:ascii="Times New Roman" w:eastAsia="Times New Roman" w:hAnsi="Times New Roman" w:cs="Times New Roman"/>
          <w:sz w:val="24"/>
          <w:szCs w:val="24"/>
          <w:lang w:eastAsia="lv-LV"/>
        </w:rPr>
        <w:t xml:space="preserve">, </w:t>
      </w:r>
      <w:r w:rsidR="0033005A" w:rsidRPr="007157D3">
        <w:rPr>
          <w:rFonts w:ascii="Times New Roman" w:eastAsia="Times New Roman" w:hAnsi="Times New Roman" w:cs="Times New Roman"/>
          <w:sz w:val="24"/>
          <w:szCs w:val="24"/>
          <w:lang w:eastAsia="lv-LV"/>
        </w:rPr>
        <w:t>nepieciešams</w:t>
      </w:r>
      <w:r w:rsidRPr="007157D3">
        <w:rPr>
          <w:rFonts w:ascii="Times New Roman" w:eastAsia="Times New Roman" w:hAnsi="Times New Roman" w:cs="Times New Roman"/>
          <w:sz w:val="24"/>
          <w:szCs w:val="24"/>
          <w:lang w:eastAsia="lv-LV"/>
        </w:rPr>
        <w:t xml:space="preserve"> integrēt abus pakalpojumus vienā, lai personas, kurām ir nepieciešama sociālā</w:t>
      </w:r>
      <w:r w:rsidRPr="002F5278">
        <w:rPr>
          <w:rFonts w:ascii="Times New Roman" w:eastAsia="Times New Roman" w:hAnsi="Times New Roman" w:cs="Times New Roman"/>
          <w:sz w:val="24"/>
          <w:szCs w:val="24"/>
          <w:lang w:eastAsia="lv-LV"/>
        </w:rPr>
        <w:t xml:space="preserve"> rehabilitācija, būtu tiesīgas tās laikā vai uzreiz pēc tās saņemt arī sev piemērotus profesionālās rehabilitācijas pakal</w:t>
      </w:r>
      <w:r w:rsidRPr="00573B49">
        <w:rPr>
          <w:rFonts w:ascii="Times New Roman" w:eastAsia="Times New Roman" w:hAnsi="Times New Roman" w:cs="Times New Roman"/>
          <w:sz w:val="24"/>
          <w:szCs w:val="24"/>
          <w:lang w:eastAsia="lv-LV"/>
        </w:rPr>
        <w:t>pojumus, tai skaitā profesionālās piemērotības noteikšanu.</w:t>
      </w:r>
    </w:p>
    <w:p w14:paraId="48CB0840" w14:textId="77777777" w:rsidR="009978A2" w:rsidRPr="00573B49" w:rsidRDefault="009978A2" w:rsidP="00AC38FA">
      <w:p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p>
    <w:p w14:paraId="207E8881" w14:textId="6C00A172" w:rsidR="009978A2" w:rsidRPr="00573B49" w:rsidRDefault="009978A2" w:rsidP="001101F7">
      <w:pPr>
        <w:pStyle w:val="Heading3"/>
      </w:pPr>
      <w:bookmarkStart w:id="48" w:name="_Toc55316087"/>
      <w:r w:rsidRPr="00573B49">
        <w:t>Sociālā rehabilitācija personām ar redzes vai dzirdes invaliditāti</w:t>
      </w:r>
      <w:bookmarkEnd w:id="48"/>
    </w:p>
    <w:p w14:paraId="202E62EE" w14:textId="26E8FCF1" w:rsidR="009978A2" w:rsidRPr="0015154B" w:rsidRDefault="009978A2" w:rsidP="00AC38FA">
      <w:pPr>
        <w:spacing w:before="120" w:after="0" w:line="240" w:lineRule="auto"/>
        <w:ind w:firstLine="720"/>
        <w:jc w:val="both"/>
        <w:rPr>
          <w:rFonts w:ascii="Times New Roman" w:hAnsi="Times New Roman" w:cs="Times New Roman"/>
          <w:bCs/>
          <w:sz w:val="24"/>
          <w:szCs w:val="24"/>
        </w:rPr>
      </w:pPr>
      <w:r w:rsidRPr="0025422D">
        <w:rPr>
          <w:rFonts w:ascii="Times New Roman" w:hAnsi="Times New Roman" w:cs="Times New Roman"/>
          <w:bCs/>
          <w:sz w:val="24"/>
          <w:szCs w:val="24"/>
        </w:rPr>
        <w:t>Sociālās rehabilitācijas pakalpojumu personām ar redzes invaliditāti (turpmāk – pakalpojumi personām ar redzes invaliditāti) pama</w:t>
      </w:r>
      <w:r w:rsidRPr="00A857F2">
        <w:rPr>
          <w:rFonts w:ascii="Times New Roman" w:hAnsi="Times New Roman" w:cs="Times New Roman"/>
          <w:bCs/>
          <w:sz w:val="24"/>
          <w:szCs w:val="24"/>
        </w:rPr>
        <w:t>tuzdevums ir sniegt rehabi</w:t>
      </w:r>
      <w:r w:rsidRPr="00662D1E">
        <w:rPr>
          <w:rFonts w:ascii="Times New Roman" w:hAnsi="Times New Roman" w:cs="Times New Roman"/>
          <w:bCs/>
          <w:sz w:val="24"/>
          <w:szCs w:val="24"/>
        </w:rPr>
        <w:t>litējamai personai zināšanas un iemaņas orientācijā apkārtējā vidē, pašaprūpē (mājturībā un mājsaimniecībā, ēdienu gatavošanā), Braila rakstā, nepieciešamajās fiziskajās aktivitātēs un veselības uzturēšanā, dot iespēju iepazīties ar specializēto datortehni</w:t>
      </w:r>
      <w:r w:rsidRPr="009703E6">
        <w:rPr>
          <w:rFonts w:ascii="Times New Roman" w:hAnsi="Times New Roman" w:cs="Times New Roman"/>
          <w:bCs/>
          <w:sz w:val="24"/>
          <w:szCs w:val="24"/>
        </w:rPr>
        <w:t>ku un komunikācijas tehnoloģijām, kā arī apgūt dažādu tiflotehnikas palīglīdzekļu izmantošanu, fiziskā un intelektuālā darba pamatiemaņas, pilnveidot saskarsmes un radošās pašizteiksmes prasmes, sniegt konsultācijas un palīdzību klienta sociālo problēmu ri</w:t>
      </w:r>
      <w:r w:rsidRPr="0015154B">
        <w:rPr>
          <w:rFonts w:ascii="Times New Roman" w:hAnsi="Times New Roman" w:cs="Times New Roman"/>
          <w:bCs/>
          <w:sz w:val="24"/>
          <w:szCs w:val="24"/>
        </w:rPr>
        <w:t xml:space="preserve">sināšanā. </w:t>
      </w:r>
    </w:p>
    <w:p w14:paraId="3E178228" w14:textId="0E2BB4B7" w:rsidR="0033005A" w:rsidRPr="0015154B" w:rsidRDefault="009978A2" w:rsidP="00AC38FA">
      <w:pPr>
        <w:spacing w:before="120" w:after="0" w:line="240" w:lineRule="auto"/>
        <w:ind w:firstLine="720"/>
        <w:jc w:val="both"/>
        <w:rPr>
          <w:rFonts w:ascii="Times New Roman" w:hAnsi="Times New Roman" w:cs="Times New Roman"/>
          <w:bCs/>
          <w:sz w:val="24"/>
          <w:szCs w:val="24"/>
        </w:rPr>
      </w:pPr>
      <w:r w:rsidRPr="0015154B">
        <w:rPr>
          <w:rFonts w:ascii="Times New Roman" w:hAnsi="Times New Roman" w:cs="Times New Roman"/>
          <w:bCs/>
          <w:sz w:val="24"/>
          <w:szCs w:val="24"/>
        </w:rPr>
        <w:t>Pakalpojuma saņēmēju skaits aug (</w:t>
      </w:r>
      <w:r w:rsidRPr="0015154B">
        <w:rPr>
          <w:rFonts w:ascii="Times New Roman" w:hAnsi="Times New Roman" w:cs="Times New Roman"/>
          <w:bCs/>
          <w:sz w:val="24"/>
          <w:szCs w:val="24"/>
          <w:highlight w:val="yellow"/>
        </w:rPr>
        <w:t>skat.</w:t>
      </w:r>
      <w:r w:rsidR="00FB3AD9" w:rsidRPr="0015154B">
        <w:rPr>
          <w:rFonts w:ascii="Times New Roman" w:hAnsi="Times New Roman" w:cs="Times New Roman"/>
          <w:bCs/>
          <w:sz w:val="24"/>
          <w:szCs w:val="24"/>
          <w:highlight w:val="yellow"/>
        </w:rPr>
        <w:t xml:space="preserve">3.pielikuma </w:t>
      </w:r>
      <w:r w:rsidR="00E1506E" w:rsidRPr="0015154B">
        <w:rPr>
          <w:rFonts w:ascii="Times New Roman" w:hAnsi="Times New Roman" w:cs="Times New Roman"/>
          <w:bCs/>
          <w:sz w:val="24"/>
          <w:szCs w:val="24"/>
          <w:highlight w:val="yellow"/>
        </w:rPr>
        <w:t>17</w:t>
      </w:r>
      <w:r w:rsidRPr="0015154B">
        <w:rPr>
          <w:rFonts w:ascii="Times New Roman" w:hAnsi="Times New Roman" w:cs="Times New Roman"/>
          <w:bCs/>
          <w:sz w:val="24"/>
          <w:szCs w:val="24"/>
          <w:highlight w:val="yellow"/>
        </w:rPr>
        <w:t>.tabulu</w:t>
      </w:r>
      <w:r w:rsidRPr="0015154B">
        <w:rPr>
          <w:rFonts w:ascii="Times New Roman" w:hAnsi="Times New Roman" w:cs="Times New Roman"/>
          <w:bCs/>
          <w:sz w:val="24"/>
          <w:szCs w:val="24"/>
        </w:rPr>
        <w:t>), tomēr personām ar redzes invaliditāti tas sasniedz tikai 4% no VDEĀVK datos reģistrētā personu ar redzes invaliditāti skaita (t.i.</w:t>
      </w:r>
      <w:r w:rsidR="00BF7954" w:rsidRPr="0015154B">
        <w:rPr>
          <w:rFonts w:ascii="Times New Roman" w:hAnsi="Times New Roman" w:cs="Times New Roman"/>
          <w:bCs/>
          <w:sz w:val="24"/>
          <w:szCs w:val="24"/>
        </w:rPr>
        <w:t>,</w:t>
      </w:r>
      <w:r w:rsidRPr="0015154B">
        <w:rPr>
          <w:rFonts w:ascii="Times New Roman" w:hAnsi="Times New Roman" w:cs="Times New Roman"/>
          <w:bCs/>
          <w:sz w:val="24"/>
          <w:szCs w:val="24"/>
        </w:rPr>
        <w:t xml:space="preserve"> pakalpojums sasniedz </w:t>
      </w:r>
      <w:r w:rsidR="00295F72">
        <w:rPr>
          <w:rFonts w:ascii="Times New Roman" w:hAnsi="Times New Roman" w:cs="Times New Roman"/>
          <w:bCs/>
          <w:sz w:val="24"/>
          <w:szCs w:val="24"/>
        </w:rPr>
        <w:t xml:space="preserve">tikai nelielu </w:t>
      </w:r>
      <w:r w:rsidRPr="0015154B">
        <w:rPr>
          <w:rFonts w:ascii="Times New Roman" w:hAnsi="Times New Roman" w:cs="Times New Roman"/>
          <w:bCs/>
          <w:sz w:val="24"/>
          <w:szCs w:val="24"/>
        </w:rPr>
        <w:t>mērķa grupu). Pakalpojuma saņēmēji ir pamatā no 40 un virs 65 gadiem. Pēdējos gados šī tendence saglabājas nemainīga (piemēram, sievietes vecuma grupā virs 65</w:t>
      </w:r>
      <w:r w:rsidR="00F04ECD">
        <w:rPr>
          <w:rFonts w:ascii="Times New Roman" w:hAnsi="Times New Roman" w:cs="Times New Roman"/>
          <w:bCs/>
          <w:sz w:val="24"/>
          <w:szCs w:val="24"/>
        </w:rPr>
        <w:t xml:space="preserve"> gadiem</w:t>
      </w:r>
      <w:r w:rsidRPr="0015154B">
        <w:rPr>
          <w:rFonts w:ascii="Times New Roman" w:hAnsi="Times New Roman" w:cs="Times New Roman"/>
          <w:bCs/>
          <w:sz w:val="24"/>
          <w:szCs w:val="24"/>
        </w:rPr>
        <w:t xml:space="preserve"> ir lielākais saņēmēju skaits). Salīdzinoši mazāka uzmanība un pakalpojumi tiek vērsti uz personām ar kombinētiem traucējumiem (t.sk., GRT). </w:t>
      </w:r>
    </w:p>
    <w:p w14:paraId="071937A9" w14:textId="77777777" w:rsidR="001212FE" w:rsidRDefault="009978A2" w:rsidP="00AC38FA">
      <w:pPr>
        <w:spacing w:before="120" w:after="0" w:line="240" w:lineRule="auto"/>
        <w:ind w:firstLine="720"/>
        <w:jc w:val="both"/>
        <w:rPr>
          <w:rFonts w:ascii="Times New Roman" w:hAnsi="Times New Roman" w:cs="Times New Roman"/>
          <w:bCs/>
          <w:sz w:val="24"/>
          <w:szCs w:val="24"/>
        </w:rPr>
      </w:pPr>
      <w:r w:rsidRPr="0015154B">
        <w:rPr>
          <w:rFonts w:ascii="Times New Roman" w:hAnsi="Times New Roman" w:cs="Times New Roman"/>
          <w:bCs/>
          <w:sz w:val="24"/>
          <w:szCs w:val="24"/>
        </w:rPr>
        <w:t>Tā kā mērķa grupas klienti pakalpojumu vērtē nemainīgi augstu, tad bez padziļināta ekspertu pētījuma par pakalpojuma kvalitāti nav iespējams identificēt patiesās problēmas pakalpojuma organizēšanā, līdzīgi tas ir ar sociālās rehabilitācijas pakalpojumu personām ar dzirdes invaliditāti</w:t>
      </w:r>
      <w:r w:rsidRPr="007157D3">
        <w:rPr>
          <w:rFonts w:ascii="Times New Roman" w:hAnsi="Times New Roman" w:cs="Times New Roman"/>
          <w:bCs/>
          <w:sz w:val="24"/>
          <w:szCs w:val="24"/>
          <w:vertAlign w:val="superscript"/>
        </w:rPr>
        <w:footnoteReference w:id="136"/>
      </w:r>
      <w:r w:rsidRPr="007157D3">
        <w:rPr>
          <w:rFonts w:ascii="Times New Roman" w:hAnsi="Times New Roman" w:cs="Times New Roman"/>
          <w:bCs/>
          <w:sz w:val="24"/>
          <w:szCs w:val="24"/>
        </w:rPr>
        <w:t xml:space="preserve">. </w:t>
      </w:r>
      <w:r w:rsidR="001212FE">
        <w:rPr>
          <w:rFonts w:ascii="Times New Roman" w:hAnsi="Times New Roman" w:cs="Times New Roman"/>
          <w:bCs/>
          <w:sz w:val="24"/>
          <w:szCs w:val="24"/>
        </w:rPr>
        <w:t>Savukārt daudzpusīgs pakalpojuma izvērtējums no pakalpojuma saņēmēja prizmas līdz šim nav veikts.</w:t>
      </w:r>
    </w:p>
    <w:p w14:paraId="4D0D2490" w14:textId="77777777" w:rsidR="009978A2" w:rsidRPr="00573B49" w:rsidRDefault="009978A2" w:rsidP="00AC38FA">
      <w:pPr>
        <w:spacing w:before="120" w:after="0" w:line="240" w:lineRule="auto"/>
        <w:ind w:firstLine="720"/>
        <w:jc w:val="both"/>
        <w:rPr>
          <w:rFonts w:ascii="Times New Roman" w:hAnsi="Times New Roman" w:cs="Times New Roman"/>
          <w:b/>
          <w:sz w:val="24"/>
          <w:szCs w:val="24"/>
        </w:rPr>
      </w:pPr>
    </w:p>
    <w:p w14:paraId="0C4081DB" w14:textId="5D9B1655" w:rsidR="009978A2" w:rsidRPr="0025422D" w:rsidRDefault="009978A2" w:rsidP="001101F7">
      <w:pPr>
        <w:pStyle w:val="Heading3"/>
      </w:pPr>
      <w:bookmarkStart w:id="49" w:name="_Toc55316088"/>
      <w:r w:rsidRPr="00573B49">
        <w:t xml:space="preserve">Sociālā rehabilitācija </w:t>
      </w:r>
      <w:r w:rsidRPr="0025422D">
        <w:t>vardarbības mazināšanai</w:t>
      </w:r>
      <w:bookmarkEnd w:id="49"/>
    </w:p>
    <w:p w14:paraId="7E863353" w14:textId="3DC085C1" w:rsidR="00F74C29" w:rsidRDefault="009978A2" w:rsidP="00F74C29">
      <w:pPr>
        <w:spacing w:before="120" w:after="0" w:line="240" w:lineRule="auto"/>
        <w:ind w:firstLine="720"/>
        <w:jc w:val="both"/>
        <w:rPr>
          <w:rFonts w:ascii="Times New Roman" w:hAnsi="Times New Roman" w:cs="Times New Roman"/>
          <w:bCs/>
          <w:sz w:val="24"/>
          <w:szCs w:val="24"/>
        </w:rPr>
      </w:pPr>
      <w:r w:rsidRPr="00662D1E">
        <w:rPr>
          <w:rFonts w:ascii="Times New Roman" w:hAnsi="Times New Roman" w:cs="Times New Roman"/>
          <w:sz w:val="24"/>
          <w:szCs w:val="24"/>
        </w:rPr>
        <w:t>Valsts finansē vairākus pakalpojumus vardarbības mazināšanai un novē</w:t>
      </w:r>
      <w:r w:rsidR="001212FE">
        <w:rPr>
          <w:rFonts w:ascii="Times New Roman" w:hAnsi="Times New Roman" w:cs="Times New Roman"/>
          <w:sz w:val="24"/>
          <w:szCs w:val="24"/>
        </w:rPr>
        <w:t>r</w:t>
      </w:r>
      <w:r w:rsidRPr="00662D1E">
        <w:rPr>
          <w:rFonts w:ascii="Times New Roman" w:hAnsi="Times New Roman" w:cs="Times New Roman"/>
          <w:sz w:val="24"/>
          <w:szCs w:val="24"/>
        </w:rPr>
        <w:t>šanai, lai kompleksi atbalstītu ģimenes, kurās konstatēta vardarbība</w:t>
      </w:r>
      <w:r w:rsidR="001212FE">
        <w:rPr>
          <w:rFonts w:ascii="Times New Roman" w:hAnsi="Times New Roman" w:cs="Times New Roman"/>
          <w:sz w:val="24"/>
          <w:szCs w:val="24"/>
        </w:rPr>
        <w:t xml:space="preserve"> </w:t>
      </w:r>
      <w:r w:rsidR="001212FE" w:rsidRPr="0015154B">
        <w:rPr>
          <w:rFonts w:ascii="Times New Roman" w:hAnsi="Times New Roman" w:cs="Times New Roman"/>
          <w:bCs/>
          <w:sz w:val="24"/>
          <w:szCs w:val="24"/>
        </w:rPr>
        <w:t>(noziedzīgs nodarījums, ekspluatācija, seksuālā izmantošana vai jebkāda cita nelikumīga, cietsirdīga vai cieņu aizskaroša darbība)</w:t>
      </w:r>
      <w:r w:rsidRPr="00662D1E">
        <w:rPr>
          <w:rFonts w:ascii="Times New Roman" w:hAnsi="Times New Roman" w:cs="Times New Roman"/>
          <w:sz w:val="24"/>
          <w:szCs w:val="24"/>
        </w:rPr>
        <w:t xml:space="preserve"> un risinātu ar to saistītos sociālās funkcionēšan</w:t>
      </w:r>
      <w:r w:rsidRPr="009703E6">
        <w:rPr>
          <w:rFonts w:ascii="Times New Roman" w:hAnsi="Times New Roman" w:cs="Times New Roman"/>
          <w:sz w:val="24"/>
          <w:szCs w:val="24"/>
        </w:rPr>
        <w:t xml:space="preserve">as traucējumus un mazinātu sociālās atstumtības risku </w:t>
      </w:r>
      <w:r w:rsidRPr="0015154B">
        <w:rPr>
          <w:rFonts w:ascii="Times New Roman" w:hAnsi="Times New Roman" w:cs="Times New Roman"/>
          <w:bCs/>
          <w:sz w:val="24"/>
          <w:szCs w:val="24"/>
        </w:rPr>
        <w:t>(</w:t>
      </w:r>
      <w:r w:rsidRPr="0015154B">
        <w:rPr>
          <w:rFonts w:ascii="Times New Roman" w:hAnsi="Times New Roman" w:cs="Times New Roman"/>
          <w:bCs/>
          <w:sz w:val="24"/>
          <w:szCs w:val="24"/>
          <w:highlight w:val="yellow"/>
        </w:rPr>
        <w:t>skat.</w:t>
      </w:r>
      <w:r w:rsidR="00266DE9" w:rsidRPr="0015154B">
        <w:rPr>
          <w:rFonts w:ascii="Times New Roman" w:hAnsi="Times New Roman" w:cs="Times New Roman"/>
          <w:bCs/>
          <w:sz w:val="24"/>
          <w:szCs w:val="24"/>
          <w:highlight w:val="yellow"/>
        </w:rPr>
        <w:t xml:space="preserve">3.pielikuma </w:t>
      </w:r>
      <w:r w:rsidR="0033005A" w:rsidRPr="0015154B">
        <w:rPr>
          <w:rFonts w:ascii="Times New Roman" w:hAnsi="Times New Roman" w:cs="Times New Roman"/>
          <w:bCs/>
          <w:sz w:val="24"/>
          <w:szCs w:val="24"/>
          <w:highlight w:val="yellow"/>
        </w:rPr>
        <w:t>1</w:t>
      </w:r>
      <w:r w:rsidR="00E1506E" w:rsidRPr="0015154B">
        <w:rPr>
          <w:rFonts w:ascii="Times New Roman" w:hAnsi="Times New Roman" w:cs="Times New Roman"/>
          <w:bCs/>
          <w:sz w:val="24"/>
          <w:szCs w:val="24"/>
          <w:highlight w:val="yellow"/>
        </w:rPr>
        <w:t>8</w:t>
      </w:r>
      <w:r w:rsidRPr="0015154B">
        <w:rPr>
          <w:rFonts w:ascii="Times New Roman" w:hAnsi="Times New Roman" w:cs="Times New Roman"/>
          <w:bCs/>
          <w:sz w:val="24"/>
          <w:szCs w:val="24"/>
          <w:highlight w:val="yellow"/>
        </w:rPr>
        <w:t>.tabulu</w:t>
      </w:r>
      <w:r w:rsidRPr="0015154B">
        <w:rPr>
          <w:rFonts w:ascii="Times New Roman" w:hAnsi="Times New Roman" w:cs="Times New Roman"/>
          <w:bCs/>
          <w:sz w:val="24"/>
          <w:szCs w:val="24"/>
        </w:rPr>
        <w:t>)</w:t>
      </w:r>
      <w:r w:rsidRPr="0015154B">
        <w:rPr>
          <w:rFonts w:ascii="Times New Roman" w:hAnsi="Times New Roman" w:cs="Times New Roman"/>
          <w:sz w:val="24"/>
          <w:szCs w:val="24"/>
        </w:rPr>
        <w:t>. Sociālās rehabilitācijas pakalpojums no prettiesiskām darbībām cietušiem bērniem tiek finansēts no valsts budžeta līdzekļiem kopš 2001.gada</w:t>
      </w:r>
      <w:r w:rsidRPr="007157D3">
        <w:rPr>
          <w:rFonts w:ascii="Times New Roman" w:hAnsi="Times New Roman" w:cs="Times New Roman"/>
          <w:sz w:val="24"/>
          <w:szCs w:val="24"/>
          <w:vertAlign w:val="superscript"/>
        </w:rPr>
        <w:footnoteReference w:id="137"/>
      </w:r>
      <w:r w:rsidRPr="007157D3">
        <w:rPr>
          <w:rFonts w:ascii="Times New Roman" w:hAnsi="Times New Roman" w:cs="Times New Roman"/>
          <w:sz w:val="24"/>
          <w:szCs w:val="24"/>
        </w:rPr>
        <w:t xml:space="preserve">, bet kopš 2015.gada no valsts budžeta tiek finansēts arī pakalpojums no vardarbībās cietušām pilngadīgām personām. Ar 2015.gadu izveidots arī jauns sociālās </w:t>
      </w:r>
      <w:r w:rsidRPr="007157D3">
        <w:rPr>
          <w:rFonts w:ascii="Times New Roman" w:hAnsi="Times New Roman" w:cs="Times New Roman"/>
          <w:sz w:val="24"/>
          <w:szCs w:val="24"/>
        </w:rPr>
        <w:lastRenderedPageBreak/>
        <w:t>rehabilitācijas pakalpojums personām, kuras ir veikušas prettiesiskas darbības vai ir tendētas uz vardarbību</w:t>
      </w:r>
      <w:r w:rsidR="001212FE">
        <w:rPr>
          <w:rFonts w:ascii="Times New Roman" w:hAnsi="Times New Roman" w:cs="Times New Roman"/>
          <w:sz w:val="24"/>
          <w:szCs w:val="24"/>
        </w:rPr>
        <w:t xml:space="preserve">. Lai gan sociālās rehabilitācijas pakalpojumi gan vardarbībā cietušajiem, gan vardarbību veikušajiem ir ieviesti, to efektivitāte un ietekme uz cilvēka spēju kvalitatīvi funkcionēt, ir regulāri jāpārskata. </w:t>
      </w:r>
      <w:r w:rsidRPr="007157D3">
        <w:rPr>
          <w:rFonts w:ascii="Times New Roman" w:hAnsi="Times New Roman" w:cs="Times New Roman"/>
          <w:bCs/>
          <w:sz w:val="24"/>
          <w:szCs w:val="24"/>
        </w:rPr>
        <w:t xml:space="preserve">Kopš pakalpojuma </w:t>
      </w:r>
      <w:r w:rsidR="001212FE">
        <w:rPr>
          <w:rFonts w:ascii="Times New Roman" w:hAnsi="Times New Roman" w:cs="Times New Roman"/>
          <w:bCs/>
          <w:sz w:val="24"/>
          <w:szCs w:val="24"/>
        </w:rPr>
        <w:t xml:space="preserve">bērniem ieviešanas tā saturā vai saņemšanas kārtībā izmaiņas nav veiktas. </w:t>
      </w:r>
      <w:r w:rsidR="00F74C29" w:rsidRPr="00573B49">
        <w:rPr>
          <w:rFonts w:ascii="Times New Roman" w:hAnsi="Times New Roman" w:cs="Times New Roman"/>
          <w:bCs/>
          <w:sz w:val="24"/>
          <w:szCs w:val="24"/>
        </w:rPr>
        <w:t xml:space="preserve">2018.gadā sadarbībā ar LBF un pašvaldību sociālajiem dienestiem tika uzsākts darbs pie pakalpojuma bērniem satura izmaiņām, tomēr darbs tika pārtraukts, jo Tiesībsarga birojs plānoja uzsākt vērienīgu pārbaudi LBF. 2020.gadā darbs pie pakalpojuma satura pārskatīšanas </w:t>
      </w:r>
      <w:r w:rsidR="00F74C29" w:rsidRPr="0025422D">
        <w:rPr>
          <w:rFonts w:ascii="Times New Roman" w:hAnsi="Times New Roman" w:cs="Times New Roman"/>
          <w:bCs/>
          <w:sz w:val="24"/>
          <w:szCs w:val="24"/>
        </w:rPr>
        <w:t>tik</w:t>
      </w:r>
      <w:r w:rsidR="00F74C29">
        <w:rPr>
          <w:rFonts w:ascii="Times New Roman" w:hAnsi="Times New Roman" w:cs="Times New Roman"/>
          <w:bCs/>
          <w:sz w:val="24"/>
          <w:szCs w:val="24"/>
        </w:rPr>
        <w:t>s</w:t>
      </w:r>
      <w:r w:rsidR="00F74C29" w:rsidRPr="00662D1E">
        <w:rPr>
          <w:rFonts w:ascii="Times New Roman" w:hAnsi="Times New Roman" w:cs="Times New Roman"/>
          <w:bCs/>
          <w:sz w:val="24"/>
          <w:szCs w:val="24"/>
        </w:rPr>
        <w:t xml:space="preserve"> atjaunots. </w:t>
      </w:r>
    </w:p>
    <w:p w14:paraId="1CE0B776" w14:textId="1BED6D48" w:rsidR="00F74C29" w:rsidRPr="00DD474B" w:rsidRDefault="001212FE" w:rsidP="00F74C29">
      <w:pPr>
        <w:spacing w:before="120" w:after="0" w:line="24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Tāpat nav pārskatīts arī pakalpojums vardarbību veikušai personai. Savukārt </w:t>
      </w:r>
      <w:r w:rsidR="00F74C29">
        <w:rPr>
          <w:rFonts w:ascii="Times New Roman" w:hAnsi="Times New Roman" w:cs="Times New Roman"/>
          <w:bCs/>
          <w:sz w:val="24"/>
          <w:szCs w:val="24"/>
        </w:rPr>
        <w:t xml:space="preserve">sociālās rehabilitācijas pakalpojumam no vardarbības cietušām pieaugušām personām 2018.gadā ir veikts pakalpojuma izvērtējums. </w:t>
      </w:r>
      <w:r w:rsidR="00F74C29">
        <w:rPr>
          <w:rFonts w:ascii="Times New Roman" w:hAnsi="Times New Roman" w:cs="Times New Roman"/>
          <w:sz w:val="24"/>
          <w:szCs w:val="24"/>
        </w:rPr>
        <w:t>Izvērtējumā</w:t>
      </w:r>
      <w:r w:rsidR="00F74C29" w:rsidRPr="00DD474B">
        <w:rPr>
          <w:rFonts w:ascii="Times New Roman" w:hAnsi="Times New Roman" w:cs="Times New Roman"/>
          <w:sz w:val="24"/>
          <w:szCs w:val="24"/>
        </w:rPr>
        <w:t xml:space="preserve"> secināts, ka vardarbības rehabilitācijas pakalpojums ir vajadzīgs, lai novērstu vardarbības pret sievietēm sekas, tomēr būtiski strādāt, lai novērstu vardarbības cēloņus. Pakalpojuma izvērtēšanā tika iesaistītas sievietes, kuras šo pakalpojumu vai nu ir saņēmušas vai joprojām saņem. Kopumā sievietes pakalpojuma lietošanu raksturoja pozitīvi, tomēr var identificēt uzlabojumu nepieciešamību dažādos pakalpojuma saņemšanas posmos. Visbiežāk ieteikts palielināt pakalpojuma apjomu un palielināt juridiskās palīdzības apjomu un ļaut juristam pārstāvēt sievieti arī tiesā vai vismaz pabeigt nokārtot tās juridiskās lietas, ko sieviete aizsākusi, saņemot rehabilitācijas pakalpojumu. Salīdzinoši mazāk pakalpojumu lieto vecākas sievietes un sievietes bez bērniem. Lai pakalpojuma lietošanu šai grupai veicinātu, svarīgi veicināt informācijas pieejamību, identificējot informācijas avotus, kurus šīs sievietes lieto.</w:t>
      </w:r>
    </w:p>
    <w:p w14:paraId="73EAE150" w14:textId="77777777" w:rsidR="00F74C29" w:rsidRPr="00DD474B" w:rsidRDefault="00F74C29" w:rsidP="00F74C29">
      <w:pPr>
        <w:spacing w:before="120" w:after="0" w:line="240" w:lineRule="auto"/>
        <w:ind w:firstLine="709"/>
        <w:jc w:val="both"/>
        <w:rPr>
          <w:rFonts w:ascii="Times New Roman" w:hAnsi="Times New Roman" w:cs="Times New Roman"/>
          <w:sz w:val="24"/>
          <w:szCs w:val="24"/>
        </w:rPr>
      </w:pPr>
      <w:r w:rsidRPr="00DD474B">
        <w:rPr>
          <w:rFonts w:ascii="Times New Roman" w:hAnsi="Times New Roman" w:cs="Times New Roman"/>
          <w:sz w:val="24"/>
          <w:szCs w:val="24"/>
        </w:rPr>
        <w:t xml:space="preserve">Būtiski, ka daļa no pētījuma dalībniecēm pakalpojumu ir lietojušas atkārtoti, kas liecina, ka pakalpojuma ceļš var sastāvēt no vairākiem cikliem. </w:t>
      </w:r>
    </w:p>
    <w:p w14:paraId="14D2A3CA" w14:textId="77777777" w:rsidR="00F74C29" w:rsidRPr="00DD474B" w:rsidRDefault="00F74C29" w:rsidP="00F74C29">
      <w:pPr>
        <w:spacing w:before="120" w:after="0" w:line="240" w:lineRule="auto"/>
        <w:ind w:firstLine="709"/>
        <w:jc w:val="both"/>
        <w:rPr>
          <w:rFonts w:ascii="Times New Roman" w:hAnsi="Times New Roman" w:cs="Times New Roman"/>
          <w:sz w:val="24"/>
          <w:szCs w:val="24"/>
        </w:rPr>
      </w:pPr>
      <w:r w:rsidRPr="00DD474B">
        <w:rPr>
          <w:rFonts w:ascii="Times New Roman" w:hAnsi="Times New Roman" w:cs="Times New Roman"/>
          <w:sz w:val="24"/>
          <w:szCs w:val="24"/>
        </w:rPr>
        <w:t>Lai uzlabotu pakalpojuma lietošanas pieredzi, nepieciešams:</w:t>
      </w:r>
    </w:p>
    <w:p w14:paraId="6FE23B3F" w14:textId="77777777" w:rsidR="00F74C29" w:rsidRPr="00F6283D" w:rsidRDefault="00F74C29" w:rsidP="00F6283D">
      <w:pPr>
        <w:pStyle w:val="ListParagraph"/>
        <w:numPr>
          <w:ilvl w:val="0"/>
          <w:numId w:val="71"/>
        </w:numPr>
        <w:suppressAutoHyphens/>
        <w:spacing w:before="120" w:after="0" w:line="240" w:lineRule="auto"/>
        <w:jc w:val="both"/>
        <w:rPr>
          <w:rFonts w:ascii="Times New Roman" w:hAnsi="Times New Roman" w:cs="Times New Roman"/>
          <w:sz w:val="24"/>
          <w:szCs w:val="24"/>
        </w:rPr>
      </w:pPr>
      <w:r w:rsidRPr="00F6283D">
        <w:rPr>
          <w:rFonts w:ascii="Times New Roman" w:hAnsi="Times New Roman" w:cs="Times New Roman"/>
          <w:sz w:val="24"/>
          <w:szCs w:val="24"/>
        </w:rPr>
        <w:t xml:space="preserve">Kāpināt potenciālo klientu un speciālistu informētību par pakalpojumu, sniedzot godīgu, precīzu un detalizētu informāciju, kur un kā palīdzību var saņemt; </w:t>
      </w:r>
    </w:p>
    <w:p w14:paraId="5507C8EF" w14:textId="77777777" w:rsidR="00F74C29" w:rsidRPr="00F6283D" w:rsidRDefault="00F74C29" w:rsidP="00F6283D">
      <w:pPr>
        <w:pStyle w:val="ListParagraph"/>
        <w:numPr>
          <w:ilvl w:val="0"/>
          <w:numId w:val="71"/>
        </w:numPr>
        <w:suppressAutoHyphens/>
        <w:spacing w:before="120" w:after="0" w:line="240" w:lineRule="auto"/>
        <w:jc w:val="both"/>
        <w:rPr>
          <w:rFonts w:ascii="Times New Roman" w:hAnsi="Times New Roman" w:cs="Times New Roman"/>
          <w:sz w:val="24"/>
          <w:szCs w:val="24"/>
        </w:rPr>
      </w:pPr>
      <w:r w:rsidRPr="00F6283D">
        <w:rPr>
          <w:rFonts w:ascii="Times New Roman" w:hAnsi="Times New Roman" w:cs="Times New Roman"/>
          <w:sz w:val="24"/>
          <w:szCs w:val="24"/>
        </w:rPr>
        <w:t>Sniegt pakalpojumu laikā, kad sievietei tas ir nepieciešams, piešķirot pakalpojuma sniedzējam iespēju piedāvāt dažas psihologa konsultācijas (krīzes intervenci) arī dokumentu izskatīšanas laikā saņemot pakalpojumu dzīvesvietā;</w:t>
      </w:r>
    </w:p>
    <w:p w14:paraId="26B46C24" w14:textId="77777777" w:rsidR="00F74C29" w:rsidRPr="00F6283D" w:rsidRDefault="00F74C29" w:rsidP="00F6283D">
      <w:pPr>
        <w:pStyle w:val="ListParagraph"/>
        <w:numPr>
          <w:ilvl w:val="0"/>
          <w:numId w:val="71"/>
        </w:numPr>
        <w:suppressAutoHyphens/>
        <w:spacing w:before="120" w:after="0" w:line="240" w:lineRule="auto"/>
        <w:jc w:val="both"/>
        <w:rPr>
          <w:rFonts w:ascii="Times New Roman" w:hAnsi="Times New Roman" w:cs="Times New Roman"/>
          <w:bCs/>
          <w:sz w:val="24"/>
          <w:szCs w:val="24"/>
        </w:rPr>
      </w:pPr>
      <w:r w:rsidRPr="00F6283D">
        <w:rPr>
          <w:rFonts w:ascii="Times New Roman" w:hAnsi="Times New Roman" w:cs="Times New Roman"/>
          <w:sz w:val="24"/>
          <w:szCs w:val="24"/>
        </w:rPr>
        <w:t xml:space="preserve">Nodrošināt </w:t>
      </w:r>
      <w:r w:rsidRPr="00F6283D">
        <w:rPr>
          <w:rFonts w:ascii="Times New Roman" w:hAnsi="Times New Roman" w:cs="Times New Roman"/>
          <w:bCs/>
          <w:sz w:val="24"/>
          <w:szCs w:val="24"/>
        </w:rPr>
        <w:t>juridisko palīdzību, kas atbilst sieviešu vēlmēm;</w:t>
      </w:r>
    </w:p>
    <w:p w14:paraId="72A56975" w14:textId="77777777" w:rsidR="00F74C29" w:rsidRPr="00F6283D" w:rsidRDefault="00F74C29" w:rsidP="00F6283D">
      <w:pPr>
        <w:pStyle w:val="ListParagraph"/>
        <w:numPr>
          <w:ilvl w:val="0"/>
          <w:numId w:val="71"/>
        </w:numPr>
        <w:suppressAutoHyphens/>
        <w:spacing w:before="120" w:after="0" w:line="240" w:lineRule="auto"/>
        <w:jc w:val="both"/>
        <w:rPr>
          <w:rFonts w:ascii="Times New Roman" w:hAnsi="Times New Roman" w:cs="Times New Roman"/>
          <w:bCs/>
          <w:sz w:val="24"/>
          <w:szCs w:val="24"/>
        </w:rPr>
      </w:pPr>
      <w:r w:rsidRPr="00F6283D">
        <w:rPr>
          <w:rFonts w:ascii="Times New Roman" w:hAnsi="Times New Roman" w:cs="Times New Roman"/>
          <w:bCs/>
          <w:sz w:val="24"/>
          <w:szCs w:val="24"/>
        </w:rPr>
        <w:t>Palielināt pakalpojuma apjomu</w:t>
      </w:r>
      <w:r w:rsidRPr="00F6283D">
        <w:rPr>
          <w:rFonts w:ascii="Times New Roman" w:hAnsi="Times New Roman" w:cs="Times New Roman"/>
          <w:b/>
          <w:bCs/>
          <w:sz w:val="24"/>
          <w:szCs w:val="24"/>
        </w:rPr>
        <w:t xml:space="preserve"> </w:t>
      </w:r>
      <w:r w:rsidRPr="00F6283D">
        <w:rPr>
          <w:rFonts w:ascii="Times New Roman" w:hAnsi="Times New Roman" w:cs="Times New Roman"/>
          <w:bCs/>
          <w:sz w:val="24"/>
          <w:szCs w:val="24"/>
        </w:rPr>
        <w:t xml:space="preserve">nepieciešamības gadījumā, kā pakalpojuma mērķi izvirzot sievietes spēju pilnvērtīgi funkcionēt sabiedrībā; </w:t>
      </w:r>
    </w:p>
    <w:p w14:paraId="4ECB992D" w14:textId="77777777" w:rsidR="00F74C29" w:rsidRPr="00F6283D" w:rsidRDefault="00F74C29" w:rsidP="00F6283D">
      <w:pPr>
        <w:pStyle w:val="ListParagraph"/>
        <w:numPr>
          <w:ilvl w:val="0"/>
          <w:numId w:val="71"/>
        </w:numPr>
        <w:suppressAutoHyphens/>
        <w:spacing w:before="120" w:after="0" w:line="240" w:lineRule="auto"/>
        <w:jc w:val="both"/>
        <w:rPr>
          <w:rFonts w:ascii="Times New Roman" w:hAnsi="Times New Roman" w:cs="Times New Roman"/>
          <w:sz w:val="24"/>
          <w:szCs w:val="24"/>
        </w:rPr>
      </w:pPr>
      <w:r w:rsidRPr="00F6283D">
        <w:rPr>
          <w:rFonts w:ascii="Times New Roman" w:hAnsi="Times New Roman" w:cs="Times New Roman"/>
          <w:bCs/>
          <w:sz w:val="24"/>
          <w:szCs w:val="24"/>
        </w:rPr>
        <w:t>Turpināt darbu ar vardarbībā cietušo sievieti pēc pakalpojuma saņemšanas, ja viņa to vēlas, piedāvājot grupu terapiju.</w:t>
      </w:r>
      <w:r w:rsidRPr="00F6283D">
        <w:rPr>
          <w:rFonts w:ascii="Times New Roman" w:hAnsi="Times New Roman" w:cs="Times New Roman"/>
          <w:b/>
          <w:bCs/>
          <w:sz w:val="24"/>
          <w:szCs w:val="24"/>
        </w:rPr>
        <w:t xml:space="preserve"> </w:t>
      </w:r>
    </w:p>
    <w:p w14:paraId="73C02DEF" w14:textId="77777777" w:rsidR="00F74C29" w:rsidRPr="00DD474B" w:rsidRDefault="00F74C29" w:rsidP="00F74C29">
      <w:pPr>
        <w:spacing w:before="120" w:after="0" w:line="240" w:lineRule="auto"/>
        <w:ind w:firstLine="709"/>
        <w:jc w:val="both"/>
        <w:rPr>
          <w:rFonts w:ascii="Times New Roman" w:hAnsi="Times New Roman" w:cs="Times New Roman"/>
          <w:sz w:val="24"/>
          <w:szCs w:val="24"/>
        </w:rPr>
      </w:pPr>
      <w:r w:rsidRPr="00DD474B">
        <w:rPr>
          <w:rFonts w:ascii="Times New Roman" w:hAnsi="Times New Roman" w:cs="Times New Roman"/>
          <w:sz w:val="24"/>
          <w:szCs w:val="24"/>
        </w:rPr>
        <w:t>Lai palielinātu pakalpojuma pieejamību un veicinātu pakalpojuma lietotāju skaita pieaugumu, nepieciešams:</w:t>
      </w:r>
    </w:p>
    <w:p w14:paraId="2EAF1AD1" w14:textId="77777777" w:rsidR="00F74C29" w:rsidRPr="00F6283D" w:rsidRDefault="00F74C29" w:rsidP="00F6283D">
      <w:pPr>
        <w:pStyle w:val="ListParagraph"/>
        <w:numPr>
          <w:ilvl w:val="0"/>
          <w:numId w:val="72"/>
        </w:numPr>
        <w:suppressAutoHyphens/>
        <w:spacing w:before="120" w:after="0" w:line="240" w:lineRule="auto"/>
        <w:jc w:val="both"/>
        <w:rPr>
          <w:rFonts w:ascii="Times New Roman" w:hAnsi="Times New Roman" w:cs="Times New Roman"/>
          <w:sz w:val="24"/>
          <w:szCs w:val="24"/>
        </w:rPr>
      </w:pPr>
      <w:r w:rsidRPr="00F6283D">
        <w:rPr>
          <w:rFonts w:ascii="Times New Roman" w:hAnsi="Times New Roman" w:cs="Times New Roman"/>
          <w:sz w:val="24"/>
          <w:szCs w:val="24"/>
        </w:rPr>
        <w:t xml:space="preserve">Mainīt informācijas apriti pakalpojuma saņemšanas laikā un nodrošināt, ka to var saņemt arī anonīmi; </w:t>
      </w:r>
    </w:p>
    <w:p w14:paraId="0EA49A79" w14:textId="77777777" w:rsidR="00F74C29" w:rsidRPr="00F6283D" w:rsidRDefault="00F74C29" w:rsidP="00F6283D">
      <w:pPr>
        <w:pStyle w:val="ListParagraph"/>
        <w:numPr>
          <w:ilvl w:val="0"/>
          <w:numId w:val="72"/>
        </w:numPr>
        <w:suppressAutoHyphens/>
        <w:spacing w:before="120" w:after="0" w:line="240" w:lineRule="auto"/>
        <w:jc w:val="both"/>
        <w:rPr>
          <w:rFonts w:ascii="Times New Roman" w:hAnsi="Times New Roman" w:cs="Times New Roman"/>
          <w:sz w:val="24"/>
          <w:szCs w:val="24"/>
        </w:rPr>
      </w:pPr>
      <w:r w:rsidRPr="00F6283D">
        <w:rPr>
          <w:rFonts w:ascii="Times New Roman" w:hAnsi="Times New Roman" w:cs="Times New Roman"/>
          <w:sz w:val="24"/>
          <w:szCs w:val="24"/>
        </w:rPr>
        <w:t>Nodrošināt pakalpojuma saņemšanas iespējas tiem, kuri līdz šim pakalpojumu dzīves vietā nevarēja izmantot attāluma vai speciālistu trūkuma dēļ, piedāvājot arī attālinātas konsultācijas;</w:t>
      </w:r>
    </w:p>
    <w:p w14:paraId="5BC6BF90" w14:textId="77777777" w:rsidR="00F74C29" w:rsidRPr="00F6283D" w:rsidRDefault="00F74C29" w:rsidP="00F6283D">
      <w:pPr>
        <w:pStyle w:val="ListParagraph"/>
        <w:numPr>
          <w:ilvl w:val="0"/>
          <w:numId w:val="72"/>
        </w:numPr>
        <w:suppressAutoHyphens/>
        <w:spacing w:before="120" w:after="0" w:line="240" w:lineRule="auto"/>
        <w:jc w:val="both"/>
        <w:rPr>
          <w:rFonts w:ascii="Times New Roman" w:hAnsi="Times New Roman" w:cs="Times New Roman"/>
          <w:sz w:val="24"/>
          <w:szCs w:val="24"/>
        </w:rPr>
      </w:pPr>
      <w:r w:rsidRPr="00F6283D">
        <w:rPr>
          <w:rFonts w:ascii="Times New Roman" w:hAnsi="Times New Roman" w:cs="Times New Roman"/>
          <w:sz w:val="24"/>
          <w:szCs w:val="24"/>
        </w:rPr>
        <w:t>Mainīt sociālā darbinieka tēlu sabiedrībā, mazinot stereotipus par noteikto profesiju, kas kavē pakalpojuma saņemšanu;</w:t>
      </w:r>
    </w:p>
    <w:p w14:paraId="72AFEC93" w14:textId="77777777" w:rsidR="00F74C29" w:rsidRPr="00F6283D" w:rsidRDefault="00F74C29" w:rsidP="00F6283D">
      <w:pPr>
        <w:pStyle w:val="ListParagraph"/>
        <w:numPr>
          <w:ilvl w:val="0"/>
          <w:numId w:val="72"/>
        </w:numPr>
        <w:suppressAutoHyphens/>
        <w:spacing w:before="120" w:after="0" w:line="240" w:lineRule="auto"/>
        <w:jc w:val="both"/>
        <w:rPr>
          <w:rFonts w:ascii="Times New Roman" w:hAnsi="Times New Roman" w:cs="Times New Roman"/>
          <w:sz w:val="24"/>
          <w:szCs w:val="24"/>
        </w:rPr>
      </w:pPr>
      <w:r w:rsidRPr="00F6283D">
        <w:rPr>
          <w:rFonts w:ascii="Times New Roman" w:hAnsi="Times New Roman" w:cs="Times New Roman"/>
          <w:sz w:val="24"/>
          <w:szCs w:val="24"/>
        </w:rPr>
        <w:t>Piedāvāt bērnu uzraudzības pakalpojumus sievietēm ar bērniem konsultāciju laikā.</w:t>
      </w:r>
    </w:p>
    <w:p w14:paraId="6670463A" w14:textId="1DD81C93" w:rsidR="00F74C29" w:rsidRDefault="00F74C29" w:rsidP="00AC38FA">
      <w:pPr>
        <w:spacing w:before="120"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Izvērtējumā iekļautie ieteikumi pakalpojuma organizācijas uzlabošanai, ierobežotās kapacitātes dēļ joprojām nav veikti, taču ir iecerēts, ka izmaiņas tiktu izstrādātas 2021.gadā.</w:t>
      </w:r>
    </w:p>
    <w:p w14:paraId="23F4CE1E" w14:textId="77777777" w:rsidR="005A5A57" w:rsidRDefault="005A5A57" w:rsidP="00AC38FA">
      <w:pPr>
        <w:spacing w:before="120" w:after="0" w:line="240" w:lineRule="auto"/>
        <w:ind w:firstLine="720"/>
        <w:jc w:val="both"/>
        <w:rPr>
          <w:rFonts w:ascii="Times New Roman" w:hAnsi="Times New Roman" w:cs="Times New Roman"/>
          <w:bCs/>
          <w:sz w:val="24"/>
          <w:szCs w:val="24"/>
        </w:rPr>
      </w:pPr>
      <w:bookmarkStart w:id="51" w:name="_Hlk50623562"/>
      <w:r w:rsidRPr="009703E6">
        <w:rPr>
          <w:rFonts w:ascii="Times New Roman" w:hAnsi="Times New Roman" w:cs="Times New Roman"/>
          <w:bCs/>
          <w:sz w:val="24"/>
          <w:szCs w:val="24"/>
        </w:rPr>
        <w:lastRenderedPageBreak/>
        <w:t xml:space="preserve">Kā liecina LM </w:t>
      </w:r>
      <w:r w:rsidRPr="0015154B">
        <w:rPr>
          <w:rFonts w:ascii="Times New Roman" w:hAnsi="Times New Roman" w:cs="Times New Roman"/>
          <w:bCs/>
          <w:sz w:val="24"/>
          <w:szCs w:val="24"/>
        </w:rPr>
        <w:t xml:space="preserve">rīcībā esošā </w:t>
      </w:r>
      <w:bookmarkEnd w:id="51"/>
      <w:r w:rsidRPr="0015154B">
        <w:rPr>
          <w:rFonts w:ascii="Times New Roman" w:hAnsi="Times New Roman" w:cs="Times New Roman"/>
          <w:bCs/>
          <w:sz w:val="24"/>
          <w:szCs w:val="24"/>
        </w:rPr>
        <w:t>informācija, nereti pašvaldības neuzņem</w:t>
      </w:r>
      <w:r>
        <w:rPr>
          <w:rFonts w:ascii="Times New Roman" w:hAnsi="Times New Roman" w:cs="Times New Roman"/>
          <w:bCs/>
          <w:sz w:val="24"/>
          <w:szCs w:val="24"/>
        </w:rPr>
        <w:t>as kompleksu</w:t>
      </w:r>
      <w:r w:rsidRPr="0015154B">
        <w:rPr>
          <w:rFonts w:ascii="Times New Roman" w:hAnsi="Times New Roman" w:cs="Times New Roman"/>
          <w:bCs/>
          <w:sz w:val="24"/>
          <w:szCs w:val="24"/>
        </w:rPr>
        <w:t xml:space="preserve"> </w:t>
      </w:r>
      <w:r>
        <w:rPr>
          <w:rFonts w:ascii="Times New Roman" w:hAnsi="Times New Roman" w:cs="Times New Roman"/>
          <w:bCs/>
          <w:sz w:val="24"/>
          <w:szCs w:val="24"/>
        </w:rPr>
        <w:t>vardarbības ģimenē gadījuma vadību</w:t>
      </w:r>
      <w:r w:rsidRPr="0015154B">
        <w:rPr>
          <w:rFonts w:ascii="Times New Roman" w:hAnsi="Times New Roman" w:cs="Times New Roman"/>
          <w:bCs/>
          <w:sz w:val="24"/>
          <w:szCs w:val="24"/>
        </w:rPr>
        <w:t xml:space="preserve">. Valsts pakalpojuma piešķiršana </w:t>
      </w:r>
      <w:r>
        <w:rPr>
          <w:rFonts w:ascii="Times New Roman" w:hAnsi="Times New Roman" w:cs="Times New Roman"/>
          <w:bCs/>
          <w:sz w:val="24"/>
          <w:szCs w:val="24"/>
        </w:rPr>
        <w:t xml:space="preserve">tikai kādam no ģimenes locekļiem </w:t>
      </w:r>
      <w:r w:rsidRPr="0015154B">
        <w:rPr>
          <w:rFonts w:ascii="Times New Roman" w:hAnsi="Times New Roman" w:cs="Times New Roman"/>
          <w:bCs/>
          <w:sz w:val="24"/>
          <w:szCs w:val="24"/>
        </w:rPr>
        <w:t xml:space="preserve">uz neilgu laiku neveicina kompleksu pakalpojumu attīstību pašvaldībās visai ģimenei. Bieži valsts finansētais sociālās rehabilitācijas process tikai bērnam nav efektīvs, īpaši gadījumos, ja bērns ir jaunāks par 5 gadu vecumu. Pašvaldībām būtu vairāk jāizvērtē iespēja sniegt sociālās rehabilitācijas pakalpojumus krīzes centru ietvaros visai ģimenei, vardarbības veicējam piedāvājot iesaistīties psiholoģiskās palīdzības saņemšanā gadījumos, ja vardarbība notikusi ģimenē. Pakalpojums vardarbībā cietušajiem institūcijā ir jāsaņem tikai gadījumos, kad kaut kādu iemeslu dēļ upuriem nav iespējams palikt savā dzīvesvietā, </w:t>
      </w:r>
      <w:r>
        <w:rPr>
          <w:rFonts w:ascii="Times New Roman" w:hAnsi="Times New Roman" w:cs="Times New Roman"/>
          <w:bCs/>
          <w:sz w:val="24"/>
          <w:szCs w:val="24"/>
        </w:rPr>
        <w:t>arī</w:t>
      </w:r>
      <w:r w:rsidRPr="0015154B">
        <w:rPr>
          <w:rFonts w:ascii="Times New Roman" w:hAnsi="Times New Roman" w:cs="Times New Roman"/>
          <w:bCs/>
          <w:sz w:val="24"/>
          <w:szCs w:val="24"/>
        </w:rPr>
        <w:t xml:space="preserve"> tāpēc, ka valsts finansētā vardarbībā cietuša bērna pakalpojuma gadījumā upuri atgriežas pēc salīdzinoši neilga laika un šāda situācija rada tikai vardarbības atkārtotu risku. Lietderīgāk būt pakalpojumu attīstīt dzīvesvietā, pagarinot ilgumu, sniedzot pakalpojumu kompleksi visai ģimenei, paralēli veidojot krīzes pakalpojumu bērniem, kas nonākuši apdraudējuma situācijā.</w:t>
      </w:r>
    </w:p>
    <w:p w14:paraId="0415C38C" w14:textId="0C31A1DE" w:rsidR="009978A2" w:rsidRPr="00573B49" w:rsidRDefault="009978A2" w:rsidP="005A5A57">
      <w:pPr>
        <w:spacing w:before="120" w:after="0" w:line="240" w:lineRule="auto"/>
        <w:ind w:firstLine="709"/>
        <w:jc w:val="both"/>
        <w:rPr>
          <w:rFonts w:ascii="Times New Roman" w:hAnsi="Times New Roman" w:cs="Times New Roman"/>
          <w:sz w:val="24"/>
          <w:szCs w:val="24"/>
        </w:rPr>
      </w:pPr>
      <w:r w:rsidRPr="005A5A57">
        <w:rPr>
          <w:rFonts w:ascii="Times New Roman" w:hAnsi="Times New Roman" w:cs="Times New Roman"/>
          <w:bCs/>
          <w:sz w:val="24"/>
          <w:szCs w:val="24"/>
        </w:rPr>
        <w:t xml:space="preserve">Sociālās rehabilitācijas pakalpojumu vardarbības veicējiem </w:t>
      </w:r>
      <w:r w:rsidRPr="005A5A57">
        <w:rPr>
          <w:rFonts w:ascii="Times New Roman" w:hAnsi="Times New Roman" w:cs="Times New Roman"/>
          <w:sz w:val="24"/>
          <w:szCs w:val="24"/>
        </w:rPr>
        <w:t xml:space="preserve">var saņemt plašs personu loks (gan vīrieši, gan sievietes), gan tādas personas pret kurām uzsākta </w:t>
      </w:r>
      <w:hyperlink r:id="rId28" w:history="1">
        <w:r w:rsidRPr="005A5A57">
          <w:rPr>
            <w:rStyle w:val="Hyperlink"/>
            <w:rFonts w:ascii="Times New Roman" w:hAnsi="Times New Roman" w:cs="Times New Roman"/>
            <w:color w:val="auto"/>
            <w:sz w:val="24"/>
            <w:szCs w:val="24"/>
            <w:u w:val="none"/>
          </w:rPr>
          <w:t>administratīvā pārkāpuma lietvedība</w:t>
        </w:r>
      </w:hyperlink>
      <w:r w:rsidRPr="005A5A57">
        <w:rPr>
          <w:rFonts w:ascii="Times New Roman" w:hAnsi="Times New Roman" w:cs="Times New Roman"/>
          <w:sz w:val="24"/>
          <w:szCs w:val="24"/>
        </w:rPr>
        <w:t xml:space="preserve"> par </w:t>
      </w:r>
      <w:hyperlink r:id="rId29" w:history="1">
        <w:r w:rsidRPr="005A5A57">
          <w:rPr>
            <w:rStyle w:val="Hyperlink"/>
            <w:rFonts w:ascii="Times New Roman" w:hAnsi="Times New Roman" w:cs="Times New Roman"/>
            <w:color w:val="auto"/>
            <w:sz w:val="24"/>
            <w:szCs w:val="24"/>
            <w:u w:val="none"/>
          </w:rPr>
          <w:t>administratīvā pārkāpuma</w:t>
        </w:r>
      </w:hyperlink>
      <w:r w:rsidRPr="005A5A57">
        <w:rPr>
          <w:rFonts w:ascii="Times New Roman" w:hAnsi="Times New Roman" w:cs="Times New Roman"/>
          <w:sz w:val="24"/>
          <w:szCs w:val="24"/>
        </w:rPr>
        <w:t xml:space="preserve"> izdarīšanu, kas saistīts ar </w:t>
      </w:r>
      <w:hyperlink r:id="rId30" w:history="1">
        <w:r w:rsidRPr="005A5A57">
          <w:rPr>
            <w:rStyle w:val="Hyperlink"/>
            <w:rFonts w:ascii="Times New Roman" w:hAnsi="Times New Roman" w:cs="Times New Roman"/>
            <w:color w:val="auto"/>
            <w:sz w:val="24"/>
            <w:szCs w:val="24"/>
            <w:u w:val="none"/>
          </w:rPr>
          <w:t>vardarbību</w:t>
        </w:r>
      </w:hyperlink>
      <w:r w:rsidRPr="005A5A57">
        <w:rPr>
          <w:rFonts w:ascii="Times New Roman" w:hAnsi="Times New Roman" w:cs="Times New Roman"/>
          <w:sz w:val="24"/>
          <w:szCs w:val="24"/>
        </w:rPr>
        <w:t xml:space="preserve">, vai </w:t>
      </w:r>
      <w:hyperlink r:id="rId31" w:history="1">
        <w:r w:rsidRPr="005A5A57">
          <w:rPr>
            <w:rStyle w:val="Hyperlink"/>
            <w:rFonts w:ascii="Times New Roman" w:hAnsi="Times New Roman" w:cs="Times New Roman"/>
            <w:color w:val="auto"/>
            <w:sz w:val="24"/>
            <w:szCs w:val="24"/>
            <w:u w:val="none"/>
          </w:rPr>
          <w:t>kriminālprocess</w:t>
        </w:r>
      </w:hyperlink>
      <w:r w:rsidRPr="005A5A57">
        <w:rPr>
          <w:rFonts w:ascii="Times New Roman" w:hAnsi="Times New Roman" w:cs="Times New Roman"/>
          <w:sz w:val="24"/>
          <w:szCs w:val="24"/>
        </w:rPr>
        <w:t xml:space="preserve"> par </w:t>
      </w:r>
      <w:hyperlink r:id="rId32" w:history="1">
        <w:r w:rsidRPr="005A5A57">
          <w:rPr>
            <w:rStyle w:val="Hyperlink"/>
            <w:rFonts w:ascii="Times New Roman" w:hAnsi="Times New Roman" w:cs="Times New Roman"/>
            <w:color w:val="auto"/>
            <w:sz w:val="24"/>
            <w:szCs w:val="24"/>
            <w:u w:val="none"/>
          </w:rPr>
          <w:t>noziedzīga nodarījuma</w:t>
        </w:r>
      </w:hyperlink>
      <w:r w:rsidRPr="005A5A57">
        <w:rPr>
          <w:rFonts w:ascii="Times New Roman" w:hAnsi="Times New Roman" w:cs="Times New Roman"/>
          <w:sz w:val="24"/>
          <w:szCs w:val="24"/>
        </w:rPr>
        <w:t xml:space="preserve"> izdarīšanu, kas saistīts ar </w:t>
      </w:r>
      <w:hyperlink r:id="rId33" w:history="1">
        <w:r w:rsidRPr="005A5A57">
          <w:rPr>
            <w:rStyle w:val="Hyperlink"/>
            <w:rFonts w:ascii="Times New Roman" w:hAnsi="Times New Roman" w:cs="Times New Roman"/>
            <w:color w:val="auto"/>
            <w:sz w:val="24"/>
            <w:szCs w:val="24"/>
            <w:u w:val="none"/>
          </w:rPr>
          <w:t>vardarbību</w:t>
        </w:r>
      </w:hyperlink>
      <w:r w:rsidRPr="005A5A57">
        <w:rPr>
          <w:rFonts w:ascii="Times New Roman" w:hAnsi="Times New Roman" w:cs="Times New Roman"/>
          <w:sz w:val="24"/>
          <w:szCs w:val="24"/>
        </w:rPr>
        <w:t xml:space="preserve"> vai </w:t>
      </w:r>
      <w:hyperlink r:id="rId34" w:history="1">
        <w:r w:rsidRPr="005A5A57">
          <w:rPr>
            <w:rStyle w:val="Hyperlink"/>
            <w:rFonts w:ascii="Times New Roman" w:hAnsi="Times New Roman" w:cs="Times New Roman"/>
            <w:color w:val="auto"/>
            <w:sz w:val="24"/>
            <w:szCs w:val="24"/>
            <w:u w:val="none"/>
          </w:rPr>
          <w:t>vardarbības</w:t>
        </w:r>
      </w:hyperlink>
      <w:r w:rsidRPr="005A5A57">
        <w:rPr>
          <w:rFonts w:ascii="Times New Roman" w:hAnsi="Times New Roman" w:cs="Times New Roman"/>
          <w:sz w:val="24"/>
          <w:szCs w:val="24"/>
        </w:rPr>
        <w:t xml:space="preserve"> piedraudējumu, gan par kurām valsts vai </w:t>
      </w:r>
      <w:hyperlink r:id="rId35" w:history="1">
        <w:r w:rsidRPr="005A5A57">
          <w:rPr>
            <w:rStyle w:val="Hyperlink"/>
            <w:rFonts w:ascii="Times New Roman" w:hAnsi="Times New Roman" w:cs="Times New Roman"/>
            <w:color w:val="auto"/>
            <w:sz w:val="24"/>
            <w:szCs w:val="24"/>
            <w:u w:val="none"/>
          </w:rPr>
          <w:t>pašvaldības</w:t>
        </w:r>
      </w:hyperlink>
      <w:r w:rsidRPr="005A5A57">
        <w:rPr>
          <w:rFonts w:ascii="Times New Roman" w:hAnsi="Times New Roman" w:cs="Times New Roman"/>
          <w:sz w:val="24"/>
          <w:szCs w:val="24"/>
        </w:rPr>
        <w:t xml:space="preserve"> policijas, sociālā dienesta vai </w:t>
      </w:r>
      <w:hyperlink r:id="rId36" w:history="1">
        <w:r w:rsidRPr="005A5A57">
          <w:rPr>
            <w:rStyle w:val="Hyperlink"/>
            <w:rFonts w:ascii="Times New Roman" w:hAnsi="Times New Roman" w:cs="Times New Roman"/>
            <w:color w:val="auto"/>
            <w:sz w:val="24"/>
            <w:szCs w:val="24"/>
            <w:u w:val="none"/>
          </w:rPr>
          <w:t>bāriņtiesas</w:t>
        </w:r>
      </w:hyperlink>
      <w:r w:rsidRPr="005A5A57">
        <w:rPr>
          <w:rFonts w:ascii="Times New Roman" w:hAnsi="Times New Roman" w:cs="Times New Roman"/>
          <w:sz w:val="24"/>
          <w:szCs w:val="24"/>
        </w:rPr>
        <w:t xml:space="preserve"> rīcībā ir informācija, ka persona izturējusies vardarbīgi vai izteikusi draudus pielietot </w:t>
      </w:r>
      <w:hyperlink r:id="rId37" w:history="1">
        <w:r w:rsidRPr="005A5A57">
          <w:rPr>
            <w:rStyle w:val="Hyperlink"/>
            <w:rFonts w:ascii="Times New Roman" w:hAnsi="Times New Roman" w:cs="Times New Roman"/>
            <w:color w:val="auto"/>
            <w:sz w:val="24"/>
            <w:szCs w:val="24"/>
            <w:u w:val="none"/>
          </w:rPr>
          <w:t>vardarbību</w:t>
        </w:r>
      </w:hyperlink>
      <w:r w:rsidRPr="005A5A57">
        <w:rPr>
          <w:rFonts w:ascii="Times New Roman" w:hAnsi="Times New Roman" w:cs="Times New Roman"/>
          <w:sz w:val="24"/>
          <w:szCs w:val="24"/>
        </w:rPr>
        <w:t>. Lai preventīvi iedarbotos uz iespējamo vard</w:t>
      </w:r>
      <w:r w:rsidRPr="007157D3">
        <w:rPr>
          <w:rFonts w:ascii="Times New Roman" w:hAnsi="Times New Roman" w:cs="Times New Roman"/>
          <w:sz w:val="24"/>
          <w:szCs w:val="24"/>
        </w:rPr>
        <w:t xml:space="preserve">arbību, sociālās rehabilitācijas pakalpojumu var saņemt arī personas, kuras baidās, ka tā varētu izturēties vardarbīgi, vai atzīst, ka ir veikusi </w:t>
      </w:r>
      <w:hyperlink r:id="rId38" w:history="1">
        <w:r w:rsidRPr="005A5A57">
          <w:rPr>
            <w:rStyle w:val="Hyperlink"/>
            <w:rFonts w:ascii="Times New Roman" w:hAnsi="Times New Roman" w:cs="Times New Roman"/>
            <w:color w:val="auto"/>
            <w:sz w:val="24"/>
            <w:szCs w:val="24"/>
            <w:u w:val="none"/>
          </w:rPr>
          <w:t>vardarbību</w:t>
        </w:r>
      </w:hyperlink>
      <w:r w:rsidRPr="007157D3">
        <w:rPr>
          <w:rFonts w:ascii="Times New Roman" w:hAnsi="Times New Roman" w:cs="Times New Roman"/>
          <w:sz w:val="24"/>
          <w:szCs w:val="24"/>
        </w:rPr>
        <w:t xml:space="preserve">. Pakalpojuma mērķis ir palīdzēt vardarbību veikušai pilngadīgai personai apzināt fiziskās un psiholoģiskās vardarbības pielietošanas sekas un mazināt vardarbības izpausmes pret apkārtējiem (ģimenē, partneri, bērniem u.c. iespējams arī citām pieaugušām personām). Tomēr jāatzīmē, ka pakalpojumu var saņemt tikai motivēta persona, ne sociālo dienestu, ne pakalpojuma sniedzēja pilnvarās neietilpst vardarbību veikušu personu piespiedu sociālās rehabilitācijas nodrošināšana. Lai šo problēmu risinātu, </w:t>
      </w:r>
      <w:r w:rsidR="00F04ECD">
        <w:rPr>
          <w:rFonts w:ascii="Times New Roman" w:hAnsi="Times New Roman" w:cs="Times New Roman"/>
          <w:sz w:val="24"/>
          <w:szCs w:val="24"/>
        </w:rPr>
        <w:t xml:space="preserve">2019. gadā </w:t>
      </w:r>
      <w:r w:rsidRPr="007157D3">
        <w:rPr>
          <w:rFonts w:ascii="Times New Roman" w:hAnsi="Times New Roman" w:cs="Times New Roman"/>
          <w:sz w:val="24"/>
          <w:szCs w:val="24"/>
        </w:rPr>
        <w:t xml:space="preserve">TM sadarbībā ar LM izstrādāja likumprojektu "Grozījumi Civilprocesa likumā", </w:t>
      </w:r>
      <w:r w:rsidRPr="002F5278">
        <w:rPr>
          <w:rFonts w:ascii="Times New Roman" w:hAnsi="Times New Roman" w:cs="Times New Roman"/>
          <w:sz w:val="24"/>
          <w:szCs w:val="24"/>
        </w:rPr>
        <w:t xml:space="preserve">kas paredz </w:t>
      </w:r>
      <w:r w:rsidRPr="00573B49">
        <w:rPr>
          <w:rFonts w:ascii="Times New Roman" w:hAnsi="Times New Roman" w:cs="Times New Roman"/>
          <w:sz w:val="24"/>
          <w:szCs w:val="24"/>
        </w:rPr>
        <w:t xml:space="preserve">pagaidu aizsardzības pret vardarbību līdzekļu klāstu papildināt ar jaunu līdzekli, dodot tiesai iespēju personai uzlikt par pienākumu piespiedu kārtā iziet sociālās rehabilitācijas kursu vardarbīgas uzvedības mazināšanai. Līdz šim pasākuma ieviešanai nav atrasti valsts budžeta līdzekļi. </w:t>
      </w:r>
    </w:p>
    <w:p w14:paraId="200A1DF5" w14:textId="0A3E104F" w:rsidR="005A5A57" w:rsidRDefault="009978A2" w:rsidP="005A5A57">
      <w:pPr>
        <w:spacing w:before="120" w:after="0" w:line="240" w:lineRule="auto"/>
        <w:ind w:firstLine="720"/>
        <w:jc w:val="both"/>
        <w:rPr>
          <w:rFonts w:ascii="Times New Roman" w:hAnsi="Times New Roman" w:cs="Times New Roman"/>
          <w:sz w:val="24"/>
          <w:szCs w:val="24"/>
        </w:rPr>
      </w:pPr>
      <w:r w:rsidRPr="00573B49">
        <w:rPr>
          <w:rFonts w:ascii="Times New Roman" w:hAnsi="Times New Roman" w:cs="Times New Roman"/>
          <w:sz w:val="24"/>
          <w:szCs w:val="24"/>
        </w:rPr>
        <w:t>Papildus jāatzīmē, ka ārkā</w:t>
      </w:r>
      <w:r w:rsidRPr="0025422D">
        <w:rPr>
          <w:rFonts w:ascii="Times New Roman" w:hAnsi="Times New Roman" w:cs="Times New Roman"/>
          <w:sz w:val="24"/>
          <w:szCs w:val="24"/>
        </w:rPr>
        <w:t xml:space="preserve">rtējā situācija iezīmēja plašu problēmu loku, kas skar vardarbību ģimenē izolācijas apstākļos. Speciālisti nav gatavi sniegt krīzes konsultācijas, operatīvi pielāgoties darbam attālināti, problemātiska </w:t>
      </w:r>
      <w:r w:rsidR="00F04ECD">
        <w:rPr>
          <w:rFonts w:ascii="Times New Roman" w:hAnsi="Times New Roman" w:cs="Times New Roman"/>
          <w:sz w:val="24"/>
          <w:szCs w:val="24"/>
        </w:rPr>
        <w:t xml:space="preserve">ir </w:t>
      </w:r>
      <w:r w:rsidRPr="0025422D">
        <w:rPr>
          <w:rFonts w:ascii="Times New Roman" w:hAnsi="Times New Roman" w:cs="Times New Roman"/>
          <w:sz w:val="24"/>
          <w:szCs w:val="24"/>
        </w:rPr>
        <w:t>dažādu dienestu sadarbība vardarbības un saslimšanu ga</w:t>
      </w:r>
      <w:r w:rsidRPr="00A857F2">
        <w:rPr>
          <w:rFonts w:ascii="Times New Roman" w:hAnsi="Times New Roman" w:cs="Times New Roman"/>
          <w:sz w:val="24"/>
          <w:szCs w:val="24"/>
        </w:rPr>
        <w:t xml:space="preserve">dījumos, pakalpojumu bija </w:t>
      </w:r>
      <w:r w:rsidRPr="00662D1E">
        <w:rPr>
          <w:rFonts w:ascii="Times New Roman" w:hAnsi="Times New Roman" w:cs="Times New Roman"/>
          <w:sz w:val="24"/>
          <w:szCs w:val="24"/>
        </w:rPr>
        <w:t>nepieciešams operatīvi sniegt ārvalstniekiem, kas ārkārtējās situācijas laikā uzturas valstī. Pie šo problēmu risināšanas darbs jāturpina, lai pakalpojumu sniegšanā iesaistītie speciālisti būtu gatavi darbam arī ārkārtējā situācijā.</w:t>
      </w:r>
      <w:r w:rsidR="005A5A57">
        <w:rPr>
          <w:rFonts w:ascii="Times New Roman" w:hAnsi="Times New Roman" w:cs="Times New Roman"/>
          <w:sz w:val="24"/>
          <w:szCs w:val="24"/>
        </w:rPr>
        <w:t xml:space="preserve"> </w:t>
      </w:r>
      <w:r w:rsidR="0051030E" w:rsidRPr="009703E6">
        <w:rPr>
          <w:rFonts w:ascii="Times New Roman" w:hAnsi="Times New Roman" w:cs="Times New Roman"/>
          <w:sz w:val="24"/>
          <w:szCs w:val="24"/>
        </w:rPr>
        <w:t>Pakalpojuma novērtēšana</w:t>
      </w:r>
      <w:r w:rsidR="0051030E" w:rsidRPr="0015154B">
        <w:rPr>
          <w:rFonts w:ascii="Times New Roman" w:hAnsi="Times New Roman" w:cs="Times New Roman"/>
          <w:sz w:val="24"/>
          <w:szCs w:val="24"/>
        </w:rPr>
        <w:t xml:space="preserve"> liecina, ka jāpilnveido atbalsta sniegšana</w:t>
      </w:r>
      <w:r w:rsidRPr="0015154B">
        <w:rPr>
          <w:rFonts w:ascii="Times New Roman" w:hAnsi="Times New Roman" w:cs="Times New Roman"/>
          <w:sz w:val="24"/>
          <w:szCs w:val="24"/>
        </w:rPr>
        <w:t xml:space="preserve"> ģimenēm ar bērniem, nodrošinot pasākumus individuālā līmenī, </w:t>
      </w:r>
      <w:r w:rsidR="0051030E" w:rsidRPr="0015154B">
        <w:rPr>
          <w:rFonts w:ascii="Times New Roman" w:hAnsi="Times New Roman" w:cs="Times New Roman"/>
          <w:sz w:val="24"/>
          <w:szCs w:val="24"/>
        </w:rPr>
        <w:t>kā arī jāveido jaunas metodes un instrumenti vardarbības pret bērniem un pieaugušiem ģime</w:t>
      </w:r>
      <w:r w:rsidR="00232468" w:rsidRPr="0015154B">
        <w:rPr>
          <w:rFonts w:ascii="Times New Roman" w:hAnsi="Times New Roman" w:cs="Times New Roman"/>
          <w:sz w:val="24"/>
          <w:szCs w:val="24"/>
        </w:rPr>
        <w:t>n</w:t>
      </w:r>
      <w:r w:rsidR="0051030E" w:rsidRPr="0015154B">
        <w:rPr>
          <w:rFonts w:ascii="Times New Roman" w:hAnsi="Times New Roman" w:cs="Times New Roman"/>
          <w:sz w:val="24"/>
          <w:szCs w:val="24"/>
        </w:rPr>
        <w:t>es locekļiem riska mazināšanai,</w:t>
      </w:r>
      <w:r w:rsidRPr="0015154B">
        <w:rPr>
          <w:rFonts w:ascii="Times New Roman" w:hAnsi="Times New Roman" w:cs="Times New Roman"/>
          <w:sz w:val="24"/>
          <w:szCs w:val="24"/>
        </w:rPr>
        <w:t xml:space="preserve"> </w:t>
      </w:r>
      <w:r w:rsidR="0051030E" w:rsidRPr="0015154B">
        <w:rPr>
          <w:rFonts w:ascii="Times New Roman" w:hAnsi="Times New Roman" w:cs="Times New Roman"/>
          <w:sz w:val="24"/>
          <w:szCs w:val="24"/>
        </w:rPr>
        <w:t xml:space="preserve">kā arī </w:t>
      </w:r>
      <w:r w:rsidRPr="0015154B">
        <w:rPr>
          <w:rFonts w:ascii="Times New Roman" w:hAnsi="Times New Roman" w:cs="Times New Roman"/>
          <w:sz w:val="24"/>
          <w:szCs w:val="24"/>
        </w:rPr>
        <w:t>darbam ar no vardarbības cietušām un vardarbību veikušām personām.</w:t>
      </w:r>
    </w:p>
    <w:p w14:paraId="00A29C5E" w14:textId="7B166E02" w:rsidR="005A5A57" w:rsidRDefault="005A5A57" w:rsidP="005A5A57">
      <w:pPr>
        <w:spacing w:before="120" w:after="0" w:line="240" w:lineRule="auto"/>
        <w:ind w:firstLine="720"/>
        <w:jc w:val="both"/>
        <w:rPr>
          <w:rFonts w:ascii="Times New Roman" w:hAnsi="Times New Roman" w:cs="Times New Roman"/>
          <w:bCs/>
          <w:sz w:val="24"/>
          <w:szCs w:val="24"/>
        </w:rPr>
      </w:pPr>
      <w:r w:rsidRPr="002F5278">
        <w:rPr>
          <w:rFonts w:ascii="Times New Roman" w:hAnsi="Times New Roman" w:cs="Times New Roman"/>
          <w:bCs/>
          <w:sz w:val="24"/>
          <w:szCs w:val="24"/>
        </w:rPr>
        <w:t>Analizējot vardarbības problemātiku, 2016.gadā tika uzsākts darbs pie sociālās rehabilitācijas pakalpoju</w:t>
      </w:r>
      <w:r w:rsidRPr="00573B49">
        <w:rPr>
          <w:rFonts w:ascii="Times New Roman" w:hAnsi="Times New Roman" w:cs="Times New Roman"/>
          <w:bCs/>
          <w:sz w:val="24"/>
          <w:szCs w:val="24"/>
        </w:rPr>
        <w:t>ma dizaina izstrādes vardarbību veikušiem bērniem un kompleksi iekļautos TM preventīvo piespiedu līdzekļu sistēmas reform</w:t>
      </w:r>
      <w:r w:rsidR="00F04ECD">
        <w:rPr>
          <w:rFonts w:ascii="Times New Roman" w:hAnsi="Times New Roman" w:cs="Times New Roman"/>
          <w:bCs/>
          <w:sz w:val="24"/>
          <w:szCs w:val="24"/>
        </w:rPr>
        <w:t>as</w:t>
      </w:r>
      <w:r w:rsidRPr="00573B49">
        <w:rPr>
          <w:rFonts w:ascii="Times New Roman" w:hAnsi="Times New Roman" w:cs="Times New Roman"/>
          <w:bCs/>
          <w:sz w:val="24"/>
          <w:szCs w:val="24"/>
        </w:rPr>
        <w:t xml:space="preserve"> konceptā, tomēr darbs tika apturēts, jo TM apturēja savu darbu pie minētās reformas.</w:t>
      </w:r>
    </w:p>
    <w:p w14:paraId="1CF932CC" w14:textId="77777777" w:rsidR="009978A2" w:rsidRPr="0015154B" w:rsidRDefault="009978A2" w:rsidP="001A0E9C">
      <w:pPr>
        <w:spacing w:after="0" w:line="240" w:lineRule="auto"/>
        <w:ind w:firstLine="720"/>
        <w:jc w:val="both"/>
        <w:rPr>
          <w:rFonts w:ascii="Times New Roman" w:hAnsi="Times New Roman" w:cs="Times New Roman"/>
          <w:sz w:val="24"/>
          <w:szCs w:val="24"/>
        </w:rPr>
      </w:pPr>
    </w:p>
    <w:p w14:paraId="1F1E8A56" w14:textId="73AC3068" w:rsidR="009978A2" w:rsidRPr="0015154B" w:rsidRDefault="009978A2" w:rsidP="001101F7">
      <w:pPr>
        <w:pStyle w:val="Heading3"/>
      </w:pPr>
      <w:bookmarkStart w:id="52" w:name="_Toc55316089"/>
      <w:r w:rsidRPr="0015154B">
        <w:t>Sociālā rehabilitācija cilvēku tirdzniecības upuriem</w:t>
      </w:r>
      <w:bookmarkEnd w:id="52"/>
    </w:p>
    <w:p w14:paraId="71ADD0FE" w14:textId="4AF8AD9B" w:rsidR="009978A2" w:rsidRPr="007157D3" w:rsidRDefault="00D01A20" w:rsidP="00AC38FA">
      <w:pPr>
        <w:spacing w:before="120" w:after="0" w:line="240" w:lineRule="auto"/>
        <w:ind w:firstLine="720"/>
        <w:jc w:val="both"/>
        <w:rPr>
          <w:rFonts w:ascii="Times New Roman" w:hAnsi="Times New Roman" w:cs="Times New Roman"/>
          <w:iCs/>
          <w:sz w:val="24"/>
          <w:szCs w:val="24"/>
        </w:rPr>
      </w:pPr>
      <w:r w:rsidRPr="0015154B">
        <w:rPr>
          <w:rFonts w:ascii="Times New Roman" w:hAnsi="Times New Roman" w:cs="Times New Roman"/>
          <w:iCs/>
          <w:sz w:val="24"/>
          <w:szCs w:val="24"/>
        </w:rPr>
        <w:t>V</w:t>
      </w:r>
      <w:r w:rsidR="009978A2" w:rsidRPr="0015154B">
        <w:rPr>
          <w:rFonts w:ascii="Times New Roman" w:hAnsi="Times New Roman" w:cs="Times New Roman"/>
          <w:iCs/>
          <w:sz w:val="24"/>
          <w:szCs w:val="24"/>
        </w:rPr>
        <w:t>alsts finansē sociālās rehabilitācijas pakalpojum</w:t>
      </w:r>
      <w:r w:rsidR="00DC159A">
        <w:rPr>
          <w:rFonts w:ascii="Times New Roman" w:hAnsi="Times New Roman" w:cs="Times New Roman"/>
          <w:iCs/>
          <w:sz w:val="24"/>
          <w:szCs w:val="24"/>
        </w:rPr>
        <w:t>u</w:t>
      </w:r>
      <w:r w:rsidR="009978A2" w:rsidRPr="0015154B">
        <w:rPr>
          <w:rFonts w:ascii="Times New Roman" w:hAnsi="Times New Roman" w:cs="Times New Roman"/>
          <w:iCs/>
          <w:sz w:val="24"/>
          <w:szCs w:val="24"/>
        </w:rPr>
        <w:t xml:space="preserve"> CT upuriem </w:t>
      </w:r>
      <w:r w:rsidRPr="0015154B">
        <w:rPr>
          <w:rFonts w:ascii="Times New Roman" w:hAnsi="Times New Roman" w:cs="Times New Roman"/>
          <w:iCs/>
          <w:sz w:val="24"/>
          <w:szCs w:val="24"/>
        </w:rPr>
        <w:t>kopš</w:t>
      </w:r>
      <w:r w:rsidR="009978A2" w:rsidRPr="0015154B">
        <w:rPr>
          <w:rFonts w:ascii="Times New Roman" w:hAnsi="Times New Roman" w:cs="Times New Roman"/>
          <w:iCs/>
          <w:sz w:val="24"/>
          <w:szCs w:val="24"/>
        </w:rPr>
        <w:t xml:space="preserve"> 2006.gada. </w:t>
      </w:r>
      <w:r w:rsidRPr="0015154B">
        <w:rPr>
          <w:rFonts w:ascii="Times New Roman" w:hAnsi="Times New Roman" w:cs="Times New Roman"/>
          <w:iCs/>
          <w:sz w:val="24"/>
          <w:szCs w:val="24"/>
        </w:rPr>
        <w:t>P</w:t>
      </w:r>
      <w:r w:rsidR="009978A2" w:rsidRPr="0015154B">
        <w:rPr>
          <w:rFonts w:ascii="Times New Roman" w:hAnsi="Times New Roman" w:cs="Times New Roman"/>
          <w:iCs/>
          <w:sz w:val="24"/>
          <w:szCs w:val="24"/>
        </w:rPr>
        <w:t xml:space="preserve">akalpojuma ietvaros cilvēku tirdzniecības upuris saņem atbalstu sociālo problēmu risināšanā konsultāciju veidā, atbalstu ar izglītošanos, nodarbinātību un izmitināšanu saistīto jautājumu </w:t>
      </w:r>
      <w:r w:rsidR="009978A2" w:rsidRPr="0015154B">
        <w:rPr>
          <w:rFonts w:ascii="Times New Roman" w:hAnsi="Times New Roman" w:cs="Times New Roman"/>
          <w:iCs/>
          <w:sz w:val="24"/>
          <w:szCs w:val="24"/>
        </w:rPr>
        <w:lastRenderedPageBreak/>
        <w:t>risināšanā. CT pakalpojuma ilgums ir līdz 180 dienām.</w:t>
      </w:r>
      <w:r w:rsidR="009978A2" w:rsidRPr="007157D3">
        <w:rPr>
          <w:rStyle w:val="FootnoteReference"/>
          <w:rFonts w:ascii="Times New Roman" w:hAnsi="Times New Roman" w:cs="Times New Roman"/>
          <w:sz w:val="24"/>
          <w:szCs w:val="24"/>
        </w:rPr>
        <w:footnoteReference w:id="138"/>
      </w:r>
      <w:r w:rsidR="00B2683A">
        <w:rPr>
          <w:rFonts w:ascii="Times New Roman" w:hAnsi="Times New Roman" w:cs="Times New Roman"/>
          <w:iCs/>
          <w:sz w:val="24"/>
          <w:szCs w:val="24"/>
        </w:rPr>
        <w:t xml:space="preserve"> </w:t>
      </w:r>
      <w:r w:rsidR="00B2683A" w:rsidRPr="0015154B">
        <w:rPr>
          <w:rFonts w:ascii="Times New Roman" w:hAnsi="Times New Roman" w:cs="Times New Roman"/>
          <w:iCs/>
          <w:sz w:val="24"/>
          <w:szCs w:val="24"/>
        </w:rPr>
        <w:t>Būtiskas izmaiņas kopš 2014. gada nav veiktas ne pakalpojuma dizainā, ne tā mērķa grupā.</w:t>
      </w:r>
    </w:p>
    <w:p w14:paraId="3437929D" w14:textId="2687439B" w:rsidR="009978A2" w:rsidRPr="00573B49" w:rsidRDefault="009978A2" w:rsidP="00AC38FA">
      <w:pPr>
        <w:spacing w:before="120" w:after="0" w:line="240" w:lineRule="auto"/>
        <w:ind w:firstLine="720"/>
        <w:jc w:val="both"/>
        <w:rPr>
          <w:rFonts w:ascii="Times New Roman" w:hAnsi="Times New Roman" w:cs="Times New Roman"/>
          <w:iCs/>
          <w:sz w:val="24"/>
          <w:szCs w:val="24"/>
        </w:rPr>
      </w:pPr>
      <w:r w:rsidRPr="007157D3">
        <w:rPr>
          <w:rFonts w:ascii="Times New Roman" w:hAnsi="Times New Roman" w:cs="Times New Roman"/>
          <w:iCs/>
          <w:sz w:val="24"/>
          <w:szCs w:val="24"/>
        </w:rPr>
        <w:t xml:space="preserve">Kopš 2017.gada </w:t>
      </w:r>
      <w:r w:rsidR="00D01A20" w:rsidRPr="007157D3">
        <w:rPr>
          <w:rFonts w:ascii="Times New Roman" w:hAnsi="Times New Roman" w:cs="Times New Roman"/>
          <w:iCs/>
          <w:sz w:val="24"/>
          <w:szCs w:val="24"/>
        </w:rPr>
        <w:t>LM</w:t>
      </w:r>
      <w:r w:rsidRPr="002F5278">
        <w:rPr>
          <w:rFonts w:ascii="Times New Roman" w:hAnsi="Times New Roman" w:cs="Times New Roman"/>
          <w:iCs/>
          <w:sz w:val="24"/>
          <w:szCs w:val="24"/>
        </w:rPr>
        <w:t xml:space="preserve"> līgumu par pakalpojuma sniegšanu</w:t>
      </w:r>
      <w:r w:rsidRPr="00573B49">
        <w:rPr>
          <w:rFonts w:ascii="Times New Roman" w:hAnsi="Times New Roman" w:cs="Times New Roman"/>
          <w:iCs/>
          <w:sz w:val="24"/>
          <w:szCs w:val="24"/>
        </w:rPr>
        <w:t xml:space="preserve"> slēdz ar diviem pakalpojumu sniedzējiem – biedrību „Patvērums „Drošā māja”” un biedrību “Centrs Marta”, jo abas šīs organizācijas ir sevi pierādījušas kā uzticam</w:t>
      </w:r>
      <w:r w:rsidR="00DC159A">
        <w:rPr>
          <w:rFonts w:ascii="Times New Roman" w:hAnsi="Times New Roman" w:cs="Times New Roman"/>
          <w:iCs/>
          <w:sz w:val="24"/>
          <w:szCs w:val="24"/>
        </w:rPr>
        <w:t>i</w:t>
      </w:r>
      <w:r w:rsidRPr="00573B49">
        <w:rPr>
          <w:rFonts w:ascii="Times New Roman" w:hAnsi="Times New Roman" w:cs="Times New Roman"/>
          <w:iCs/>
          <w:sz w:val="24"/>
          <w:szCs w:val="24"/>
        </w:rPr>
        <w:t xml:space="preserve"> partner</w:t>
      </w:r>
      <w:r w:rsidR="00DC159A">
        <w:rPr>
          <w:rFonts w:ascii="Times New Roman" w:hAnsi="Times New Roman" w:cs="Times New Roman"/>
          <w:iCs/>
          <w:sz w:val="24"/>
          <w:szCs w:val="24"/>
        </w:rPr>
        <w:t>i</w:t>
      </w:r>
      <w:r w:rsidRPr="00573B49">
        <w:rPr>
          <w:rFonts w:ascii="Times New Roman" w:hAnsi="Times New Roman" w:cs="Times New Roman"/>
          <w:iCs/>
          <w:sz w:val="24"/>
          <w:szCs w:val="24"/>
        </w:rPr>
        <w:t>, kuri ir iemantojuši klientu, sabiedrības un citu sadarbības partneru uzticību. Turklāt katra no šīm organizācijām paralēli darbam ar CT upuriem veic arī citas funkcijas</w:t>
      </w:r>
      <w:r w:rsidR="00F04ECD">
        <w:rPr>
          <w:rFonts w:ascii="Times New Roman" w:hAnsi="Times New Roman" w:cs="Times New Roman"/>
          <w:iCs/>
          <w:sz w:val="24"/>
          <w:szCs w:val="24"/>
        </w:rPr>
        <w:t>,</w:t>
      </w:r>
      <w:r w:rsidRPr="00573B49">
        <w:rPr>
          <w:rFonts w:ascii="Times New Roman" w:hAnsi="Times New Roman" w:cs="Times New Roman"/>
          <w:iCs/>
          <w:sz w:val="24"/>
          <w:szCs w:val="24"/>
        </w:rPr>
        <w:t xml:space="preserve"> tādējādi identificējot potenciālos klientus no atšķirīgām iedzīvotāju grupām, līdz ar to veiksmīgāk sasniedzot CT pakalpojuma mērķi – atjaunot vai uzlabot CT upura sociālās funkcionēšanas spējas, lai nodrošinātu personas sociālā statusa atgūšanu un iekļaušanos sabiedrībā.</w:t>
      </w:r>
    </w:p>
    <w:p w14:paraId="4BDB86F3" w14:textId="2A5C9CDB" w:rsidR="009978A2" w:rsidRDefault="00D01A20" w:rsidP="00AC38FA">
      <w:pPr>
        <w:spacing w:before="120" w:after="0" w:line="240" w:lineRule="auto"/>
        <w:ind w:firstLine="720"/>
        <w:jc w:val="both"/>
        <w:rPr>
          <w:rFonts w:ascii="Times New Roman" w:hAnsi="Times New Roman" w:cs="Times New Roman"/>
          <w:sz w:val="24"/>
          <w:szCs w:val="24"/>
        </w:rPr>
      </w:pPr>
      <w:r w:rsidRPr="0025422D">
        <w:rPr>
          <w:rFonts w:ascii="Times New Roman" w:hAnsi="Times New Roman" w:cs="Times New Roman"/>
          <w:iCs/>
          <w:sz w:val="24"/>
          <w:szCs w:val="24"/>
        </w:rPr>
        <w:t xml:space="preserve">Sociālās rehabilitācijas </w:t>
      </w:r>
      <w:r w:rsidR="009978A2" w:rsidRPr="00A857F2">
        <w:rPr>
          <w:rFonts w:ascii="Times New Roman" w:hAnsi="Times New Roman" w:cs="Times New Roman"/>
          <w:iCs/>
          <w:sz w:val="24"/>
          <w:szCs w:val="24"/>
        </w:rPr>
        <w:t>pakalpojumu var saņemt persona, kura:</w:t>
      </w:r>
      <w:r w:rsidR="009978A2" w:rsidRPr="00662D1E">
        <w:rPr>
          <w:rFonts w:ascii="Times New Roman" w:hAnsi="Times New Roman" w:cs="Times New Roman"/>
          <w:sz w:val="24"/>
          <w:szCs w:val="24"/>
        </w:rPr>
        <w:t xml:space="preserve"> </w:t>
      </w:r>
    </w:p>
    <w:p w14:paraId="3DFA4856" w14:textId="77777777" w:rsidR="00D568CA" w:rsidRPr="00662D1E" w:rsidRDefault="00D568CA" w:rsidP="00AC38FA">
      <w:pPr>
        <w:spacing w:before="120" w:after="0" w:line="240" w:lineRule="auto"/>
        <w:ind w:firstLine="720"/>
        <w:jc w:val="both"/>
        <w:rPr>
          <w:rFonts w:ascii="Times New Roman" w:hAnsi="Times New Roman" w:cs="Times New Roman"/>
          <w:sz w:val="24"/>
          <w:szCs w:val="24"/>
        </w:rPr>
      </w:pPr>
    </w:p>
    <w:p w14:paraId="3FD4EA66" w14:textId="139FFD92" w:rsidR="009978A2" w:rsidRPr="009703E6" w:rsidRDefault="009978A2" w:rsidP="00602A69">
      <w:pPr>
        <w:pBdr>
          <w:left w:val="single" w:sz="18" w:space="4" w:color="549E39" w:themeColor="accent1"/>
        </w:pBdr>
        <w:spacing w:before="120" w:after="0" w:line="240" w:lineRule="auto"/>
        <w:ind w:left="993" w:right="1133"/>
        <w:jc w:val="both"/>
        <w:rPr>
          <w:rFonts w:ascii="Times New Roman" w:hAnsi="Times New Roman" w:cs="Times New Roman"/>
          <w:iCs/>
          <w:sz w:val="24"/>
          <w:szCs w:val="24"/>
        </w:rPr>
      </w:pPr>
      <w:r w:rsidRPr="009703E6">
        <w:rPr>
          <w:rFonts w:ascii="Times New Roman" w:hAnsi="Times New Roman" w:cs="Times New Roman"/>
          <w:iCs/>
          <w:sz w:val="24"/>
          <w:szCs w:val="24"/>
        </w:rPr>
        <w:t xml:space="preserve">kriminālprocesā par cilvēku tirdzniecību </w:t>
      </w:r>
      <w:r w:rsidRPr="00602A69">
        <w:rPr>
          <w:rFonts w:ascii="Times New Roman" w:hAnsi="Times New Roman" w:cs="Times New Roman"/>
          <w:b/>
          <w:iCs/>
          <w:color w:val="002060"/>
          <w:sz w:val="24"/>
          <w:szCs w:val="24"/>
        </w:rPr>
        <w:t>atzīta par cietušo</w:t>
      </w:r>
      <w:r w:rsidRPr="00602A69">
        <w:rPr>
          <w:rFonts w:ascii="Times New Roman" w:hAnsi="Times New Roman" w:cs="Times New Roman"/>
          <w:iCs/>
          <w:color w:val="002060"/>
          <w:sz w:val="24"/>
          <w:szCs w:val="24"/>
        </w:rPr>
        <w:t xml:space="preserve"> </w:t>
      </w:r>
      <w:r w:rsidRPr="009703E6">
        <w:rPr>
          <w:rFonts w:ascii="Times New Roman" w:hAnsi="Times New Roman" w:cs="Times New Roman"/>
          <w:iCs/>
          <w:sz w:val="24"/>
          <w:szCs w:val="24"/>
        </w:rPr>
        <w:t>vai tai noteikts liecinieka statuss,</w:t>
      </w:r>
    </w:p>
    <w:p w14:paraId="663127E4" w14:textId="690D1770" w:rsidR="009978A2" w:rsidRPr="0015154B" w:rsidRDefault="009978A2" w:rsidP="00602A69">
      <w:pPr>
        <w:pBdr>
          <w:left w:val="single" w:sz="18" w:space="4" w:color="549E39" w:themeColor="accent1"/>
        </w:pBdr>
        <w:spacing w:before="120" w:after="0" w:line="240" w:lineRule="auto"/>
        <w:ind w:left="993" w:right="1133"/>
        <w:jc w:val="both"/>
        <w:rPr>
          <w:rFonts w:ascii="Times New Roman" w:hAnsi="Times New Roman" w:cs="Times New Roman"/>
          <w:iCs/>
          <w:sz w:val="24"/>
          <w:szCs w:val="24"/>
        </w:rPr>
      </w:pPr>
      <w:r w:rsidRPr="00602A69">
        <w:rPr>
          <w:rFonts w:ascii="Times New Roman" w:hAnsi="Times New Roman" w:cs="Times New Roman"/>
          <w:b/>
          <w:iCs/>
          <w:color w:val="002060"/>
          <w:sz w:val="24"/>
          <w:szCs w:val="24"/>
        </w:rPr>
        <w:t>ir iesaistīta kriminālprocesā</w:t>
      </w:r>
      <w:r w:rsidRPr="00602A69">
        <w:rPr>
          <w:rFonts w:ascii="Times New Roman" w:hAnsi="Times New Roman" w:cs="Times New Roman"/>
          <w:iCs/>
          <w:color w:val="002060"/>
          <w:sz w:val="24"/>
          <w:szCs w:val="24"/>
        </w:rPr>
        <w:t xml:space="preserve"> </w:t>
      </w:r>
      <w:r w:rsidRPr="0015154B">
        <w:rPr>
          <w:rFonts w:ascii="Times New Roman" w:hAnsi="Times New Roman" w:cs="Times New Roman"/>
          <w:iCs/>
          <w:sz w:val="24"/>
          <w:szCs w:val="24"/>
        </w:rPr>
        <w:t>par cilvēku tirdzniecību ārvalstīs vai tiek veiktas citas darbības, kas ir par pamatu, lai pakalpojuma sniedzēja izveidotā speciālistu komisija noteiktu personai cilvēku tirdzniecības upura statusu;</w:t>
      </w:r>
    </w:p>
    <w:p w14:paraId="06D431B2" w14:textId="508873BF" w:rsidR="009978A2" w:rsidRPr="0015154B" w:rsidRDefault="009978A2" w:rsidP="00602A69">
      <w:pPr>
        <w:pBdr>
          <w:left w:val="single" w:sz="18" w:space="4" w:color="549E39" w:themeColor="accent1"/>
        </w:pBdr>
        <w:spacing w:before="120" w:after="0" w:line="240" w:lineRule="auto"/>
        <w:ind w:left="993" w:right="1133"/>
        <w:jc w:val="both"/>
        <w:rPr>
          <w:rFonts w:ascii="Times New Roman" w:hAnsi="Times New Roman" w:cs="Times New Roman"/>
          <w:iCs/>
          <w:sz w:val="24"/>
          <w:szCs w:val="24"/>
        </w:rPr>
      </w:pPr>
      <w:r w:rsidRPr="0015154B">
        <w:rPr>
          <w:rFonts w:ascii="Times New Roman" w:hAnsi="Times New Roman" w:cs="Times New Roman"/>
          <w:iCs/>
          <w:sz w:val="24"/>
          <w:szCs w:val="24"/>
        </w:rPr>
        <w:t xml:space="preserve">ar pakalpojuma sniedzēja izveidotās speciālistu komisijas lēmumu </w:t>
      </w:r>
      <w:r w:rsidRPr="00602A69">
        <w:rPr>
          <w:rFonts w:ascii="Times New Roman" w:hAnsi="Times New Roman" w:cs="Times New Roman"/>
          <w:b/>
          <w:iCs/>
          <w:color w:val="002060"/>
          <w:sz w:val="24"/>
          <w:szCs w:val="24"/>
        </w:rPr>
        <w:t>atzīta par cilvēku tirdzniecības upuri</w:t>
      </w:r>
      <w:r w:rsidRPr="0015154B">
        <w:rPr>
          <w:rFonts w:ascii="Times New Roman" w:hAnsi="Times New Roman" w:cs="Times New Roman"/>
          <w:iCs/>
          <w:sz w:val="24"/>
          <w:szCs w:val="24"/>
        </w:rPr>
        <w:t>.</w:t>
      </w:r>
    </w:p>
    <w:p w14:paraId="7B078C98" w14:textId="77777777" w:rsidR="00D568CA" w:rsidRDefault="00D568CA" w:rsidP="00AC38FA">
      <w:pPr>
        <w:spacing w:before="120" w:after="0" w:line="240" w:lineRule="auto"/>
        <w:ind w:firstLine="720"/>
        <w:jc w:val="both"/>
        <w:rPr>
          <w:rFonts w:ascii="Times New Roman" w:hAnsi="Times New Roman" w:cs="Times New Roman"/>
          <w:iCs/>
          <w:sz w:val="24"/>
          <w:szCs w:val="24"/>
        </w:rPr>
      </w:pPr>
    </w:p>
    <w:p w14:paraId="62A1642F" w14:textId="705A2CA6" w:rsidR="009978A2" w:rsidRPr="0015154B" w:rsidRDefault="009978A2" w:rsidP="00AC38FA">
      <w:pPr>
        <w:spacing w:before="120" w:after="0" w:line="240" w:lineRule="auto"/>
        <w:ind w:firstLine="720"/>
        <w:jc w:val="both"/>
        <w:rPr>
          <w:rFonts w:ascii="Times New Roman" w:hAnsi="Times New Roman" w:cs="Times New Roman"/>
          <w:iCs/>
          <w:sz w:val="24"/>
          <w:szCs w:val="24"/>
        </w:rPr>
      </w:pPr>
      <w:r w:rsidRPr="0015154B">
        <w:rPr>
          <w:rFonts w:ascii="Times New Roman" w:hAnsi="Times New Roman" w:cs="Times New Roman"/>
          <w:iCs/>
          <w:sz w:val="24"/>
          <w:szCs w:val="24"/>
        </w:rPr>
        <w:t xml:space="preserve">2020.gada laikā ir būtiski pieaudzis pakalpojuma saņēmēju skaits (38 personas uzsāka pakalpojuma saņemšanu līdz 2020. gada septembrim) un tikpat būtiski ir mainījies pakalpojuma saņēmēju profils – ja 2016. gadā vairums pakalpojuma saņēmēju bija sievietes, kuras cietušas no seksuālās ekspluatācijas, tad jau 2019. gadā </w:t>
      </w:r>
      <w:r w:rsidR="00454099" w:rsidRPr="0015154B">
        <w:rPr>
          <w:rFonts w:ascii="Times New Roman" w:hAnsi="Times New Roman" w:cs="Times New Roman"/>
          <w:iCs/>
          <w:sz w:val="24"/>
          <w:szCs w:val="24"/>
        </w:rPr>
        <w:t>starp pakalpojuma saņēmējiem proporcija būtiski mainījās un vīriešu ir vairāk</w:t>
      </w:r>
      <w:r w:rsidR="00A728BA" w:rsidRPr="0015154B">
        <w:rPr>
          <w:rFonts w:ascii="Times New Roman" w:hAnsi="Times New Roman" w:cs="Times New Roman"/>
          <w:iCs/>
          <w:sz w:val="24"/>
          <w:szCs w:val="24"/>
        </w:rPr>
        <w:t>.</w:t>
      </w:r>
      <w:r w:rsidRPr="0015154B">
        <w:rPr>
          <w:rFonts w:ascii="Times New Roman" w:hAnsi="Times New Roman" w:cs="Times New Roman"/>
          <w:iCs/>
          <w:sz w:val="24"/>
          <w:szCs w:val="24"/>
        </w:rPr>
        <w:t xml:space="preserve"> </w:t>
      </w:r>
      <w:r w:rsidR="00A728BA" w:rsidRPr="0015154B">
        <w:rPr>
          <w:rFonts w:ascii="Times New Roman" w:hAnsi="Times New Roman" w:cs="Times New Roman"/>
          <w:iCs/>
          <w:sz w:val="24"/>
          <w:szCs w:val="24"/>
        </w:rPr>
        <w:t xml:space="preserve">Turklāt </w:t>
      </w:r>
      <w:r w:rsidRPr="0015154B">
        <w:rPr>
          <w:rFonts w:ascii="Times New Roman" w:hAnsi="Times New Roman" w:cs="Times New Roman"/>
          <w:iCs/>
          <w:sz w:val="24"/>
          <w:szCs w:val="24"/>
        </w:rPr>
        <w:t>lielākā daļa no CT upuriem bija cietuši no darba ekspluatācijas</w:t>
      </w:r>
      <w:r w:rsidR="00A728BA" w:rsidRPr="0015154B">
        <w:rPr>
          <w:rFonts w:ascii="Times New Roman" w:hAnsi="Times New Roman" w:cs="Times New Roman"/>
          <w:iCs/>
          <w:sz w:val="24"/>
          <w:szCs w:val="24"/>
        </w:rPr>
        <w:t xml:space="preserve"> (</w:t>
      </w:r>
      <w:r w:rsidR="00A728BA" w:rsidRPr="0015154B">
        <w:rPr>
          <w:rFonts w:ascii="Times New Roman" w:hAnsi="Times New Roman" w:cs="Times New Roman"/>
          <w:iCs/>
          <w:sz w:val="24"/>
          <w:szCs w:val="24"/>
          <w:highlight w:val="yellow"/>
        </w:rPr>
        <w:t>skat</w:t>
      </w:r>
      <w:r w:rsidR="0054699C" w:rsidRPr="0015154B">
        <w:rPr>
          <w:rFonts w:ascii="Times New Roman" w:hAnsi="Times New Roman" w:cs="Times New Roman"/>
          <w:iCs/>
          <w:sz w:val="24"/>
          <w:szCs w:val="24"/>
          <w:highlight w:val="yellow"/>
        </w:rPr>
        <w:t>. 1</w:t>
      </w:r>
      <w:r w:rsidR="00974F0C">
        <w:rPr>
          <w:rFonts w:ascii="Times New Roman" w:hAnsi="Times New Roman" w:cs="Times New Roman"/>
          <w:iCs/>
          <w:sz w:val="24"/>
          <w:szCs w:val="24"/>
          <w:highlight w:val="yellow"/>
        </w:rPr>
        <w:t>9</w:t>
      </w:r>
      <w:r w:rsidR="0054699C" w:rsidRPr="0015154B">
        <w:rPr>
          <w:rFonts w:ascii="Times New Roman" w:hAnsi="Times New Roman" w:cs="Times New Roman"/>
          <w:iCs/>
          <w:sz w:val="24"/>
          <w:szCs w:val="24"/>
          <w:highlight w:val="yellow"/>
        </w:rPr>
        <w:t>.</w:t>
      </w:r>
      <w:r w:rsidR="00A728BA" w:rsidRPr="0015154B">
        <w:rPr>
          <w:rFonts w:ascii="Times New Roman" w:hAnsi="Times New Roman" w:cs="Times New Roman"/>
          <w:iCs/>
          <w:sz w:val="24"/>
          <w:szCs w:val="24"/>
          <w:highlight w:val="yellow"/>
        </w:rPr>
        <w:t>tabulu</w:t>
      </w:r>
      <w:r w:rsidR="00A728BA" w:rsidRPr="0015154B">
        <w:rPr>
          <w:rFonts w:ascii="Times New Roman" w:hAnsi="Times New Roman" w:cs="Times New Roman"/>
          <w:iCs/>
          <w:sz w:val="24"/>
          <w:szCs w:val="24"/>
        </w:rPr>
        <w:t>)</w:t>
      </w:r>
      <w:r w:rsidRPr="0015154B">
        <w:rPr>
          <w:rFonts w:ascii="Times New Roman" w:hAnsi="Times New Roman" w:cs="Times New Roman"/>
          <w:iCs/>
          <w:sz w:val="24"/>
          <w:szCs w:val="24"/>
        </w:rPr>
        <w:t>.</w:t>
      </w:r>
    </w:p>
    <w:p w14:paraId="1CB3E67C" w14:textId="260221E4" w:rsidR="00A728BA" w:rsidRPr="0015154B" w:rsidRDefault="00A728BA" w:rsidP="00A728BA">
      <w:pPr>
        <w:spacing w:after="0" w:line="240" w:lineRule="auto"/>
        <w:jc w:val="both"/>
        <w:rPr>
          <w:rFonts w:ascii="Times New Roman" w:hAnsi="Times New Roman" w:cs="Times New Roman"/>
          <w:iCs/>
          <w:sz w:val="24"/>
          <w:szCs w:val="24"/>
        </w:rPr>
      </w:pPr>
    </w:p>
    <w:p w14:paraId="0A2AB204" w14:textId="77777777" w:rsidR="005E5CD1" w:rsidRDefault="005E5CD1">
      <w:pPr>
        <w:rPr>
          <w:rFonts w:ascii="Times New Roman" w:hAnsi="Times New Roman" w:cs="Times New Roman"/>
          <w:iCs/>
          <w:sz w:val="24"/>
          <w:szCs w:val="24"/>
        </w:rPr>
      </w:pPr>
      <w:r>
        <w:rPr>
          <w:rFonts w:ascii="Times New Roman" w:hAnsi="Times New Roman" w:cs="Times New Roman"/>
          <w:iCs/>
          <w:sz w:val="24"/>
          <w:szCs w:val="24"/>
        </w:rPr>
        <w:br w:type="page"/>
      </w:r>
    </w:p>
    <w:p w14:paraId="3ADAFF1F" w14:textId="71489FE3" w:rsidR="00A728BA" w:rsidRPr="0015154B" w:rsidRDefault="0054699C" w:rsidP="00A728BA">
      <w:pPr>
        <w:spacing w:after="0" w:line="240" w:lineRule="auto"/>
        <w:jc w:val="both"/>
        <w:rPr>
          <w:rFonts w:ascii="Times New Roman" w:hAnsi="Times New Roman" w:cs="Times New Roman"/>
          <w:iCs/>
          <w:sz w:val="24"/>
          <w:szCs w:val="24"/>
        </w:rPr>
      </w:pPr>
      <w:r w:rsidRPr="0015154B">
        <w:rPr>
          <w:rFonts w:ascii="Times New Roman" w:hAnsi="Times New Roman" w:cs="Times New Roman"/>
          <w:iCs/>
          <w:sz w:val="24"/>
          <w:szCs w:val="24"/>
        </w:rPr>
        <w:lastRenderedPageBreak/>
        <w:t>1</w:t>
      </w:r>
      <w:r w:rsidR="00974F0C">
        <w:rPr>
          <w:rFonts w:ascii="Times New Roman" w:hAnsi="Times New Roman" w:cs="Times New Roman"/>
          <w:iCs/>
          <w:sz w:val="24"/>
          <w:szCs w:val="24"/>
        </w:rPr>
        <w:t>9</w:t>
      </w:r>
      <w:r w:rsidRPr="0015154B">
        <w:rPr>
          <w:rFonts w:ascii="Times New Roman" w:hAnsi="Times New Roman" w:cs="Times New Roman"/>
          <w:iCs/>
          <w:sz w:val="24"/>
          <w:szCs w:val="24"/>
        </w:rPr>
        <w:t>.</w:t>
      </w:r>
      <w:r w:rsidR="00A728BA" w:rsidRPr="0015154B">
        <w:rPr>
          <w:rFonts w:ascii="Times New Roman" w:hAnsi="Times New Roman" w:cs="Times New Roman"/>
          <w:iCs/>
          <w:sz w:val="24"/>
          <w:szCs w:val="24"/>
        </w:rPr>
        <w:t>tabula</w:t>
      </w:r>
    </w:p>
    <w:p w14:paraId="3039C35D" w14:textId="4183E869" w:rsidR="00454099" w:rsidRPr="0015154B" w:rsidRDefault="00454099" w:rsidP="00825BD5">
      <w:pPr>
        <w:spacing w:after="0" w:line="240" w:lineRule="auto"/>
        <w:ind w:firstLine="720"/>
        <w:jc w:val="center"/>
        <w:rPr>
          <w:rFonts w:ascii="Times New Roman" w:hAnsi="Times New Roman" w:cs="Times New Roman"/>
          <w:b/>
          <w:iCs/>
          <w:color w:val="002060"/>
          <w:sz w:val="24"/>
          <w:szCs w:val="24"/>
        </w:rPr>
      </w:pPr>
      <w:r w:rsidRPr="0015154B">
        <w:rPr>
          <w:rFonts w:ascii="Times New Roman" w:hAnsi="Times New Roman" w:cs="Times New Roman"/>
          <w:b/>
          <w:iCs/>
          <w:color w:val="002060"/>
          <w:sz w:val="24"/>
          <w:szCs w:val="24"/>
        </w:rPr>
        <w:t>Personu skaits, kuri ir saņēmuši sociālās rehabilitācijas pakalpojumu</w:t>
      </w:r>
    </w:p>
    <w:p w14:paraId="5EAA0CD2" w14:textId="76A4ED8A" w:rsidR="00232468" w:rsidRPr="0015154B" w:rsidRDefault="00454099" w:rsidP="00825BD5">
      <w:pPr>
        <w:spacing w:after="0" w:line="240" w:lineRule="auto"/>
        <w:ind w:firstLine="720"/>
        <w:jc w:val="center"/>
        <w:rPr>
          <w:rFonts w:ascii="Times New Roman" w:hAnsi="Times New Roman" w:cs="Times New Roman"/>
          <w:iCs/>
          <w:color w:val="002060"/>
          <w:sz w:val="24"/>
          <w:szCs w:val="24"/>
        </w:rPr>
      </w:pPr>
      <w:r w:rsidRPr="0015154B">
        <w:rPr>
          <w:rFonts w:ascii="Times New Roman" w:hAnsi="Times New Roman" w:cs="Times New Roman"/>
          <w:b/>
          <w:iCs/>
          <w:color w:val="002060"/>
          <w:sz w:val="24"/>
          <w:szCs w:val="24"/>
        </w:rPr>
        <w:t>CT upuriem, pakalpojumam izlietotais valsts finansējums</w:t>
      </w:r>
    </w:p>
    <w:p w14:paraId="6440ACE5" w14:textId="77777777" w:rsidR="00A728BA" w:rsidRPr="0015154B" w:rsidRDefault="00A728BA" w:rsidP="00A728BA">
      <w:pPr>
        <w:spacing w:after="0" w:line="240" w:lineRule="auto"/>
        <w:ind w:firstLine="720"/>
        <w:jc w:val="both"/>
        <w:rPr>
          <w:rFonts w:ascii="Times New Roman" w:hAnsi="Times New Roman" w:cs="Times New Roman"/>
          <w:iCs/>
          <w:sz w:val="24"/>
          <w:szCs w:val="24"/>
        </w:rPr>
      </w:pPr>
    </w:p>
    <w:tbl>
      <w:tblPr>
        <w:tblStyle w:val="TableGrid"/>
        <w:tblW w:w="5382" w:type="pct"/>
        <w:tblLook w:val="04A0" w:firstRow="1" w:lastRow="0" w:firstColumn="1" w:lastColumn="0" w:noHBand="0" w:noVBand="1"/>
      </w:tblPr>
      <w:tblGrid>
        <w:gridCol w:w="3006"/>
        <w:gridCol w:w="1213"/>
        <w:gridCol w:w="971"/>
        <w:gridCol w:w="999"/>
        <w:gridCol w:w="1239"/>
        <w:gridCol w:w="1174"/>
        <w:gridCol w:w="1137"/>
        <w:gridCol w:w="14"/>
      </w:tblGrid>
      <w:tr w:rsidR="00825BD5" w:rsidRPr="0015154B" w14:paraId="347A1B87" w14:textId="77777777" w:rsidTr="00825BD5">
        <w:trPr>
          <w:gridAfter w:val="1"/>
          <w:wAfter w:w="8" w:type="pct"/>
        </w:trPr>
        <w:tc>
          <w:tcPr>
            <w:tcW w:w="1541" w:type="pct"/>
            <w:shd w:val="clear" w:color="auto" w:fill="E8F3D3" w:themeFill="accent2" w:themeFillTint="33"/>
          </w:tcPr>
          <w:p w14:paraId="2035B053" w14:textId="77777777" w:rsidR="00A728BA" w:rsidRPr="0015154B" w:rsidRDefault="00A728BA" w:rsidP="00A728BA">
            <w:pPr>
              <w:rPr>
                <w:rFonts w:ascii="Times New Roman" w:hAnsi="Times New Roman" w:cs="Times New Roman"/>
                <w:b/>
                <w:bCs/>
                <w:color w:val="002060"/>
                <w:sz w:val="24"/>
                <w:szCs w:val="24"/>
              </w:rPr>
            </w:pPr>
          </w:p>
        </w:tc>
        <w:tc>
          <w:tcPr>
            <w:tcW w:w="622" w:type="pct"/>
            <w:shd w:val="clear" w:color="auto" w:fill="E8F3D3" w:themeFill="accent2" w:themeFillTint="33"/>
          </w:tcPr>
          <w:p w14:paraId="46BA1F8B" w14:textId="77777777" w:rsidR="00A728BA" w:rsidRPr="0015154B" w:rsidRDefault="00A728BA"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2014</w:t>
            </w:r>
          </w:p>
        </w:tc>
        <w:tc>
          <w:tcPr>
            <w:tcW w:w="498" w:type="pct"/>
            <w:shd w:val="clear" w:color="auto" w:fill="E8F3D3" w:themeFill="accent2" w:themeFillTint="33"/>
          </w:tcPr>
          <w:p w14:paraId="6D58E498" w14:textId="77777777" w:rsidR="00A728BA" w:rsidRPr="0015154B" w:rsidRDefault="00A728BA"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2015</w:t>
            </w:r>
          </w:p>
        </w:tc>
        <w:tc>
          <w:tcPr>
            <w:tcW w:w="512" w:type="pct"/>
            <w:shd w:val="clear" w:color="auto" w:fill="E8F3D3" w:themeFill="accent2" w:themeFillTint="33"/>
          </w:tcPr>
          <w:p w14:paraId="064697E7" w14:textId="77777777" w:rsidR="00A728BA" w:rsidRPr="0015154B" w:rsidRDefault="00A728BA"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2016</w:t>
            </w:r>
          </w:p>
        </w:tc>
        <w:tc>
          <w:tcPr>
            <w:tcW w:w="635" w:type="pct"/>
            <w:shd w:val="clear" w:color="auto" w:fill="E8F3D3" w:themeFill="accent2" w:themeFillTint="33"/>
          </w:tcPr>
          <w:p w14:paraId="5D3E35FC" w14:textId="77777777" w:rsidR="00A728BA" w:rsidRPr="0015154B" w:rsidRDefault="00A728BA"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2017</w:t>
            </w:r>
          </w:p>
        </w:tc>
        <w:tc>
          <w:tcPr>
            <w:tcW w:w="602" w:type="pct"/>
            <w:shd w:val="clear" w:color="auto" w:fill="E8F3D3" w:themeFill="accent2" w:themeFillTint="33"/>
          </w:tcPr>
          <w:p w14:paraId="36A9DFCF" w14:textId="77777777" w:rsidR="00A728BA" w:rsidRPr="0015154B" w:rsidRDefault="00A728BA"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2018</w:t>
            </w:r>
          </w:p>
        </w:tc>
        <w:tc>
          <w:tcPr>
            <w:tcW w:w="583" w:type="pct"/>
            <w:shd w:val="clear" w:color="auto" w:fill="E8F3D3" w:themeFill="accent2" w:themeFillTint="33"/>
          </w:tcPr>
          <w:p w14:paraId="2DFBEB2E" w14:textId="77777777" w:rsidR="00A728BA" w:rsidRPr="0015154B" w:rsidRDefault="00A728BA"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2019</w:t>
            </w:r>
          </w:p>
        </w:tc>
      </w:tr>
      <w:tr w:rsidR="00A728BA" w:rsidRPr="0015154B" w14:paraId="3EFF158F" w14:textId="77777777" w:rsidTr="00AF6D84">
        <w:trPr>
          <w:gridAfter w:val="1"/>
          <w:wAfter w:w="8" w:type="pct"/>
          <w:trHeight w:val="984"/>
        </w:trPr>
        <w:tc>
          <w:tcPr>
            <w:tcW w:w="1541" w:type="pct"/>
            <w:shd w:val="clear" w:color="auto" w:fill="E8F3D3" w:themeFill="accent2" w:themeFillTint="33"/>
            <w:hideMark/>
          </w:tcPr>
          <w:p w14:paraId="4B7EDF63" w14:textId="77777777" w:rsidR="00A728BA" w:rsidRPr="0015154B" w:rsidRDefault="00A728BA" w:rsidP="00A728BA">
            <w:pPr>
              <w:rPr>
                <w:rFonts w:ascii="Times New Roman" w:eastAsia="Times New Roman" w:hAnsi="Times New Roman" w:cs="Times New Roman"/>
                <w:b/>
                <w:bCs/>
                <w:color w:val="002060"/>
                <w:sz w:val="24"/>
                <w:szCs w:val="24"/>
                <w:lang w:eastAsia="lv-LV"/>
              </w:rPr>
            </w:pPr>
            <w:r w:rsidRPr="0015154B">
              <w:rPr>
                <w:rFonts w:ascii="Times New Roman" w:eastAsia="Times New Roman" w:hAnsi="Times New Roman" w:cs="Times New Roman"/>
                <w:b/>
                <w:bCs/>
                <w:color w:val="002060"/>
                <w:sz w:val="24"/>
                <w:szCs w:val="24"/>
                <w:lang w:eastAsia="lv-LV"/>
              </w:rPr>
              <w:t>CT pakalpojumu saņēmušo personu skaits, t.sk.</w:t>
            </w:r>
          </w:p>
        </w:tc>
        <w:tc>
          <w:tcPr>
            <w:tcW w:w="622" w:type="pct"/>
          </w:tcPr>
          <w:p w14:paraId="5D4CAE88" w14:textId="77777777" w:rsidR="00A728BA" w:rsidRPr="0015154B" w:rsidRDefault="00A728BA"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27</w:t>
            </w:r>
          </w:p>
        </w:tc>
        <w:tc>
          <w:tcPr>
            <w:tcW w:w="498" w:type="pct"/>
          </w:tcPr>
          <w:p w14:paraId="61D081E1" w14:textId="77777777" w:rsidR="00A728BA" w:rsidRPr="0015154B" w:rsidRDefault="00A728BA"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8</w:t>
            </w:r>
          </w:p>
        </w:tc>
        <w:tc>
          <w:tcPr>
            <w:tcW w:w="512" w:type="pct"/>
          </w:tcPr>
          <w:p w14:paraId="171372DA" w14:textId="77777777" w:rsidR="00A728BA" w:rsidRPr="0015154B" w:rsidRDefault="00A728BA" w:rsidP="00A728BA">
            <w:pP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14</w:t>
            </w:r>
          </w:p>
        </w:tc>
        <w:tc>
          <w:tcPr>
            <w:tcW w:w="635" w:type="pct"/>
          </w:tcPr>
          <w:p w14:paraId="6029CE10" w14:textId="77777777" w:rsidR="00A728BA" w:rsidRPr="0015154B" w:rsidRDefault="00A728BA"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24</w:t>
            </w:r>
          </w:p>
        </w:tc>
        <w:tc>
          <w:tcPr>
            <w:tcW w:w="602" w:type="pct"/>
          </w:tcPr>
          <w:p w14:paraId="3ED336D8" w14:textId="77777777" w:rsidR="00A728BA" w:rsidRPr="0015154B" w:rsidRDefault="00A728BA"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20</w:t>
            </w:r>
          </w:p>
        </w:tc>
        <w:tc>
          <w:tcPr>
            <w:tcW w:w="583" w:type="pct"/>
          </w:tcPr>
          <w:p w14:paraId="47EBE00C" w14:textId="77777777" w:rsidR="00A728BA" w:rsidRPr="0015154B" w:rsidRDefault="00A728BA" w:rsidP="00A728BA">
            <w:pPr>
              <w:jc w:val="center"/>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35</w:t>
            </w:r>
          </w:p>
        </w:tc>
      </w:tr>
      <w:tr w:rsidR="00A728BA" w:rsidRPr="0015154B" w14:paraId="0CAFF65C" w14:textId="77777777" w:rsidTr="00AF6D84">
        <w:trPr>
          <w:gridAfter w:val="1"/>
          <w:wAfter w:w="8" w:type="pct"/>
        </w:trPr>
        <w:tc>
          <w:tcPr>
            <w:tcW w:w="1541" w:type="pct"/>
            <w:shd w:val="clear" w:color="auto" w:fill="E8F3D3" w:themeFill="accent2" w:themeFillTint="33"/>
          </w:tcPr>
          <w:p w14:paraId="5AEAE9B0" w14:textId="77777777" w:rsidR="00A728BA" w:rsidRPr="0015154B" w:rsidRDefault="00A728BA" w:rsidP="00A728BA">
            <w:pPr>
              <w:rPr>
                <w:rFonts w:ascii="Times New Roman" w:hAnsi="Times New Roman" w:cs="Times New Roman"/>
                <w:bCs/>
                <w:color w:val="002060"/>
                <w:sz w:val="24"/>
                <w:szCs w:val="24"/>
              </w:rPr>
            </w:pPr>
            <w:r w:rsidRPr="0015154B">
              <w:rPr>
                <w:rFonts w:ascii="Times New Roman" w:hAnsi="Times New Roman" w:cs="Times New Roman"/>
                <w:bCs/>
                <w:color w:val="002060"/>
                <w:sz w:val="24"/>
                <w:szCs w:val="24"/>
              </w:rPr>
              <w:t>sievietes</w:t>
            </w:r>
          </w:p>
        </w:tc>
        <w:tc>
          <w:tcPr>
            <w:tcW w:w="622" w:type="pct"/>
          </w:tcPr>
          <w:p w14:paraId="0113DD82"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19</w:t>
            </w:r>
          </w:p>
        </w:tc>
        <w:tc>
          <w:tcPr>
            <w:tcW w:w="498" w:type="pct"/>
          </w:tcPr>
          <w:p w14:paraId="72256C29"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7</w:t>
            </w:r>
          </w:p>
        </w:tc>
        <w:tc>
          <w:tcPr>
            <w:tcW w:w="512" w:type="pct"/>
          </w:tcPr>
          <w:p w14:paraId="20B359FB"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14</w:t>
            </w:r>
          </w:p>
        </w:tc>
        <w:tc>
          <w:tcPr>
            <w:tcW w:w="635" w:type="pct"/>
          </w:tcPr>
          <w:p w14:paraId="1B8FC595"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18</w:t>
            </w:r>
          </w:p>
        </w:tc>
        <w:tc>
          <w:tcPr>
            <w:tcW w:w="602" w:type="pct"/>
          </w:tcPr>
          <w:p w14:paraId="759B9EF8"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10</w:t>
            </w:r>
          </w:p>
        </w:tc>
        <w:tc>
          <w:tcPr>
            <w:tcW w:w="583" w:type="pct"/>
          </w:tcPr>
          <w:p w14:paraId="6E2E98FC"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13</w:t>
            </w:r>
          </w:p>
        </w:tc>
      </w:tr>
      <w:tr w:rsidR="00A728BA" w:rsidRPr="0015154B" w14:paraId="1BD123A8" w14:textId="77777777" w:rsidTr="00AF6D84">
        <w:trPr>
          <w:gridAfter w:val="1"/>
          <w:wAfter w:w="8" w:type="pct"/>
        </w:trPr>
        <w:tc>
          <w:tcPr>
            <w:tcW w:w="1541" w:type="pct"/>
            <w:shd w:val="clear" w:color="auto" w:fill="E8F3D3" w:themeFill="accent2" w:themeFillTint="33"/>
          </w:tcPr>
          <w:p w14:paraId="558ACFCF" w14:textId="77777777" w:rsidR="00A728BA" w:rsidRPr="0015154B" w:rsidRDefault="00A728BA" w:rsidP="00A728BA">
            <w:pPr>
              <w:rPr>
                <w:rFonts w:ascii="Times New Roman" w:hAnsi="Times New Roman" w:cs="Times New Roman"/>
                <w:bCs/>
                <w:color w:val="002060"/>
                <w:sz w:val="24"/>
                <w:szCs w:val="24"/>
              </w:rPr>
            </w:pPr>
            <w:r w:rsidRPr="0015154B">
              <w:rPr>
                <w:rFonts w:ascii="Times New Roman" w:hAnsi="Times New Roman" w:cs="Times New Roman"/>
                <w:bCs/>
                <w:color w:val="002060"/>
                <w:sz w:val="24"/>
                <w:szCs w:val="24"/>
              </w:rPr>
              <w:t>vīrieši</w:t>
            </w:r>
          </w:p>
        </w:tc>
        <w:tc>
          <w:tcPr>
            <w:tcW w:w="622" w:type="pct"/>
          </w:tcPr>
          <w:p w14:paraId="49530E5E"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8</w:t>
            </w:r>
          </w:p>
        </w:tc>
        <w:tc>
          <w:tcPr>
            <w:tcW w:w="498" w:type="pct"/>
          </w:tcPr>
          <w:p w14:paraId="125B01A5"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w:t>
            </w:r>
          </w:p>
        </w:tc>
        <w:tc>
          <w:tcPr>
            <w:tcW w:w="512" w:type="pct"/>
          </w:tcPr>
          <w:p w14:paraId="485AD415"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0</w:t>
            </w:r>
          </w:p>
        </w:tc>
        <w:tc>
          <w:tcPr>
            <w:tcW w:w="635" w:type="pct"/>
          </w:tcPr>
          <w:p w14:paraId="5F870BDC"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6</w:t>
            </w:r>
          </w:p>
        </w:tc>
        <w:tc>
          <w:tcPr>
            <w:tcW w:w="602" w:type="pct"/>
          </w:tcPr>
          <w:p w14:paraId="5ADED5C8"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10</w:t>
            </w:r>
          </w:p>
        </w:tc>
        <w:tc>
          <w:tcPr>
            <w:tcW w:w="583" w:type="pct"/>
          </w:tcPr>
          <w:p w14:paraId="31BC31D9"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22</w:t>
            </w:r>
          </w:p>
        </w:tc>
      </w:tr>
      <w:tr w:rsidR="00A728BA" w:rsidRPr="0015154B" w14:paraId="7433909E" w14:textId="77777777" w:rsidTr="00AF6D84">
        <w:tc>
          <w:tcPr>
            <w:tcW w:w="5000" w:type="pct"/>
            <w:gridSpan w:val="8"/>
            <w:shd w:val="clear" w:color="auto" w:fill="E8F3D3" w:themeFill="accent2" w:themeFillTint="33"/>
          </w:tcPr>
          <w:p w14:paraId="4151A4FF" w14:textId="77777777" w:rsidR="00A728BA" w:rsidRPr="0015154B" w:rsidRDefault="00A728BA" w:rsidP="00A728BA">
            <w:pPr>
              <w:rPr>
                <w:rFonts w:ascii="Times New Roman" w:hAnsi="Times New Roman" w:cs="Times New Roman"/>
                <w:color w:val="002060"/>
                <w:sz w:val="24"/>
                <w:szCs w:val="24"/>
              </w:rPr>
            </w:pPr>
            <w:r w:rsidRPr="0015154B">
              <w:rPr>
                <w:rFonts w:ascii="Times New Roman" w:hAnsi="Times New Roman" w:cs="Times New Roman"/>
                <w:b/>
                <w:bCs/>
                <w:color w:val="002060"/>
                <w:sz w:val="24"/>
                <w:szCs w:val="24"/>
              </w:rPr>
              <w:t>Ekspluatācijas forma:</w:t>
            </w:r>
          </w:p>
        </w:tc>
      </w:tr>
      <w:tr w:rsidR="00A728BA" w:rsidRPr="0015154B" w14:paraId="150747CA" w14:textId="77777777" w:rsidTr="00AF6D84">
        <w:trPr>
          <w:gridAfter w:val="1"/>
          <w:wAfter w:w="8" w:type="pct"/>
        </w:trPr>
        <w:tc>
          <w:tcPr>
            <w:tcW w:w="1541" w:type="pct"/>
            <w:shd w:val="clear" w:color="auto" w:fill="E8F3D3" w:themeFill="accent2" w:themeFillTint="33"/>
          </w:tcPr>
          <w:p w14:paraId="793FF043" w14:textId="77777777" w:rsidR="00A728BA" w:rsidRPr="0015154B" w:rsidRDefault="00A728BA" w:rsidP="00A728BA">
            <w:pPr>
              <w:rPr>
                <w:rFonts w:ascii="Times New Roman" w:hAnsi="Times New Roman" w:cs="Times New Roman"/>
                <w:bCs/>
                <w:color w:val="002060"/>
                <w:sz w:val="24"/>
                <w:szCs w:val="24"/>
              </w:rPr>
            </w:pPr>
            <w:r w:rsidRPr="0015154B">
              <w:rPr>
                <w:rFonts w:ascii="Times New Roman" w:hAnsi="Times New Roman" w:cs="Times New Roman"/>
                <w:bCs/>
                <w:color w:val="002060"/>
                <w:sz w:val="24"/>
                <w:szCs w:val="24"/>
              </w:rPr>
              <w:t>Seksuāla ekspluatācija</w:t>
            </w:r>
          </w:p>
        </w:tc>
        <w:tc>
          <w:tcPr>
            <w:tcW w:w="622" w:type="pct"/>
          </w:tcPr>
          <w:p w14:paraId="24F125B7"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0</w:t>
            </w:r>
          </w:p>
        </w:tc>
        <w:tc>
          <w:tcPr>
            <w:tcW w:w="498" w:type="pct"/>
          </w:tcPr>
          <w:p w14:paraId="52409C32"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w:t>
            </w:r>
          </w:p>
        </w:tc>
        <w:tc>
          <w:tcPr>
            <w:tcW w:w="512" w:type="pct"/>
          </w:tcPr>
          <w:p w14:paraId="13B50548"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12</w:t>
            </w:r>
          </w:p>
        </w:tc>
        <w:tc>
          <w:tcPr>
            <w:tcW w:w="635" w:type="pct"/>
          </w:tcPr>
          <w:p w14:paraId="229849D7"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7</w:t>
            </w:r>
          </w:p>
        </w:tc>
        <w:tc>
          <w:tcPr>
            <w:tcW w:w="602" w:type="pct"/>
          </w:tcPr>
          <w:p w14:paraId="475576CD"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5</w:t>
            </w:r>
          </w:p>
        </w:tc>
        <w:tc>
          <w:tcPr>
            <w:tcW w:w="583" w:type="pct"/>
          </w:tcPr>
          <w:p w14:paraId="34BB6B11"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5</w:t>
            </w:r>
          </w:p>
        </w:tc>
      </w:tr>
      <w:tr w:rsidR="00A728BA" w:rsidRPr="0015154B" w14:paraId="49A9C289" w14:textId="77777777" w:rsidTr="00AF6D84">
        <w:trPr>
          <w:gridAfter w:val="1"/>
          <w:wAfter w:w="8" w:type="pct"/>
        </w:trPr>
        <w:tc>
          <w:tcPr>
            <w:tcW w:w="1541" w:type="pct"/>
            <w:shd w:val="clear" w:color="auto" w:fill="E8F3D3" w:themeFill="accent2" w:themeFillTint="33"/>
          </w:tcPr>
          <w:p w14:paraId="5359D757" w14:textId="77777777" w:rsidR="00A728BA" w:rsidRPr="0015154B" w:rsidRDefault="00A728BA" w:rsidP="00A728BA">
            <w:pPr>
              <w:rPr>
                <w:rFonts w:ascii="Times New Roman" w:hAnsi="Times New Roman" w:cs="Times New Roman"/>
                <w:bCs/>
                <w:color w:val="002060"/>
                <w:sz w:val="24"/>
                <w:szCs w:val="24"/>
              </w:rPr>
            </w:pPr>
            <w:r w:rsidRPr="0015154B">
              <w:rPr>
                <w:rFonts w:ascii="Times New Roman" w:hAnsi="Times New Roman" w:cs="Times New Roman"/>
                <w:bCs/>
                <w:color w:val="002060"/>
                <w:sz w:val="24"/>
                <w:szCs w:val="24"/>
              </w:rPr>
              <w:t>Darba ekspluatācija</w:t>
            </w:r>
          </w:p>
        </w:tc>
        <w:tc>
          <w:tcPr>
            <w:tcW w:w="622" w:type="pct"/>
          </w:tcPr>
          <w:p w14:paraId="38A6FEF8"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12</w:t>
            </w:r>
          </w:p>
        </w:tc>
        <w:tc>
          <w:tcPr>
            <w:tcW w:w="498" w:type="pct"/>
          </w:tcPr>
          <w:p w14:paraId="79904C2D"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0</w:t>
            </w:r>
          </w:p>
        </w:tc>
        <w:tc>
          <w:tcPr>
            <w:tcW w:w="512" w:type="pct"/>
          </w:tcPr>
          <w:p w14:paraId="2FC7639E"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0</w:t>
            </w:r>
          </w:p>
        </w:tc>
        <w:tc>
          <w:tcPr>
            <w:tcW w:w="635" w:type="pct"/>
          </w:tcPr>
          <w:p w14:paraId="0F457540"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9</w:t>
            </w:r>
          </w:p>
        </w:tc>
        <w:tc>
          <w:tcPr>
            <w:tcW w:w="602" w:type="pct"/>
          </w:tcPr>
          <w:p w14:paraId="76AFCB59"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11</w:t>
            </w:r>
          </w:p>
        </w:tc>
        <w:tc>
          <w:tcPr>
            <w:tcW w:w="583" w:type="pct"/>
          </w:tcPr>
          <w:p w14:paraId="511910E3"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24</w:t>
            </w:r>
          </w:p>
        </w:tc>
      </w:tr>
      <w:tr w:rsidR="00A728BA" w:rsidRPr="0015154B" w14:paraId="29EB90E5" w14:textId="77777777" w:rsidTr="00AF6D84">
        <w:trPr>
          <w:gridAfter w:val="1"/>
          <w:wAfter w:w="8" w:type="pct"/>
        </w:trPr>
        <w:tc>
          <w:tcPr>
            <w:tcW w:w="1541" w:type="pct"/>
            <w:shd w:val="clear" w:color="auto" w:fill="E8F3D3" w:themeFill="accent2" w:themeFillTint="33"/>
          </w:tcPr>
          <w:p w14:paraId="1098D518" w14:textId="77777777" w:rsidR="00A728BA" w:rsidRPr="0015154B" w:rsidRDefault="00A728BA" w:rsidP="00A728BA">
            <w:pPr>
              <w:rPr>
                <w:rFonts w:ascii="Times New Roman" w:hAnsi="Times New Roman" w:cs="Times New Roman"/>
                <w:bCs/>
                <w:color w:val="002060"/>
                <w:sz w:val="24"/>
                <w:szCs w:val="24"/>
              </w:rPr>
            </w:pPr>
            <w:r w:rsidRPr="0015154B">
              <w:rPr>
                <w:rFonts w:ascii="Times New Roman" w:hAnsi="Times New Roman" w:cs="Times New Roman"/>
                <w:bCs/>
                <w:color w:val="002060"/>
                <w:sz w:val="24"/>
                <w:szCs w:val="24"/>
              </w:rPr>
              <w:t>Piespiedu ekspluatatīvas laulības</w:t>
            </w:r>
          </w:p>
        </w:tc>
        <w:tc>
          <w:tcPr>
            <w:tcW w:w="622" w:type="pct"/>
          </w:tcPr>
          <w:p w14:paraId="5233AC98"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15</w:t>
            </w:r>
          </w:p>
        </w:tc>
        <w:tc>
          <w:tcPr>
            <w:tcW w:w="498" w:type="pct"/>
          </w:tcPr>
          <w:p w14:paraId="237129DF"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5</w:t>
            </w:r>
          </w:p>
        </w:tc>
        <w:tc>
          <w:tcPr>
            <w:tcW w:w="512" w:type="pct"/>
          </w:tcPr>
          <w:p w14:paraId="47602402"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2</w:t>
            </w:r>
          </w:p>
        </w:tc>
        <w:tc>
          <w:tcPr>
            <w:tcW w:w="635" w:type="pct"/>
          </w:tcPr>
          <w:p w14:paraId="4E522BF4"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8</w:t>
            </w:r>
          </w:p>
        </w:tc>
        <w:tc>
          <w:tcPr>
            <w:tcW w:w="602" w:type="pct"/>
          </w:tcPr>
          <w:p w14:paraId="416D1791"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4</w:t>
            </w:r>
          </w:p>
        </w:tc>
        <w:tc>
          <w:tcPr>
            <w:tcW w:w="583" w:type="pct"/>
          </w:tcPr>
          <w:p w14:paraId="112DED0C"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4</w:t>
            </w:r>
          </w:p>
        </w:tc>
      </w:tr>
      <w:tr w:rsidR="00A728BA" w:rsidRPr="0015154B" w14:paraId="0A1C2C51" w14:textId="77777777" w:rsidTr="00AF6D84">
        <w:trPr>
          <w:gridAfter w:val="1"/>
          <w:wAfter w:w="8" w:type="pct"/>
        </w:trPr>
        <w:tc>
          <w:tcPr>
            <w:tcW w:w="1541" w:type="pct"/>
            <w:shd w:val="clear" w:color="auto" w:fill="E8F3D3" w:themeFill="accent2" w:themeFillTint="33"/>
          </w:tcPr>
          <w:p w14:paraId="4D22691F" w14:textId="20EC9FCF" w:rsidR="00A728BA" w:rsidRPr="0015154B" w:rsidRDefault="00A728BA" w:rsidP="00A728BA">
            <w:pPr>
              <w:rPr>
                <w:rFonts w:ascii="Times New Roman" w:hAnsi="Times New Roman" w:cs="Times New Roman"/>
                <w:bCs/>
                <w:color w:val="002060"/>
                <w:sz w:val="24"/>
                <w:szCs w:val="24"/>
              </w:rPr>
            </w:pPr>
            <w:r w:rsidRPr="0015154B">
              <w:rPr>
                <w:rFonts w:ascii="Times New Roman" w:hAnsi="Times New Roman" w:cs="Times New Roman"/>
                <w:b/>
                <w:bCs/>
                <w:color w:val="002060"/>
                <w:sz w:val="24"/>
                <w:szCs w:val="24"/>
              </w:rPr>
              <w:t xml:space="preserve">Finansējuma apjoms </w:t>
            </w:r>
            <w:r w:rsidRPr="00E07E75">
              <w:rPr>
                <w:rFonts w:ascii="Times New Roman" w:hAnsi="Times New Roman" w:cs="Times New Roman"/>
                <w:bCs/>
                <w:i/>
                <w:color w:val="002060"/>
                <w:sz w:val="24"/>
                <w:szCs w:val="24"/>
              </w:rPr>
              <w:t>e</w:t>
            </w:r>
            <w:r w:rsidR="00AC7FB3">
              <w:rPr>
                <w:rFonts w:ascii="Times New Roman" w:hAnsi="Times New Roman" w:cs="Times New Roman"/>
                <w:bCs/>
                <w:i/>
                <w:color w:val="002060"/>
                <w:sz w:val="24"/>
                <w:szCs w:val="24"/>
              </w:rPr>
              <w:t>i</w:t>
            </w:r>
            <w:r w:rsidRPr="00E07E75">
              <w:rPr>
                <w:rFonts w:ascii="Times New Roman" w:hAnsi="Times New Roman" w:cs="Times New Roman"/>
                <w:bCs/>
                <w:i/>
                <w:color w:val="002060"/>
                <w:sz w:val="24"/>
                <w:szCs w:val="24"/>
              </w:rPr>
              <w:t>ro</w:t>
            </w:r>
          </w:p>
        </w:tc>
        <w:tc>
          <w:tcPr>
            <w:tcW w:w="622" w:type="pct"/>
            <w:tcBorders>
              <w:top w:val="single" w:sz="4" w:space="0" w:color="auto"/>
              <w:left w:val="single" w:sz="4" w:space="0" w:color="auto"/>
              <w:bottom w:val="single" w:sz="4" w:space="0" w:color="auto"/>
              <w:right w:val="single" w:sz="4" w:space="0" w:color="auto"/>
            </w:tcBorders>
            <w:shd w:val="clear" w:color="000000" w:fill="FFFFFF"/>
          </w:tcPr>
          <w:p w14:paraId="3C27B27D"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96 102</w:t>
            </w:r>
          </w:p>
        </w:tc>
        <w:tc>
          <w:tcPr>
            <w:tcW w:w="498" w:type="pct"/>
            <w:tcBorders>
              <w:top w:val="single" w:sz="4" w:space="0" w:color="auto"/>
              <w:left w:val="nil"/>
              <w:bottom w:val="single" w:sz="4" w:space="0" w:color="auto"/>
              <w:right w:val="single" w:sz="4" w:space="0" w:color="auto"/>
            </w:tcBorders>
            <w:shd w:val="clear" w:color="000000" w:fill="FFFFFF"/>
          </w:tcPr>
          <w:p w14:paraId="59F73249"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71 687</w:t>
            </w:r>
          </w:p>
        </w:tc>
        <w:tc>
          <w:tcPr>
            <w:tcW w:w="512" w:type="pct"/>
            <w:tcBorders>
              <w:top w:val="single" w:sz="4" w:space="0" w:color="auto"/>
              <w:left w:val="nil"/>
              <w:bottom w:val="single" w:sz="4" w:space="0" w:color="auto"/>
              <w:right w:val="single" w:sz="4" w:space="0" w:color="auto"/>
            </w:tcBorders>
            <w:shd w:val="clear" w:color="000000" w:fill="FFFFFF"/>
          </w:tcPr>
          <w:p w14:paraId="7B51024B"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49 471</w:t>
            </w:r>
          </w:p>
        </w:tc>
        <w:tc>
          <w:tcPr>
            <w:tcW w:w="635" w:type="pct"/>
            <w:tcBorders>
              <w:top w:val="single" w:sz="4" w:space="0" w:color="auto"/>
              <w:left w:val="nil"/>
              <w:bottom w:val="single" w:sz="4" w:space="0" w:color="auto"/>
              <w:right w:val="single" w:sz="4" w:space="0" w:color="auto"/>
            </w:tcBorders>
            <w:shd w:val="clear" w:color="auto" w:fill="auto"/>
          </w:tcPr>
          <w:p w14:paraId="6DD1E709"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87 984</w:t>
            </w:r>
          </w:p>
        </w:tc>
        <w:tc>
          <w:tcPr>
            <w:tcW w:w="602" w:type="pct"/>
            <w:tcBorders>
              <w:top w:val="single" w:sz="4" w:space="0" w:color="auto"/>
              <w:left w:val="nil"/>
              <w:bottom w:val="single" w:sz="4" w:space="0" w:color="auto"/>
              <w:right w:val="single" w:sz="4" w:space="0" w:color="auto"/>
            </w:tcBorders>
            <w:shd w:val="clear" w:color="auto" w:fill="auto"/>
          </w:tcPr>
          <w:p w14:paraId="289944C6"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114 625</w:t>
            </w:r>
          </w:p>
        </w:tc>
        <w:tc>
          <w:tcPr>
            <w:tcW w:w="583" w:type="pct"/>
            <w:tcBorders>
              <w:top w:val="single" w:sz="4" w:space="0" w:color="auto"/>
              <w:left w:val="nil"/>
              <w:bottom w:val="single" w:sz="4" w:space="0" w:color="auto"/>
              <w:right w:val="single" w:sz="4" w:space="0" w:color="auto"/>
            </w:tcBorders>
            <w:shd w:val="clear" w:color="auto" w:fill="auto"/>
          </w:tcPr>
          <w:p w14:paraId="1AF02730"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118 444</w:t>
            </w:r>
          </w:p>
        </w:tc>
      </w:tr>
      <w:tr w:rsidR="00A728BA" w:rsidRPr="0015154B" w14:paraId="6D990C5E" w14:textId="77777777" w:rsidTr="00AF6D84">
        <w:trPr>
          <w:gridAfter w:val="1"/>
          <w:wAfter w:w="8" w:type="pct"/>
        </w:trPr>
        <w:tc>
          <w:tcPr>
            <w:tcW w:w="1541" w:type="pct"/>
            <w:shd w:val="clear" w:color="auto" w:fill="E8F3D3" w:themeFill="accent2" w:themeFillTint="33"/>
          </w:tcPr>
          <w:p w14:paraId="75DCC4AA" w14:textId="77777777" w:rsidR="00A728BA" w:rsidRPr="0015154B" w:rsidRDefault="00A728BA" w:rsidP="00A728BA">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Finansējums vidēji uz 1 CT pakalpojuma saņēmēju</w:t>
            </w:r>
          </w:p>
        </w:tc>
        <w:tc>
          <w:tcPr>
            <w:tcW w:w="622" w:type="pct"/>
            <w:tcBorders>
              <w:top w:val="single" w:sz="4" w:space="0" w:color="auto"/>
              <w:left w:val="single" w:sz="4" w:space="0" w:color="auto"/>
              <w:bottom w:val="single" w:sz="4" w:space="0" w:color="auto"/>
              <w:right w:val="single" w:sz="4" w:space="0" w:color="auto"/>
            </w:tcBorders>
            <w:shd w:val="clear" w:color="000000" w:fill="FFFFFF"/>
            <w:vAlign w:val="bottom"/>
          </w:tcPr>
          <w:p w14:paraId="3171922A"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2 564</w:t>
            </w:r>
          </w:p>
        </w:tc>
        <w:tc>
          <w:tcPr>
            <w:tcW w:w="498" w:type="pct"/>
            <w:tcBorders>
              <w:top w:val="single" w:sz="4" w:space="0" w:color="auto"/>
              <w:left w:val="nil"/>
              <w:bottom w:val="single" w:sz="4" w:space="0" w:color="auto"/>
              <w:right w:val="single" w:sz="4" w:space="0" w:color="auto"/>
            </w:tcBorders>
            <w:shd w:val="clear" w:color="000000" w:fill="FFFFFF"/>
            <w:vAlign w:val="bottom"/>
          </w:tcPr>
          <w:p w14:paraId="6D011804"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3 399</w:t>
            </w:r>
          </w:p>
        </w:tc>
        <w:tc>
          <w:tcPr>
            <w:tcW w:w="512" w:type="pct"/>
            <w:tcBorders>
              <w:top w:val="single" w:sz="4" w:space="0" w:color="auto"/>
              <w:left w:val="nil"/>
              <w:bottom w:val="single" w:sz="4" w:space="0" w:color="auto"/>
              <w:right w:val="single" w:sz="4" w:space="0" w:color="auto"/>
            </w:tcBorders>
            <w:shd w:val="clear" w:color="000000" w:fill="FFFFFF"/>
            <w:vAlign w:val="bottom"/>
          </w:tcPr>
          <w:p w14:paraId="5E034B96"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3 043</w:t>
            </w:r>
          </w:p>
        </w:tc>
        <w:tc>
          <w:tcPr>
            <w:tcW w:w="635" w:type="pct"/>
            <w:tcBorders>
              <w:top w:val="single" w:sz="4" w:space="0" w:color="auto"/>
              <w:left w:val="nil"/>
              <w:bottom w:val="single" w:sz="4" w:space="0" w:color="auto"/>
              <w:right w:val="single" w:sz="4" w:space="0" w:color="auto"/>
            </w:tcBorders>
            <w:shd w:val="clear" w:color="auto" w:fill="auto"/>
            <w:vAlign w:val="bottom"/>
          </w:tcPr>
          <w:p w14:paraId="3F779654"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3 008</w:t>
            </w:r>
          </w:p>
        </w:tc>
        <w:tc>
          <w:tcPr>
            <w:tcW w:w="602" w:type="pct"/>
            <w:tcBorders>
              <w:top w:val="single" w:sz="4" w:space="0" w:color="auto"/>
              <w:left w:val="nil"/>
              <w:bottom w:val="single" w:sz="4" w:space="0" w:color="auto"/>
              <w:right w:val="single" w:sz="4" w:space="0" w:color="auto"/>
            </w:tcBorders>
            <w:shd w:val="clear" w:color="auto" w:fill="auto"/>
            <w:vAlign w:val="bottom"/>
          </w:tcPr>
          <w:p w14:paraId="69CEF060"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3 234</w:t>
            </w:r>
          </w:p>
        </w:tc>
        <w:tc>
          <w:tcPr>
            <w:tcW w:w="583" w:type="pct"/>
            <w:tcBorders>
              <w:top w:val="single" w:sz="4" w:space="0" w:color="auto"/>
              <w:left w:val="nil"/>
              <w:bottom w:val="single" w:sz="4" w:space="0" w:color="auto"/>
              <w:right w:val="single" w:sz="4" w:space="0" w:color="auto"/>
            </w:tcBorders>
            <w:shd w:val="clear" w:color="auto" w:fill="auto"/>
            <w:vAlign w:val="bottom"/>
          </w:tcPr>
          <w:p w14:paraId="42E8873D" w14:textId="77777777" w:rsidR="00A728BA" w:rsidRPr="0015154B" w:rsidRDefault="00A728BA" w:rsidP="00A728BA">
            <w:pPr>
              <w:jc w:val="center"/>
              <w:rPr>
                <w:rFonts w:ascii="Times New Roman" w:hAnsi="Times New Roman" w:cs="Times New Roman"/>
                <w:sz w:val="24"/>
                <w:szCs w:val="24"/>
              </w:rPr>
            </w:pPr>
            <w:r w:rsidRPr="0015154B">
              <w:rPr>
                <w:rFonts w:ascii="Times New Roman" w:hAnsi="Times New Roman" w:cs="Times New Roman"/>
                <w:sz w:val="24"/>
                <w:szCs w:val="24"/>
              </w:rPr>
              <w:t>3 399</w:t>
            </w:r>
          </w:p>
        </w:tc>
      </w:tr>
    </w:tbl>
    <w:p w14:paraId="237C70DB" w14:textId="53C95C43" w:rsidR="00A728BA" w:rsidRPr="0015154B" w:rsidRDefault="00A728BA" w:rsidP="00A728BA">
      <w:pPr>
        <w:spacing w:after="0" w:line="240" w:lineRule="auto"/>
        <w:rPr>
          <w:rFonts w:ascii="Times New Roman" w:hAnsi="Times New Roman" w:cs="Times New Roman"/>
          <w:iCs/>
          <w:sz w:val="20"/>
          <w:szCs w:val="20"/>
        </w:rPr>
      </w:pPr>
      <w:r w:rsidRPr="0015154B">
        <w:rPr>
          <w:rFonts w:ascii="Times New Roman" w:hAnsi="Times New Roman" w:cs="Times New Roman"/>
          <w:iCs/>
          <w:sz w:val="20"/>
          <w:szCs w:val="20"/>
        </w:rPr>
        <w:t>Datu avots:</w:t>
      </w:r>
      <w:r w:rsidR="00454099" w:rsidRPr="0015154B">
        <w:rPr>
          <w:rFonts w:ascii="Times New Roman" w:hAnsi="Times New Roman" w:cs="Times New Roman"/>
          <w:iCs/>
          <w:sz w:val="20"/>
          <w:szCs w:val="20"/>
        </w:rPr>
        <w:t xml:space="preserve"> LM</w:t>
      </w:r>
    </w:p>
    <w:p w14:paraId="1229B717" w14:textId="77777777" w:rsidR="00A728BA" w:rsidRPr="0015154B" w:rsidRDefault="00A728BA" w:rsidP="00D01A20">
      <w:pPr>
        <w:spacing w:after="0" w:line="240" w:lineRule="auto"/>
        <w:ind w:firstLine="720"/>
        <w:jc w:val="both"/>
        <w:rPr>
          <w:rFonts w:ascii="Times New Roman" w:hAnsi="Times New Roman" w:cs="Times New Roman"/>
          <w:iCs/>
          <w:sz w:val="24"/>
          <w:szCs w:val="24"/>
        </w:rPr>
      </w:pPr>
    </w:p>
    <w:p w14:paraId="1893BD45" w14:textId="32F44C13" w:rsidR="009978A2" w:rsidRDefault="00602A69" w:rsidP="00A728BA">
      <w:pPr>
        <w:spacing w:after="0" w:line="240" w:lineRule="auto"/>
        <w:ind w:firstLine="720"/>
        <w:jc w:val="both"/>
        <w:rPr>
          <w:rFonts w:ascii="Times New Roman" w:hAnsi="Times New Roman" w:cs="Times New Roman"/>
          <w:iCs/>
          <w:sz w:val="24"/>
          <w:szCs w:val="24"/>
        </w:rPr>
      </w:pPr>
      <w:r>
        <w:rPr>
          <w:rFonts w:ascii="Times New Roman" w:hAnsi="Times New Roman" w:cs="Times New Roman"/>
          <w:iCs/>
          <w:sz w:val="24"/>
          <w:szCs w:val="24"/>
        </w:rPr>
        <w:t>V</w:t>
      </w:r>
      <w:r w:rsidR="009978A2" w:rsidRPr="0015154B">
        <w:rPr>
          <w:rFonts w:ascii="Times New Roman" w:hAnsi="Times New Roman" w:cs="Times New Roman"/>
          <w:iCs/>
          <w:sz w:val="24"/>
          <w:szCs w:val="24"/>
        </w:rPr>
        <w:t xml:space="preserve">iens no izaicinājumiem visiem </w:t>
      </w:r>
      <w:r w:rsidR="00A728BA" w:rsidRPr="0015154B">
        <w:rPr>
          <w:rFonts w:ascii="Times New Roman" w:hAnsi="Times New Roman" w:cs="Times New Roman"/>
          <w:iCs/>
          <w:sz w:val="24"/>
          <w:szCs w:val="24"/>
        </w:rPr>
        <w:t xml:space="preserve">pakalpojuma sniegšanā </w:t>
      </w:r>
      <w:r w:rsidR="009978A2" w:rsidRPr="0015154B">
        <w:rPr>
          <w:rFonts w:ascii="Times New Roman" w:hAnsi="Times New Roman" w:cs="Times New Roman"/>
          <w:iCs/>
          <w:sz w:val="24"/>
          <w:szCs w:val="24"/>
        </w:rPr>
        <w:t xml:space="preserve">iesaistītajiem ir </w:t>
      </w:r>
      <w:r w:rsidR="00A728BA" w:rsidRPr="0015154B">
        <w:rPr>
          <w:rFonts w:ascii="Times New Roman" w:hAnsi="Times New Roman" w:cs="Times New Roman"/>
          <w:iCs/>
          <w:sz w:val="24"/>
          <w:szCs w:val="24"/>
        </w:rPr>
        <w:t>izpratnes maiņa</w:t>
      </w:r>
      <w:r w:rsidR="009978A2" w:rsidRPr="0015154B">
        <w:rPr>
          <w:rFonts w:ascii="Times New Roman" w:hAnsi="Times New Roman" w:cs="Times New Roman"/>
          <w:iCs/>
          <w:sz w:val="24"/>
          <w:szCs w:val="24"/>
        </w:rPr>
        <w:t>, kas un kāds ir CT upuris, kādi sociālās rehabilitācijas pakalpojumi šīm personām ir visnepieciešamākie un kā valsts finansējums var tikt visracionālāk izmantots, lai sasniegtu pakalpojuma mērķus.</w:t>
      </w:r>
      <w:r w:rsidR="00A728BA" w:rsidRPr="0015154B">
        <w:rPr>
          <w:rFonts w:ascii="Times New Roman" w:hAnsi="Times New Roman" w:cs="Times New Roman"/>
          <w:iCs/>
          <w:sz w:val="24"/>
          <w:szCs w:val="24"/>
        </w:rPr>
        <w:t xml:space="preserve"> </w:t>
      </w:r>
      <w:r w:rsidR="009978A2" w:rsidRPr="0015154B">
        <w:rPr>
          <w:rFonts w:ascii="Times New Roman" w:hAnsi="Times New Roman" w:cs="Times New Roman"/>
          <w:iCs/>
          <w:sz w:val="24"/>
          <w:szCs w:val="24"/>
        </w:rPr>
        <w:t xml:space="preserve">Nopietns izaicinājums ir nodrošināt kvalitatīvu un personas vajadzībām atbilstošu </w:t>
      </w:r>
      <w:r w:rsidR="00A728BA" w:rsidRPr="0015154B">
        <w:rPr>
          <w:rFonts w:ascii="Times New Roman" w:hAnsi="Times New Roman" w:cs="Times New Roman"/>
          <w:iCs/>
          <w:sz w:val="24"/>
          <w:szCs w:val="24"/>
        </w:rPr>
        <w:t xml:space="preserve">sociālās rehabilitācijas </w:t>
      </w:r>
      <w:r w:rsidR="009978A2" w:rsidRPr="0015154B">
        <w:rPr>
          <w:rFonts w:ascii="Times New Roman" w:hAnsi="Times New Roman" w:cs="Times New Roman"/>
          <w:iCs/>
          <w:sz w:val="24"/>
          <w:szCs w:val="24"/>
        </w:rPr>
        <w:t xml:space="preserve">pakalpojumu visiem identificētajiem CT upuriem, ņemot vērā, ka būtiski pieaug identificēto CT upuru skaits, vienlaikus šo personu skaits nav </w:t>
      </w:r>
      <w:r w:rsidR="00F04ECD">
        <w:rPr>
          <w:rFonts w:ascii="Times New Roman" w:hAnsi="Times New Roman" w:cs="Times New Roman"/>
          <w:iCs/>
          <w:sz w:val="24"/>
          <w:szCs w:val="24"/>
        </w:rPr>
        <w:t xml:space="preserve">ne </w:t>
      </w:r>
      <w:r w:rsidR="009978A2" w:rsidRPr="0015154B">
        <w:rPr>
          <w:rFonts w:ascii="Times New Roman" w:hAnsi="Times New Roman" w:cs="Times New Roman"/>
          <w:iCs/>
          <w:sz w:val="24"/>
          <w:szCs w:val="24"/>
        </w:rPr>
        <w:t>prognozējams, ne plānojams.</w:t>
      </w:r>
    </w:p>
    <w:p w14:paraId="1A70031D" w14:textId="550E926B" w:rsidR="00D568CA" w:rsidRPr="0015154B" w:rsidRDefault="00D568CA" w:rsidP="00F6283D">
      <w:pPr>
        <w:spacing w:before="120" w:after="0" w:line="240" w:lineRule="auto"/>
        <w:ind w:firstLine="720"/>
        <w:jc w:val="both"/>
        <w:rPr>
          <w:rFonts w:ascii="Times New Roman" w:hAnsi="Times New Roman" w:cs="Times New Roman"/>
          <w:iCs/>
          <w:sz w:val="24"/>
          <w:szCs w:val="24"/>
        </w:rPr>
      </w:pPr>
      <w:r w:rsidRPr="00D568CA">
        <w:rPr>
          <w:rFonts w:ascii="Times New Roman" w:hAnsi="Times New Roman" w:cs="Times New Roman"/>
          <w:iCs/>
          <w:sz w:val="24"/>
          <w:szCs w:val="24"/>
        </w:rPr>
        <w:t>2020. gada 2. martā Apvienoto Nāciju Organizācijas (ANO) Sieviešu diskriminācijas izskaušanas komiteja (Komiteja) publicēja savus noslēguma secinājumus par Latvijas Republikas kārtējo ziņojumu par 1979. gada Konvencijas par jebkuras sieviešu diskriminācijas izskaušanu (Konvencija) izpildi laika posmā no 2005. gada 1. janvāra līdz 2017. gada 31. decembrim, kuru Komiteja izskatīja šā gada 11. februārī.</w:t>
      </w:r>
      <w:r w:rsidR="00534F50">
        <w:rPr>
          <w:rFonts w:ascii="Times New Roman" w:hAnsi="Times New Roman" w:cs="Times New Roman"/>
          <w:iCs/>
          <w:sz w:val="24"/>
          <w:szCs w:val="24"/>
        </w:rPr>
        <w:t xml:space="preserve"> </w:t>
      </w:r>
      <w:r w:rsidRPr="00D568CA">
        <w:rPr>
          <w:rFonts w:ascii="Times New Roman" w:hAnsi="Times New Roman" w:cs="Times New Roman"/>
          <w:iCs/>
          <w:sz w:val="24"/>
          <w:szCs w:val="24"/>
        </w:rPr>
        <w:t>Komiteja pozitīvi novērtē</w:t>
      </w:r>
      <w:r>
        <w:rPr>
          <w:rFonts w:ascii="Times New Roman" w:hAnsi="Times New Roman" w:cs="Times New Roman"/>
          <w:iCs/>
          <w:sz w:val="24"/>
          <w:szCs w:val="24"/>
        </w:rPr>
        <w:t>ja</w:t>
      </w:r>
      <w:r w:rsidRPr="00D568CA">
        <w:rPr>
          <w:rFonts w:ascii="Times New Roman" w:hAnsi="Times New Roman" w:cs="Times New Roman"/>
          <w:iCs/>
          <w:sz w:val="24"/>
          <w:szCs w:val="24"/>
        </w:rPr>
        <w:t xml:space="preserve"> Latvijas likumdošanas iniciatīvas Konvencijas īstenošanai nozīmīgās jomās</w:t>
      </w:r>
      <w:r>
        <w:rPr>
          <w:rFonts w:ascii="Times New Roman" w:hAnsi="Times New Roman" w:cs="Times New Roman"/>
          <w:iCs/>
          <w:sz w:val="24"/>
          <w:szCs w:val="24"/>
        </w:rPr>
        <w:t xml:space="preserve">, taču cita starpā aicina uzlabot sociālās rehabilitācijas pakalpojumu </w:t>
      </w:r>
      <w:r w:rsidR="006A79E5">
        <w:rPr>
          <w:rFonts w:ascii="Times New Roman" w:hAnsi="Times New Roman" w:cs="Times New Roman"/>
          <w:iCs/>
          <w:sz w:val="24"/>
          <w:szCs w:val="24"/>
        </w:rPr>
        <w:t>CT upuriem.</w:t>
      </w:r>
    </w:p>
    <w:p w14:paraId="69D3F205" w14:textId="77777777" w:rsidR="00A728BA" w:rsidRPr="0015154B" w:rsidRDefault="00A728BA" w:rsidP="00A728BA">
      <w:pPr>
        <w:spacing w:after="0" w:line="240" w:lineRule="auto"/>
        <w:rPr>
          <w:rFonts w:ascii="Times New Roman" w:hAnsi="Times New Roman" w:cs="Times New Roman"/>
          <w:b/>
          <w:iCs/>
          <w:sz w:val="24"/>
          <w:szCs w:val="24"/>
        </w:rPr>
      </w:pPr>
    </w:p>
    <w:p w14:paraId="1D6805F3" w14:textId="686D0991" w:rsidR="009978A2" w:rsidRPr="0015154B" w:rsidRDefault="009978A2" w:rsidP="001101F7">
      <w:pPr>
        <w:pStyle w:val="Heading3"/>
      </w:pPr>
      <w:bookmarkStart w:id="53" w:name="_Toc55316090"/>
      <w:r w:rsidRPr="0015154B">
        <w:t>Sociālā rehabilitācija no apreibinošām vielām un procesiem</w:t>
      </w:r>
      <w:r w:rsidR="00107DBE">
        <w:t xml:space="preserve"> atkarīgajiem</w:t>
      </w:r>
      <w:bookmarkEnd w:id="53"/>
    </w:p>
    <w:p w14:paraId="3AB8F100" w14:textId="7C84D836" w:rsidR="009978A2" w:rsidRPr="0015154B" w:rsidRDefault="00A728BA" w:rsidP="00AC38FA">
      <w:pPr>
        <w:spacing w:before="120" w:after="0" w:line="240" w:lineRule="auto"/>
        <w:ind w:firstLine="851"/>
        <w:jc w:val="both"/>
        <w:rPr>
          <w:rFonts w:ascii="Times New Roman" w:hAnsi="Times New Roman" w:cs="Times New Roman"/>
          <w:iCs/>
          <w:sz w:val="24"/>
          <w:szCs w:val="24"/>
        </w:rPr>
      </w:pPr>
      <w:r w:rsidRPr="0015154B">
        <w:rPr>
          <w:rFonts w:ascii="Times New Roman" w:hAnsi="Times New Roman" w:cs="Times New Roman"/>
          <w:iCs/>
          <w:sz w:val="24"/>
          <w:szCs w:val="24"/>
        </w:rPr>
        <w:t>Bērniem, kuriem ir izveidojusies atkarība no apreibinošām vielām vai procesiem (piem</w:t>
      </w:r>
      <w:r w:rsidR="00107DBE">
        <w:rPr>
          <w:rFonts w:ascii="Times New Roman" w:hAnsi="Times New Roman" w:cs="Times New Roman"/>
          <w:iCs/>
          <w:sz w:val="24"/>
          <w:szCs w:val="24"/>
        </w:rPr>
        <w:t>ēram</w:t>
      </w:r>
      <w:r w:rsidRPr="0015154B">
        <w:rPr>
          <w:rFonts w:ascii="Times New Roman" w:hAnsi="Times New Roman" w:cs="Times New Roman"/>
          <w:iCs/>
          <w:sz w:val="24"/>
          <w:szCs w:val="24"/>
        </w:rPr>
        <w:t xml:space="preserve">, datorspēles) vai kuriem ir šādas atkarības izveidošanās risks, tiek nodrošināts </w:t>
      </w:r>
      <w:r w:rsidR="009978A2" w:rsidRPr="0015154B">
        <w:rPr>
          <w:rFonts w:ascii="Times New Roman" w:hAnsi="Times New Roman" w:cs="Times New Roman"/>
          <w:iCs/>
          <w:sz w:val="24"/>
          <w:szCs w:val="24"/>
        </w:rPr>
        <w:t>valsts finansēts sociālās rehabilitācijas pakalpojum</w:t>
      </w:r>
      <w:r w:rsidRPr="0015154B">
        <w:rPr>
          <w:rFonts w:ascii="Times New Roman" w:hAnsi="Times New Roman" w:cs="Times New Roman"/>
          <w:iCs/>
          <w:sz w:val="24"/>
          <w:szCs w:val="24"/>
        </w:rPr>
        <w:t>u</w:t>
      </w:r>
      <w:r w:rsidR="009978A2" w:rsidRPr="0015154B">
        <w:rPr>
          <w:rFonts w:ascii="Times New Roman" w:hAnsi="Times New Roman" w:cs="Times New Roman"/>
          <w:iCs/>
          <w:sz w:val="24"/>
          <w:szCs w:val="24"/>
        </w:rPr>
        <w:t xml:space="preserve"> dzīvesvietā (līdz 180 dienām) un institūcijā (līdz 12 mēnešiem)</w:t>
      </w:r>
      <w:r w:rsidR="00515A85" w:rsidRPr="0015154B">
        <w:rPr>
          <w:rFonts w:ascii="Times New Roman" w:hAnsi="Times New Roman" w:cs="Times New Roman"/>
          <w:iCs/>
          <w:sz w:val="24"/>
          <w:szCs w:val="24"/>
        </w:rPr>
        <w:t>.</w:t>
      </w:r>
    </w:p>
    <w:p w14:paraId="062C3F61" w14:textId="2B13E4C5" w:rsidR="00515A85" w:rsidRPr="0015154B" w:rsidRDefault="00515A85" w:rsidP="00AC38FA">
      <w:pPr>
        <w:spacing w:before="120" w:after="0" w:line="240" w:lineRule="auto"/>
        <w:ind w:firstLine="851"/>
        <w:jc w:val="both"/>
        <w:rPr>
          <w:rFonts w:ascii="Times New Roman" w:hAnsi="Times New Roman" w:cs="Times New Roman"/>
          <w:iCs/>
          <w:sz w:val="24"/>
          <w:szCs w:val="24"/>
        </w:rPr>
      </w:pPr>
      <w:r w:rsidRPr="0015154B">
        <w:rPr>
          <w:rFonts w:ascii="Times New Roman" w:hAnsi="Times New Roman" w:cs="Times New Roman"/>
          <w:iCs/>
          <w:sz w:val="24"/>
          <w:szCs w:val="24"/>
        </w:rPr>
        <w:t>Jau kopš 2003.gada personām, kuras ir atkarīgas no psihoaktīvajām vielām, ir bijis pieejams valsts finansēts sociālās rehabilitācijas pakalpojums institūcijā un bērniem to ir nodrošinājuši dažādi pakalpojumu sniedzēji – gan pusaudžu kolektīvs “Saulrīti”, gan nodibinājums “Solis Piebalgā”</w:t>
      </w:r>
      <w:r w:rsidR="00BB3942" w:rsidRPr="0015154B">
        <w:rPr>
          <w:rFonts w:ascii="Times New Roman" w:hAnsi="Times New Roman" w:cs="Times New Roman"/>
          <w:iCs/>
          <w:sz w:val="24"/>
          <w:szCs w:val="24"/>
        </w:rPr>
        <w:t>.</w:t>
      </w:r>
      <w:r w:rsidRPr="0015154B">
        <w:rPr>
          <w:rFonts w:ascii="Times New Roman" w:hAnsi="Times New Roman" w:cs="Times New Roman"/>
          <w:iCs/>
          <w:sz w:val="24"/>
          <w:szCs w:val="24"/>
        </w:rPr>
        <w:t xml:space="preserve"> 2018.gadā, kad tika atklāts, ka nodibinājuma “Solis Piebalgā” sniegtais sociālās rehabilitācijas pakalpojums bērniem neatbilst kvalitātes prasībām, tika nolemts gan meklēt citu šī pakalpojuma sniedzēju, gan izveidot sociālās rehabilitācijas pakalpojumu bērniem un pusaudžiem, kuru varētu saņemt kā sabiedrībā balstītu pakalpojumu – bērnu dzīvesvietā, neizolējot bērnu no ierastās </w:t>
      </w:r>
      <w:r w:rsidR="00107DBE">
        <w:rPr>
          <w:rFonts w:ascii="Times New Roman" w:hAnsi="Times New Roman" w:cs="Times New Roman"/>
          <w:iCs/>
          <w:sz w:val="24"/>
          <w:szCs w:val="24"/>
        </w:rPr>
        <w:t>vides</w:t>
      </w:r>
      <w:r w:rsidRPr="0015154B">
        <w:rPr>
          <w:rFonts w:ascii="Times New Roman" w:hAnsi="Times New Roman" w:cs="Times New Roman"/>
          <w:iCs/>
          <w:sz w:val="24"/>
          <w:szCs w:val="24"/>
        </w:rPr>
        <w:t xml:space="preserve"> 12 mēnešu garumā</w:t>
      </w:r>
      <w:r w:rsidR="00107DBE">
        <w:rPr>
          <w:rFonts w:ascii="Times New Roman" w:hAnsi="Times New Roman" w:cs="Times New Roman"/>
          <w:iCs/>
          <w:sz w:val="24"/>
          <w:szCs w:val="24"/>
        </w:rPr>
        <w:t xml:space="preserve"> (izņemot gadījumus, ja šāda nepieciešamība tomēr pastāv)</w:t>
      </w:r>
      <w:r w:rsidRPr="0015154B">
        <w:rPr>
          <w:rFonts w:ascii="Times New Roman" w:hAnsi="Times New Roman" w:cs="Times New Roman"/>
          <w:iCs/>
          <w:sz w:val="24"/>
          <w:szCs w:val="24"/>
        </w:rPr>
        <w:t xml:space="preserve">. Tāpat diskusijās ar narkologiem tika secināts, ka par </w:t>
      </w:r>
      <w:r w:rsidRPr="0015154B">
        <w:rPr>
          <w:rFonts w:ascii="Times New Roman" w:hAnsi="Times New Roman" w:cs="Times New Roman"/>
          <w:iCs/>
          <w:sz w:val="24"/>
          <w:szCs w:val="24"/>
        </w:rPr>
        <w:lastRenderedPageBreak/>
        <w:t>arvien aktuālāku problēmu kļūst bērnu atkarība no mobilajiem telefoniem un datorspēlēm jeb atkarību izraisošiem procesiem.</w:t>
      </w:r>
    </w:p>
    <w:p w14:paraId="6A8817D8" w14:textId="353C2180" w:rsidR="00515A85" w:rsidRPr="0015154B" w:rsidRDefault="00515A85" w:rsidP="00AC38FA">
      <w:pPr>
        <w:spacing w:before="120" w:after="0" w:line="240" w:lineRule="auto"/>
        <w:ind w:firstLine="851"/>
        <w:jc w:val="both"/>
        <w:rPr>
          <w:rFonts w:ascii="Times New Roman" w:hAnsi="Times New Roman" w:cs="Times New Roman"/>
          <w:iCs/>
          <w:sz w:val="24"/>
          <w:szCs w:val="24"/>
        </w:rPr>
      </w:pPr>
      <w:r w:rsidRPr="0015154B">
        <w:rPr>
          <w:rFonts w:ascii="Times New Roman" w:hAnsi="Times New Roman" w:cs="Times New Roman"/>
          <w:iCs/>
          <w:sz w:val="24"/>
          <w:szCs w:val="24"/>
        </w:rPr>
        <w:t xml:space="preserve">Tāpēc </w:t>
      </w:r>
      <w:r w:rsidR="00BB3942" w:rsidRPr="0015154B">
        <w:rPr>
          <w:rFonts w:ascii="Times New Roman" w:hAnsi="Times New Roman" w:cs="Times New Roman"/>
          <w:iCs/>
          <w:sz w:val="24"/>
          <w:szCs w:val="24"/>
        </w:rPr>
        <w:t>LM</w:t>
      </w:r>
      <w:r w:rsidRPr="0015154B">
        <w:rPr>
          <w:rFonts w:ascii="Times New Roman" w:hAnsi="Times New Roman" w:cs="Times New Roman"/>
          <w:iCs/>
          <w:sz w:val="24"/>
          <w:szCs w:val="24"/>
        </w:rPr>
        <w:t xml:space="preserve"> sadarbībā ar nodibinājumu “Bērnu slimnīcas fonds” 2018.gadā uzsāka pilotprojektu ar mērķi izveidot valsts finansētu atbalsta programmu pusaudžiem un viņu vecākiem, kuri saskaras ar apreibinošo vielu un procesu lietošanu, bet kuriem nav nepieciešams saņemt ilgstošo – līdz 12 mēnešiem ilgu – programmu un speciālistu atbalstu institūcijā. Pilotprojekta rezultātā tika noskaidrots, kāda veida pakalpojums dzīvesvietā bērniem būtu piemērots, kā arī kāda būtu veiksmīga tā apmaksas kārtība.</w:t>
      </w:r>
    </w:p>
    <w:p w14:paraId="64026FE7" w14:textId="5C6CBCCD" w:rsidR="009978A2" w:rsidRPr="0015154B" w:rsidRDefault="009978A2" w:rsidP="00AC38FA">
      <w:pPr>
        <w:spacing w:before="120" w:after="0" w:line="240" w:lineRule="auto"/>
        <w:ind w:firstLine="851"/>
        <w:jc w:val="both"/>
        <w:rPr>
          <w:rFonts w:ascii="Times New Roman" w:hAnsi="Times New Roman" w:cs="Times New Roman"/>
          <w:iCs/>
          <w:sz w:val="24"/>
          <w:szCs w:val="24"/>
        </w:rPr>
      </w:pPr>
      <w:r w:rsidRPr="0015154B">
        <w:rPr>
          <w:rFonts w:ascii="Times New Roman" w:hAnsi="Times New Roman" w:cs="Times New Roman"/>
          <w:b/>
          <w:iCs/>
          <w:sz w:val="24"/>
          <w:szCs w:val="24"/>
        </w:rPr>
        <w:t>Pakalpojumu dzīvesvietā</w:t>
      </w:r>
      <w:r w:rsidRPr="0015154B">
        <w:rPr>
          <w:rFonts w:ascii="Times New Roman" w:hAnsi="Times New Roman" w:cs="Times New Roman"/>
          <w:iCs/>
          <w:sz w:val="24"/>
          <w:szCs w:val="24"/>
        </w:rPr>
        <w:t xml:space="preserve"> šobrīd nodrošina Bērnu slimnīcas fonda izveidotais “Pusaudžu resursu centrs”, kur</w:t>
      </w:r>
      <w:r w:rsidR="00E12C49">
        <w:rPr>
          <w:rFonts w:ascii="Times New Roman" w:hAnsi="Times New Roman" w:cs="Times New Roman"/>
          <w:iCs/>
          <w:sz w:val="24"/>
          <w:szCs w:val="24"/>
        </w:rPr>
        <w:t>a</w:t>
      </w:r>
      <w:r w:rsidRPr="0015154B">
        <w:rPr>
          <w:rFonts w:ascii="Times New Roman" w:hAnsi="Times New Roman" w:cs="Times New Roman"/>
          <w:iCs/>
          <w:sz w:val="24"/>
          <w:szCs w:val="24"/>
        </w:rPr>
        <w:t xml:space="preserve"> filiālēs Rīgā un Liepājā bērniem nodrošina mentora, sociālā darbinieka, psihologa, bērnu psihiatra un narkologa pakalpojumus gan individuāli, gan grupās. Vidēji gadā šajā pakalpojumā ir bijis iespējams uzņemt 200 bērnus, kuriem bieži ir nepieciešams atbalsts ne tikai atkarību novēršanai, bet arī speciālistu palīdzība gan bērnam, gan viņa ģimenei tieši uzvedības problēmu dēļ.</w:t>
      </w:r>
    </w:p>
    <w:p w14:paraId="4C8BE821" w14:textId="77777777" w:rsidR="009978A2" w:rsidRPr="0015154B" w:rsidRDefault="009978A2" w:rsidP="00AC38FA">
      <w:pPr>
        <w:spacing w:before="120" w:after="0" w:line="240" w:lineRule="auto"/>
        <w:ind w:firstLine="851"/>
        <w:jc w:val="both"/>
        <w:rPr>
          <w:rFonts w:ascii="Times New Roman" w:hAnsi="Times New Roman" w:cs="Times New Roman"/>
          <w:iCs/>
          <w:sz w:val="24"/>
          <w:szCs w:val="24"/>
        </w:rPr>
      </w:pPr>
      <w:r w:rsidRPr="0015154B">
        <w:rPr>
          <w:rFonts w:ascii="Times New Roman" w:hAnsi="Times New Roman" w:cs="Times New Roman"/>
          <w:b/>
          <w:iCs/>
          <w:sz w:val="24"/>
          <w:szCs w:val="24"/>
        </w:rPr>
        <w:t>Pakalpojumu institūcijā</w:t>
      </w:r>
      <w:r w:rsidRPr="0015154B">
        <w:rPr>
          <w:rFonts w:ascii="Times New Roman" w:hAnsi="Times New Roman" w:cs="Times New Roman"/>
          <w:iCs/>
          <w:sz w:val="24"/>
          <w:szCs w:val="24"/>
        </w:rPr>
        <w:t xml:space="preserve"> nodrošina slimnīca “Ģintermuiža”, kuri ilgstošākā laika periodā sniedz atbalstu bērniem, kuriem jau ir izveidojusies atkarība no psihoaktīvām vielām vai procesiem, tāpat piedāvājot sociālā darbinieka, psihologa, bērnu psihiatra un narkologa pakalpojumus bērniem gan individuāli, gan grupās, kā arī rūpējas par to, lai bērni turpinātu saņemt gan izglītības pakalpojumus, gan iespēju saturīgi pavadīt brīvo laiku. Šis pakalpojums tiek nodrošināts no 20 līdz 60 bērniem gadā.</w:t>
      </w:r>
    </w:p>
    <w:p w14:paraId="2E551374" w14:textId="1F88238C" w:rsidR="009978A2" w:rsidRPr="0015154B" w:rsidRDefault="009978A2" w:rsidP="00AC38FA">
      <w:pPr>
        <w:spacing w:before="120" w:after="0" w:line="240" w:lineRule="auto"/>
        <w:ind w:firstLine="851"/>
        <w:jc w:val="both"/>
        <w:rPr>
          <w:rFonts w:ascii="Times New Roman" w:hAnsi="Times New Roman" w:cs="Times New Roman"/>
          <w:iCs/>
          <w:sz w:val="24"/>
          <w:szCs w:val="24"/>
        </w:rPr>
      </w:pPr>
      <w:r w:rsidRPr="0015154B">
        <w:rPr>
          <w:rFonts w:ascii="Times New Roman" w:hAnsi="Times New Roman" w:cs="Times New Roman"/>
          <w:iCs/>
          <w:sz w:val="24"/>
          <w:szCs w:val="24"/>
        </w:rPr>
        <w:t>Pilngadīgām personām tiek nodrošināts tikai pakalpojums institūcijā (līdz 12 mēnešiem, pakalpojumu sniedz VSIA “Slimnīca Ģintermuiža”), pakalpojumu dzīvesvietā plānots sniegt no 202</w:t>
      </w:r>
      <w:r w:rsidR="004F3734">
        <w:rPr>
          <w:rFonts w:ascii="Times New Roman" w:hAnsi="Times New Roman" w:cs="Times New Roman"/>
          <w:iCs/>
          <w:sz w:val="24"/>
          <w:szCs w:val="24"/>
        </w:rPr>
        <w:t>2</w:t>
      </w:r>
      <w:r w:rsidRPr="0015154B">
        <w:rPr>
          <w:rFonts w:ascii="Times New Roman" w:hAnsi="Times New Roman" w:cs="Times New Roman"/>
          <w:iCs/>
          <w:sz w:val="24"/>
          <w:szCs w:val="24"/>
        </w:rPr>
        <w:t>.gada 1.janvāra.</w:t>
      </w:r>
    </w:p>
    <w:p w14:paraId="1ADFC24A" w14:textId="152D4855" w:rsidR="00232468" w:rsidRPr="0015154B" w:rsidRDefault="00232468" w:rsidP="00232468">
      <w:pPr>
        <w:spacing w:after="0" w:line="240" w:lineRule="auto"/>
        <w:jc w:val="both"/>
        <w:rPr>
          <w:rFonts w:ascii="Times New Roman" w:hAnsi="Times New Roman" w:cs="Times New Roman"/>
          <w:iCs/>
          <w:sz w:val="24"/>
          <w:szCs w:val="24"/>
        </w:rPr>
      </w:pPr>
    </w:p>
    <w:p w14:paraId="053CA83E" w14:textId="00000D6C" w:rsidR="00232468" w:rsidRPr="0015154B" w:rsidRDefault="00534F50" w:rsidP="00232468">
      <w:pPr>
        <w:spacing w:after="0" w:line="240" w:lineRule="auto"/>
        <w:jc w:val="both"/>
        <w:rPr>
          <w:rFonts w:ascii="Times New Roman" w:hAnsi="Times New Roman" w:cs="Times New Roman"/>
          <w:iCs/>
          <w:sz w:val="24"/>
          <w:szCs w:val="24"/>
          <w:highlight w:val="yellow"/>
        </w:rPr>
      </w:pPr>
      <w:r>
        <w:rPr>
          <w:rFonts w:ascii="Times New Roman" w:hAnsi="Times New Roman" w:cs="Times New Roman"/>
          <w:iCs/>
          <w:sz w:val="24"/>
          <w:szCs w:val="24"/>
          <w:highlight w:val="yellow"/>
        </w:rPr>
        <w:t>20</w:t>
      </w:r>
      <w:r w:rsidR="00232468" w:rsidRPr="0015154B">
        <w:rPr>
          <w:rFonts w:ascii="Times New Roman" w:hAnsi="Times New Roman" w:cs="Times New Roman"/>
          <w:iCs/>
          <w:sz w:val="24"/>
          <w:szCs w:val="24"/>
          <w:highlight w:val="yellow"/>
        </w:rPr>
        <w:t>.tabula</w:t>
      </w:r>
    </w:p>
    <w:p w14:paraId="3A148AE9" w14:textId="77777777" w:rsidR="0087012C" w:rsidRPr="0015154B" w:rsidRDefault="0087012C" w:rsidP="0087012C">
      <w:pPr>
        <w:spacing w:after="0" w:line="240" w:lineRule="auto"/>
        <w:jc w:val="center"/>
        <w:rPr>
          <w:rFonts w:ascii="Times New Roman" w:hAnsi="Times New Roman" w:cs="Times New Roman"/>
          <w:b/>
          <w:iCs/>
          <w:color w:val="002060"/>
          <w:sz w:val="24"/>
          <w:szCs w:val="24"/>
        </w:rPr>
      </w:pPr>
      <w:r w:rsidRPr="0015154B">
        <w:rPr>
          <w:rFonts w:ascii="Times New Roman" w:hAnsi="Times New Roman" w:cs="Times New Roman"/>
          <w:b/>
          <w:iCs/>
          <w:color w:val="002060"/>
          <w:sz w:val="24"/>
          <w:szCs w:val="24"/>
        </w:rPr>
        <w:t>Personu skaits, kuri ir saņēmuši sociālās rehabilitācijas pakalpojumu kā personas, kuras ir atkarīgas no psihoaktīvām vielām, un pakalpojumam izlietotais valsts finansējums</w:t>
      </w:r>
    </w:p>
    <w:p w14:paraId="10D81E56" w14:textId="77777777" w:rsidR="009978A2" w:rsidRPr="0015154B" w:rsidRDefault="009978A2" w:rsidP="001A0E9C">
      <w:pPr>
        <w:spacing w:after="0" w:line="240" w:lineRule="auto"/>
        <w:rPr>
          <w:rFonts w:ascii="Times New Roman" w:hAnsi="Times New Roman" w:cs="Times New Roman"/>
          <w:sz w:val="24"/>
          <w:szCs w:val="24"/>
        </w:rPr>
      </w:pPr>
    </w:p>
    <w:tbl>
      <w:tblPr>
        <w:tblStyle w:val="TableGrid"/>
        <w:tblW w:w="5382" w:type="pct"/>
        <w:tblLook w:val="04A0" w:firstRow="1" w:lastRow="0" w:firstColumn="1" w:lastColumn="0" w:noHBand="0" w:noVBand="1"/>
      </w:tblPr>
      <w:tblGrid>
        <w:gridCol w:w="2953"/>
        <w:gridCol w:w="1161"/>
        <w:gridCol w:w="1141"/>
        <w:gridCol w:w="1088"/>
        <w:gridCol w:w="1188"/>
        <w:gridCol w:w="1124"/>
        <w:gridCol w:w="1098"/>
      </w:tblGrid>
      <w:tr w:rsidR="00825BD5" w:rsidRPr="0015154B" w14:paraId="1881938E" w14:textId="77777777" w:rsidTr="00534F50">
        <w:tc>
          <w:tcPr>
            <w:tcW w:w="1514" w:type="pct"/>
            <w:shd w:val="clear" w:color="auto" w:fill="E8F3D3" w:themeFill="accent2" w:themeFillTint="33"/>
          </w:tcPr>
          <w:p w14:paraId="4E1090E0" w14:textId="77777777" w:rsidR="009978A2" w:rsidRPr="0015154B" w:rsidRDefault="009978A2" w:rsidP="001A0E9C">
            <w:pPr>
              <w:rPr>
                <w:rFonts w:ascii="Times New Roman" w:hAnsi="Times New Roman" w:cs="Times New Roman"/>
                <w:b/>
                <w:bCs/>
                <w:color w:val="002060"/>
                <w:sz w:val="24"/>
                <w:szCs w:val="24"/>
              </w:rPr>
            </w:pPr>
          </w:p>
        </w:tc>
        <w:tc>
          <w:tcPr>
            <w:tcW w:w="595" w:type="pct"/>
            <w:shd w:val="clear" w:color="auto" w:fill="E8F3D3" w:themeFill="accent2" w:themeFillTint="33"/>
          </w:tcPr>
          <w:p w14:paraId="6C92ADB9" w14:textId="77777777" w:rsidR="009978A2" w:rsidRPr="0015154B" w:rsidRDefault="009978A2" w:rsidP="001A0E9C">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2014</w:t>
            </w:r>
          </w:p>
        </w:tc>
        <w:tc>
          <w:tcPr>
            <w:tcW w:w="585" w:type="pct"/>
            <w:shd w:val="clear" w:color="auto" w:fill="E8F3D3" w:themeFill="accent2" w:themeFillTint="33"/>
          </w:tcPr>
          <w:p w14:paraId="521F95EE" w14:textId="77777777" w:rsidR="009978A2" w:rsidRPr="0015154B" w:rsidRDefault="009978A2" w:rsidP="001A0E9C">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2015</w:t>
            </w:r>
          </w:p>
        </w:tc>
        <w:tc>
          <w:tcPr>
            <w:tcW w:w="558" w:type="pct"/>
            <w:shd w:val="clear" w:color="auto" w:fill="E8F3D3" w:themeFill="accent2" w:themeFillTint="33"/>
          </w:tcPr>
          <w:p w14:paraId="20C7B1E4" w14:textId="77777777" w:rsidR="009978A2" w:rsidRPr="0015154B" w:rsidRDefault="009978A2" w:rsidP="001A0E9C">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2016</w:t>
            </w:r>
          </w:p>
        </w:tc>
        <w:tc>
          <w:tcPr>
            <w:tcW w:w="609" w:type="pct"/>
            <w:shd w:val="clear" w:color="auto" w:fill="E8F3D3" w:themeFill="accent2" w:themeFillTint="33"/>
          </w:tcPr>
          <w:p w14:paraId="280036EB" w14:textId="77777777" w:rsidR="009978A2" w:rsidRPr="0015154B" w:rsidRDefault="009978A2" w:rsidP="001A0E9C">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2017</w:t>
            </w:r>
          </w:p>
        </w:tc>
        <w:tc>
          <w:tcPr>
            <w:tcW w:w="576" w:type="pct"/>
            <w:shd w:val="clear" w:color="auto" w:fill="E8F3D3" w:themeFill="accent2" w:themeFillTint="33"/>
          </w:tcPr>
          <w:p w14:paraId="2B47ACF7" w14:textId="77777777" w:rsidR="009978A2" w:rsidRPr="0015154B" w:rsidRDefault="009978A2" w:rsidP="001A0E9C">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2018</w:t>
            </w:r>
          </w:p>
        </w:tc>
        <w:tc>
          <w:tcPr>
            <w:tcW w:w="563" w:type="pct"/>
            <w:shd w:val="clear" w:color="auto" w:fill="E8F3D3" w:themeFill="accent2" w:themeFillTint="33"/>
          </w:tcPr>
          <w:p w14:paraId="77C3402A" w14:textId="77777777" w:rsidR="009978A2" w:rsidRPr="0015154B" w:rsidRDefault="009978A2" w:rsidP="001A0E9C">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2019</w:t>
            </w:r>
          </w:p>
        </w:tc>
      </w:tr>
      <w:tr w:rsidR="009978A2" w:rsidRPr="0015154B" w14:paraId="7D75BFB8" w14:textId="77777777" w:rsidTr="00534F50">
        <w:trPr>
          <w:trHeight w:val="984"/>
        </w:trPr>
        <w:tc>
          <w:tcPr>
            <w:tcW w:w="1514" w:type="pct"/>
            <w:shd w:val="clear" w:color="auto" w:fill="E8F3D3" w:themeFill="accent2" w:themeFillTint="33"/>
            <w:hideMark/>
          </w:tcPr>
          <w:p w14:paraId="3E0671A6" w14:textId="77777777" w:rsidR="009978A2" w:rsidRPr="0015154B" w:rsidRDefault="009978A2" w:rsidP="001A0E9C">
            <w:pPr>
              <w:rPr>
                <w:rFonts w:ascii="Times New Roman" w:eastAsia="Times New Roman" w:hAnsi="Times New Roman" w:cs="Times New Roman"/>
                <w:b/>
                <w:bCs/>
                <w:color w:val="002060"/>
                <w:sz w:val="24"/>
                <w:szCs w:val="24"/>
                <w:lang w:eastAsia="lv-LV"/>
              </w:rPr>
            </w:pPr>
            <w:r w:rsidRPr="0015154B">
              <w:rPr>
                <w:rFonts w:ascii="Times New Roman" w:eastAsia="Times New Roman" w:hAnsi="Times New Roman" w:cs="Times New Roman"/>
                <w:b/>
                <w:bCs/>
                <w:color w:val="002060"/>
                <w:sz w:val="24"/>
                <w:szCs w:val="24"/>
                <w:lang w:eastAsia="lv-LV"/>
              </w:rPr>
              <w:t>Sociālās rehabilitācijas pakalpojumu saņēmušo personu skaits</w:t>
            </w:r>
          </w:p>
        </w:tc>
        <w:tc>
          <w:tcPr>
            <w:tcW w:w="595" w:type="pct"/>
          </w:tcPr>
          <w:p w14:paraId="1842B696" w14:textId="77777777" w:rsidR="009978A2" w:rsidRPr="0015154B" w:rsidRDefault="009978A2" w:rsidP="001A0E9C">
            <w:pPr>
              <w:jc w:val="center"/>
              <w:rPr>
                <w:rFonts w:ascii="Times New Roman" w:eastAsia="Times New Roman" w:hAnsi="Times New Roman" w:cs="Times New Roman"/>
                <w:sz w:val="24"/>
                <w:szCs w:val="24"/>
                <w:lang w:eastAsia="lv-LV"/>
              </w:rPr>
            </w:pPr>
          </w:p>
        </w:tc>
        <w:tc>
          <w:tcPr>
            <w:tcW w:w="585" w:type="pct"/>
          </w:tcPr>
          <w:p w14:paraId="526364B2" w14:textId="77777777" w:rsidR="009978A2" w:rsidRPr="0015154B" w:rsidRDefault="009978A2" w:rsidP="001A0E9C">
            <w:pPr>
              <w:jc w:val="center"/>
              <w:rPr>
                <w:rFonts w:ascii="Times New Roman" w:eastAsia="Times New Roman" w:hAnsi="Times New Roman" w:cs="Times New Roman"/>
                <w:sz w:val="24"/>
                <w:szCs w:val="24"/>
                <w:lang w:eastAsia="lv-LV"/>
              </w:rPr>
            </w:pPr>
          </w:p>
        </w:tc>
        <w:tc>
          <w:tcPr>
            <w:tcW w:w="558" w:type="pct"/>
          </w:tcPr>
          <w:p w14:paraId="4A1AD016" w14:textId="77777777" w:rsidR="009978A2" w:rsidRPr="0015154B" w:rsidRDefault="009978A2" w:rsidP="001A0E9C">
            <w:pPr>
              <w:rPr>
                <w:rFonts w:ascii="Times New Roman" w:eastAsia="Times New Roman" w:hAnsi="Times New Roman" w:cs="Times New Roman"/>
                <w:sz w:val="24"/>
                <w:szCs w:val="24"/>
                <w:lang w:eastAsia="lv-LV"/>
              </w:rPr>
            </w:pPr>
          </w:p>
        </w:tc>
        <w:tc>
          <w:tcPr>
            <w:tcW w:w="609" w:type="pct"/>
          </w:tcPr>
          <w:p w14:paraId="01ADCA84" w14:textId="77777777" w:rsidR="009978A2" w:rsidRPr="0015154B" w:rsidRDefault="009978A2" w:rsidP="001A0E9C">
            <w:pPr>
              <w:jc w:val="center"/>
              <w:rPr>
                <w:rFonts w:ascii="Times New Roman" w:eastAsia="Times New Roman" w:hAnsi="Times New Roman" w:cs="Times New Roman"/>
                <w:sz w:val="24"/>
                <w:szCs w:val="24"/>
                <w:lang w:eastAsia="lv-LV"/>
              </w:rPr>
            </w:pPr>
          </w:p>
        </w:tc>
        <w:tc>
          <w:tcPr>
            <w:tcW w:w="576" w:type="pct"/>
          </w:tcPr>
          <w:p w14:paraId="033EDA5C" w14:textId="77777777" w:rsidR="009978A2" w:rsidRPr="0015154B" w:rsidRDefault="009978A2" w:rsidP="001A0E9C">
            <w:pPr>
              <w:jc w:val="center"/>
              <w:rPr>
                <w:rFonts w:ascii="Times New Roman" w:eastAsia="Times New Roman" w:hAnsi="Times New Roman" w:cs="Times New Roman"/>
                <w:sz w:val="24"/>
                <w:szCs w:val="24"/>
                <w:lang w:eastAsia="lv-LV"/>
              </w:rPr>
            </w:pPr>
          </w:p>
        </w:tc>
        <w:tc>
          <w:tcPr>
            <w:tcW w:w="563" w:type="pct"/>
          </w:tcPr>
          <w:p w14:paraId="1D4BBBF1" w14:textId="77777777" w:rsidR="009978A2" w:rsidRPr="0015154B" w:rsidRDefault="009978A2" w:rsidP="001A0E9C">
            <w:pPr>
              <w:jc w:val="center"/>
              <w:rPr>
                <w:rFonts w:ascii="Times New Roman" w:eastAsia="Times New Roman" w:hAnsi="Times New Roman" w:cs="Times New Roman"/>
                <w:sz w:val="24"/>
                <w:szCs w:val="24"/>
                <w:lang w:eastAsia="lv-LV"/>
              </w:rPr>
            </w:pPr>
          </w:p>
        </w:tc>
      </w:tr>
      <w:tr w:rsidR="009978A2" w:rsidRPr="0015154B" w14:paraId="6EC2C996" w14:textId="77777777" w:rsidTr="00534F50">
        <w:tc>
          <w:tcPr>
            <w:tcW w:w="1514" w:type="pct"/>
            <w:shd w:val="clear" w:color="auto" w:fill="E8F3D3" w:themeFill="accent2" w:themeFillTint="33"/>
          </w:tcPr>
          <w:p w14:paraId="2948F0BA" w14:textId="77777777" w:rsidR="009978A2" w:rsidRPr="0015154B" w:rsidRDefault="009978A2" w:rsidP="001A0E9C">
            <w:pPr>
              <w:rPr>
                <w:rFonts w:ascii="Times New Roman" w:hAnsi="Times New Roman" w:cs="Times New Roman"/>
                <w:bCs/>
                <w:color w:val="002060"/>
                <w:sz w:val="24"/>
                <w:szCs w:val="24"/>
              </w:rPr>
            </w:pPr>
            <w:r w:rsidRPr="0015154B">
              <w:rPr>
                <w:rFonts w:ascii="Times New Roman" w:hAnsi="Times New Roman" w:cs="Times New Roman"/>
                <w:bCs/>
                <w:color w:val="002060"/>
                <w:sz w:val="24"/>
                <w:szCs w:val="24"/>
              </w:rPr>
              <w:t>Bērni</w:t>
            </w:r>
          </w:p>
        </w:tc>
        <w:tc>
          <w:tcPr>
            <w:tcW w:w="595" w:type="pct"/>
          </w:tcPr>
          <w:p w14:paraId="6E47E536"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39</w:t>
            </w:r>
          </w:p>
        </w:tc>
        <w:tc>
          <w:tcPr>
            <w:tcW w:w="585" w:type="pct"/>
          </w:tcPr>
          <w:p w14:paraId="57313A0F"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40</w:t>
            </w:r>
          </w:p>
        </w:tc>
        <w:tc>
          <w:tcPr>
            <w:tcW w:w="558" w:type="pct"/>
          </w:tcPr>
          <w:p w14:paraId="168D2B97"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63</w:t>
            </w:r>
          </w:p>
        </w:tc>
        <w:tc>
          <w:tcPr>
            <w:tcW w:w="609" w:type="pct"/>
          </w:tcPr>
          <w:p w14:paraId="40CE070A"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65</w:t>
            </w:r>
          </w:p>
        </w:tc>
        <w:tc>
          <w:tcPr>
            <w:tcW w:w="576" w:type="pct"/>
          </w:tcPr>
          <w:p w14:paraId="3AF0D38A"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79</w:t>
            </w:r>
          </w:p>
        </w:tc>
        <w:tc>
          <w:tcPr>
            <w:tcW w:w="563" w:type="pct"/>
          </w:tcPr>
          <w:p w14:paraId="43F024DB"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239</w:t>
            </w:r>
          </w:p>
        </w:tc>
      </w:tr>
      <w:tr w:rsidR="009978A2" w:rsidRPr="0015154B" w14:paraId="32D13138" w14:textId="77777777" w:rsidTr="00534F50">
        <w:tc>
          <w:tcPr>
            <w:tcW w:w="1514" w:type="pct"/>
            <w:shd w:val="clear" w:color="auto" w:fill="E8F3D3" w:themeFill="accent2" w:themeFillTint="33"/>
          </w:tcPr>
          <w:p w14:paraId="41BC6C23" w14:textId="77777777" w:rsidR="009978A2" w:rsidRPr="0015154B" w:rsidRDefault="009978A2" w:rsidP="00974071">
            <w:pPr>
              <w:pStyle w:val="ListParagraph"/>
              <w:numPr>
                <w:ilvl w:val="0"/>
                <w:numId w:val="32"/>
              </w:numPr>
              <w:contextualSpacing w:val="0"/>
              <w:rPr>
                <w:rFonts w:ascii="Times New Roman" w:hAnsi="Times New Roman" w:cs="Times New Roman"/>
                <w:bCs/>
                <w:color w:val="002060"/>
                <w:sz w:val="24"/>
                <w:szCs w:val="24"/>
              </w:rPr>
            </w:pPr>
            <w:r w:rsidRPr="0015154B">
              <w:rPr>
                <w:rFonts w:ascii="Times New Roman" w:hAnsi="Times New Roman" w:cs="Times New Roman"/>
                <w:bCs/>
                <w:color w:val="002060"/>
                <w:sz w:val="24"/>
                <w:szCs w:val="24"/>
              </w:rPr>
              <w:t>institūcijā</w:t>
            </w:r>
          </w:p>
        </w:tc>
        <w:tc>
          <w:tcPr>
            <w:tcW w:w="595" w:type="pct"/>
          </w:tcPr>
          <w:p w14:paraId="748D633D"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39</w:t>
            </w:r>
          </w:p>
        </w:tc>
        <w:tc>
          <w:tcPr>
            <w:tcW w:w="585" w:type="pct"/>
          </w:tcPr>
          <w:p w14:paraId="6F2503E8"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40</w:t>
            </w:r>
          </w:p>
        </w:tc>
        <w:tc>
          <w:tcPr>
            <w:tcW w:w="558" w:type="pct"/>
          </w:tcPr>
          <w:p w14:paraId="7A13D915"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63</w:t>
            </w:r>
          </w:p>
        </w:tc>
        <w:tc>
          <w:tcPr>
            <w:tcW w:w="609" w:type="pct"/>
          </w:tcPr>
          <w:p w14:paraId="667BF9EE"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65</w:t>
            </w:r>
          </w:p>
        </w:tc>
        <w:tc>
          <w:tcPr>
            <w:tcW w:w="576" w:type="pct"/>
          </w:tcPr>
          <w:p w14:paraId="3D3010AE"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21</w:t>
            </w:r>
          </w:p>
        </w:tc>
        <w:tc>
          <w:tcPr>
            <w:tcW w:w="563" w:type="pct"/>
          </w:tcPr>
          <w:p w14:paraId="77FCA84B"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22</w:t>
            </w:r>
          </w:p>
        </w:tc>
      </w:tr>
      <w:tr w:rsidR="009978A2" w:rsidRPr="0015154B" w14:paraId="27F1A0A1" w14:textId="77777777" w:rsidTr="00534F50">
        <w:tc>
          <w:tcPr>
            <w:tcW w:w="1514" w:type="pct"/>
            <w:shd w:val="clear" w:color="auto" w:fill="E8F3D3" w:themeFill="accent2" w:themeFillTint="33"/>
          </w:tcPr>
          <w:p w14:paraId="1E5A0172" w14:textId="77777777" w:rsidR="009978A2" w:rsidRPr="0015154B" w:rsidRDefault="009978A2" w:rsidP="00974071">
            <w:pPr>
              <w:pStyle w:val="ListParagraph"/>
              <w:numPr>
                <w:ilvl w:val="0"/>
                <w:numId w:val="32"/>
              </w:numPr>
              <w:contextualSpacing w:val="0"/>
              <w:rPr>
                <w:rFonts w:ascii="Times New Roman" w:hAnsi="Times New Roman" w:cs="Times New Roman"/>
                <w:bCs/>
                <w:color w:val="002060"/>
                <w:sz w:val="24"/>
                <w:szCs w:val="24"/>
              </w:rPr>
            </w:pPr>
            <w:r w:rsidRPr="0015154B">
              <w:rPr>
                <w:rFonts w:ascii="Times New Roman" w:hAnsi="Times New Roman" w:cs="Times New Roman"/>
                <w:bCs/>
                <w:color w:val="002060"/>
                <w:sz w:val="24"/>
                <w:szCs w:val="24"/>
              </w:rPr>
              <w:t>dzīvesvietā</w:t>
            </w:r>
          </w:p>
        </w:tc>
        <w:tc>
          <w:tcPr>
            <w:tcW w:w="595" w:type="pct"/>
          </w:tcPr>
          <w:p w14:paraId="7DF62C8E"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w:t>
            </w:r>
          </w:p>
        </w:tc>
        <w:tc>
          <w:tcPr>
            <w:tcW w:w="585" w:type="pct"/>
          </w:tcPr>
          <w:p w14:paraId="681841FD"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w:t>
            </w:r>
          </w:p>
        </w:tc>
        <w:tc>
          <w:tcPr>
            <w:tcW w:w="558" w:type="pct"/>
          </w:tcPr>
          <w:p w14:paraId="05A8713D"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w:t>
            </w:r>
          </w:p>
        </w:tc>
        <w:tc>
          <w:tcPr>
            <w:tcW w:w="609" w:type="pct"/>
          </w:tcPr>
          <w:p w14:paraId="2A0CDAF9"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w:t>
            </w:r>
          </w:p>
        </w:tc>
        <w:tc>
          <w:tcPr>
            <w:tcW w:w="576" w:type="pct"/>
          </w:tcPr>
          <w:p w14:paraId="4A394392"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58</w:t>
            </w:r>
          </w:p>
        </w:tc>
        <w:tc>
          <w:tcPr>
            <w:tcW w:w="563" w:type="pct"/>
          </w:tcPr>
          <w:p w14:paraId="11E20BF6"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217</w:t>
            </w:r>
          </w:p>
        </w:tc>
      </w:tr>
      <w:tr w:rsidR="009978A2" w:rsidRPr="0015154B" w14:paraId="221BD0E4" w14:textId="77777777" w:rsidTr="00534F50">
        <w:tc>
          <w:tcPr>
            <w:tcW w:w="1514" w:type="pct"/>
            <w:shd w:val="clear" w:color="auto" w:fill="E8F3D3" w:themeFill="accent2" w:themeFillTint="33"/>
          </w:tcPr>
          <w:p w14:paraId="7BAC062B" w14:textId="77777777" w:rsidR="009978A2" w:rsidRPr="0015154B" w:rsidRDefault="009978A2" w:rsidP="001A0E9C">
            <w:pPr>
              <w:rPr>
                <w:rFonts w:ascii="Times New Roman" w:hAnsi="Times New Roman" w:cs="Times New Roman"/>
                <w:bCs/>
                <w:color w:val="002060"/>
                <w:sz w:val="24"/>
                <w:szCs w:val="24"/>
              </w:rPr>
            </w:pPr>
            <w:r w:rsidRPr="0015154B">
              <w:rPr>
                <w:rFonts w:ascii="Times New Roman" w:hAnsi="Times New Roman" w:cs="Times New Roman"/>
                <w:bCs/>
                <w:color w:val="002060"/>
                <w:sz w:val="24"/>
                <w:szCs w:val="24"/>
              </w:rPr>
              <w:t>Pilngadīgas personas</w:t>
            </w:r>
          </w:p>
        </w:tc>
        <w:tc>
          <w:tcPr>
            <w:tcW w:w="595" w:type="pct"/>
          </w:tcPr>
          <w:p w14:paraId="11759CFB"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14</w:t>
            </w:r>
          </w:p>
        </w:tc>
        <w:tc>
          <w:tcPr>
            <w:tcW w:w="585" w:type="pct"/>
          </w:tcPr>
          <w:p w14:paraId="6813F850"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14</w:t>
            </w:r>
          </w:p>
        </w:tc>
        <w:tc>
          <w:tcPr>
            <w:tcW w:w="558" w:type="pct"/>
          </w:tcPr>
          <w:p w14:paraId="6129F891"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12</w:t>
            </w:r>
          </w:p>
        </w:tc>
        <w:tc>
          <w:tcPr>
            <w:tcW w:w="609" w:type="pct"/>
          </w:tcPr>
          <w:p w14:paraId="2231B4E9"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14</w:t>
            </w:r>
          </w:p>
        </w:tc>
        <w:tc>
          <w:tcPr>
            <w:tcW w:w="576" w:type="pct"/>
          </w:tcPr>
          <w:p w14:paraId="67F60723"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13</w:t>
            </w:r>
          </w:p>
        </w:tc>
        <w:tc>
          <w:tcPr>
            <w:tcW w:w="563" w:type="pct"/>
          </w:tcPr>
          <w:p w14:paraId="647CC844"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20</w:t>
            </w:r>
          </w:p>
        </w:tc>
      </w:tr>
      <w:tr w:rsidR="009978A2" w:rsidRPr="0015154B" w14:paraId="1B24A4D8" w14:textId="77777777" w:rsidTr="00534F50">
        <w:tc>
          <w:tcPr>
            <w:tcW w:w="1514" w:type="pct"/>
            <w:shd w:val="clear" w:color="auto" w:fill="E8F3D3" w:themeFill="accent2" w:themeFillTint="33"/>
          </w:tcPr>
          <w:p w14:paraId="20297BCB" w14:textId="233F70A0" w:rsidR="009978A2" w:rsidRPr="0015154B" w:rsidRDefault="009978A2" w:rsidP="001A0E9C">
            <w:pPr>
              <w:rPr>
                <w:rFonts w:ascii="Times New Roman" w:hAnsi="Times New Roman" w:cs="Times New Roman"/>
                <w:bCs/>
                <w:color w:val="002060"/>
                <w:sz w:val="24"/>
                <w:szCs w:val="24"/>
              </w:rPr>
            </w:pPr>
            <w:r w:rsidRPr="0015154B">
              <w:rPr>
                <w:rFonts w:ascii="Times New Roman" w:hAnsi="Times New Roman" w:cs="Times New Roman"/>
                <w:b/>
                <w:bCs/>
                <w:color w:val="002060"/>
                <w:sz w:val="24"/>
                <w:szCs w:val="24"/>
              </w:rPr>
              <w:t xml:space="preserve">Finansējuma apjoms bērniem </w:t>
            </w:r>
            <w:r w:rsidRPr="00E07E75">
              <w:rPr>
                <w:rFonts w:ascii="Times New Roman" w:hAnsi="Times New Roman" w:cs="Times New Roman"/>
                <w:bCs/>
                <w:i/>
                <w:color w:val="002060"/>
                <w:sz w:val="24"/>
                <w:szCs w:val="24"/>
              </w:rPr>
              <w:t>e</w:t>
            </w:r>
            <w:r w:rsidR="00AC7FB3">
              <w:rPr>
                <w:rFonts w:ascii="Times New Roman" w:hAnsi="Times New Roman" w:cs="Times New Roman"/>
                <w:bCs/>
                <w:i/>
                <w:color w:val="002060"/>
                <w:sz w:val="24"/>
                <w:szCs w:val="24"/>
              </w:rPr>
              <w:t>i</w:t>
            </w:r>
            <w:r w:rsidRPr="00E07E75">
              <w:rPr>
                <w:rFonts w:ascii="Times New Roman" w:hAnsi="Times New Roman" w:cs="Times New Roman"/>
                <w:bCs/>
                <w:i/>
                <w:color w:val="002060"/>
                <w:sz w:val="24"/>
                <w:szCs w:val="24"/>
              </w:rPr>
              <w:t>ro</w:t>
            </w:r>
          </w:p>
        </w:tc>
        <w:tc>
          <w:tcPr>
            <w:tcW w:w="595" w:type="pct"/>
            <w:tcBorders>
              <w:top w:val="single" w:sz="4" w:space="0" w:color="auto"/>
              <w:left w:val="single" w:sz="4" w:space="0" w:color="auto"/>
              <w:bottom w:val="single" w:sz="4" w:space="0" w:color="auto"/>
              <w:right w:val="single" w:sz="4" w:space="0" w:color="auto"/>
            </w:tcBorders>
            <w:shd w:val="clear" w:color="000000" w:fill="FFFFFF"/>
          </w:tcPr>
          <w:p w14:paraId="727EE0BA"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77 777</w:t>
            </w:r>
          </w:p>
        </w:tc>
        <w:tc>
          <w:tcPr>
            <w:tcW w:w="585" w:type="pct"/>
            <w:tcBorders>
              <w:top w:val="single" w:sz="4" w:space="0" w:color="auto"/>
              <w:left w:val="nil"/>
              <w:bottom w:val="single" w:sz="4" w:space="0" w:color="auto"/>
              <w:right w:val="single" w:sz="4" w:space="0" w:color="auto"/>
            </w:tcBorders>
            <w:shd w:val="clear" w:color="000000" w:fill="FFFFFF"/>
          </w:tcPr>
          <w:p w14:paraId="08803270"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153 585</w:t>
            </w:r>
          </w:p>
        </w:tc>
        <w:tc>
          <w:tcPr>
            <w:tcW w:w="558" w:type="pct"/>
            <w:tcBorders>
              <w:top w:val="single" w:sz="4" w:space="0" w:color="auto"/>
              <w:left w:val="nil"/>
              <w:bottom w:val="single" w:sz="4" w:space="0" w:color="auto"/>
              <w:right w:val="single" w:sz="4" w:space="0" w:color="auto"/>
            </w:tcBorders>
            <w:shd w:val="clear" w:color="000000" w:fill="FFFFFF"/>
          </w:tcPr>
          <w:p w14:paraId="391BB7B2"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271 078</w:t>
            </w:r>
          </w:p>
          <w:p w14:paraId="77630CAA" w14:textId="77777777" w:rsidR="009978A2" w:rsidRPr="0015154B" w:rsidRDefault="009978A2" w:rsidP="001A0E9C">
            <w:pPr>
              <w:jc w:val="center"/>
              <w:rPr>
                <w:rFonts w:ascii="Times New Roman" w:hAnsi="Times New Roman" w:cs="Times New Roman"/>
                <w:sz w:val="24"/>
                <w:szCs w:val="24"/>
              </w:rPr>
            </w:pPr>
          </w:p>
        </w:tc>
        <w:tc>
          <w:tcPr>
            <w:tcW w:w="609" w:type="pct"/>
            <w:tcBorders>
              <w:top w:val="single" w:sz="4" w:space="0" w:color="auto"/>
              <w:left w:val="nil"/>
              <w:bottom w:val="single" w:sz="4" w:space="0" w:color="auto"/>
              <w:right w:val="single" w:sz="4" w:space="0" w:color="auto"/>
            </w:tcBorders>
            <w:shd w:val="clear" w:color="auto" w:fill="auto"/>
          </w:tcPr>
          <w:p w14:paraId="2DE9D044"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242 965</w:t>
            </w:r>
          </w:p>
          <w:p w14:paraId="7DE799F0" w14:textId="77777777" w:rsidR="009978A2" w:rsidRPr="0015154B" w:rsidRDefault="009978A2" w:rsidP="001A0E9C">
            <w:pPr>
              <w:jc w:val="center"/>
              <w:rPr>
                <w:rFonts w:ascii="Times New Roman" w:hAnsi="Times New Roman" w:cs="Times New Roman"/>
                <w:sz w:val="24"/>
                <w:szCs w:val="24"/>
              </w:rPr>
            </w:pPr>
          </w:p>
        </w:tc>
        <w:tc>
          <w:tcPr>
            <w:tcW w:w="576" w:type="pct"/>
            <w:tcBorders>
              <w:top w:val="single" w:sz="4" w:space="0" w:color="auto"/>
              <w:left w:val="nil"/>
              <w:bottom w:val="single" w:sz="4" w:space="0" w:color="auto"/>
              <w:right w:val="single" w:sz="4" w:space="0" w:color="auto"/>
            </w:tcBorders>
            <w:shd w:val="clear" w:color="auto" w:fill="auto"/>
          </w:tcPr>
          <w:p w14:paraId="39099934"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163 187</w:t>
            </w:r>
          </w:p>
          <w:p w14:paraId="40473409" w14:textId="77777777" w:rsidR="009978A2" w:rsidRPr="0015154B" w:rsidRDefault="009978A2" w:rsidP="001A0E9C">
            <w:pPr>
              <w:jc w:val="center"/>
              <w:rPr>
                <w:rFonts w:ascii="Times New Roman" w:hAnsi="Times New Roman" w:cs="Times New Roman"/>
                <w:sz w:val="24"/>
                <w:szCs w:val="24"/>
              </w:rPr>
            </w:pPr>
          </w:p>
        </w:tc>
        <w:tc>
          <w:tcPr>
            <w:tcW w:w="563" w:type="pct"/>
            <w:tcBorders>
              <w:top w:val="single" w:sz="4" w:space="0" w:color="auto"/>
              <w:left w:val="nil"/>
              <w:bottom w:val="single" w:sz="4" w:space="0" w:color="auto"/>
              <w:right w:val="single" w:sz="4" w:space="0" w:color="auto"/>
            </w:tcBorders>
            <w:shd w:val="clear" w:color="auto" w:fill="auto"/>
          </w:tcPr>
          <w:p w14:paraId="06A41670"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326 537</w:t>
            </w:r>
          </w:p>
          <w:p w14:paraId="5FFD8002" w14:textId="77777777" w:rsidR="009978A2" w:rsidRPr="0015154B" w:rsidRDefault="009978A2" w:rsidP="001A0E9C">
            <w:pPr>
              <w:jc w:val="center"/>
              <w:rPr>
                <w:rFonts w:ascii="Times New Roman" w:hAnsi="Times New Roman" w:cs="Times New Roman"/>
                <w:sz w:val="24"/>
                <w:szCs w:val="24"/>
              </w:rPr>
            </w:pPr>
          </w:p>
        </w:tc>
      </w:tr>
      <w:tr w:rsidR="009978A2" w:rsidRPr="0015154B" w14:paraId="5AEF9D88" w14:textId="77777777" w:rsidTr="00534F50">
        <w:tc>
          <w:tcPr>
            <w:tcW w:w="1514" w:type="pct"/>
            <w:shd w:val="clear" w:color="auto" w:fill="E8F3D3" w:themeFill="accent2" w:themeFillTint="33"/>
          </w:tcPr>
          <w:p w14:paraId="67D4BD52" w14:textId="7EE5491C" w:rsidR="009978A2" w:rsidRPr="0015154B" w:rsidRDefault="009978A2" w:rsidP="001A0E9C">
            <w:pP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 xml:space="preserve">Finansējuma apjoms pilngadīgām personām </w:t>
            </w:r>
            <w:r w:rsidRPr="00E07E75">
              <w:rPr>
                <w:rFonts w:ascii="Times New Roman" w:hAnsi="Times New Roman" w:cs="Times New Roman"/>
                <w:bCs/>
                <w:i/>
                <w:color w:val="002060"/>
                <w:sz w:val="24"/>
                <w:szCs w:val="24"/>
              </w:rPr>
              <w:t>e</w:t>
            </w:r>
            <w:r w:rsidR="00AC7FB3">
              <w:rPr>
                <w:rFonts w:ascii="Times New Roman" w:hAnsi="Times New Roman" w:cs="Times New Roman"/>
                <w:bCs/>
                <w:i/>
                <w:color w:val="002060"/>
                <w:sz w:val="24"/>
                <w:szCs w:val="24"/>
              </w:rPr>
              <w:t>i</w:t>
            </w:r>
            <w:r w:rsidRPr="00E07E75">
              <w:rPr>
                <w:rFonts w:ascii="Times New Roman" w:hAnsi="Times New Roman" w:cs="Times New Roman"/>
                <w:bCs/>
                <w:i/>
                <w:color w:val="002060"/>
                <w:sz w:val="24"/>
                <w:szCs w:val="24"/>
              </w:rPr>
              <w:t>ro</w:t>
            </w:r>
          </w:p>
        </w:tc>
        <w:tc>
          <w:tcPr>
            <w:tcW w:w="595" w:type="pct"/>
            <w:tcBorders>
              <w:top w:val="single" w:sz="4" w:space="0" w:color="auto"/>
              <w:left w:val="single" w:sz="4" w:space="0" w:color="auto"/>
              <w:bottom w:val="single" w:sz="4" w:space="0" w:color="auto"/>
              <w:right w:val="single" w:sz="4" w:space="0" w:color="auto"/>
            </w:tcBorders>
            <w:shd w:val="clear" w:color="000000" w:fill="FFFFFF"/>
          </w:tcPr>
          <w:p w14:paraId="676FDE3C"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80 128</w:t>
            </w:r>
          </w:p>
          <w:p w14:paraId="49AD8FC5" w14:textId="77777777" w:rsidR="009978A2" w:rsidRPr="0015154B" w:rsidRDefault="009978A2" w:rsidP="001A0E9C">
            <w:pPr>
              <w:jc w:val="center"/>
              <w:rPr>
                <w:rFonts w:ascii="Times New Roman" w:hAnsi="Times New Roman" w:cs="Times New Roman"/>
                <w:sz w:val="24"/>
                <w:szCs w:val="24"/>
              </w:rPr>
            </w:pPr>
          </w:p>
        </w:tc>
        <w:tc>
          <w:tcPr>
            <w:tcW w:w="585" w:type="pct"/>
            <w:tcBorders>
              <w:top w:val="single" w:sz="4" w:space="0" w:color="auto"/>
              <w:left w:val="nil"/>
              <w:bottom w:val="single" w:sz="4" w:space="0" w:color="auto"/>
              <w:right w:val="single" w:sz="4" w:space="0" w:color="auto"/>
            </w:tcBorders>
            <w:shd w:val="clear" w:color="000000" w:fill="FFFFFF"/>
          </w:tcPr>
          <w:p w14:paraId="22714898"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81 704</w:t>
            </w:r>
          </w:p>
          <w:p w14:paraId="6EFAA264" w14:textId="77777777" w:rsidR="009978A2" w:rsidRPr="0015154B" w:rsidRDefault="009978A2" w:rsidP="001A0E9C">
            <w:pPr>
              <w:jc w:val="center"/>
              <w:rPr>
                <w:rFonts w:ascii="Times New Roman" w:hAnsi="Times New Roman" w:cs="Times New Roman"/>
                <w:sz w:val="24"/>
                <w:szCs w:val="24"/>
              </w:rPr>
            </w:pPr>
          </w:p>
        </w:tc>
        <w:tc>
          <w:tcPr>
            <w:tcW w:w="558" w:type="pct"/>
            <w:tcBorders>
              <w:top w:val="single" w:sz="4" w:space="0" w:color="auto"/>
              <w:left w:val="nil"/>
              <w:bottom w:val="single" w:sz="4" w:space="0" w:color="auto"/>
              <w:right w:val="single" w:sz="4" w:space="0" w:color="auto"/>
            </w:tcBorders>
            <w:shd w:val="clear" w:color="000000" w:fill="FFFFFF"/>
          </w:tcPr>
          <w:p w14:paraId="2034D8DB"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81 830</w:t>
            </w:r>
          </w:p>
          <w:p w14:paraId="26700D39" w14:textId="77777777" w:rsidR="009978A2" w:rsidRPr="0015154B" w:rsidRDefault="009978A2" w:rsidP="001A0E9C">
            <w:pPr>
              <w:jc w:val="center"/>
              <w:rPr>
                <w:rFonts w:ascii="Times New Roman" w:hAnsi="Times New Roman" w:cs="Times New Roman"/>
                <w:sz w:val="24"/>
                <w:szCs w:val="24"/>
              </w:rPr>
            </w:pPr>
          </w:p>
        </w:tc>
        <w:tc>
          <w:tcPr>
            <w:tcW w:w="609" w:type="pct"/>
            <w:tcBorders>
              <w:top w:val="single" w:sz="4" w:space="0" w:color="auto"/>
              <w:left w:val="nil"/>
              <w:bottom w:val="single" w:sz="4" w:space="0" w:color="auto"/>
              <w:right w:val="single" w:sz="4" w:space="0" w:color="auto"/>
            </w:tcBorders>
            <w:shd w:val="clear" w:color="auto" w:fill="auto"/>
          </w:tcPr>
          <w:p w14:paraId="33B7F802"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76 427</w:t>
            </w:r>
          </w:p>
          <w:p w14:paraId="33B23653" w14:textId="77777777" w:rsidR="009978A2" w:rsidRPr="0015154B" w:rsidRDefault="009978A2" w:rsidP="001A0E9C">
            <w:pPr>
              <w:jc w:val="center"/>
              <w:rPr>
                <w:rFonts w:ascii="Times New Roman" w:hAnsi="Times New Roman" w:cs="Times New Roman"/>
                <w:sz w:val="24"/>
                <w:szCs w:val="24"/>
              </w:rPr>
            </w:pPr>
          </w:p>
        </w:tc>
        <w:tc>
          <w:tcPr>
            <w:tcW w:w="576" w:type="pct"/>
            <w:tcBorders>
              <w:top w:val="single" w:sz="4" w:space="0" w:color="auto"/>
              <w:left w:val="nil"/>
              <w:bottom w:val="single" w:sz="4" w:space="0" w:color="auto"/>
              <w:right w:val="single" w:sz="4" w:space="0" w:color="auto"/>
            </w:tcBorders>
            <w:shd w:val="clear" w:color="auto" w:fill="auto"/>
          </w:tcPr>
          <w:p w14:paraId="56DAE093"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89 099</w:t>
            </w:r>
          </w:p>
          <w:p w14:paraId="25E639C0" w14:textId="77777777" w:rsidR="009978A2" w:rsidRPr="0015154B" w:rsidRDefault="009978A2" w:rsidP="001A0E9C">
            <w:pPr>
              <w:jc w:val="center"/>
              <w:rPr>
                <w:rFonts w:ascii="Times New Roman" w:hAnsi="Times New Roman" w:cs="Times New Roman"/>
                <w:sz w:val="24"/>
                <w:szCs w:val="24"/>
              </w:rPr>
            </w:pPr>
          </w:p>
        </w:tc>
        <w:tc>
          <w:tcPr>
            <w:tcW w:w="563" w:type="pct"/>
            <w:tcBorders>
              <w:top w:val="single" w:sz="4" w:space="0" w:color="auto"/>
              <w:left w:val="nil"/>
              <w:bottom w:val="single" w:sz="4" w:space="0" w:color="auto"/>
              <w:right w:val="single" w:sz="4" w:space="0" w:color="auto"/>
            </w:tcBorders>
            <w:shd w:val="clear" w:color="auto" w:fill="auto"/>
          </w:tcPr>
          <w:p w14:paraId="0C424622" w14:textId="77777777" w:rsidR="009978A2" w:rsidRPr="0015154B" w:rsidRDefault="009978A2" w:rsidP="001A0E9C">
            <w:pPr>
              <w:jc w:val="center"/>
              <w:rPr>
                <w:rFonts w:ascii="Times New Roman" w:hAnsi="Times New Roman" w:cs="Times New Roman"/>
                <w:sz w:val="24"/>
                <w:szCs w:val="24"/>
              </w:rPr>
            </w:pPr>
            <w:r w:rsidRPr="0015154B">
              <w:rPr>
                <w:rFonts w:ascii="Times New Roman" w:hAnsi="Times New Roman" w:cs="Times New Roman"/>
                <w:sz w:val="24"/>
                <w:szCs w:val="24"/>
              </w:rPr>
              <w:t>137 210</w:t>
            </w:r>
          </w:p>
          <w:p w14:paraId="65892F7C" w14:textId="77777777" w:rsidR="009978A2" w:rsidRPr="0015154B" w:rsidRDefault="009978A2" w:rsidP="001A0E9C">
            <w:pPr>
              <w:jc w:val="center"/>
              <w:rPr>
                <w:rFonts w:ascii="Times New Roman" w:hAnsi="Times New Roman" w:cs="Times New Roman"/>
                <w:sz w:val="24"/>
                <w:szCs w:val="24"/>
              </w:rPr>
            </w:pPr>
          </w:p>
        </w:tc>
      </w:tr>
    </w:tbl>
    <w:p w14:paraId="16214680" w14:textId="6FD58537" w:rsidR="00E12C49" w:rsidRPr="00534F50" w:rsidRDefault="00534F50" w:rsidP="001A0E9C">
      <w:pPr>
        <w:spacing w:after="0" w:line="240" w:lineRule="auto"/>
        <w:jc w:val="both"/>
        <w:rPr>
          <w:rFonts w:ascii="Times New Roman" w:hAnsi="Times New Roman" w:cs="Times New Roman"/>
          <w:iCs/>
          <w:sz w:val="20"/>
          <w:szCs w:val="20"/>
        </w:rPr>
      </w:pPr>
      <w:r w:rsidRPr="00534F50">
        <w:rPr>
          <w:rFonts w:ascii="Times New Roman" w:hAnsi="Times New Roman" w:cs="Times New Roman"/>
          <w:iCs/>
          <w:sz w:val="20"/>
          <w:szCs w:val="20"/>
        </w:rPr>
        <w:t xml:space="preserve"> Datu avots: LM</w:t>
      </w:r>
    </w:p>
    <w:p w14:paraId="6D6485BD" w14:textId="77777777" w:rsidR="00534F50" w:rsidRDefault="00534F50" w:rsidP="001A0E9C">
      <w:pPr>
        <w:spacing w:after="0" w:line="240" w:lineRule="auto"/>
        <w:jc w:val="both"/>
        <w:rPr>
          <w:rFonts w:ascii="Times New Roman" w:hAnsi="Times New Roman" w:cs="Times New Roman"/>
          <w:iCs/>
          <w:sz w:val="24"/>
          <w:szCs w:val="24"/>
        </w:rPr>
      </w:pPr>
    </w:p>
    <w:p w14:paraId="633443B6" w14:textId="1BD22413" w:rsidR="009978A2" w:rsidRPr="0015154B" w:rsidRDefault="00E12C49" w:rsidP="00E12C49">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T</w:t>
      </w:r>
      <w:r w:rsidRPr="0015154B">
        <w:rPr>
          <w:rFonts w:ascii="Times New Roman" w:hAnsi="Times New Roman" w:cs="Times New Roman"/>
          <w:iCs/>
          <w:sz w:val="24"/>
          <w:szCs w:val="24"/>
        </w:rPr>
        <w:t xml:space="preserve">urpmāk </w:t>
      </w:r>
      <w:r>
        <w:rPr>
          <w:rFonts w:ascii="Times New Roman" w:hAnsi="Times New Roman" w:cs="Times New Roman"/>
          <w:iCs/>
          <w:sz w:val="24"/>
          <w:szCs w:val="24"/>
        </w:rPr>
        <w:t>n</w:t>
      </w:r>
      <w:r w:rsidR="009978A2" w:rsidRPr="0015154B">
        <w:rPr>
          <w:rFonts w:ascii="Times New Roman" w:hAnsi="Times New Roman" w:cs="Times New Roman"/>
          <w:iCs/>
          <w:sz w:val="24"/>
          <w:szCs w:val="24"/>
        </w:rPr>
        <w:t>epieciešams:</w:t>
      </w:r>
    </w:p>
    <w:p w14:paraId="67168B1C" w14:textId="65A86473" w:rsidR="009978A2" w:rsidRPr="00E12C49" w:rsidRDefault="009978A2" w:rsidP="00534F50">
      <w:pPr>
        <w:pStyle w:val="ListParagraph"/>
        <w:numPr>
          <w:ilvl w:val="1"/>
          <w:numId w:val="73"/>
        </w:numPr>
        <w:tabs>
          <w:tab w:val="clear" w:pos="1440"/>
          <w:tab w:val="num" w:pos="284"/>
        </w:tabs>
        <w:spacing w:before="120" w:after="0" w:line="240" w:lineRule="auto"/>
        <w:ind w:left="284" w:hanging="284"/>
        <w:jc w:val="both"/>
        <w:rPr>
          <w:rFonts w:ascii="Times New Roman" w:hAnsi="Times New Roman" w:cs="Times New Roman"/>
          <w:iCs/>
          <w:sz w:val="24"/>
          <w:szCs w:val="24"/>
        </w:rPr>
      </w:pPr>
      <w:r w:rsidRPr="00E12C49">
        <w:rPr>
          <w:rFonts w:ascii="Times New Roman" w:hAnsi="Times New Roman" w:cs="Times New Roman"/>
          <w:iCs/>
          <w:sz w:val="24"/>
          <w:szCs w:val="24"/>
        </w:rPr>
        <w:t>sistēmiski un mērķtiecīgi radīt tādus pakalpojumus, kas būtu savstarpēji integrēti un būtu pieejami</w:t>
      </w:r>
      <w:r w:rsidR="00531028">
        <w:rPr>
          <w:rFonts w:ascii="Times New Roman" w:hAnsi="Times New Roman" w:cs="Times New Roman"/>
          <w:iCs/>
          <w:sz w:val="24"/>
          <w:szCs w:val="24"/>
        </w:rPr>
        <w:t xml:space="preserve"> atb</w:t>
      </w:r>
      <w:r w:rsidR="005141EA">
        <w:rPr>
          <w:rFonts w:ascii="Times New Roman" w:hAnsi="Times New Roman" w:cs="Times New Roman"/>
          <w:iCs/>
          <w:sz w:val="24"/>
          <w:szCs w:val="24"/>
        </w:rPr>
        <w:t>ilstoši cilvēku individuālām vajadzībām</w:t>
      </w:r>
      <w:r w:rsidRPr="00E12C49">
        <w:rPr>
          <w:rFonts w:ascii="Times New Roman" w:hAnsi="Times New Roman" w:cs="Times New Roman"/>
          <w:iCs/>
          <w:sz w:val="24"/>
          <w:szCs w:val="24"/>
        </w:rPr>
        <w:t>, nevis būtu atkarīgi no valsts vai pašvaldības tā brīža finansiālajām iespējām;</w:t>
      </w:r>
    </w:p>
    <w:p w14:paraId="66E3A3E3" w14:textId="6B18F90E" w:rsidR="009978A2" w:rsidRPr="00E12C49" w:rsidRDefault="009978A2" w:rsidP="00534F50">
      <w:pPr>
        <w:pStyle w:val="ListParagraph"/>
        <w:numPr>
          <w:ilvl w:val="1"/>
          <w:numId w:val="73"/>
        </w:numPr>
        <w:tabs>
          <w:tab w:val="clear" w:pos="1440"/>
          <w:tab w:val="num" w:pos="284"/>
        </w:tabs>
        <w:spacing w:before="120" w:after="0" w:line="240" w:lineRule="auto"/>
        <w:ind w:left="284" w:hanging="284"/>
        <w:jc w:val="both"/>
        <w:rPr>
          <w:rFonts w:ascii="Times New Roman" w:hAnsi="Times New Roman" w:cs="Times New Roman"/>
          <w:iCs/>
          <w:sz w:val="24"/>
          <w:szCs w:val="24"/>
        </w:rPr>
      </w:pPr>
      <w:r w:rsidRPr="00E12C49">
        <w:rPr>
          <w:rFonts w:ascii="Times New Roman" w:hAnsi="Times New Roman" w:cs="Times New Roman"/>
          <w:iCs/>
          <w:sz w:val="24"/>
          <w:szCs w:val="24"/>
        </w:rPr>
        <w:lastRenderedPageBreak/>
        <w:t>gadījumu risināšanā nepieciešams iesaistīt pārstāvjus no visām ieinteresētajām pusēm un nozarēm (gan sociālie darbinieki, gan izglītības iestādes pārstāvji, gan ārstniecības personas un citi), kas šobrīd nenotiek vai notiek retos gadījumos;</w:t>
      </w:r>
    </w:p>
    <w:p w14:paraId="461318D3" w14:textId="4EC3C982" w:rsidR="009978A2" w:rsidRDefault="00F04ECD" w:rsidP="00534F50">
      <w:pPr>
        <w:pStyle w:val="ListParagraph"/>
        <w:numPr>
          <w:ilvl w:val="1"/>
          <w:numId w:val="73"/>
        </w:numPr>
        <w:tabs>
          <w:tab w:val="clear" w:pos="1440"/>
          <w:tab w:val="num" w:pos="284"/>
        </w:tabs>
        <w:spacing w:before="120"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ļoti</w:t>
      </w:r>
      <w:r w:rsidR="009978A2" w:rsidRPr="00E12C49">
        <w:rPr>
          <w:rFonts w:ascii="Times New Roman" w:hAnsi="Times New Roman" w:cs="Times New Roman"/>
          <w:iCs/>
          <w:sz w:val="24"/>
          <w:szCs w:val="24"/>
        </w:rPr>
        <w:t xml:space="preserve"> svarīgi izstrādāt un finansēt prevencijas programmas, kas palīdzētu bērniem jau agrīnā vecumā</w:t>
      </w:r>
      <w:r w:rsidR="005141EA">
        <w:rPr>
          <w:rFonts w:ascii="Times New Roman" w:hAnsi="Times New Roman" w:cs="Times New Roman"/>
          <w:iCs/>
          <w:sz w:val="24"/>
          <w:szCs w:val="24"/>
        </w:rPr>
        <w:t>;</w:t>
      </w:r>
    </w:p>
    <w:p w14:paraId="3EB78914" w14:textId="0827CF4F" w:rsidR="005141EA" w:rsidRDefault="00F04ECD" w:rsidP="00534F50">
      <w:pPr>
        <w:pStyle w:val="ListParagraph"/>
        <w:numPr>
          <w:ilvl w:val="1"/>
          <w:numId w:val="73"/>
        </w:numPr>
        <w:tabs>
          <w:tab w:val="clear" w:pos="1440"/>
          <w:tab w:val="num" w:pos="284"/>
        </w:tabs>
        <w:spacing w:before="120"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l</w:t>
      </w:r>
      <w:r w:rsidR="005141EA">
        <w:rPr>
          <w:rFonts w:ascii="Times New Roman" w:hAnsi="Times New Roman" w:cs="Times New Roman"/>
          <w:iCs/>
          <w:sz w:val="24"/>
          <w:szCs w:val="24"/>
        </w:rPr>
        <w:t>īdzšinēji liels uzsvars ir bijis uz finansiālā atbalsta pasākumiem iedzīvotājiem. Tas zināmā mērā saistīts ar to, ka kopumā sabiedrībā ir zemi ienākumi un jebkurš pabalsts, kas tiek izmaksāts cilvēkam saistībā ar viņa piederību, kādai no grupām (persona ar invaliditāte, persona ar kustību traucējumiem u.c.), tiek uztvers kā neatņemams papildinājums ģimenes finansiālajā situācijā. Taču nereti šis finansējums netiek izmantots pakalpojuma finansēšanai. Tādēļ, plānojot jaunu atbalstu iedzīvotājiem noteiktās situācijā</w:t>
      </w:r>
      <w:r>
        <w:rPr>
          <w:rFonts w:ascii="Times New Roman" w:hAnsi="Times New Roman" w:cs="Times New Roman"/>
          <w:iCs/>
          <w:sz w:val="24"/>
          <w:szCs w:val="24"/>
        </w:rPr>
        <w:t>s</w:t>
      </w:r>
      <w:r w:rsidR="005141EA">
        <w:rPr>
          <w:rFonts w:ascii="Times New Roman" w:hAnsi="Times New Roman" w:cs="Times New Roman"/>
          <w:iCs/>
          <w:sz w:val="24"/>
          <w:szCs w:val="24"/>
        </w:rPr>
        <w:t>, ir rūpīgi jāizvērtē, vai šis atbalsts ir sniedzams finansiāli, vai pakalpojuma veidā</w:t>
      </w:r>
      <w:r>
        <w:rPr>
          <w:rFonts w:ascii="Times New Roman" w:hAnsi="Times New Roman" w:cs="Times New Roman"/>
          <w:iCs/>
          <w:sz w:val="24"/>
          <w:szCs w:val="24"/>
        </w:rPr>
        <w:t>;</w:t>
      </w:r>
    </w:p>
    <w:p w14:paraId="1C13F7AC" w14:textId="6F59F26A" w:rsidR="005141EA" w:rsidRDefault="00F04ECD" w:rsidP="00534F50">
      <w:pPr>
        <w:pStyle w:val="ListParagraph"/>
        <w:numPr>
          <w:ilvl w:val="1"/>
          <w:numId w:val="73"/>
        </w:numPr>
        <w:tabs>
          <w:tab w:val="clear" w:pos="1440"/>
          <w:tab w:val="num" w:pos="284"/>
        </w:tabs>
        <w:spacing w:before="120"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k</w:t>
      </w:r>
      <w:r w:rsidR="005141EA">
        <w:rPr>
          <w:rFonts w:ascii="Times New Roman" w:hAnsi="Times New Roman" w:cs="Times New Roman"/>
          <w:iCs/>
          <w:sz w:val="24"/>
          <w:szCs w:val="24"/>
        </w:rPr>
        <w:t xml:space="preserve">opumā </w:t>
      </w:r>
      <w:r>
        <w:rPr>
          <w:rFonts w:ascii="Times New Roman" w:hAnsi="Times New Roman" w:cs="Times New Roman"/>
          <w:iCs/>
          <w:sz w:val="24"/>
          <w:szCs w:val="24"/>
        </w:rPr>
        <w:t>Latvijā</w:t>
      </w:r>
      <w:r w:rsidR="005141EA">
        <w:rPr>
          <w:rFonts w:ascii="Times New Roman" w:hAnsi="Times New Roman" w:cs="Times New Roman"/>
          <w:iCs/>
          <w:sz w:val="24"/>
          <w:szCs w:val="24"/>
        </w:rPr>
        <w:t xml:space="preserve"> ir salīdzinoši zemi izdevumi sociālajiem pakalpojumiem gan no valsts, gan pašvaldību puses. Rezultātā pakalpojumi ir grūti pieejami, tie parasti ir ļoti unificēti un grūti pielāgojami personu individuālajām vajadzībām. Laika gaitā ir nepieciešams izvērtēt virkni sociālo pakalpojumu, kuru sniegšana, iespējams</w:t>
      </w:r>
      <w:r>
        <w:rPr>
          <w:rFonts w:ascii="Times New Roman" w:hAnsi="Times New Roman" w:cs="Times New Roman"/>
          <w:iCs/>
          <w:sz w:val="24"/>
          <w:szCs w:val="24"/>
        </w:rPr>
        <w:t>,</w:t>
      </w:r>
      <w:r w:rsidR="005141EA">
        <w:rPr>
          <w:rFonts w:ascii="Times New Roman" w:hAnsi="Times New Roman" w:cs="Times New Roman"/>
          <w:iCs/>
          <w:sz w:val="24"/>
          <w:szCs w:val="24"/>
        </w:rPr>
        <w:t xml:space="preserve"> ir nelietderīga, v</w:t>
      </w:r>
      <w:r>
        <w:rPr>
          <w:rFonts w:ascii="Times New Roman" w:hAnsi="Times New Roman" w:cs="Times New Roman"/>
          <w:iCs/>
          <w:sz w:val="24"/>
          <w:szCs w:val="24"/>
        </w:rPr>
        <w:t>a</w:t>
      </w:r>
      <w:r w:rsidR="005141EA">
        <w:rPr>
          <w:rFonts w:ascii="Times New Roman" w:hAnsi="Times New Roman" w:cs="Times New Roman"/>
          <w:iCs/>
          <w:sz w:val="24"/>
          <w:szCs w:val="24"/>
        </w:rPr>
        <w:t>i arī pakalpojumam nav pieprasījuma. Mēdz būt arī tā, ka pakalpojumam trūkst pieprasījuma, jo tā piešķiršanas un saņemšanas kārtība neatbilst personas vajadzībām. Attiecīgi nepieciešams izvērtēt katru pakalpojumu, veidojot tos modernākus un mērķa grupām pieejamākus</w:t>
      </w:r>
      <w:r>
        <w:rPr>
          <w:rFonts w:ascii="Times New Roman" w:hAnsi="Times New Roman" w:cs="Times New Roman"/>
          <w:iCs/>
          <w:sz w:val="24"/>
          <w:szCs w:val="24"/>
        </w:rPr>
        <w:t>;</w:t>
      </w:r>
    </w:p>
    <w:p w14:paraId="40A056C1" w14:textId="702831DB" w:rsidR="005141EA" w:rsidRPr="00E12C49" w:rsidRDefault="005141EA" w:rsidP="00534F50">
      <w:pPr>
        <w:pStyle w:val="ListParagraph"/>
        <w:numPr>
          <w:ilvl w:val="1"/>
          <w:numId w:val="73"/>
        </w:numPr>
        <w:tabs>
          <w:tab w:val="clear" w:pos="1440"/>
          <w:tab w:val="num" w:pos="284"/>
        </w:tabs>
        <w:spacing w:before="120" w:after="0" w:line="240"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IKT tehnoloģiju attīstība ietekmē arī sociālo pakalpojumu tirgu – arvien vairāk un jaudīgāk attīstās dažādas tehnoloģijas, kuras ne vien atvieglo aprūpes veikšanu, bet arī ļauj optimizēt procesu</w:t>
      </w:r>
      <w:r w:rsidR="00534F50">
        <w:rPr>
          <w:rFonts w:ascii="Times New Roman" w:hAnsi="Times New Roman" w:cs="Times New Roman"/>
          <w:iCs/>
          <w:sz w:val="24"/>
          <w:szCs w:val="24"/>
        </w:rPr>
        <w:t>s</w:t>
      </w:r>
      <w:r>
        <w:rPr>
          <w:rFonts w:ascii="Times New Roman" w:hAnsi="Times New Roman" w:cs="Times New Roman"/>
          <w:iCs/>
          <w:sz w:val="24"/>
          <w:szCs w:val="24"/>
        </w:rPr>
        <w:t>. Valsts ierobežotās finanšu spējas liedz aktīvāk izmantot pieaugošo zinātniskā kapitāla resursu, taču iespēju robežās, ir jāat</w:t>
      </w:r>
      <w:r w:rsidR="00534F50">
        <w:rPr>
          <w:rFonts w:ascii="Times New Roman" w:hAnsi="Times New Roman" w:cs="Times New Roman"/>
          <w:iCs/>
          <w:sz w:val="24"/>
          <w:szCs w:val="24"/>
        </w:rPr>
        <w:t>tīs</w:t>
      </w:r>
      <w:r>
        <w:rPr>
          <w:rFonts w:ascii="Times New Roman" w:hAnsi="Times New Roman" w:cs="Times New Roman"/>
          <w:iCs/>
          <w:sz w:val="24"/>
          <w:szCs w:val="24"/>
        </w:rPr>
        <w:t xml:space="preserve">ta sadarbība ar </w:t>
      </w:r>
      <w:r w:rsidR="00F04ECD">
        <w:rPr>
          <w:rFonts w:ascii="Times New Roman" w:hAnsi="Times New Roman" w:cs="Times New Roman"/>
          <w:iCs/>
          <w:sz w:val="24"/>
          <w:szCs w:val="24"/>
        </w:rPr>
        <w:t>pētniecības iestādēm</w:t>
      </w:r>
      <w:r>
        <w:rPr>
          <w:rFonts w:ascii="Times New Roman" w:hAnsi="Times New Roman" w:cs="Times New Roman"/>
          <w:iCs/>
          <w:sz w:val="24"/>
          <w:szCs w:val="24"/>
        </w:rPr>
        <w:t>, kas pēta un meklē risinājumus kvalitatīvāku sociālo pakalpojumu, īpaši aprūpes,  sniegšanai.</w:t>
      </w:r>
    </w:p>
    <w:p w14:paraId="65AC3CED" w14:textId="77777777" w:rsidR="009978A2" w:rsidRPr="0015154B" w:rsidRDefault="009978A2" w:rsidP="001A0E9C">
      <w:pPr>
        <w:spacing w:after="0" w:line="240" w:lineRule="auto"/>
        <w:ind w:firstLine="720"/>
        <w:jc w:val="both"/>
        <w:rPr>
          <w:rFonts w:ascii="Times New Roman" w:hAnsi="Times New Roman" w:cs="Times New Roman"/>
          <w:sz w:val="24"/>
          <w:szCs w:val="24"/>
        </w:rPr>
      </w:pPr>
    </w:p>
    <w:p w14:paraId="5BC29FB8" w14:textId="30DE2B96" w:rsidR="009978A2" w:rsidRPr="0015154B" w:rsidRDefault="009978A2" w:rsidP="00DA5144">
      <w:pPr>
        <w:pStyle w:val="Heading2"/>
      </w:pPr>
      <w:bookmarkStart w:id="54" w:name="_Toc55316091"/>
      <w:r w:rsidRPr="0015154B">
        <w:t>Sociālo pakalpojumu grozs</w:t>
      </w:r>
      <w:bookmarkEnd w:id="54"/>
    </w:p>
    <w:p w14:paraId="54763EF8" w14:textId="3379D526" w:rsidR="009978A2" w:rsidRPr="00573B49" w:rsidRDefault="00A728BA" w:rsidP="00AC38FA">
      <w:pPr>
        <w:spacing w:before="120" w:after="0" w:line="240" w:lineRule="auto"/>
        <w:ind w:firstLine="720"/>
        <w:jc w:val="both"/>
        <w:rPr>
          <w:rFonts w:ascii="Times New Roman" w:eastAsia="Times New Roman" w:hAnsi="Times New Roman" w:cs="Times New Roman"/>
          <w:bCs/>
          <w:sz w:val="24"/>
          <w:szCs w:val="24"/>
          <w:lang w:eastAsia="lv-LV"/>
        </w:rPr>
      </w:pPr>
      <w:r w:rsidRPr="0015154B">
        <w:rPr>
          <w:rFonts w:ascii="Times New Roman" w:eastAsia="Times New Roman" w:hAnsi="Times New Roman" w:cs="Times New Roman"/>
          <w:bCs/>
          <w:sz w:val="24"/>
          <w:szCs w:val="24"/>
          <w:lang w:eastAsia="lv-LV"/>
        </w:rPr>
        <w:t>SPSPL</w:t>
      </w:r>
      <w:r w:rsidR="009978A2" w:rsidRPr="0015154B">
        <w:rPr>
          <w:rFonts w:ascii="Times New Roman" w:eastAsia="Times New Roman" w:hAnsi="Times New Roman" w:cs="Times New Roman"/>
          <w:bCs/>
          <w:sz w:val="24"/>
          <w:szCs w:val="24"/>
          <w:lang w:eastAsia="lv-LV"/>
        </w:rPr>
        <w:t xml:space="preserve"> ir noteikts </w:t>
      </w:r>
      <w:r w:rsidR="009978A2" w:rsidRPr="0015154B">
        <w:rPr>
          <w:rFonts w:ascii="Times New Roman" w:eastAsia="Times New Roman" w:hAnsi="Times New Roman" w:cs="Times New Roman"/>
          <w:b/>
          <w:bCs/>
          <w:sz w:val="24"/>
          <w:szCs w:val="24"/>
          <w:lang w:eastAsia="lv-LV"/>
        </w:rPr>
        <w:t>obligāti nodrošināmā atbalsta</w:t>
      </w:r>
      <w:r w:rsidR="009978A2" w:rsidRPr="0015154B">
        <w:rPr>
          <w:rFonts w:ascii="Times New Roman" w:eastAsia="Times New Roman" w:hAnsi="Times New Roman" w:cs="Times New Roman"/>
          <w:bCs/>
          <w:sz w:val="24"/>
          <w:szCs w:val="24"/>
          <w:lang w:eastAsia="lv-LV"/>
        </w:rPr>
        <w:t xml:space="preserve"> apjoms pašvaldībā</w:t>
      </w:r>
      <w:r w:rsidRPr="0015154B">
        <w:rPr>
          <w:rFonts w:ascii="Times New Roman" w:eastAsia="Times New Roman" w:hAnsi="Times New Roman" w:cs="Times New Roman"/>
          <w:bCs/>
          <w:sz w:val="24"/>
          <w:szCs w:val="24"/>
          <w:lang w:eastAsia="lv-LV"/>
        </w:rPr>
        <w:t>s</w:t>
      </w:r>
      <w:r w:rsidR="009978A2" w:rsidRPr="0015154B">
        <w:rPr>
          <w:rFonts w:ascii="Times New Roman" w:eastAsia="Times New Roman" w:hAnsi="Times New Roman" w:cs="Times New Roman"/>
          <w:bCs/>
          <w:sz w:val="24"/>
          <w:szCs w:val="24"/>
          <w:lang w:eastAsia="lv-LV"/>
        </w:rPr>
        <w:t xml:space="preserve"> sociālo pakalpojumu jomā - sociālo dienestu izveide, aprūpes mājās pakalpojuma un SAC nodrošināšana</w:t>
      </w:r>
      <w:r w:rsidRPr="0015154B">
        <w:rPr>
          <w:rFonts w:ascii="Times New Roman" w:eastAsia="Times New Roman" w:hAnsi="Times New Roman" w:cs="Times New Roman"/>
          <w:bCs/>
          <w:sz w:val="24"/>
          <w:szCs w:val="24"/>
          <w:lang w:eastAsia="lv-LV"/>
        </w:rPr>
        <w:t>.</w:t>
      </w:r>
      <w:r w:rsidR="009978A2" w:rsidRPr="0015154B">
        <w:rPr>
          <w:rFonts w:ascii="Times New Roman" w:eastAsia="Times New Roman" w:hAnsi="Times New Roman" w:cs="Times New Roman"/>
          <w:bCs/>
          <w:sz w:val="24"/>
          <w:szCs w:val="24"/>
          <w:lang w:eastAsia="lv-LV"/>
        </w:rPr>
        <w:t xml:space="preserve"> </w:t>
      </w:r>
      <w:r w:rsidRPr="0015154B">
        <w:rPr>
          <w:rFonts w:ascii="Times New Roman" w:eastAsia="Times New Roman" w:hAnsi="Times New Roman" w:cs="Times New Roman"/>
          <w:bCs/>
          <w:sz w:val="24"/>
          <w:szCs w:val="24"/>
          <w:lang w:eastAsia="lv-LV"/>
        </w:rPr>
        <w:t>Š</w:t>
      </w:r>
      <w:r w:rsidR="009978A2" w:rsidRPr="0015154B">
        <w:rPr>
          <w:rFonts w:ascii="Times New Roman" w:eastAsia="Times New Roman" w:hAnsi="Times New Roman" w:cs="Times New Roman"/>
          <w:bCs/>
          <w:sz w:val="24"/>
          <w:szCs w:val="24"/>
          <w:lang w:eastAsia="lv-LV"/>
        </w:rPr>
        <w:t xml:space="preserve">iem pakalpojumiem ir jābūt </w:t>
      </w:r>
      <w:r w:rsidRPr="0015154B">
        <w:rPr>
          <w:rFonts w:ascii="Times New Roman" w:eastAsia="Times New Roman" w:hAnsi="Times New Roman" w:cs="Times New Roman"/>
          <w:bCs/>
          <w:sz w:val="24"/>
          <w:szCs w:val="24"/>
          <w:lang w:eastAsia="lv-LV"/>
        </w:rPr>
        <w:t>pieejamiem</w:t>
      </w:r>
      <w:r w:rsidR="009978A2" w:rsidRPr="0015154B">
        <w:rPr>
          <w:rFonts w:ascii="Times New Roman" w:eastAsia="Times New Roman" w:hAnsi="Times New Roman" w:cs="Times New Roman"/>
          <w:bCs/>
          <w:sz w:val="24"/>
          <w:szCs w:val="24"/>
          <w:lang w:eastAsia="lv-LV"/>
        </w:rPr>
        <w:t xml:space="preserve"> visās Latvijas pašvaldīb</w:t>
      </w:r>
      <w:r w:rsidR="00E93513">
        <w:rPr>
          <w:rFonts w:ascii="Times New Roman" w:eastAsia="Times New Roman" w:hAnsi="Times New Roman" w:cs="Times New Roman"/>
          <w:bCs/>
          <w:sz w:val="24"/>
          <w:szCs w:val="24"/>
          <w:lang w:eastAsia="lv-LV"/>
        </w:rPr>
        <w:t>ā</w:t>
      </w:r>
      <w:r w:rsidR="009978A2" w:rsidRPr="0015154B">
        <w:rPr>
          <w:rFonts w:ascii="Times New Roman" w:eastAsia="Times New Roman" w:hAnsi="Times New Roman" w:cs="Times New Roman"/>
          <w:bCs/>
          <w:sz w:val="24"/>
          <w:szCs w:val="24"/>
          <w:lang w:eastAsia="lv-LV"/>
        </w:rPr>
        <w:t xml:space="preserve">s. Tomēr </w:t>
      </w:r>
      <w:r w:rsidR="009978A2" w:rsidRPr="0015154B">
        <w:rPr>
          <w:rFonts w:ascii="Times New Roman" w:hAnsi="Times New Roman" w:cs="Times New Roman"/>
          <w:sz w:val="24"/>
          <w:szCs w:val="24"/>
        </w:rPr>
        <w:t>saskaņā ar valsts statistikas pārskata par sociālajiem pakalpojumiem un sociālo palīdzību pašvaldībā apkopojumu par 2019.gadu</w:t>
      </w:r>
      <w:r w:rsidR="009978A2" w:rsidRPr="007157D3">
        <w:rPr>
          <w:rFonts w:ascii="Times New Roman" w:hAnsi="Times New Roman" w:cs="Times New Roman"/>
          <w:sz w:val="24"/>
          <w:szCs w:val="24"/>
          <w:vertAlign w:val="superscript"/>
        </w:rPr>
        <w:footnoteReference w:id="139"/>
      </w:r>
      <w:r w:rsidR="009978A2" w:rsidRPr="007157D3">
        <w:rPr>
          <w:rFonts w:ascii="Times New Roman" w:hAnsi="Times New Roman" w:cs="Times New Roman"/>
          <w:sz w:val="24"/>
          <w:szCs w:val="24"/>
        </w:rPr>
        <w:t xml:space="preserve"> aprūpes mājās pakalpojums bija nodrošināts tikai 108 pašvaldībās. Tād</w:t>
      </w:r>
      <w:r w:rsidRPr="007157D3">
        <w:rPr>
          <w:rFonts w:ascii="Times New Roman" w:hAnsi="Times New Roman" w:cs="Times New Roman"/>
          <w:sz w:val="24"/>
          <w:szCs w:val="24"/>
        </w:rPr>
        <w:t>ē</w:t>
      </w:r>
      <w:r w:rsidR="009978A2" w:rsidRPr="007157D3">
        <w:rPr>
          <w:rFonts w:ascii="Times New Roman" w:hAnsi="Times New Roman" w:cs="Times New Roman"/>
          <w:sz w:val="24"/>
          <w:szCs w:val="24"/>
        </w:rPr>
        <w:t>jādi pat obligāti nodrošināmais sociālās aprūpes pakalpojums 2019.</w:t>
      </w:r>
      <w:r w:rsidR="009978A2" w:rsidRPr="002F5278">
        <w:rPr>
          <w:rFonts w:ascii="Times New Roman" w:hAnsi="Times New Roman" w:cs="Times New Roman"/>
          <w:sz w:val="24"/>
          <w:szCs w:val="24"/>
        </w:rPr>
        <w:t>gadā 11 pašvaldībās netika nodrošināts.</w:t>
      </w:r>
      <w:r w:rsidR="009978A2" w:rsidRPr="00573B49">
        <w:rPr>
          <w:rFonts w:ascii="Times New Roman" w:eastAsia="Times New Roman" w:hAnsi="Times New Roman" w:cs="Times New Roman"/>
          <w:bCs/>
          <w:sz w:val="24"/>
          <w:szCs w:val="24"/>
          <w:lang w:eastAsia="lv-LV"/>
        </w:rPr>
        <w:t xml:space="preserve"> </w:t>
      </w:r>
    </w:p>
    <w:p w14:paraId="575A83DD" w14:textId="43123913" w:rsidR="009978A2" w:rsidRPr="0025422D" w:rsidRDefault="009978A2" w:rsidP="00AC38FA">
      <w:pPr>
        <w:spacing w:before="120" w:after="0" w:line="240" w:lineRule="auto"/>
        <w:ind w:firstLine="720"/>
        <w:jc w:val="both"/>
        <w:rPr>
          <w:rFonts w:ascii="Times New Roman" w:hAnsi="Times New Roman" w:cs="Times New Roman"/>
          <w:sz w:val="24"/>
          <w:szCs w:val="24"/>
        </w:rPr>
      </w:pPr>
      <w:r w:rsidRPr="00573B49">
        <w:rPr>
          <w:rFonts w:ascii="Times New Roman" w:hAnsi="Times New Roman" w:cs="Times New Roman"/>
          <w:sz w:val="24"/>
          <w:szCs w:val="24"/>
        </w:rPr>
        <w:t>LM jau 2013.gadā sniedza priekšlikumus sociālo pakalpojumu iekļaušanai publisko individuālo pakalpojumu klāstā („grozs”) pa apdzīvoto vietu grupām (infrastruktūra un pakalpojumi), kas tika iekļauti politikas plānošanas dokumentos "Reģionālās politikas pamatnostādnes 2013.-2019.gadam"</w:t>
      </w:r>
      <w:r w:rsidRPr="007157D3">
        <w:rPr>
          <w:rFonts w:ascii="Times New Roman" w:hAnsi="Times New Roman" w:cs="Times New Roman"/>
          <w:sz w:val="24"/>
          <w:szCs w:val="24"/>
          <w:vertAlign w:val="superscript"/>
        </w:rPr>
        <w:footnoteReference w:id="140"/>
      </w:r>
      <w:r w:rsidRPr="007157D3">
        <w:rPr>
          <w:rFonts w:ascii="Times New Roman" w:hAnsi="Times New Roman" w:cs="Times New Roman"/>
          <w:sz w:val="24"/>
          <w:szCs w:val="24"/>
        </w:rPr>
        <w:t xml:space="preserve"> un “Sociālo pakalpojumu attīstības pamatnostādnes 2014.-2020.gadam”. Tomēr, kā liecina pētījumi un nevalstiskās organizācijas (turpmāk – NVO), kustības “Piesaiste.lv” un iedzīvotāju sniegtā informācija, pašvaldības ļoti dažādi interpretē savus pienākumus, tādēļ sociālo pakalpojumu pieejamība ir atšķirīga un nereti iedzīvotajiem nav pieejami viņu vajadzībām nepieciešamie sociālie pakalpojumi, jo īpaši, ja persona pārstāv kādu no sociālās atstumtības riskam pakļautajām mērķa grupām. Tā</w:t>
      </w:r>
      <w:r w:rsidR="00CA55E3">
        <w:rPr>
          <w:rFonts w:ascii="Times New Roman" w:hAnsi="Times New Roman" w:cs="Times New Roman"/>
          <w:sz w:val="24"/>
          <w:szCs w:val="24"/>
        </w:rPr>
        <w:t>pēc</w:t>
      </w:r>
      <w:r w:rsidRPr="007157D3">
        <w:rPr>
          <w:rFonts w:ascii="Times New Roman" w:hAnsi="Times New Roman" w:cs="Times New Roman"/>
          <w:sz w:val="24"/>
          <w:szCs w:val="24"/>
        </w:rPr>
        <w:t xml:space="preserve"> sociālo pakalpojumu klāsts katrā konkrētā pašvaldībā ir atkarīgs no tās finansiālajām iespējām, pieejamās infrastruktūras, resursiem un prasmēm īstenot investīciju projektus, lielā mērā arī no pašvaldības </w:t>
      </w:r>
      <w:r w:rsidRPr="002F5278">
        <w:rPr>
          <w:rFonts w:ascii="Times New Roman" w:hAnsi="Times New Roman" w:cs="Times New Roman"/>
          <w:sz w:val="24"/>
          <w:szCs w:val="24"/>
        </w:rPr>
        <w:t xml:space="preserve">politiķu noteiktajām prioritātēm, kas ne vienmēr pamatotas ar iedzīvotāju </w:t>
      </w:r>
      <w:r w:rsidRPr="002F5278">
        <w:rPr>
          <w:rFonts w:ascii="Times New Roman" w:hAnsi="Times New Roman" w:cs="Times New Roman"/>
          <w:sz w:val="24"/>
          <w:szCs w:val="24"/>
        </w:rPr>
        <w:lastRenderedPageBreak/>
        <w:t>objektīvām vajadzībām. Līdz ar to sociālo pakal</w:t>
      </w:r>
      <w:r w:rsidRPr="00573B49">
        <w:rPr>
          <w:rFonts w:ascii="Times New Roman" w:hAnsi="Times New Roman" w:cs="Times New Roman"/>
          <w:sz w:val="24"/>
          <w:szCs w:val="24"/>
        </w:rPr>
        <w:t>pojumu apjoms un pieejamība būtiski atšķiras starp pašvaldībām, iedzīvotāji tiek nostādīti nevienlīdzīgā situācijā atkarībā no viņu deklarētās dzīvesvietas, turklāt nav skaidras informācijas, kādi pakalpojumi iedzīvotājiem katrā teritorijā nepieciešamības gadījumā tiks nodrošināti. Tā kā pakalpojumu klāsts pašvaldībās atšķiras, tas nozīmē, ka divi cilvēki ar identiskām vajadzībām saņem dažāda apjoma un veida sociālos pakalpojumus atkarībā no tā, kurā pašvaldībā dzīvo. Kustības “Piesaiste.lv” pārstāvju sniegtā informācija liecina, ka arvien vairāk ģimenes, kurās aug bērns ar invaliditāti, tām nepieejamā sociālā atbalsta dēļ ir spiestas pārcelties uz dzīvi citā pašvaldībā un pēdējā laikā ir palielinājies tādu gadījumu skaits, kad ģimenes sociālā atbalsta un pa</w:t>
      </w:r>
      <w:r w:rsidRPr="0025422D">
        <w:rPr>
          <w:rFonts w:ascii="Times New Roman" w:hAnsi="Times New Roman" w:cs="Times New Roman"/>
          <w:sz w:val="24"/>
          <w:szCs w:val="24"/>
        </w:rPr>
        <w:t xml:space="preserve">kalpojumu nepieejamības/neesamības dēļ pārceļas uz dzīvi ārvalstīs. Līdzīgas tendences ir arī ģimenēs, kurās ir tuvinieks ar garīga rakstura traucējumiem vai cilvēks ar smagu invaliditāti. </w:t>
      </w:r>
    </w:p>
    <w:p w14:paraId="468191F9" w14:textId="77777777" w:rsidR="009978A2" w:rsidRPr="0015154B" w:rsidRDefault="009978A2" w:rsidP="00AC38FA">
      <w:pPr>
        <w:spacing w:before="120" w:after="0" w:line="240" w:lineRule="auto"/>
        <w:ind w:firstLine="720"/>
        <w:jc w:val="both"/>
        <w:rPr>
          <w:rFonts w:ascii="Times New Roman" w:eastAsia="Calibri" w:hAnsi="Times New Roman" w:cs="Times New Roman"/>
          <w:sz w:val="24"/>
          <w:szCs w:val="24"/>
        </w:rPr>
      </w:pPr>
      <w:r w:rsidRPr="00A857F2">
        <w:rPr>
          <w:rFonts w:ascii="Times New Roman" w:eastAsia="Calibri" w:hAnsi="Times New Roman" w:cs="Times New Roman"/>
          <w:sz w:val="24"/>
          <w:szCs w:val="24"/>
        </w:rPr>
        <w:t xml:space="preserve">Vietējo pašvaldību administratīvi teritoriālā reforma (turpmāk - ATR) viennozīmīgi ietekmēs </w:t>
      </w:r>
      <w:r w:rsidRPr="00662D1E">
        <w:rPr>
          <w:rFonts w:ascii="Times New Roman" w:eastAsia="Calibri" w:hAnsi="Times New Roman" w:cs="Times New Roman"/>
          <w:sz w:val="24"/>
          <w:szCs w:val="24"/>
        </w:rPr>
        <w:t xml:space="preserve">arī sociālo pakalpojumu pārklājumu un pieejamību pašvaldībās, tādēļ ir jānosaka minimālais sociālo pakalpojumu “grozs”, kas pašvaldībām obligāti nodrošināms saviem iedzīvotājiem. Tas ļaus nodrošināt vienādas pieejamības sociālos pakalpojumus visiem valsts </w:t>
      </w:r>
      <w:r w:rsidRPr="009703E6">
        <w:rPr>
          <w:rFonts w:ascii="Times New Roman" w:eastAsia="Calibri" w:hAnsi="Times New Roman" w:cs="Times New Roman"/>
          <w:sz w:val="24"/>
          <w:szCs w:val="24"/>
        </w:rPr>
        <w:t>iedzīvotājiem noteiktās situācijās, neatkarīgi no tā, kurā pašvaldībā viņš dzīvo.</w:t>
      </w:r>
      <w:r w:rsidRPr="0015154B">
        <w:rPr>
          <w:rFonts w:ascii="Times New Roman" w:hAnsi="Times New Roman" w:cs="Times New Roman"/>
          <w:sz w:val="24"/>
          <w:szCs w:val="24"/>
        </w:rPr>
        <w:t xml:space="preserve"> </w:t>
      </w:r>
    </w:p>
    <w:p w14:paraId="73C9CB61" w14:textId="77777777" w:rsidR="009978A2" w:rsidRPr="0015154B" w:rsidRDefault="009978A2" w:rsidP="00AC38FA">
      <w:pPr>
        <w:spacing w:before="120" w:after="0" w:line="240" w:lineRule="auto"/>
        <w:ind w:firstLine="7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 xml:space="preserve">Jauna </w:t>
      </w:r>
      <w:r w:rsidRPr="0015154B">
        <w:rPr>
          <w:rFonts w:ascii="Times New Roman" w:eastAsia="Calibri" w:hAnsi="Times New Roman" w:cs="Times New Roman"/>
          <w:b/>
          <w:sz w:val="24"/>
          <w:szCs w:val="24"/>
        </w:rPr>
        <w:t>sociālo pakalpojumu “groza”</w:t>
      </w:r>
      <w:r w:rsidRPr="0015154B">
        <w:rPr>
          <w:rFonts w:ascii="Times New Roman" w:eastAsia="Calibri" w:hAnsi="Times New Roman" w:cs="Times New Roman"/>
          <w:sz w:val="24"/>
          <w:szCs w:val="24"/>
        </w:rPr>
        <w:t xml:space="preserve"> ieviešana ietekmēs un liks pārskatīt valsts un pašvaldību atbildību sociālo pakalpojumu nodrošināšanā, finansējuma avotu sadalījumu, kā arī sociālo pakalpojumu klasifikāciju, saturu, prasības sociālo pakalpojumu sniedzējiem un nosacījumus sociālo pakalpojumu piešķiršanai. Paralēli ir jāstrādā pie pakalpojumu organizēšanas principu pārskatīšanas, īpašu uzmanību pievēršot starpnozaru pakalpojumu attīstībai, piemēram, paliatīvā aprūpē esošajiem, cilvēkiem ar demenci vai cilvēkiem ar invaliditāti smagu multiplu traucējumu dēļ.</w:t>
      </w:r>
      <w:r w:rsidRPr="0015154B">
        <w:rPr>
          <w:rFonts w:ascii="Times New Roman" w:hAnsi="Times New Roman" w:cs="Times New Roman"/>
          <w:sz w:val="24"/>
          <w:szCs w:val="24"/>
        </w:rPr>
        <w:t xml:space="preserve"> </w:t>
      </w:r>
      <w:r w:rsidRPr="0015154B">
        <w:rPr>
          <w:rFonts w:ascii="Times New Roman" w:eastAsia="Calibri" w:hAnsi="Times New Roman" w:cs="Times New Roman"/>
          <w:sz w:val="24"/>
          <w:szCs w:val="24"/>
        </w:rPr>
        <w:t>Ārvalstu sociālo pakalpojumu jomas normatīvajos aktos ir noteiktas mērķa grupas, kurām pašvaldībai ir obligāts pienākums nodrošināt/sniegt konkrētus sociālos pakalpojumus – ģimenes ar bērniem, pensijas vecuma cilvēki, cilvēki ar invaliditāti, krīzes situācijās esošie, un tikai tad, ja pašvaldība šīm mērķa grupām nodrošina obligāti sniedzamos sociālos pakalpojumus, pašvaldība var paplašināt sociālo pakalpojumu klāstu, t.sk. nodrošinot sociālos pakalpojumus specifiskākām\ plašākām mērķa grupām. Tādejādi arī Latvijā tiktu iedibināts nosacījums pašvaldībām nodrošināt līdzvērtīgu pieeju sociālajiem pakalpojumiem dažādām mērķa grupām -  attiecīgi pēc ranga apdzīvojuma struktūrā zemākajai apdzīvoto vietu grupai – mazākajām apdzīvotajām vietām – sociālo pakalpojumu pamatklāstu (minimālo sociālo pakalpojumu “grozu”), katrā nākamajā apdzīvoto vietu grupā pēc ranga apdzīvojuma struktūrā nodrošinot arī rangā zemākajām apdzīvoto vietu grupām noteikto sociālo pakalpojumu apjomu un papildus – plašāku sociālo pakalpojumu klāstu, t.sk. papildu mērķa grupām. Šāda sociālo pakalpojumu groza noteikšana kalpos kā pamats vienmērīgai un vienotai sociālo pakalpojumu plānošanai un attīstībai pašvaldībās, kā arī mērķtiecīgai investīciju piesaistei.</w:t>
      </w:r>
    </w:p>
    <w:p w14:paraId="1F8C44D9" w14:textId="77777777" w:rsidR="009978A2" w:rsidRPr="0015154B" w:rsidRDefault="009978A2" w:rsidP="001A0E9C">
      <w:pPr>
        <w:spacing w:after="0" w:line="240" w:lineRule="auto"/>
        <w:jc w:val="both"/>
        <w:rPr>
          <w:rFonts w:ascii="Times New Roman" w:eastAsia="Calibri" w:hAnsi="Times New Roman" w:cs="Times New Roman"/>
          <w:sz w:val="24"/>
          <w:szCs w:val="24"/>
          <w:shd w:val="clear" w:color="auto" w:fill="FFFFFF"/>
        </w:rPr>
      </w:pPr>
    </w:p>
    <w:p w14:paraId="6339EF01" w14:textId="2D98E0EF" w:rsidR="009978A2" w:rsidRPr="0015154B" w:rsidRDefault="009978A2" w:rsidP="00DA5144">
      <w:pPr>
        <w:pStyle w:val="Heading2"/>
      </w:pPr>
      <w:bookmarkStart w:id="55" w:name="_Toc55316092"/>
      <w:r w:rsidRPr="0015154B">
        <w:t>Sabiedrībā balstītu pakalpojumu attīstība</w:t>
      </w:r>
      <w:bookmarkEnd w:id="55"/>
    </w:p>
    <w:p w14:paraId="4092DFB7" w14:textId="72547920" w:rsidR="009978A2" w:rsidRPr="00573B49" w:rsidRDefault="009978A2" w:rsidP="00AC38FA">
      <w:pPr>
        <w:spacing w:before="120" w:after="0" w:line="240" w:lineRule="auto"/>
        <w:ind w:firstLine="7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shd w:val="clear" w:color="auto" w:fill="FFFFFF"/>
        </w:rPr>
        <w:t>Paralēli sociāl</w:t>
      </w:r>
      <w:r w:rsidR="00CA55E3">
        <w:rPr>
          <w:rFonts w:ascii="Times New Roman" w:eastAsia="Calibri" w:hAnsi="Times New Roman" w:cs="Times New Roman"/>
          <w:sz w:val="24"/>
          <w:szCs w:val="24"/>
          <w:shd w:val="clear" w:color="auto" w:fill="FFFFFF"/>
        </w:rPr>
        <w:t>o</w:t>
      </w:r>
      <w:r w:rsidRPr="0015154B">
        <w:rPr>
          <w:rFonts w:ascii="Times New Roman" w:eastAsia="Calibri" w:hAnsi="Times New Roman" w:cs="Times New Roman"/>
          <w:sz w:val="24"/>
          <w:szCs w:val="24"/>
          <w:shd w:val="clear" w:color="auto" w:fill="FFFFFF"/>
        </w:rPr>
        <w:t xml:space="preserve"> pakalpojumu pieejamībai, ne mazāk svarīgs aspekts ir saņemto sociālo pakalpojumu ietekme uz cilvēka </w:t>
      </w:r>
      <w:r w:rsidRPr="0015154B">
        <w:rPr>
          <w:rFonts w:ascii="Times New Roman" w:eastAsia="Calibri" w:hAnsi="Times New Roman" w:cs="Times New Roman"/>
          <w:b/>
          <w:sz w:val="24"/>
          <w:szCs w:val="24"/>
          <w:shd w:val="clear" w:color="auto" w:fill="FFFFFF"/>
        </w:rPr>
        <w:t>dzīves kvalitāti</w:t>
      </w:r>
      <w:r w:rsidRPr="007157D3">
        <w:rPr>
          <w:rFonts w:ascii="Times New Roman" w:eastAsia="Calibri" w:hAnsi="Times New Roman" w:cs="Times New Roman"/>
          <w:sz w:val="24"/>
          <w:szCs w:val="24"/>
          <w:shd w:val="clear" w:color="auto" w:fill="FFFFFF"/>
          <w:vertAlign w:val="superscript"/>
        </w:rPr>
        <w:footnoteReference w:id="141"/>
      </w:r>
      <w:r w:rsidRPr="007157D3">
        <w:rPr>
          <w:rFonts w:ascii="Times New Roman" w:eastAsia="Calibri" w:hAnsi="Times New Roman" w:cs="Times New Roman"/>
          <w:sz w:val="24"/>
          <w:szCs w:val="24"/>
          <w:shd w:val="clear" w:color="auto" w:fill="FFFFFF"/>
        </w:rPr>
        <w:t xml:space="preserve">, kura līdz šim praktiski nav vērtēta (izņemot klientu apmierinātību ar konkrētu sociālo pakalpojumu, ja to veicis sociālo pakalpojumu sniedzējs). Vienlaikus ir jāņem vērā sociālo pakalpojumu attīstības prioritārais virziens – nodrošināt atbalstu cilvēka dzīvesvietā </w:t>
      </w:r>
      <w:r w:rsidRPr="007157D3">
        <w:rPr>
          <w:rFonts w:ascii="Times New Roman" w:eastAsia="Calibri" w:hAnsi="Times New Roman" w:cs="Times New Roman"/>
          <w:sz w:val="24"/>
          <w:szCs w:val="24"/>
        </w:rPr>
        <w:t>vai iespējami tuvu tai, un tikai tad, ja šāds pakalpojumu apjoms nav pietiekams,</w:t>
      </w:r>
      <w:r w:rsidRPr="002F5278">
        <w:rPr>
          <w:rFonts w:ascii="Times New Roman" w:eastAsia="Calibri" w:hAnsi="Times New Roman" w:cs="Times New Roman"/>
          <w:sz w:val="24"/>
          <w:szCs w:val="24"/>
        </w:rPr>
        <w:t xml:space="preserve"> ir nodrošināms pakalpojums institūcijā. Tāpēc, vērtējot sociālo pakalpojumu pieejamību, ir jāņem vērā gan pakalpojumu SA</w:t>
      </w:r>
      <w:r w:rsidRPr="00573B49">
        <w:rPr>
          <w:rFonts w:ascii="Times New Roman" w:eastAsia="Calibri" w:hAnsi="Times New Roman" w:cs="Times New Roman"/>
          <w:sz w:val="24"/>
          <w:szCs w:val="24"/>
        </w:rPr>
        <w:t xml:space="preserve">C, gan </w:t>
      </w:r>
      <w:r w:rsidR="00C162AD" w:rsidRPr="00573B49">
        <w:rPr>
          <w:rFonts w:ascii="Times New Roman" w:eastAsia="Calibri" w:hAnsi="Times New Roman" w:cs="Times New Roman"/>
          <w:sz w:val="24"/>
          <w:szCs w:val="24"/>
        </w:rPr>
        <w:t xml:space="preserve">sabiedrībā balstītu </w:t>
      </w:r>
      <w:r w:rsidR="00C162AD" w:rsidRPr="00573B49">
        <w:rPr>
          <w:rFonts w:ascii="Times New Roman" w:eastAsia="Calibri" w:hAnsi="Times New Roman" w:cs="Times New Roman"/>
          <w:sz w:val="24"/>
          <w:szCs w:val="24"/>
        </w:rPr>
        <w:lastRenderedPageBreak/>
        <w:t>sociālo pakalpojumu (turpmāk- SBSP)</w:t>
      </w:r>
      <w:r w:rsidRPr="00573B49">
        <w:rPr>
          <w:rFonts w:ascii="Times New Roman" w:eastAsia="Calibri" w:hAnsi="Times New Roman" w:cs="Times New Roman"/>
          <w:sz w:val="24"/>
          <w:szCs w:val="24"/>
        </w:rPr>
        <w:t xml:space="preserve"> pieejamība, bet pasākumi pakalpojumu pilnveidei un attīstībai ir jākoncentrē uz SBSP un tādām atbalsta formām, kas cilvēkam dod iespēju dzīvot ārpus SAC. </w:t>
      </w:r>
    </w:p>
    <w:p w14:paraId="5D9D4DF7" w14:textId="5D72CDAC" w:rsidR="009978A2" w:rsidRPr="0025422D" w:rsidRDefault="009978A2" w:rsidP="00AC38FA">
      <w:pPr>
        <w:spacing w:before="120" w:after="0" w:line="240" w:lineRule="auto"/>
        <w:ind w:firstLine="720"/>
        <w:jc w:val="both"/>
        <w:rPr>
          <w:rFonts w:ascii="Times New Roman" w:eastAsia="Calibri" w:hAnsi="Times New Roman" w:cs="Times New Roman"/>
          <w:sz w:val="24"/>
          <w:szCs w:val="24"/>
        </w:rPr>
      </w:pPr>
      <w:r w:rsidRPr="00573B49">
        <w:rPr>
          <w:rFonts w:ascii="Times New Roman" w:eastAsia="Calibri" w:hAnsi="Times New Roman" w:cs="Times New Roman"/>
          <w:sz w:val="24"/>
          <w:szCs w:val="24"/>
        </w:rPr>
        <w:t>2015.gada beigās tika uzsākt</w:t>
      </w:r>
      <w:r w:rsidR="00CA55E3">
        <w:rPr>
          <w:rFonts w:ascii="Times New Roman" w:eastAsia="Calibri" w:hAnsi="Times New Roman" w:cs="Times New Roman"/>
          <w:sz w:val="24"/>
          <w:szCs w:val="24"/>
        </w:rPr>
        <w:t>a</w:t>
      </w:r>
      <w:r w:rsidRPr="00573B49">
        <w:rPr>
          <w:rFonts w:ascii="Times New Roman" w:eastAsia="Calibri" w:hAnsi="Times New Roman" w:cs="Times New Roman"/>
          <w:sz w:val="24"/>
          <w:szCs w:val="24"/>
        </w:rPr>
        <w:t xml:space="preserve"> </w:t>
      </w:r>
      <w:r w:rsidR="00CA55E3">
        <w:rPr>
          <w:rFonts w:ascii="Times New Roman" w:eastAsia="Calibri" w:hAnsi="Times New Roman" w:cs="Times New Roman"/>
          <w:b/>
          <w:sz w:val="24"/>
          <w:szCs w:val="24"/>
        </w:rPr>
        <w:t>d</w:t>
      </w:r>
      <w:r w:rsidRPr="00A857F2">
        <w:rPr>
          <w:rFonts w:ascii="Times New Roman" w:eastAsia="Calibri" w:hAnsi="Times New Roman" w:cs="Times New Roman"/>
          <w:b/>
          <w:sz w:val="24"/>
          <w:szCs w:val="24"/>
        </w:rPr>
        <w:t>einstitucionalizācija</w:t>
      </w:r>
      <w:r w:rsidR="00C63513">
        <w:rPr>
          <w:rFonts w:ascii="Times New Roman" w:eastAsia="Calibri" w:hAnsi="Times New Roman" w:cs="Times New Roman"/>
          <w:sz w:val="24"/>
          <w:szCs w:val="24"/>
        </w:rPr>
        <w:t>s procesa</w:t>
      </w:r>
      <w:r w:rsidRPr="00662D1E">
        <w:rPr>
          <w:rFonts w:ascii="Times New Roman" w:eastAsia="Calibri" w:hAnsi="Times New Roman" w:cs="Times New Roman"/>
          <w:sz w:val="24"/>
          <w:szCs w:val="24"/>
        </w:rPr>
        <w:t xml:space="preserve"> īstenošana, kas paredz personu ar </w:t>
      </w:r>
      <w:r w:rsidR="00C162AD" w:rsidRPr="009703E6">
        <w:rPr>
          <w:rFonts w:ascii="Times New Roman" w:eastAsia="Calibri" w:hAnsi="Times New Roman" w:cs="Times New Roman"/>
          <w:sz w:val="24"/>
          <w:szCs w:val="24"/>
        </w:rPr>
        <w:t>GRT</w:t>
      </w:r>
      <w:r w:rsidRPr="0015154B">
        <w:rPr>
          <w:rFonts w:ascii="Times New Roman" w:eastAsia="Calibri" w:hAnsi="Times New Roman" w:cs="Times New Roman"/>
          <w:sz w:val="24"/>
          <w:szCs w:val="24"/>
        </w:rPr>
        <w:t xml:space="preserve">, bērnu ar funkcionāliem traucējumiem un ārpusģimenes aprūpē esošo bērnu individuālo vajadzību izvērtēšanu un neatkarīgas dzīves atbalstam nepieciešamo SBSP plānošanu un nodrošināšanu. Savukārt sociālo pakalpojumu sniegšanai nepieciešamās infrastruktūras izveidei pašvaldībās tiek nodrošināts </w:t>
      </w:r>
      <w:r w:rsidR="00C162AD" w:rsidRPr="0015154B">
        <w:rPr>
          <w:rFonts w:ascii="Times New Roman" w:eastAsia="Calibri" w:hAnsi="Times New Roman" w:cs="Times New Roman"/>
          <w:sz w:val="24"/>
          <w:szCs w:val="24"/>
        </w:rPr>
        <w:t>ERAF</w:t>
      </w:r>
      <w:r w:rsidRPr="0015154B">
        <w:rPr>
          <w:rFonts w:ascii="Times New Roman" w:eastAsia="Calibri" w:hAnsi="Times New Roman" w:cs="Times New Roman"/>
          <w:sz w:val="24"/>
          <w:szCs w:val="24"/>
        </w:rPr>
        <w:t xml:space="preserve"> finansējums</w:t>
      </w:r>
      <w:r w:rsidRPr="007157D3">
        <w:rPr>
          <w:rFonts w:ascii="Times New Roman" w:eastAsia="Calibri" w:hAnsi="Times New Roman" w:cs="Times New Roman"/>
          <w:sz w:val="24"/>
          <w:szCs w:val="24"/>
          <w:vertAlign w:val="superscript"/>
        </w:rPr>
        <w:footnoteReference w:id="142"/>
      </w:r>
      <w:r w:rsidRPr="007157D3">
        <w:rPr>
          <w:rFonts w:ascii="Times New Roman" w:eastAsia="Calibri" w:hAnsi="Times New Roman" w:cs="Times New Roman"/>
          <w:sz w:val="24"/>
          <w:szCs w:val="24"/>
        </w:rPr>
        <w:t>. Deinstitucionalizācija</w:t>
      </w:r>
      <w:r w:rsidR="00C63513">
        <w:rPr>
          <w:rFonts w:ascii="Times New Roman" w:eastAsia="Calibri" w:hAnsi="Times New Roman" w:cs="Times New Roman"/>
          <w:sz w:val="24"/>
          <w:szCs w:val="24"/>
        </w:rPr>
        <w:t>s</w:t>
      </w:r>
      <w:r w:rsidRPr="007157D3">
        <w:rPr>
          <w:rFonts w:ascii="Times New Roman" w:eastAsia="Calibri" w:hAnsi="Times New Roman" w:cs="Times New Roman"/>
          <w:sz w:val="24"/>
          <w:szCs w:val="24"/>
        </w:rPr>
        <w:t xml:space="preserve"> ietvaros </w:t>
      </w:r>
      <w:r w:rsidR="008323FD" w:rsidRPr="007157D3">
        <w:rPr>
          <w:rFonts w:ascii="Times New Roman" w:eastAsia="Calibri" w:hAnsi="Times New Roman" w:cs="Times New Roman"/>
          <w:sz w:val="24"/>
          <w:szCs w:val="24"/>
        </w:rPr>
        <w:t>2</w:t>
      </w:r>
      <w:r w:rsidRPr="007157D3">
        <w:rPr>
          <w:rFonts w:ascii="Times New Roman" w:eastAsia="Calibri" w:hAnsi="Times New Roman" w:cs="Times New Roman"/>
          <w:sz w:val="24"/>
          <w:szCs w:val="24"/>
        </w:rPr>
        <w:t>017. un 2018.gadā tika veikta gandrīz 2000 personu ar garīga rakstura traucējumiem un 1811 bērnu ar funkcionāliem traucējumie</w:t>
      </w:r>
      <w:r w:rsidRPr="002F5278">
        <w:rPr>
          <w:rFonts w:ascii="Times New Roman" w:eastAsia="Calibri" w:hAnsi="Times New Roman" w:cs="Times New Roman"/>
          <w:sz w:val="24"/>
          <w:szCs w:val="24"/>
        </w:rPr>
        <w:t>m individuālo vajadzību izvērtēšana  un atbalsta plānu izstrāde, balstoties uz apzinātajām vajadzībām un pieejamo sociālo</w:t>
      </w:r>
      <w:r w:rsidRPr="00573B49">
        <w:rPr>
          <w:rFonts w:ascii="Times New Roman" w:eastAsia="Calibri" w:hAnsi="Times New Roman" w:cs="Times New Roman"/>
          <w:sz w:val="24"/>
          <w:szCs w:val="24"/>
        </w:rPr>
        <w:t xml:space="preserve"> un vispārējo pakalpojumu analīzi, 2018.gadā katram plānošanas reģionam ir izstrādāts attīstāmo SBSP plāns sadalījumā pa pašvaldībām (turpmāk – DI plāns). Līdz 30.06.2020. SBSP sniegšana atbilstoši izstrādātajiem individuālajiem atbalsta plāniem ir uzsākta 553 personām ar garīga rakstura traucējumiem, lielākoties nodrošinot individuālas speciālistu konsultācijas un atbalsta grupas vai grupu nodarbības, bet mazākā skaitā gadījumu arī dienas aprūpes centru, specializēto darbnīcu, aprūpes mājās, grupu dzīvokļu vai atelpas brīža pakalpojumus, 1206 bērniem ar funkcionāliem traucējumiem un 539 bērnu ar funkcionāliem traucējumiem likumiskajiem pārstāvjiem vai audžuģimenēm, lielākoties nodrošinot so</w:t>
      </w:r>
      <w:r w:rsidRPr="0025422D">
        <w:rPr>
          <w:rFonts w:ascii="Times New Roman" w:eastAsia="Calibri" w:hAnsi="Times New Roman" w:cs="Times New Roman"/>
          <w:sz w:val="24"/>
          <w:szCs w:val="24"/>
        </w:rPr>
        <w:t>ciālās rehabilitācijas pakalpojumus, bet mazākā skaitā gadījumu dienas aprūpes centra un atelpas brīža pakalpojumu.</w:t>
      </w:r>
    </w:p>
    <w:p w14:paraId="6C648135" w14:textId="748D1A93" w:rsidR="009978A2" w:rsidRPr="009703E6" w:rsidRDefault="009978A2" w:rsidP="00AC38FA">
      <w:pPr>
        <w:autoSpaceDE w:val="0"/>
        <w:autoSpaceDN w:val="0"/>
        <w:adjustRightInd w:val="0"/>
        <w:spacing w:before="120" w:after="0" w:line="240" w:lineRule="auto"/>
        <w:ind w:firstLine="720"/>
        <w:jc w:val="both"/>
        <w:rPr>
          <w:rFonts w:ascii="Times New Roman" w:eastAsia="Calibri" w:hAnsi="Times New Roman" w:cs="Times New Roman"/>
          <w:sz w:val="24"/>
          <w:szCs w:val="24"/>
        </w:rPr>
      </w:pPr>
      <w:r w:rsidRPr="00A857F2">
        <w:rPr>
          <w:rFonts w:ascii="Times New Roman" w:hAnsi="Times New Roman" w:cs="Times New Roman"/>
          <w:sz w:val="24"/>
          <w:szCs w:val="24"/>
        </w:rPr>
        <w:t>Līdz 2022. gada beigām ar ERAF atbalstu plānots izveidot 243 jaunas sociālo pakalpojumu sniegšanas vietas, t.sk. 151 – cilvēkiem ar GRT, 71 – bērniem ar funkcionālie</w:t>
      </w:r>
      <w:r w:rsidRPr="00662D1E">
        <w:rPr>
          <w:rFonts w:ascii="Times New Roman" w:hAnsi="Times New Roman" w:cs="Times New Roman"/>
          <w:sz w:val="24"/>
          <w:szCs w:val="24"/>
        </w:rPr>
        <w:t xml:space="preserve">m traucējumiem, 21 – ārpusģimenes aprūpē esošiem bērniem. 83 sociālo pakalpojumu sniegšanas vietas plānots izveidot līdz 2020. gada beigām. </w:t>
      </w:r>
    </w:p>
    <w:p w14:paraId="66BDCE61" w14:textId="5559E941" w:rsidR="009978A2" w:rsidRPr="007157D3" w:rsidRDefault="009978A2" w:rsidP="00AC38FA">
      <w:pPr>
        <w:spacing w:before="120" w:after="0" w:line="240" w:lineRule="auto"/>
        <w:ind w:firstLine="7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 xml:space="preserve">Deinstitucionalizācija 2014.-2020. gada plānošanas periodā neaptver </w:t>
      </w:r>
      <w:r w:rsidRPr="0015154B">
        <w:rPr>
          <w:rFonts w:ascii="Times New Roman" w:eastAsia="Calibri" w:hAnsi="Times New Roman" w:cs="Times New Roman"/>
          <w:b/>
          <w:sz w:val="24"/>
          <w:szCs w:val="24"/>
        </w:rPr>
        <w:t>pirmspensijas un pensijas vecuma personas</w:t>
      </w:r>
      <w:r w:rsidRPr="0015154B">
        <w:rPr>
          <w:rFonts w:ascii="Times New Roman" w:eastAsia="Calibri" w:hAnsi="Times New Roman" w:cs="Times New Roman"/>
          <w:sz w:val="24"/>
          <w:szCs w:val="24"/>
        </w:rPr>
        <w:t xml:space="preserve">, jo šai grupai SBSP ir salīdzinoši pieejamāki nekā personām ar </w:t>
      </w:r>
      <w:r w:rsidR="005D7010" w:rsidRPr="0015154B">
        <w:rPr>
          <w:rFonts w:ascii="Times New Roman" w:eastAsia="Calibri" w:hAnsi="Times New Roman" w:cs="Times New Roman"/>
          <w:sz w:val="24"/>
          <w:szCs w:val="24"/>
        </w:rPr>
        <w:t>GRT</w:t>
      </w:r>
      <w:r w:rsidRPr="0015154B">
        <w:rPr>
          <w:rFonts w:ascii="Times New Roman" w:eastAsia="Calibri" w:hAnsi="Times New Roman" w:cs="Times New Roman"/>
          <w:sz w:val="24"/>
          <w:szCs w:val="24"/>
        </w:rPr>
        <w:t xml:space="preserve">, tomēr </w:t>
      </w:r>
      <w:r w:rsidR="005D7010" w:rsidRPr="0015154B">
        <w:rPr>
          <w:rFonts w:ascii="Times New Roman" w:eastAsia="Calibri" w:hAnsi="Times New Roman" w:cs="Times New Roman"/>
          <w:sz w:val="24"/>
          <w:szCs w:val="24"/>
        </w:rPr>
        <w:t>šīs mērķa grupas atbalsts nav mazāk nozīmīgs</w:t>
      </w:r>
      <w:r w:rsidRPr="0015154B">
        <w:rPr>
          <w:rFonts w:ascii="Times New Roman" w:eastAsia="Calibri" w:hAnsi="Times New Roman" w:cs="Times New Roman"/>
          <w:sz w:val="24"/>
          <w:szCs w:val="24"/>
        </w:rPr>
        <w:t>. Pirmspensijas vecuma un pensijas vecuma personu, t.sk. personu ar demenci, vajadzību apzināšana un atbilstoša atbalsta sniegšana ir svarīga arī nodarbinātības un aktīvās novecošanās, kā arī ģimenes un darba dzīves saskaņošanas kontekstā. Pētījuma</w:t>
      </w:r>
      <w:r w:rsidRPr="007157D3">
        <w:rPr>
          <w:rStyle w:val="FootnoteReference"/>
          <w:rFonts w:ascii="Times New Roman" w:eastAsia="Calibri" w:hAnsi="Times New Roman" w:cs="Times New Roman"/>
          <w:sz w:val="24"/>
          <w:szCs w:val="24"/>
        </w:rPr>
        <w:footnoteReference w:id="143"/>
      </w:r>
      <w:r w:rsidRPr="007157D3">
        <w:rPr>
          <w:rFonts w:ascii="Times New Roman" w:eastAsia="Calibri" w:hAnsi="Times New Roman" w:cs="Times New Roman"/>
          <w:sz w:val="24"/>
          <w:szCs w:val="24"/>
        </w:rPr>
        <w:t xml:space="preserve"> rezultāti liecina, ka pieaug gados vecāko nodarbināto skaits ar veselības traucējumiem. Pētījuma ietvaros vairāk nekā puse iedzīvotāju vecuma grupā no 55 līdz 74 gadiem  norādījuši, ka tie saskaras ar ilgtermiņa (vairāk nekā 6 mēneši) veselības problēmām, kas ietekmē to ikdienas dzīvi. Tāpat arī aprūpējamo personu tuvinieki nereti ir spiesti pārtraukt aktīvās darba gaitas, lai aprūpētu tuviniekus, jo aprūpes pakalpojumu klāsts un pieejamība nav atbilstoša aprūpējamās personas  vajadzībām. Tādēļ ir nepieciešams noteikt, kādu sociālās aprūpes pakalpojumu vai atbalsta formu pilnveidošana vislabāk spētu apmierināt šīs mērķa grupas personu vajadzības.</w:t>
      </w:r>
    </w:p>
    <w:p w14:paraId="1D64BB24" w14:textId="009A5034" w:rsidR="00680783" w:rsidRPr="009703E6" w:rsidRDefault="00EA7FE5" w:rsidP="00AC38FA">
      <w:pPr>
        <w:spacing w:before="120" w:after="0" w:line="240" w:lineRule="auto"/>
        <w:ind w:firstLine="720"/>
        <w:jc w:val="both"/>
        <w:rPr>
          <w:rFonts w:ascii="Times New Roman" w:eastAsia="Calibri" w:hAnsi="Times New Roman" w:cs="Times New Roman"/>
          <w:sz w:val="24"/>
          <w:szCs w:val="24"/>
        </w:rPr>
      </w:pPr>
      <w:r w:rsidRPr="002F5278">
        <w:rPr>
          <w:rFonts w:ascii="Times New Roman" w:eastAsia="Calibri" w:hAnsi="Times New Roman" w:cs="Times New Roman"/>
          <w:sz w:val="24"/>
          <w:szCs w:val="24"/>
        </w:rPr>
        <w:t>P</w:t>
      </w:r>
      <w:r w:rsidR="009978A2" w:rsidRPr="00573B49">
        <w:rPr>
          <w:rFonts w:ascii="Times New Roman" w:eastAsia="Calibri" w:hAnsi="Times New Roman" w:cs="Times New Roman"/>
          <w:sz w:val="24"/>
          <w:szCs w:val="24"/>
        </w:rPr>
        <w:t xml:space="preserve">ersonām pirmspensijas vecumā (no 55 gadiem) ir raksturīga arī funkcionālo ierobežojumu parādīšanās, kas nozīmē ne tikai ierobežotas iespējas personai darba tirgū, neatkarīgi no atbalsta pasākumiem, bet arī to, ka šai personu grupai funkcionālo traucējumu samazināšanai un to radīto ierobežojumu kompensēšanai nepieciešami sociālās aprūpes pakalpojumi. Lai novērstu šādu personu aprūpes institucionalizāciju, jāizvērtē šobrīd sniegto sociālo pakalpojumu spēja kompensēt minētos traucējumus, kā arī minēto pakalpojumu pieejamība attiecībā uz attālumu, teritoriālo izvietojumu, darba laiku  un samaksas lielumu. </w:t>
      </w:r>
      <w:r w:rsidR="00680783" w:rsidRPr="0025422D">
        <w:rPr>
          <w:rFonts w:ascii="Times New Roman" w:eastAsia="Calibri" w:hAnsi="Times New Roman" w:cs="Times New Roman"/>
          <w:sz w:val="24"/>
          <w:szCs w:val="24"/>
        </w:rPr>
        <w:lastRenderedPageBreak/>
        <w:t>Diemžēl</w:t>
      </w:r>
      <w:r w:rsidR="009978A2" w:rsidRPr="00A857F2">
        <w:rPr>
          <w:rFonts w:ascii="Times New Roman" w:eastAsia="Calibri" w:hAnsi="Times New Roman" w:cs="Times New Roman"/>
          <w:sz w:val="24"/>
          <w:szCs w:val="24"/>
        </w:rPr>
        <w:t xml:space="preserve"> nav vienotas metodoloģijas, kā novērtēt saņemtā sociālā pakalpojuma atbilstību personas vajadzībām v</w:t>
      </w:r>
      <w:r w:rsidR="009978A2" w:rsidRPr="00662D1E">
        <w:rPr>
          <w:rFonts w:ascii="Times New Roman" w:eastAsia="Calibri" w:hAnsi="Times New Roman" w:cs="Times New Roman"/>
          <w:sz w:val="24"/>
          <w:szCs w:val="24"/>
        </w:rPr>
        <w:t xml:space="preserve">ai ietekmi uz personas dzīves kvalitātes izmaiņām. </w:t>
      </w:r>
    </w:p>
    <w:p w14:paraId="3B03988F" w14:textId="352E2B91" w:rsidR="00EA7FE5" w:rsidRPr="0015154B" w:rsidRDefault="00CF7F9E" w:rsidP="00AC38FA">
      <w:pPr>
        <w:spacing w:before="120" w:after="0" w:line="240" w:lineRule="auto"/>
        <w:ind w:firstLine="720"/>
        <w:jc w:val="both"/>
        <w:rPr>
          <w:rFonts w:ascii="Times New Roman" w:eastAsia="Calibri" w:hAnsi="Times New Roman" w:cs="Times New Roman"/>
          <w:sz w:val="24"/>
          <w:szCs w:val="24"/>
        </w:rPr>
      </w:pPr>
      <w:r w:rsidRPr="0015154B">
        <w:rPr>
          <w:rFonts w:ascii="Times New Roman" w:eastAsia="Times New Roman" w:hAnsi="Times New Roman" w:cs="Times New Roman"/>
          <w:bCs/>
          <w:color w:val="222222"/>
          <w:sz w:val="24"/>
          <w:szCs w:val="24"/>
          <w:lang w:eastAsia="lv-LV"/>
        </w:rPr>
        <w:t xml:space="preserve">IB modeļa izmēģinājumprojekta rezultāti </w:t>
      </w:r>
      <w:r w:rsidR="00E310DF">
        <w:rPr>
          <w:rFonts w:ascii="Times New Roman" w:eastAsia="Times New Roman" w:hAnsi="Times New Roman" w:cs="Times New Roman"/>
          <w:bCs/>
          <w:color w:val="222222"/>
          <w:sz w:val="24"/>
          <w:szCs w:val="24"/>
          <w:lang w:eastAsia="lv-LV"/>
        </w:rPr>
        <w:t>atklāja</w:t>
      </w:r>
      <w:r w:rsidRPr="0015154B">
        <w:rPr>
          <w:rFonts w:ascii="Times New Roman" w:eastAsia="Times New Roman" w:hAnsi="Times New Roman" w:cs="Times New Roman"/>
          <w:bCs/>
          <w:color w:val="222222"/>
          <w:sz w:val="24"/>
          <w:szCs w:val="24"/>
          <w:lang w:eastAsia="lv-LV"/>
        </w:rPr>
        <w:t>, cik nozīmīga ietekme uz dzīves kvalitātes uzlabošanos un sociālo pakalpojumu efektivitāti ir  starpnozaru sadarbībai un integrētai pieejai pakalpojumu sniegšanā. Tādēļ viens no vidēja termiņiem attīstības virzieniem ir</w:t>
      </w:r>
      <w:r w:rsidRPr="0015154B">
        <w:rPr>
          <w:rFonts w:ascii="Times New Roman" w:eastAsia="Calibri" w:hAnsi="Times New Roman" w:cs="Times New Roman"/>
          <w:sz w:val="24"/>
          <w:szCs w:val="24"/>
        </w:rPr>
        <w:t xml:space="preserve"> multidisciplināru pakalpojumu izveide un sniegšana, īpaši tādām mērķa grupām kā </w:t>
      </w:r>
      <w:r w:rsidRPr="0015154B">
        <w:rPr>
          <w:rFonts w:ascii="Times New Roman" w:eastAsia="Calibri" w:hAnsi="Times New Roman" w:cs="Times New Roman"/>
          <w:b/>
          <w:sz w:val="24"/>
          <w:szCs w:val="24"/>
        </w:rPr>
        <w:t>personas ar smagiem funkcionāliem traucējumiem, paliatīvā aprūpē esošas pilngadīgas personas</w:t>
      </w:r>
      <w:r w:rsidRPr="0015154B">
        <w:rPr>
          <w:rFonts w:ascii="Times New Roman" w:eastAsia="Calibri" w:hAnsi="Times New Roman" w:cs="Times New Roman"/>
          <w:sz w:val="24"/>
          <w:szCs w:val="24"/>
        </w:rPr>
        <w:t>. Ņemot vērā šo personu veselības stāvokli, psiholoģiskā un sociālā atbalsta nodrošināšana pakalpojuma saņēmējam un viņa ģimenes locekļiem jāveic vienlaikus ar kvalitatīviem veselības aprūpes pakalpojumiem. Savlaicīga un kvalitatīva gan veselības aprūpes pakalpojumu, gan sociālo pakalpojumu pieejamība un atbalsts to ģimenes locekļiem veicina ne tikai labāku cilvēka vajadzību nodrošināšanu, bet arī ģimenes, kura rūpējas par aprūpējamu tuvinieku, dzīves kvalitātes uzlabošanu kopumā.</w:t>
      </w:r>
    </w:p>
    <w:p w14:paraId="067EBD77" w14:textId="205694F5" w:rsidR="004C526E" w:rsidRPr="007157D3" w:rsidRDefault="00680783" w:rsidP="00AC38FA">
      <w:pPr>
        <w:spacing w:before="120" w:after="0" w:line="240" w:lineRule="auto"/>
        <w:ind w:firstLine="720"/>
        <w:jc w:val="both"/>
        <w:rPr>
          <w:rFonts w:ascii="Times New Roman" w:hAnsi="Times New Roman" w:cs="Times New Roman"/>
          <w:sz w:val="24"/>
          <w:szCs w:val="24"/>
        </w:rPr>
      </w:pPr>
      <w:r w:rsidRPr="0015154B">
        <w:rPr>
          <w:rFonts w:ascii="Times New Roman" w:eastAsia="Calibri" w:hAnsi="Times New Roman" w:cs="Times New Roman"/>
          <w:sz w:val="24"/>
          <w:szCs w:val="24"/>
          <w:shd w:val="clear" w:color="auto" w:fill="FFFFFF"/>
        </w:rPr>
        <w:t>Vi</w:t>
      </w:r>
      <w:r w:rsidR="004C526E" w:rsidRPr="0015154B">
        <w:rPr>
          <w:rFonts w:ascii="Times New Roman" w:eastAsia="Calibri" w:hAnsi="Times New Roman" w:cs="Times New Roman"/>
          <w:sz w:val="24"/>
          <w:szCs w:val="24"/>
          <w:shd w:val="clear" w:color="auto" w:fill="FFFFFF"/>
        </w:rPr>
        <w:t xml:space="preserve">ens </w:t>
      </w:r>
      <w:r w:rsidRPr="0015154B">
        <w:rPr>
          <w:rFonts w:ascii="Times New Roman" w:eastAsia="Calibri" w:hAnsi="Times New Roman" w:cs="Times New Roman"/>
          <w:sz w:val="24"/>
          <w:szCs w:val="24"/>
          <w:shd w:val="clear" w:color="auto" w:fill="FFFFFF"/>
        </w:rPr>
        <w:t xml:space="preserve">no </w:t>
      </w:r>
      <w:r w:rsidR="004C526E" w:rsidRPr="0015154B">
        <w:rPr>
          <w:rFonts w:ascii="Times New Roman" w:eastAsia="Calibri" w:hAnsi="Times New Roman" w:cs="Times New Roman"/>
          <w:sz w:val="24"/>
          <w:szCs w:val="24"/>
          <w:shd w:val="clear" w:color="auto" w:fill="FFFFFF"/>
        </w:rPr>
        <w:t>priekšnosacījum</w:t>
      </w:r>
      <w:r w:rsidRPr="0015154B">
        <w:rPr>
          <w:rFonts w:ascii="Times New Roman" w:eastAsia="Calibri" w:hAnsi="Times New Roman" w:cs="Times New Roman"/>
          <w:sz w:val="24"/>
          <w:szCs w:val="24"/>
          <w:shd w:val="clear" w:color="auto" w:fill="FFFFFF"/>
        </w:rPr>
        <w:t>iem</w:t>
      </w:r>
      <w:r w:rsidR="004C526E" w:rsidRPr="0015154B">
        <w:rPr>
          <w:rFonts w:ascii="Times New Roman" w:eastAsia="Calibri" w:hAnsi="Times New Roman" w:cs="Times New Roman"/>
          <w:sz w:val="24"/>
          <w:szCs w:val="24"/>
          <w:shd w:val="clear" w:color="auto" w:fill="FFFFFF"/>
        </w:rPr>
        <w:t xml:space="preserve"> SBSP attīstībai, kā ar</w:t>
      </w:r>
      <w:r w:rsidR="00C63513">
        <w:rPr>
          <w:rFonts w:ascii="Times New Roman" w:eastAsia="Calibri" w:hAnsi="Times New Roman" w:cs="Times New Roman"/>
          <w:sz w:val="24"/>
          <w:szCs w:val="24"/>
          <w:shd w:val="clear" w:color="auto" w:fill="FFFFFF"/>
        </w:rPr>
        <w:t>ī</w:t>
      </w:r>
      <w:r w:rsidR="004C526E" w:rsidRPr="0015154B">
        <w:rPr>
          <w:rFonts w:ascii="Times New Roman" w:eastAsia="Calibri" w:hAnsi="Times New Roman" w:cs="Times New Roman"/>
          <w:sz w:val="24"/>
          <w:szCs w:val="24"/>
          <w:shd w:val="clear" w:color="auto" w:fill="FFFFFF"/>
        </w:rPr>
        <w:t xml:space="preserve"> veiksmīgai DI procesa īstenošanai ir cenas un kvalitātes ziņā atbilstošu </w:t>
      </w:r>
      <w:r w:rsidR="004C526E" w:rsidRPr="0015154B">
        <w:rPr>
          <w:rFonts w:ascii="Times New Roman" w:eastAsia="Calibri" w:hAnsi="Times New Roman" w:cs="Times New Roman"/>
          <w:b/>
          <w:sz w:val="24"/>
          <w:szCs w:val="24"/>
          <w:shd w:val="clear" w:color="auto" w:fill="FFFFFF"/>
        </w:rPr>
        <w:t>mājokļu pieejamība</w:t>
      </w:r>
      <w:r w:rsidR="004C526E" w:rsidRPr="0015154B">
        <w:rPr>
          <w:rFonts w:ascii="Times New Roman" w:eastAsia="Calibri" w:hAnsi="Times New Roman" w:cs="Times New Roman"/>
          <w:sz w:val="24"/>
          <w:szCs w:val="24"/>
          <w:shd w:val="clear" w:color="auto" w:fill="FFFFFF"/>
        </w:rPr>
        <w:t xml:space="preserve">. </w:t>
      </w:r>
      <w:r w:rsidR="004C526E" w:rsidRPr="0015154B">
        <w:rPr>
          <w:rFonts w:ascii="Times New Roman" w:hAnsi="Times New Roman" w:cs="Times New Roman"/>
          <w:sz w:val="24"/>
          <w:szCs w:val="24"/>
        </w:rPr>
        <w:t>Ikvienam jaunietim, uzsākot patstāvīgu dzīvi pēc ārpusģimenes aprūpes, ir svarīgi saņemt pienācīgu palīdzību mājokļa jautājuma risināšanā. Saskaņā ar likumu “Par palīdzību dzīvokļa jautājumu risināšanā” šo palīdzību sniedz pašvaldība, kuras bāriņtiesa lēmusi par ārpusģimenes aprūpes nodrošināšanu. Saskaņā ar aptaujas rezultātiem dzīvojamais fonds ir pietiekams tikai 75 pašvaldībās (63%) un tās spēja nodrošināt jaunieti ar mājokli uzreiz pēc ārpusģimenes aprūpes beigām. 39 pašvaldības norādīja, ka tas nav pietiekams, bet vēl piecās pašvaldībās dzīvojamā fonda pieejamība ir mainīga un atkarīga no pieprasījuma</w:t>
      </w:r>
      <w:r w:rsidR="00070E9E" w:rsidRPr="0015154B">
        <w:rPr>
          <w:rFonts w:ascii="Times New Roman" w:hAnsi="Times New Roman" w:cs="Times New Roman"/>
          <w:sz w:val="24"/>
          <w:szCs w:val="24"/>
        </w:rPr>
        <w:t xml:space="preserve"> (</w:t>
      </w:r>
      <w:r w:rsidR="00070E9E" w:rsidRPr="0015154B">
        <w:rPr>
          <w:rFonts w:ascii="Times New Roman" w:hAnsi="Times New Roman" w:cs="Times New Roman"/>
          <w:sz w:val="24"/>
          <w:szCs w:val="24"/>
          <w:highlight w:val="yellow"/>
        </w:rPr>
        <w:t xml:space="preserve">skat. </w:t>
      </w:r>
      <w:r w:rsidR="005121D6" w:rsidRPr="0015154B">
        <w:rPr>
          <w:rFonts w:ascii="Times New Roman" w:hAnsi="Times New Roman" w:cs="Times New Roman"/>
          <w:sz w:val="24"/>
          <w:szCs w:val="24"/>
          <w:highlight w:val="yellow"/>
        </w:rPr>
        <w:t>1</w:t>
      </w:r>
      <w:r w:rsidR="00534F50">
        <w:rPr>
          <w:rFonts w:ascii="Times New Roman" w:hAnsi="Times New Roman" w:cs="Times New Roman"/>
          <w:sz w:val="24"/>
          <w:szCs w:val="24"/>
          <w:highlight w:val="yellow"/>
        </w:rPr>
        <w:t>7</w:t>
      </w:r>
      <w:r w:rsidR="00070E9E" w:rsidRPr="0015154B">
        <w:rPr>
          <w:rFonts w:ascii="Times New Roman" w:hAnsi="Times New Roman" w:cs="Times New Roman"/>
          <w:sz w:val="24"/>
          <w:szCs w:val="24"/>
          <w:highlight w:val="yellow"/>
        </w:rPr>
        <w:t>.attēlu</w:t>
      </w:r>
      <w:r w:rsidR="00070E9E" w:rsidRPr="0015154B">
        <w:rPr>
          <w:rFonts w:ascii="Times New Roman" w:hAnsi="Times New Roman" w:cs="Times New Roman"/>
          <w:sz w:val="24"/>
          <w:szCs w:val="24"/>
        </w:rPr>
        <w:t>)</w:t>
      </w:r>
      <w:r w:rsidR="004C526E" w:rsidRPr="0015154B">
        <w:rPr>
          <w:rFonts w:ascii="Times New Roman" w:hAnsi="Times New Roman" w:cs="Times New Roman"/>
          <w:sz w:val="24"/>
          <w:szCs w:val="24"/>
        </w:rPr>
        <w:t>. Pašvaldības norādīja, ka lielākais pieprasījums ir pēc dzīvojamām telpām, kuras atrodas tuvu novada centram, pilsētā vai apdzīvojamā vietā ar labi attīstītu infrastruktūru.</w:t>
      </w:r>
      <w:r w:rsidR="004C526E" w:rsidRPr="007157D3">
        <w:rPr>
          <w:rStyle w:val="FootnoteReference"/>
          <w:rFonts w:ascii="Times New Roman" w:hAnsi="Times New Roman" w:cs="Times New Roman"/>
          <w:sz w:val="24"/>
          <w:szCs w:val="24"/>
        </w:rPr>
        <w:footnoteReference w:id="144"/>
      </w:r>
    </w:p>
    <w:p w14:paraId="455CDF42" w14:textId="16EDC1A5" w:rsidR="00070E9E" w:rsidRPr="007157D3" w:rsidRDefault="00070E9E" w:rsidP="00070E9E">
      <w:pPr>
        <w:autoSpaceDE w:val="0"/>
        <w:autoSpaceDN w:val="0"/>
        <w:adjustRightInd w:val="0"/>
        <w:spacing w:after="0" w:line="240" w:lineRule="auto"/>
        <w:jc w:val="both"/>
        <w:rPr>
          <w:rFonts w:ascii="Times New Roman" w:hAnsi="Times New Roman" w:cs="Times New Roman"/>
          <w:sz w:val="24"/>
          <w:szCs w:val="24"/>
        </w:rPr>
      </w:pPr>
    </w:p>
    <w:p w14:paraId="3A2A992E" w14:textId="348D0134" w:rsidR="00070E9E" w:rsidRPr="002F5278" w:rsidRDefault="005121D6" w:rsidP="00070E9E">
      <w:pPr>
        <w:autoSpaceDE w:val="0"/>
        <w:autoSpaceDN w:val="0"/>
        <w:adjustRightInd w:val="0"/>
        <w:spacing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t>1</w:t>
      </w:r>
      <w:r w:rsidR="00534F50">
        <w:rPr>
          <w:rFonts w:ascii="Times New Roman" w:hAnsi="Times New Roman" w:cs="Times New Roman"/>
          <w:sz w:val="24"/>
          <w:szCs w:val="24"/>
        </w:rPr>
        <w:t>7</w:t>
      </w:r>
      <w:r w:rsidR="00070E9E" w:rsidRPr="002F5278">
        <w:rPr>
          <w:rFonts w:ascii="Times New Roman" w:hAnsi="Times New Roman" w:cs="Times New Roman"/>
          <w:sz w:val="24"/>
          <w:szCs w:val="24"/>
        </w:rPr>
        <w:t>.attēls</w:t>
      </w:r>
    </w:p>
    <w:p w14:paraId="47372831" w14:textId="77777777" w:rsidR="004C526E" w:rsidRPr="00573B49" w:rsidRDefault="004C526E" w:rsidP="004C526E">
      <w:pPr>
        <w:autoSpaceDE w:val="0"/>
        <w:autoSpaceDN w:val="0"/>
        <w:adjustRightInd w:val="0"/>
        <w:spacing w:after="0" w:line="240" w:lineRule="auto"/>
        <w:rPr>
          <w:rFonts w:ascii="Times New Roman" w:hAnsi="Times New Roman" w:cs="Times New Roman"/>
          <w:sz w:val="24"/>
          <w:szCs w:val="24"/>
        </w:rPr>
      </w:pPr>
    </w:p>
    <w:p w14:paraId="2A0DAEDA" w14:textId="77777777" w:rsidR="004C526E" w:rsidRPr="007157D3" w:rsidRDefault="004C526E" w:rsidP="00912F9E">
      <w:pPr>
        <w:autoSpaceDE w:val="0"/>
        <w:autoSpaceDN w:val="0"/>
        <w:adjustRightInd w:val="0"/>
        <w:spacing w:after="0" w:line="240" w:lineRule="auto"/>
        <w:jc w:val="center"/>
        <w:rPr>
          <w:rFonts w:ascii="Times New Roman" w:hAnsi="Times New Roman" w:cs="Times New Roman"/>
          <w:sz w:val="24"/>
          <w:szCs w:val="24"/>
        </w:rPr>
      </w:pPr>
      <w:r w:rsidRPr="00C63513">
        <w:rPr>
          <w:rFonts w:ascii="Times New Roman" w:hAnsi="Times New Roman" w:cs="Times New Roman"/>
          <w:noProof/>
          <w:sz w:val="24"/>
          <w:szCs w:val="24"/>
          <w:lang w:eastAsia="lv-LV"/>
        </w:rPr>
        <w:drawing>
          <wp:inline distT="0" distB="0" distL="0" distR="0" wp14:anchorId="2714818D" wp14:editId="251821A8">
            <wp:extent cx="4013200" cy="2362200"/>
            <wp:effectExtent l="0" t="0" r="6350" b="0"/>
            <wp:docPr id="8" name="Chart 8">
              <a:extLst xmlns:a="http://schemas.openxmlformats.org/drawingml/2006/main">
                <a:ext uri="{FF2B5EF4-FFF2-40B4-BE49-F238E27FC236}">
                  <a16:creationId xmlns:a16="http://schemas.microsoft.com/office/drawing/2014/main" id="{FBD78C30-0C1C-4A0D-A407-F43B3A68A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9F9ACDF" w14:textId="7F1D5F99" w:rsidR="004C526E" w:rsidRPr="00534F50" w:rsidRDefault="00534F50" w:rsidP="004C526E">
      <w:pPr>
        <w:autoSpaceDE w:val="0"/>
        <w:autoSpaceDN w:val="0"/>
        <w:adjustRightInd w:val="0"/>
        <w:spacing w:after="0" w:line="240" w:lineRule="auto"/>
        <w:rPr>
          <w:rFonts w:ascii="Times New Roman" w:hAnsi="Times New Roman" w:cs="Times New Roman"/>
          <w:sz w:val="20"/>
          <w:szCs w:val="20"/>
        </w:rPr>
      </w:pPr>
      <w:r w:rsidRPr="00534F50">
        <w:rPr>
          <w:rFonts w:ascii="Times New Roman" w:hAnsi="Times New Roman" w:cs="Times New Roman"/>
          <w:sz w:val="20"/>
          <w:szCs w:val="20"/>
        </w:rPr>
        <w:t>Datu avots: LM</w:t>
      </w:r>
    </w:p>
    <w:p w14:paraId="1E92A7AD" w14:textId="77777777" w:rsidR="00534F50" w:rsidRDefault="00534F50" w:rsidP="00BB6EB7">
      <w:pPr>
        <w:spacing w:after="0" w:line="240" w:lineRule="auto"/>
        <w:ind w:firstLine="720"/>
        <w:jc w:val="both"/>
        <w:rPr>
          <w:rFonts w:ascii="Times New Roman" w:eastAsia="Calibri" w:hAnsi="Times New Roman" w:cs="Times New Roman"/>
          <w:sz w:val="24"/>
          <w:szCs w:val="24"/>
          <w:shd w:val="clear" w:color="auto" w:fill="FFFFFF"/>
        </w:rPr>
      </w:pPr>
    </w:p>
    <w:p w14:paraId="7D9C3F62" w14:textId="7D0EA557" w:rsidR="00BB6EB7" w:rsidRPr="00573B49" w:rsidRDefault="00BB6EB7" w:rsidP="00BB6EB7">
      <w:pPr>
        <w:spacing w:after="0" w:line="240" w:lineRule="auto"/>
        <w:ind w:firstLine="720"/>
        <w:jc w:val="both"/>
        <w:rPr>
          <w:rFonts w:ascii="Times New Roman" w:eastAsia="Calibri" w:hAnsi="Times New Roman" w:cs="Times New Roman"/>
          <w:sz w:val="24"/>
          <w:szCs w:val="24"/>
          <w:shd w:val="clear" w:color="auto" w:fill="FFFFFF"/>
        </w:rPr>
      </w:pPr>
      <w:r w:rsidRPr="007157D3">
        <w:rPr>
          <w:rFonts w:ascii="Times New Roman" w:eastAsia="Calibri" w:hAnsi="Times New Roman" w:cs="Times New Roman"/>
          <w:sz w:val="24"/>
          <w:szCs w:val="24"/>
          <w:shd w:val="clear" w:color="auto" w:fill="FFFFFF"/>
        </w:rPr>
        <w:t xml:space="preserve">Lai nodrošinātu personām ar </w:t>
      </w:r>
      <w:r w:rsidRPr="002F5278">
        <w:rPr>
          <w:rFonts w:ascii="Times New Roman" w:eastAsia="Calibri" w:hAnsi="Times New Roman" w:cs="Times New Roman"/>
          <w:sz w:val="24"/>
          <w:szCs w:val="24"/>
          <w:shd w:val="clear" w:color="auto" w:fill="FFFFFF"/>
        </w:rPr>
        <w:t>GRT iespēju uzsākt dzīvi pašvaldībās, plāno</w:t>
      </w:r>
      <w:r w:rsidRPr="00573B49">
        <w:rPr>
          <w:rFonts w:ascii="Times New Roman" w:eastAsia="Calibri" w:hAnsi="Times New Roman" w:cs="Times New Roman"/>
          <w:sz w:val="24"/>
          <w:szCs w:val="24"/>
          <w:shd w:val="clear" w:color="auto" w:fill="FFFFFF"/>
        </w:rPr>
        <w:t>šanas reģionos ir plānota grupu māju (dzīvokļu) izveide. Tādējādi personām tiek plānota ne tikai sociālo pakalpojumu saņemšana</w:t>
      </w:r>
      <w:r w:rsidR="00500E46">
        <w:rPr>
          <w:rFonts w:ascii="Times New Roman" w:eastAsia="Calibri" w:hAnsi="Times New Roman" w:cs="Times New Roman"/>
          <w:sz w:val="24"/>
          <w:szCs w:val="24"/>
          <w:shd w:val="clear" w:color="auto" w:fill="FFFFFF"/>
        </w:rPr>
        <w:t>s</w:t>
      </w:r>
      <w:r w:rsidRPr="00573B49">
        <w:rPr>
          <w:rFonts w:ascii="Times New Roman" w:eastAsia="Calibri" w:hAnsi="Times New Roman" w:cs="Times New Roman"/>
          <w:sz w:val="24"/>
          <w:szCs w:val="24"/>
          <w:shd w:val="clear" w:color="auto" w:fill="FFFFFF"/>
        </w:rPr>
        <w:t xml:space="preserve"> iespēja, bet arī nodrošināšana ar mitekli. Deinstitucionalizācijas projektos līdz 2022. gada beigām pašvaldības plāno izveidot 53 jaunas grupu mājas (dzīvokļus), kas nodrošinās iespēju saņemt grupu mājas pakalpojumus 621 pilngadīgai personai ar GRT.</w:t>
      </w:r>
    </w:p>
    <w:p w14:paraId="06525D97" w14:textId="77777777" w:rsidR="009978A2" w:rsidRPr="00573B49" w:rsidRDefault="009978A2" w:rsidP="001A0E9C">
      <w:pPr>
        <w:spacing w:after="0" w:line="240" w:lineRule="auto"/>
        <w:ind w:firstLine="720"/>
        <w:jc w:val="both"/>
        <w:rPr>
          <w:rFonts w:ascii="Times New Roman" w:eastAsia="Calibri" w:hAnsi="Times New Roman" w:cs="Times New Roman"/>
          <w:sz w:val="24"/>
          <w:szCs w:val="24"/>
          <w:shd w:val="clear" w:color="auto" w:fill="FFFFFF"/>
        </w:rPr>
      </w:pPr>
    </w:p>
    <w:p w14:paraId="72EFB402" w14:textId="7C41D26A" w:rsidR="009978A2" w:rsidRPr="0025422D" w:rsidRDefault="009978A2" w:rsidP="00EC7537">
      <w:pPr>
        <w:pStyle w:val="Heading1"/>
      </w:pPr>
      <w:bookmarkStart w:id="56" w:name="_Toc55316093"/>
      <w:r w:rsidRPr="0025422D">
        <w:lastRenderedPageBreak/>
        <w:t>Pakalpojumu kvalitātes uzraudzība</w:t>
      </w:r>
      <w:bookmarkEnd w:id="56"/>
    </w:p>
    <w:p w14:paraId="4DCC06C4" w14:textId="77777777" w:rsidR="00664152" w:rsidRPr="0015154B" w:rsidRDefault="009978A2" w:rsidP="00AC38FA">
      <w:pPr>
        <w:spacing w:before="120" w:after="0" w:line="240" w:lineRule="auto"/>
        <w:ind w:firstLine="720"/>
        <w:jc w:val="both"/>
        <w:rPr>
          <w:rFonts w:ascii="Times New Roman" w:eastAsia="Calibri" w:hAnsi="Times New Roman" w:cs="Times New Roman"/>
          <w:sz w:val="24"/>
          <w:szCs w:val="24"/>
        </w:rPr>
      </w:pPr>
      <w:r w:rsidRPr="00A857F2">
        <w:rPr>
          <w:rFonts w:ascii="Times New Roman" w:hAnsi="Times New Roman" w:cs="Times New Roman"/>
          <w:sz w:val="24"/>
          <w:szCs w:val="24"/>
        </w:rPr>
        <w:t xml:space="preserve">Sociālo pakalpojumu efektivitāte attiecas uz visu pakalpojumu sniegšanas procesu, kurā publiskais finansējums tiek pārvērsts </w:t>
      </w:r>
      <w:r w:rsidRPr="00662D1E">
        <w:rPr>
          <w:rFonts w:ascii="Times New Roman" w:hAnsi="Times New Roman" w:cs="Times New Roman"/>
          <w:sz w:val="24"/>
          <w:szCs w:val="24"/>
        </w:rPr>
        <w:t>par pozitīvu rezultātu indivīdam un sabiedrībai. Tas nozīmē gan labāku rezultātu sasniegšanu, gan efektīvāku pārvaldību, nodrošinot publiskā finansējuma izmantošanu vislabākajā iespējamā veidā. No indivīda viedokļa tas ir atbalsts (pakalpojums), kas ir pie</w:t>
      </w:r>
      <w:r w:rsidRPr="009703E6">
        <w:rPr>
          <w:rFonts w:ascii="Times New Roman" w:hAnsi="Times New Roman" w:cs="Times New Roman"/>
          <w:sz w:val="24"/>
          <w:szCs w:val="24"/>
        </w:rPr>
        <w:t xml:space="preserve">ejams ātri, un atrisina problēmu (sasniedz rezultātu). </w:t>
      </w:r>
      <w:r w:rsidRPr="0015154B">
        <w:rPr>
          <w:rFonts w:ascii="Times New Roman" w:eastAsia="Calibri" w:hAnsi="Times New Roman" w:cs="Times New Roman"/>
          <w:sz w:val="24"/>
          <w:szCs w:val="24"/>
        </w:rPr>
        <w:t xml:space="preserve">LM veic sociālo pakalpojumu nodrošināšanas uzraudzību par valsts budžeta finansētu vai līdzfinansētu sociālo pakalpojumu rezultatīvo rādītāju sasniegšanu, ka arī  pārrauga LM  padotībā esošās iestādes. </w:t>
      </w:r>
    </w:p>
    <w:p w14:paraId="40120AB0" w14:textId="577DF7B2" w:rsidR="009978A2" w:rsidRPr="0015154B" w:rsidRDefault="009978A2" w:rsidP="00AC38FA">
      <w:pPr>
        <w:spacing w:before="120" w:after="0" w:line="240" w:lineRule="auto"/>
        <w:ind w:firstLine="720"/>
        <w:jc w:val="both"/>
        <w:rPr>
          <w:rFonts w:ascii="Times New Roman" w:eastAsia="Calibri" w:hAnsi="Times New Roman" w:cs="Times New Roman"/>
          <w:bCs/>
          <w:sz w:val="24"/>
          <w:szCs w:val="24"/>
        </w:rPr>
      </w:pPr>
      <w:r w:rsidRPr="0015154B">
        <w:rPr>
          <w:rFonts w:ascii="Times New Roman" w:eastAsia="Calibri" w:hAnsi="Times New Roman" w:cs="Times New Roman"/>
          <w:sz w:val="24"/>
          <w:szCs w:val="24"/>
        </w:rPr>
        <w:t>Sākot ar 2019.gadu</w:t>
      </w:r>
      <w:r w:rsidR="00645900">
        <w:rPr>
          <w:rFonts w:ascii="Times New Roman" w:eastAsia="Calibri" w:hAnsi="Times New Roman" w:cs="Times New Roman"/>
          <w:sz w:val="24"/>
          <w:szCs w:val="24"/>
        </w:rPr>
        <w:t>,</w:t>
      </w:r>
      <w:r w:rsidRPr="0015154B">
        <w:rPr>
          <w:rFonts w:ascii="Times New Roman" w:eastAsia="Calibri" w:hAnsi="Times New Roman" w:cs="Times New Roman"/>
          <w:sz w:val="24"/>
          <w:szCs w:val="24"/>
        </w:rPr>
        <w:t xml:space="preserve"> tiek veikti pakalpojumu sniedzēju pakalpojumu kvalitātes un efektivitātes mērījumi klientu apmierinātības monitoringa atskaitēs. </w:t>
      </w:r>
      <w:r w:rsidRPr="0015154B">
        <w:rPr>
          <w:rFonts w:ascii="Times New Roman" w:eastAsia="Calibri" w:hAnsi="Times New Roman" w:cs="Times New Roman"/>
          <w:bCs/>
          <w:sz w:val="24"/>
          <w:szCs w:val="24"/>
        </w:rPr>
        <w:t>Tomēr monitoringa atskaitēs dati nav viennozīmīgi salīdzināmi, īpaši starp dažādi dizainētiem sociālajiem pakalpojumiem</w:t>
      </w:r>
      <w:r w:rsidR="00664152" w:rsidRPr="0015154B">
        <w:rPr>
          <w:rFonts w:ascii="Times New Roman" w:eastAsia="Calibri" w:hAnsi="Times New Roman" w:cs="Times New Roman"/>
          <w:bCs/>
          <w:sz w:val="24"/>
          <w:szCs w:val="24"/>
        </w:rPr>
        <w:t>.</w:t>
      </w:r>
      <w:r w:rsidRPr="0015154B">
        <w:rPr>
          <w:rFonts w:ascii="Times New Roman" w:eastAsia="Calibri" w:hAnsi="Times New Roman" w:cs="Times New Roman"/>
          <w:bCs/>
          <w:sz w:val="24"/>
          <w:szCs w:val="24"/>
        </w:rPr>
        <w:t xml:space="preserve"> </w:t>
      </w:r>
      <w:r w:rsidR="00664152" w:rsidRPr="0015154B">
        <w:rPr>
          <w:rFonts w:ascii="Times New Roman" w:eastAsia="Calibri" w:hAnsi="Times New Roman" w:cs="Times New Roman"/>
          <w:bCs/>
          <w:sz w:val="24"/>
          <w:szCs w:val="24"/>
        </w:rPr>
        <w:t>L</w:t>
      </w:r>
      <w:r w:rsidRPr="0015154B">
        <w:rPr>
          <w:rFonts w:ascii="Times New Roman" w:eastAsia="Calibri" w:hAnsi="Times New Roman" w:cs="Times New Roman"/>
          <w:bCs/>
          <w:sz w:val="24"/>
          <w:szCs w:val="24"/>
        </w:rPr>
        <w:t>īdz ar to būtu jāveido datu/informācijas kopums, kas raksturo katru pakalpojumu, kurā būtu jānošķir jautājumi par pakalpojuma organizāciju (apmierinātība ar saņemšanas/piešķiršanas kārtību u</w:t>
      </w:r>
      <w:r w:rsidR="00534F50">
        <w:rPr>
          <w:rFonts w:ascii="Times New Roman" w:eastAsia="Calibri" w:hAnsi="Times New Roman" w:cs="Times New Roman"/>
          <w:bCs/>
          <w:sz w:val="24"/>
          <w:szCs w:val="24"/>
        </w:rPr>
        <w:t>.</w:t>
      </w:r>
      <w:r w:rsidRPr="0015154B">
        <w:rPr>
          <w:rFonts w:ascii="Times New Roman" w:eastAsia="Calibri" w:hAnsi="Times New Roman" w:cs="Times New Roman"/>
          <w:bCs/>
          <w:sz w:val="24"/>
          <w:szCs w:val="24"/>
        </w:rPr>
        <w:t>tml.), no jautājumiem, kas raksturo pakalpojuma kvalitāti (kādas klientu problēmas tiek risinātas un vai ar šādā veidā dizainētu/sniegtu pakalpojumu klienta problēmas var atrisināt u</w:t>
      </w:r>
      <w:r w:rsidR="00534F50">
        <w:rPr>
          <w:rFonts w:ascii="Times New Roman" w:eastAsia="Calibri" w:hAnsi="Times New Roman" w:cs="Times New Roman"/>
          <w:bCs/>
          <w:sz w:val="24"/>
          <w:szCs w:val="24"/>
        </w:rPr>
        <w:t>.</w:t>
      </w:r>
      <w:r w:rsidRPr="0015154B">
        <w:rPr>
          <w:rFonts w:ascii="Times New Roman" w:eastAsia="Calibri" w:hAnsi="Times New Roman" w:cs="Times New Roman"/>
          <w:bCs/>
          <w:sz w:val="24"/>
          <w:szCs w:val="24"/>
        </w:rPr>
        <w:t xml:space="preserve">tml.). </w:t>
      </w:r>
    </w:p>
    <w:p w14:paraId="0F30CA2C" w14:textId="7C7AB20F" w:rsidR="009978A2" w:rsidRPr="0015154B" w:rsidRDefault="00664152" w:rsidP="00AC38FA">
      <w:pPr>
        <w:spacing w:before="120" w:after="0" w:line="240" w:lineRule="auto"/>
        <w:ind w:firstLine="720"/>
        <w:jc w:val="both"/>
        <w:rPr>
          <w:rFonts w:ascii="Times New Roman" w:eastAsia="Calibri" w:hAnsi="Times New Roman" w:cs="Times New Roman"/>
          <w:bCs/>
          <w:sz w:val="24"/>
          <w:szCs w:val="24"/>
        </w:rPr>
      </w:pPr>
      <w:r w:rsidRPr="0015154B">
        <w:rPr>
          <w:rFonts w:ascii="Times New Roman" w:eastAsia="Calibri" w:hAnsi="Times New Roman" w:cs="Times New Roman"/>
          <w:bCs/>
          <w:sz w:val="24"/>
          <w:szCs w:val="24"/>
        </w:rPr>
        <w:t>LM veiktā uzraudzības procesa analīze liecina</w:t>
      </w:r>
      <w:r w:rsidR="009978A2" w:rsidRPr="0015154B">
        <w:rPr>
          <w:rFonts w:ascii="Times New Roman" w:eastAsia="Calibri" w:hAnsi="Times New Roman" w:cs="Times New Roman"/>
          <w:bCs/>
          <w:sz w:val="24"/>
          <w:szCs w:val="24"/>
        </w:rPr>
        <w:t>, ka jāveido cita atskaites forma ar specifi</w:t>
      </w:r>
      <w:r w:rsidR="00534F50">
        <w:rPr>
          <w:rFonts w:ascii="Times New Roman" w:eastAsia="Calibri" w:hAnsi="Times New Roman" w:cs="Times New Roman"/>
          <w:bCs/>
          <w:sz w:val="24"/>
          <w:szCs w:val="24"/>
        </w:rPr>
        <w:t>sk</w:t>
      </w:r>
      <w:r w:rsidR="009978A2" w:rsidRPr="0015154B">
        <w:rPr>
          <w:rFonts w:ascii="Times New Roman" w:eastAsia="Calibri" w:hAnsi="Times New Roman" w:cs="Times New Roman"/>
          <w:bCs/>
          <w:sz w:val="24"/>
          <w:szCs w:val="24"/>
        </w:rPr>
        <w:t>u informācijas pieprasījumu par katru pakalpojumu, kurā iekļauti tieši šī pakalpojuma sniedzēja kvalitātes vērtēšanas kritēriji, kur kvalitāti pakalpojumā raksturo citi dati, tādi kā atgriešanās darba tirgū, progress personīgajā attīstībā, iekļaušanās sociālajā vidē u.c. Vērtējot pakalpojuma kvalitāti, atskaitē jāiekļauj jautājumi, kas ļautu izdarīt secinājumus par pakalpojuma kvalitāti, t.i. cik lielā mērā pakalpojums sasniedz normatīvajos aktos noteikto mērķi. Šobrīd neti</w:t>
      </w:r>
      <w:r w:rsidRPr="0015154B">
        <w:rPr>
          <w:rFonts w:ascii="Times New Roman" w:eastAsia="Calibri" w:hAnsi="Times New Roman" w:cs="Times New Roman"/>
          <w:bCs/>
          <w:sz w:val="24"/>
          <w:szCs w:val="24"/>
        </w:rPr>
        <w:t>ek</w:t>
      </w:r>
      <w:r w:rsidR="009978A2" w:rsidRPr="0015154B">
        <w:rPr>
          <w:rFonts w:ascii="Times New Roman" w:eastAsia="Calibri" w:hAnsi="Times New Roman" w:cs="Times New Roman"/>
          <w:bCs/>
          <w:sz w:val="24"/>
          <w:szCs w:val="24"/>
        </w:rPr>
        <w:t xml:space="preserve"> analizēts, cik pakalpojums atbilst mērķauditorijas vajadzībām un cik lielā mērā pakalpojums klientu vajadzības apmierina. Dažādā pakalpojumu sniedzēju pieeja </w:t>
      </w:r>
      <w:r w:rsidRPr="0015154B">
        <w:rPr>
          <w:rFonts w:ascii="Times New Roman" w:eastAsia="Calibri" w:hAnsi="Times New Roman" w:cs="Times New Roman"/>
          <w:bCs/>
          <w:sz w:val="24"/>
          <w:szCs w:val="24"/>
        </w:rPr>
        <w:t>pakalpojuma kvalitātes novērtēšanā</w:t>
      </w:r>
      <w:r w:rsidR="009978A2" w:rsidRPr="0015154B">
        <w:rPr>
          <w:rFonts w:ascii="Times New Roman" w:eastAsia="Calibri" w:hAnsi="Times New Roman" w:cs="Times New Roman"/>
          <w:bCs/>
          <w:sz w:val="24"/>
          <w:szCs w:val="24"/>
        </w:rPr>
        <w:t xml:space="preserve"> liecina, ka nepieciešama pakalpojumu sniedzēj</w:t>
      </w:r>
      <w:r w:rsidR="00E234E0">
        <w:rPr>
          <w:rFonts w:ascii="Times New Roman" w:eastAsia="Calibri" w:hAnsi="Times New Roman" w:cs="Times New Roman"/>
          <w:bCs/>
          <w:sz w:val="24"/>
          <w:szCs w:val="24"/>
        </w:rPr>
        <w:t>u</w:t>
      </w:r>
      <w:r w:rsidR="009978A2" w:rsidRPr="0015154B">
        <w:rPr>
          <w:rFonts w:ascii="Times New Roman" w:eastAsia="Calibri" w:hAnsi="Times New Roman" w:cs="Times New Roman"/>
          <w:bCs/>
          <w:sz w:val="24"/>
          <w:szCs w:val="24"/>
        </w:rPr>
        <w:t xml:space="preserve"> </w:t>
      </w:r>
      <w:r w:rsidRPr="0015154B">
        <w:rPr>
          <w:rFonts w:ascii="Times New Roman" w:eastAsia="Calibri" w:hAnsi="Times New Roman" w:cs="Times New Roman"/>
          <w:bCs/>
          <w:sz w:val="24"/>
          <w:szCs w:val="24"/>
        </w:rPr>
        <w:t>izpratnes un zināšanu pilnveidošana par</w:t>
      </w:r>
      <w:r w:rsidR="009978A2" w:rsidRPr="0015154B">
        <w:rPr>
          <w:rFonts w:ascii="Times New Roman" w:eastAsia="Calibri" w:hAnsi="Times New Roman" w:cs="Times New Roman"/>
          <w:bCs/>
          <w:sz w:val="24"/>
          <w:szCs w:val="24"/>
        </w:rPr>
        <w:t xml:space="preserve"> pakalpojuma kvalitāte</w:t>
      </w:r>
      <w:r w:rsidRPr="0015154B">
        <w:rPr>
          <w:rFonts w:ascii="Times New Roman" w:eastAsia="Calibri" w:hAnsi="Times New Roman" w:cs="Times New Roman"/>
          <w:bCs/>
          <w:sz w:val="24"/>
          <w:szCs w:val="24"/>
        </w:rPr>
        <w:t>s mērīšanu  un uzraudzību</w:t>
      </w:r>
      <w:r w:rsidR="009978A2" w:rsidRPr="0015154B">
        <w:rPr>
          <w:rFonts w:ascii="Times New Roman" w:eastAsia="Calibri" w:hAnsi="Times New Roman" w:cs="Times New Roman"/>
          <w:bCs/>
          <w:sz w:val="24"/>
          <w:szCs w:val="24"/>
        </w:rPr>
        <w:t xml:space="preserve">, </w:t>
      </w:r>
      <w:r w:rsidRPr="0015154B">
        <w:rPr>
          <w:rFonts w:ascii="Times New Roman" w:eastAsia="Calibri" w:hAnsi="Times New Roman" w:cs="Times New Roman"/>
          <w:bCs/>
          <w:sz w:val="24"/>
          <w:szCs w:val="24"/>
        </w:rPr>
        <w:t>par iestādes</w:t>
      </w:r>
      <w:r w:rsidR="009978A2" w:rsidRPr="0015154B">
        <w:rPr>
          <w:rFonts w:ascii="Times New Roman" w:eastAsia="Calibri" w:hAnsi="Times New Roman" w:cs="Times New Roman"/>
          <w:bCs/>
          <w:sz w:val="24"/>
          <w:szCs w:val="24"/>
        </w:rPr>
        <w:t xml:space="preserve"> </w:t>
      </w:r>
      <w:r w:rsidRPr="0015154B">
        <w:rPr>
          <w:rFonts w:ascii="Times New Roman" w:eastAsia="Calibri" w:hAnsi="Times New Roman" w:cs="Times New Roman"/>
          <w:bCs/>
          <w:sz w:val="24"/>
          <w:szCs w:val="24"/>
        </w:rPr>
        <w:t>darba novērtēšanas metodēm u.tml.</w:t>
      </w:r>
      <w:r w:rsidR="009978A2" w:rsidRPr="0015154B">
        <w:rPr>
          <w:rFonts w:ascii="Times New Roman" w:eastAsia="Calibri" w:hAnsi="Times New Roman" w:cs="Times New Roman"/>
          <w:bCs/>
          <w:sz w:val="24"/>
          <w:szCs w:val="24"/>
        </w:rPr>
        <w:t xml:space="preserve"> </w:t>
      </w:r>
    </w:p>
    <w:p w14:paraId="7748D2D0" w14:textId="64ACB242" w:rsidR="009978A2" w:rsidRDefault="00664152"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Tādēļ nepieciešams</w:t>
      </w:r>
      <w:r w:rsidR="009978A2" w:rsidRPr="0015154B">
        <w:rPr>
          <w:rFonts w:ascii="Times New Roman" w:hAnsi="Times New Roman" w:cs="Times New Roman"/>
          <w:sz w:val="24"/>
          <w:szCs w:val="24"/>
        </w:rPr>
        <w:t xml:space="preserve"> attīstīt sociālo pakalpojumu efektivitātes novērtēšanas sistēmu, izstrādājot metodiku kvalitatīvu un efektīvu sociālās aprūpes un sociālās rehabilitācijas pakalpojumu sniegšanai, t.sk. sociālo pakalpojumu efektivitātes sistēmiskā apraksta izstrāde, pieejas definēšana sociālo pakalpojumu efektivitātes uzlabošanai, kritēriju kopuma izstrāde un aprobēšana pakalpojumu kvalitātes uzraudzībai un efektivitātes novērtēšanai, uz pierādījumiem balstītas pieejas ieviešana jaunu pakalpojumu attīstīšanā/ esošo reorganizācijā, nodrošinot, ka ir pierādīta plānoto aktivitāšu rezultātu efektivitāte, informācijas sistēmas (SPOLIS/LABIS) modificēšana sociālo pakalpojumu efektivitātes novērtēšanai nepieciešamo datu un rādītāju elektroniskai uzkrāšanai un analīzei.</w:t>
      </w:r>
    </w:p>
    <w:p w14:paraId="503F68CA" w14:textId="77777777" w:rsidR="00645900" w:rsidRDefault="00645900" w:rsidP="00AC38FA">
      <w:pPr>
        <w:spacing w:before="120" w:after="0" w:line="240" w:lineRule="auto"/>
        <w:ind w:firstLine="720"/>
        <w:jc w:val="both"/>
        <w:rPr>
          <w:rFonts w:ascii="Times New Roman" w:hAnsi="Times New Roman" w:cs="Times New Roman"/>
          <w:sz w:val="24"/>
          <w:szCs w:val="24"/>
        </w:rPr>
      </w:pPr>
    </w:p>
    <w:p w14:paraId="0B4F049E" w14:textId="317C95C5" w:rsidR="00912F9E" w:rsidRPr="002F5278" w:rsidRDefault="00645900" w:rsidP="00645900">
      <w:pPr>
        <w:spacing w:before="120" w:after="0" w:line="240" w:lineRule="auto"/>
        <w:ind w:firstLine="720"/>
        <w:jc w:val="both"/>
        <w:rPr>
          <w:rFonts w:ascii="Times New Roman" w:hAnsi="Times New Roman" w:cs="Times New Roman"/>
          <w:b/>
          <w:sz w:val="28"/>
          <w:szCs w:val="28"/>
        </w:rPr>
      </w:pPr>
      <w:r w:rsidRPr="00C63513">
        <w:rPr>
          <w:rFonts w:ascii="Times New Roman" w:eastAsia="Times New Roman" w:hAnsi="Times New Roman" w:cs="Times New Roman"/>
          <w:bCs/>
          <w:noProof/>
          <w:sz w:val="24"/>
          <w:szCs w:val="24"/>
          <w:lang w:eastAsia="lv-LV"/>
        </w:rPr>
        <mc:AlternateContent>
          <mc:Choice Requires="wpg">
            <w:drawing>
              <wp:inline distT="0" distB="0" distL="0" distR="0" wp14:anchorId="4564157E" wp14:editId="2B996CCC">
                <wp:extent cx="5308270" cy="2054430"/>
                <wp:effectExtent l="0" t="0" r="6985" b="3175"/>
                <wp:docPr id="9" name="Group 9"/>
                <wp:cNvGraphicFramePr/>
                <a:graphic xmlns:a="http://schemas.openxmlformats.org/drawingml/2006/main">
                  <a:graphicData uri="http://schemas.microsoft.com/office/word/2010/wordprocessingGroup">
                    <wpg:wgp>
                      <wpg:cNvGrpSpPr/>
                      <wpg:grpSpPr>
                        <a:xfrm>
                          <a:off x="0" y="0"/>
                          <a:ext cx="5308270" cy="2054430"/>
                          <a:chOff x="0" y="-17910"/>
                          <a:chExt cx="3591207" cy="1566533"/>
                        </a:xfrm>
                      </wpg:grpSpPr>
                      <wps:wsp>
                        <wps:cNvPr id="33" name="Rectangle 33"/>
                        <wps:cNvSpPr/>
                        <wps:spPr>
                          <a:xfrm>
                            <a:off x="23759" y="-1791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1284DB" w14:textId="77777777" w:rsidR="00D67CF6" w:rsidRPr="00825BD5" w:rsidRDefault="00D67CF6" w:rsidP="00645900">
                              <w:pPr>
                                <w:jc w:val="center"/>
                                <w:rPr>
                                  <w:rFonts w:ascii="Times New Roman" w:eastAsiaTheme="majorEastAsia" w:hAnsi="Times New Roman" w:cs="Times New Roman"/>
                                  <w:b/>
                                  <w:color w:val="FFFFFF" w:themeColor="background1"/>
                                  <w:sz w:val="24"/>
                                  <w:szCs w:val="24"/>
                                </w:rPr>
                              </w:pPr>
                              <w:r w:rsidRPr="00825BD5">
                                <w:rPr>
                                  <w:rFonts w:ascii="Times New Roman" w:eastAsiaTheme="majorEastAsia" w:hAnsi="Times New Roman" w:cs="Times New Roman"/>
                                  <w:b/>
                                  <w:color w:val="FFFFFF" w:themeColor="background1"/>
                                  <w:sz w:val="24"/>
                                  <w:szCs w:val="24"/>
                                </w:rPr>
                                <w:t>IZAICINĀJUMI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0" y="252642"/>
                            <a:ext cx="3567448" cy="12959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7FAE50"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aps/>
                                  <w:color w:val="549E39" w:themeColor="accent1"/>
                                  <w:sz w:val="24"/>
                                  <w:szCs w:val="24"/>
                                </w:rPr>
                                <w:t>P</w:t>
                              </w:r>
                              <w:r w:rsidRPr="00C711C1">
                                <w:rPr>
                                  <w:rFonts w:ascii="Times New Roman" w:hAnsi="Times New Roman" w:cs="Times New Roman"/>
                                  <w:color w:val="549E39" w:themeColor="accent1"/>
                                  <w:sz w:val="24"/>
                                  <w:szCs w:val="24"/>
                                </w:rPr>
                                <w:t>ieaugošs aprūpes pienākumu slogs</w:t>
                              </w:r>
                            </w:p>
                            <w:p w14:paraId="014EE3FF"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Augsts institucionālās aprūpes īpatsvars</w:t>
                              </w:r>
                            </w:p>
                            <w:p w14:paraId="4A8D5234"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Nepietiekami attīstīti sabiedrībā balstīti sociālie pakalpojumi</w:t>
                              </w:r>
                            </w:p>
                            <w:p w14:paraId="2A9760F2"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Izteiktas reģionālās atšķirības sociālo pakalpojumu nod</w:t>
                              </w:r>
                              <w:r>
                                <w:rPr>
                                  <w:rFonts w:ascii="Times New Roman" w:hAnsi="Times New Roman" w:cs="Times New Roman"/>
                                  <w:color w:val="549E39" w:themeColor="accent1"/>
                                  <w:sz w:val="24"/>
                                  <w:szCs w:val="24"/>
                                </w:rPr>
                                <w:t>r</w:t>
                              </w:r>
                              <w:r w:rsidRPr="00C711C1">
                                <w:rPr>
                                  <w:rFonts w:ascii="Times New Roman" w:hAnsi="Times New Roman" w:cs="Times New Roman"/>
                                  <w:color w:val="549E39" w:themeColor="accent1"/>
                                  <w:sz w:val="24"/>
                                  <w:szCs w:val="24"/>
                                </w:rPr>
                                <w:t>ošinājumā</w:t>
                              </w:r>
                            </w:p>
                            <w:p w14:paraId="0C6EF0DE"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Nepietiekama starpinstitucionāla un starpsektoriāla sadarbība, nav attīstīta integrētu pakalpojumu sniegšana</w:t>
                              </w:r>
                            </w:p>
                            <w:p w14:paraId="171B3D08"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 xml:space="preserve">Finansējuma nepietiekamība sociālo pakalpojumu satura, cenas un sniegšanas </w:t>
                              </w:r>
                              <w:r>
                                <w:rPr>
                                  <w:rFonts w:ascii="Times New Roman" w:hAnsi="Times New Roman" w:cs="Times New Roman"/>
                                  <w:color w:val="549E39" w:themeColor="accent1"/>
                                  <w:sz w:val="24"/>
                                  <w:szCs w:val="24"/>
                                </w:rPr>
                                <w:t>veida</w:t>
                              </w:r>
                              <w:r w:rsidRPr="00C711C1">
                                <w:rPr>
                                  <w:rFonts w:ascii="Times New Roman" w:hAnsi="Times New Roman" w:cs="Times New Roman"/>
                                  <w:color w:val="549E39" w:themeColor="accent1"/>
                                  <w:sz w:val="24"/>
                                  <w:szCs w:val="24"/>
                                </w:rPr>
                                <w:t xml:space="preserve"> pārskatīšanai</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4564157E" id="Group 9" o:spid="_x0000_s1045" style="width:417.95pt;height:161.75pt;mso-position-horizontal-relative:char;mso-position-vertical-relative:line" coordorigin=",-179" coordsize="35912,15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">
                <v:rect id="Rectangle 33" o:spid="_x0000_s1046" style="position:absolute;left:237;top:-179;width:35675;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" fillcolor="#549e39 [3204]" stroked="f" strokeweight="1pt">
                  <v:textbox>
                    <w:txbxContent>
                      <w:p w14:paraId="4F1284DB" w14:textId="77777777" w:rsidR="00D67CF6" w:rsidRPr="00825BD5" w:rsidRDefault="00D67CF6" w:rsidP="00645900">
                        <w:pPr>
                          <w:jc w:val="center"/>
                          <w:rPr>
                            <w:rFonts w:ascii="Times New Roman" w:eastAsiaTheme="majorEastAsia" w:hAnsi="Times New Roman" w:cs="Times New Roman"/>
                            <w:b/>
                            <w:color w:val="FFFFFF" w:themeColor="background1"/>
                            <w:sz w:val="24"/>
                            <w:szCs w:val="24"/>
                          </w:rPr>
                        </w:pPr>
                        <w:r w:rsidRPr="00825BD5">
                          <w:rPr>
                            <w:rFonts w:ascii="Times New Roman" w:eastAsiaTheme="majorEastAsia" w:hAnsi="Times New Roman" w:cs="Times New Roman"/>
                            <w:b/>
                            <w:color w:val="FFFFFF" w:themeColor="background1"/>
                            <w:sz w:val="24"/>
                            <w:szCs w:val="24"/>
                          </w:rPr>
                          <w:t>IZAICINĀJUMI</w:t>
                        </w:r>
                      </w:p>
                    </w:txbxContent>
                  </v:textbox>
                </v:rect>
                <v:shape id="Text Box 34" o:spid="_x0000_s1047" type="#_x0000_t202" style="position:absolute;top:2526;width:35674;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" filled="f" stroked="f" strokeweight=".5pt">
                  <v:textbox inset=",7.2pt,,0">
                    <w:txbxContent>
                      <w:p w14:paraId="147FAE50"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aps/>
                            <w:color w:val="549E39" w:themeColor="accent1"/>
                            <w:sz w:val="24"/>
                            <w:szCs w:val="24"/>
                          </w:rPr>
                          <w:t>P</w:t>
                        </w:r>
                        <w:r w:rsidRPr="00C711C1">
                          <w:rPr>
                            <w:rFonts w:ascii="Times New Roman" w:hAnsi="Times New Roman" w:cs="Times New Roman"/>
                            <w:color w:val="549E39" w:themeColor="accent1"/>
                            <w:sz w:val="24"/>
                            <w:szCs w:val="24"/>
                          </w:rPr>
                          <w:t>ieaugošs aprūpes pienākumu slogs</w:t>
                        </w:r>
                      </w:p>
                      <w:p w14:paraId="014EE3FF"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Augsts institucionālās aprūpes īpatsvars</w:t>
                        </w:r>
                      </w:p>
                      <w:p w14:paraId="4A8D5234"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Nepietiekami attīstīti sabiedrībā balstīti sociālie pakalpojumi</w:t>
                        </w:r>
                      </w:p>
                      <w:p w14:paraId="2A9760F2"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Izteiktas reģionālās atšķirības sociālo pakalpojumu nod</w:t>
                        </w:r>
                        <w:r>
                          <w:rPr>
                            <w:rFonts w:ascii="Times New Roman" w:hAnsi="Times New Roman" w:cs="Times New Roman"/>
                            <w:color w:val="549E39" w:themeColor="accent1"/>
                            <w:sz w:val="24"/>
                            <w:szCs w:val="24"/>
                          </w:rPr>
                          <w:t>r</w:t>
                        </w:r>
                        <w:r w:rsidRPr="00C711C1">
                          <w:rPr>
                            <w:rFonts w:ascii="Times New Roman" w:hAnsi="Times New Roman" w:cs="Times New Roman"/>
                            <w:color w:val="549E39" w:themeColor="accent1"/>
                            <w:sz w:val="24"/>
                            <w:szCs w:val="24"/>
                          </w:rPr>
                          <w:t>ošinājumā</w:t>
                        </w:r>
                      </w:p>
                      <w:p w14:paraId="0C6EF0DE"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 xml:space="preserve">Nepietiekama </w:t>
                        </w:r>
                        <w:proofErr w:type="spellStart"/>
                        <w:r w:rsidRPr="00C711C1">
                          <w:rPr>
                            <w:rFonts w:ascii="Times New Roman" w:hAnsi="Times New Roman" w:cs="Times New Roman"/>
                            <w:color w:val="549E39" w:themeColor="accent1"/>
                            <w:sz w:val="24"/>
                            <w:szCs w:val="24"/>
                          </w:rPr>
                          <w:t>starpinstitucionāla</w:t>
                        </w:r>
                        <w:proofErr w:type="spellEnd"/>
                        <w:r w:rsidRPr="00C711C1">
                          <w:rPr>
                            <w:rFonts w:ascii="Times New Roman" w:hAnsi="Times New Roman" w:cs="Times New Roman"/>
                            <w:color w:val="549E39" w:themeColor="accent1"/>
                            <w:sz w:val="24"/>
                            <w:szCs w:val="24"/>
                          </w:rPr>
                          <w:t xml:space="preserve"> un </w:t>
                        </w:r>
                        <w:proofErr w:type="spellStart"/>
                        <w:r w:rsidRPr="00C711C1">
                          <w:rPr>
                            <w:rFonts w:ascii="Times New Roman" w:hAnsi="Times New Roman" w:cs="Times New Roman"/>
                            <w:color w:val="549E39" w:themeColor="accent1"/>
                            <w:sz w:val="24"/>
                            <w:szCs w:val="24"/>
                          </w:rPr>
                          <w:t>starpsektoriāla</w:t>
                        </w:r>
                        <w:proofErr w:type="spellEnd"/>
                        <w:r w:rsidRPr="00C711C1">
                          <w:rPr>
                            <w:rFonts w:ascii="Times New Roman" w:hAnsi="Times New Roman" w:cs="Times New Roman"/>
                            <w:color w:val="549E39" w:themeColor="accent1"/>
                            <w:sz w:val="24"/>
                            <w:szCs w:val="24"/>
                          </w:rPr>
                          <w:t xml:space="preserve"> sadarbība, nav attīstīta integrētu pakalpojumu sniegšana</w:t>
                        </w:r>
                      </w:p>
                      <w:p w14:paraId="171B3D08" w14:textId="77777777" w:rsidR="00D67CF6" w:rsidRPr="00C711C1" w:rsidRDefault="00D67CF6" w:rsidP="00645900">
                        <w:pPr>
                          <w:pStyle w:val="ListParagraph"/>
                          <w:numPr>
                            <w:ilvl w:val="0"/>
                            <w:numId w:val="41"/>
                          </w:numPr>
                          <w:spacing w:after="0" w:line="240" w:lineRule="auto"/>
                          <w:rPr>
                            <w:rFonts w:ascii="Times New Roman" w:hAnsi="Times New Roman" w:cs="Times New Roman"/>
                            <w:color w:val="549E39" w:themeColor="accent1"/>
                            <w:sz w:val="24"/>
                            <w:szCs w:val="24"/>
                          </w:rPr>
                        </w:pPr>
                        <w:r w:rsidRPr="00C711C1">
                          <w:rPr>
                            <w:rFonts w:ascii="Times New Roman" w:hAnsi="Times New Roman" w:cs="Times New Roman"/>
                            <w:color w:val="549E39" w:themeColor="accent1"/>
                            <w:sz w:val="24"/>
                            <w:szCs w:val="24"/>
                          </w:rPr>
                          <w:t xml:space="preserve">Finansējuma nepietiekamība sociālo pakalpojumu satura, cenas un sniegšanas </w:t>
                        </w:r>
                        <w:r>
                          <w:rPr>
                            <w:rFonts w:ascii="Times New Roman" w:hAnsi="Times New Roman" w:cs="Times New Roman"/>
                            <w:color w:val="549E39" w:themeColor="accent1"/>
                            <w:sz w:val="24"/>
                            <w:szCs w:val="24"/>
                          </w:rPr>
                          <w:t>veida</w:t>
                        </w:r>
                        <w:r w:rsidRPr="00C711C1">
                          <w:rPr>
                            <w:rFonts w:ascii="Times New Roman" w:hAnsi="Times New Roman" w:cs="Times New Roman"/>
                            <w:color w:val="549E39" w:themeColor="accent1"/>
                            <w:sz w:val="24"/>
                            <w:szCs w:val="24"/>
                          </w:rPr>
                          <w:t xml:space="preserve"> pārskatīšanai</w:t>
                        </w:r>
                      </w:p>
                    </w:txbxContent>
                  </v:textbox>
                </v:shape>
                <w10:anchorlock/>
              </v:group>
            </w:pict>
          </mc:Fallback>
        </mc:AlternateContent>
      </w:r>
      <w:bookmarkStart w:id="57" w:name="_Hlk52810216"/>
      <w:r w:rsidR="00912F9E" w:rsidRPr="002F5278">
        <w:rPr>
          <w:rFonts w:ascii="Times New Roman" w:hAnsi="Times New Roman" w:cs="Times New Roman"/>
          <w:b/>
          <w:sz w:val="28"/>
          <w:szCs w:val="28"/>
        </w:rPr>
        <w:br w:type="page"/>
      </w:r>
    </w:p>
    <w:p w14:paraId="4DC7E2B8" w14:textId="5C85926B" w:rsidR="00200837" w:rsidRPr="00573B49" w:rsidRDefault="006253A4" w:rsidP="00EC7537">
      <w:pPr>
        <w:pStyle w:val="Heading1"/>
      </w:pPr>
      <w:bookmarkStart w:id="58" w:name="_Toc55316094"/>
      <w:r w:rsidRPr="002F5278">
        <w:lastRenderedPageBreak/>
        <w:t>Sociālais darbs</w:t>
      </w:r>
      <w:bookmarkEnd w:id="58"/>
    </w:p>
    <w:p w14:paraId="5BE5883E" w14:textId="01B73BDE" w:rsidR="0034498F" w:rsidRPr="00573B49" w:rsidRDefault="0034498F" w:rsidP="00DA5144">
      <w:pPr>
        <w:pStyle w:val="Heading2"/>
      </w:pPr>
      <w:bookmarkStart w:id="59" w:name="_Toc55316095"/>
      <w:r w:rsidRPr="00573B49">
        <w:t>Sociālā darba loma</w:t>
      </w:r>
      <w:bookmarkEnd w:id="59"/>
    </w:p>
    <w:p w14:paraId="0FA88E2A"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573B49">
        <w:rPr>
          <w:rFonts w:ascii="Times New Roman" w:eastAsia="Times New Roman" w:hAnsi="Times New Roman" w:cs="Times New Roman"/>
          <w:color w:val="000000"/>
          <w:sz w:val="24"/>
          <w:szCs w:val="24"/>
          <w:lang w:eastAsia="lv-LV"/>
        </w:rPr>
        <w:t>Profesionālam soci</w:t>
      </w:r>
      <w:r w:rsidRPr="0025422D">
        <w:rPr>
          <w:rFonts w:ascii="Times New Roman" w:eastAsia="Times New Roman" w:hAnsi="Times New Roman" w:cs="Times New Roman"/>
          <w:color w:val="000000"/>
          <w:sz w:val="24"/>
          <w:szCs w:val="24"/>
          <w:lang w:eastAsia="lv-LV"/>
        </w:rPr>
        <w:t xml:space="preserve">ālajam darbam ir nozīmīga loma sociālās politikas ieviešanā un starpdisciplinārā praksē globālā mērogā, kas, saskaņā ar Starptautiskās sociālo darbinieku federācijas (IFSW) aktuālajiem pētījumiem un lēmumiem, kļuvusi arvien būtiskāka Covid – 19 pandēmijas </w:t>
      </w:r>
      <w:r w:rsidRPr="00A857F2">
        <w:rPr>
          <w:rFonts w:ascii="Times New Roman" w:eastAsia="Times New Roman" w:hAnsi="Times New Roman" w:cs="Times New Roman"/>
          <w:color w:val="000000"/>
          <w:sz w:val="24"/>
          <w:szCs w:val="24"/>
          <w:lang w:eastAsia="lv-LV"/>
        </w:rPr>
        <w:t>apstākļos. Sociālais darbs</w:t>
      </w:r>
      <w:r w:rsidRPr="00662D1E">
        <w:rPr>
          <w:rFonts w:ascii="Times New Roman" w:eastAsia="Times New Roman" w:hAnsi="Times New Roman" w:cs="Times New Roman"/>
          <w:color w:val="000000"/>
          <w:sz w:val="24"/>
          <w:szCs w:val="24"/>
          <w:lang w:eastAsia="lv-LV"/>
        </w:rPr>
        <w:t xml:space="preserve"> kā </w:t>
      </w:r>
      <w:r w:rsidRPr="009703E6">
        <w:rPr>
          <w:rFonts w:ascii="Times New Roman" w:eastAsia="Times New Roman" w:hAnsi="Times New Roman" w:cs="Times New Roman"/>
          <w:b/>
          <w:color w:val="000000"/>
          <w:sz w:val="24"/>
          <w:szCs w:val="24"/>
          <w:lang w:eastAsia="lv-LV"/>
        </w:rPr>
        <w:t>integrēta profesionālu kompetenču joma</w:t>
      </w:r>
      <w:r w:rsidRPr="0015154B">
        <w:rPr>
          <w:rFonts w:ascii="Times New Roman" w:eastAsia="Times New Roman" w:hAnsi="Times New Roman" w:cs="Times New Roman"/>
          <w:color w:val="000000"/>
          <w:sz w:val="24"/>
          <w:szCs w:val="24"/>
          <w:lang w:eastAsia="lv-LV"/>
        </w:rPr>
        <w:t xml:space="preserve"> (sociālo un humanitāro zinātņu elementi, pedagoģijas, komunikācijas zinātnes un sabiedrības veselības elementi) ir viena no elastīgākajām un sadarbībai ar citiem palīdzošo un tiesībsargājošo profesiju pārstāvjiem atvērtākā profesionālās darbības joma. Tā ir dinamiska profesija ar “dzīvu”, attīstībā esošu definīciju, kas sevi atjauno atbilstoši cilvēku un sabiedrības vajadzībām.</w:t>
      </w:r>
    </w:p>
    <w:p w14:paraId="50629A5A"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Profesionāls sociālais darbs ir vērsts uz problēmu risināšanu un pārmaiņām, lai mazinātu vai novērstu sabiedrībā pastāvošo nevienlīdzību un atjaunotu sociālo taisnīgumu; reaģē uz krīzēm un ārkārtas situācijām, kā arī risina klientu ikdienas personiskās un sociālās problēmas; strādā partnerībā ar pakalpojumu lietotājiem; veicina prevenciju/profilaksi, integrāciju un kohēziju (iekļaušanu). Pašlaik sociālais darbs globāli tiek novērtēts kā </w:t>
      </w:r>
      <w:r w:rsidRPr="0015154B">
        <w:rPr>
          <w:rFonts w:ascii="Times New Roman" w:eastAsia="Times New Roman" w:hAnsi="Times New Roman" w:cs="Times New Roman"/>
          <w:b/>
          <w:color w:val="000000"/>
          <w:sz w:val="24"/>
          <w:szCs w:val="24"/>
          <w:lang w:eastAsia="lv-LV"/>
        </w:rPr>
        <w:t>viena no straujāk augošajām profesijām</w:t>
      </w:r>
      <w:r w:rsidRPr="0015154B">
        <w:rPr>
          <w:rFonts w:ascii="Times New Roman" w:eastAsia="Times New Roman" w:hAnsi="Times New Roman" w:cs="Times New Roman"/>
          <w:color w:val="000000"/>
          <w:sz w:val="24"/>
          <w:szCs w:val="24"/>
          <w:lang w:eastAsia="lv-LV"/>
        </w:rPr>
        <w:t>. ASV sociālo darbinieku asociācija (NASW) prognozē, ka tuvākajos astoņos gados sociālo darbinieku pieprasījums pieaugs par 11%. Sociālie darbinieki ir pieprasīti valsts, pašvaldību iestādēs un nevalstiskajā sektorā; tieši viņi iesaistās tādu globālu izaicinājumu un problēmu risināšanā kā nabadzība un sociālā atstumtība, migrācija, dažādu dabas katastrofu un krīžu seku likvidēšana. Sociālo darbinieku profesionāls darbs un sadarbība ar sabiedrības veselības jomas profesionāļiem ir bijusi ļoti nozīmīga 2020.gada Covid – 19 pandēmijas apstākļos. </w:t>
      </w:r>
    </w:p>
    <w:p w14:paraId="71C85844" w14:textId="11218FDA"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Arī Latvijā skaidri atklājas šīs starptautiska līmeņa </w:t>
      </w:r>
      <w:r w:rsidRPr="0015154B">
        <w:rPr>
          <w:rFonts w:ascii="Times New Roman" w:eastAsia="Times New Roman" w:hAnsi="Times New Roman" w:cs="Times New Roman"/>
          <w:b/>
          <w:color w:val="000000"/>
          <w:sz w:val="24"/>
          <w:szCs w:val="24"/>
          <w:lang w:eastAsia="lv-LV"/>
        </w:rPr>
        <w:t>tendences</w:t>
      </w:r>
      <w:r w:rsidRPr="0015154B">
        <w:rPr>
          <w:rFonts w:ascii="Times New Roman" w:eastAsia="Times New Roman" w:hAnsi="Times New Roman" w:cs="Times New Roman"/>
          <w:color w:val="000000"/>
          <w:sz w:val="24"/>
          <w:szCs w:val="24"/>
          <w:lang w:eastAsia="lv-LV"/>
        </w:rPr>
        <w:t>. Arvien pieaug vajadzība gan pēc kvalificētiem darbiniekiem, kas spēj strādāt ar ģimenēm un personām, kam ir multiplas un ilgstošas problēmas, novērtēt problēmu cēloņus un piesaistīt piemērotākos pakalpojumus, gan pēc darbiniekiem, kas strādā ar specifiskām mērķa grupām un problemātiku (atkarības, vardarbība, personas ar garīga rakstura traucējumiem u</w:t>
      </w:r>
      <w:r w:rsidR="00534F50">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tml.), sniedzot padziļinātu atbalstu, gan citiem speciālistiem, kas veic preventīvo darbu un strādā ar klientu prasmju līmeņa celšanu un uzturēšanu. </w:t>
      </w:r>
    </w:p>
    <w:p w14:paraId="2DEF2649"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Sociālā darba profesija arī Latvijā iet pāri klasiskajām sociālās jomas robežām un ieņem arvien nozīmīgāku lomu arī veselības aprūpes, izglītības, tieslietu un tiesībsargājošās jomās/institūcijās. Tas parāda, ka, plānojot sociālā darba attīstību Latvijā, līdztekus pašvaldību sociālajiem dienestiem ir jāaptver daudz plašāks sociālā darba un speciālistu lauks, sniedzot profesionālu atbalstu arī slimnīcās, skolās un pirmsskolas izglītības iestādēs, probācijas dienestā, ieslodzījuma vietās, nodarbinātības valsts aģentūrā u.c. valsts un pašvaldību iestādēs strādājošiem sociālajiem darbiniekiem. Tikpat svarīgi ir arī sociālie darbinieki, kuri strādā nevalstiskajā sektorā, un ar savu pieredzi dod jomas attīstībai nozīmīgu ieguldījumu.</w:t>
      </w:r>
    </w:p>
    <w:p w14:paraId="4A9C827B" w14:textId="0EBBE443"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Pēc vairākkārt īstenotām diskusijām iepriekšējā pamatnostādņu īstenošanas periodā un ESF projekta “Profesionāla sociālā darba attīstība pašvaldībās” (turpmāk tekstā – ESF Projekts) ietvaros izstrādātajām metodikām darbam ar noteiktām klientu mērķa grupām un problemātiku, veidojas </w:t>
      </w:r>
      <w:r w:rsidRPr="0015154B">
        <w:rPr>
          <w:rFonts w:ascii="Times New Roman" w:eastAsia="Times New Roman" w:hAnsi="Times New Roman" w:cs="Times New Roman"/>
          <w:b/>
          <w:color w:val="000000"/>
          <w:sz w:val="24"/>
          <w:szCs w:val="24"/>
          <w:lang w:eastAsia="lv-LV"/>
        </w:rPr>
        <w:t>redzējums par sociālā darba specializācijām</w:t>
      </w:r>
      <w:r w:rsidRPr="0015154B">
        <w:rPr>
          <w:rFonts w:ascii="Times New Roman" w:eastAsia="Times New Roman" w:hAnsi="Times New Roman" w:cs="Times New Roman"/>
          <w:color w:val="000000"/>
          <w:sz w:val="24"/>
          <w:szCs w:val="24"/>
          <w:lang w:eastAsia="lv-LV"/>
        </w:rPr>
        <w:t xml:space="preserve">. Šajā procesā iezīmējas gan specializāciju virzieni un to vieta sociālā darba praksē, gan pamatojums izmaiņām darba noslodzē. Ir redzams, ka ar līdzšinējo darbinieku skaitu efektīvu, klienta vajadzībām atbilstošu rezultātu sasniegšanai nepietiek. Ir jāsamazina klientu, ar kuriem vienlaikus strādā sociālais darbinieks, skaits, jāstiprina profesionālās robežas un jāveido vienotas pieejas darbā ar noteiktām klientu mērķa grupām. Tas paredzētu vienveidīgāku praksi, neatkarīgi no klientu specifikas vai institucionālās vides, kurā sociālais darbinieks strādā, iezīmētu sasniedzamos </w:t>
      </w:r>
      <w:r w:rsidRPr="0015154B">
        <w:rPr>
          <w:rFonts w:ascii="Times New Roman" w:eastAsia="Times New Roman" w:hAnsi="Times New Roman" w:cs="Times New Roman"/>
          <w:color w:val="000000"/>
          <w:sz w:val="24"/>
          <w:szCs w:val="24"/>
          <w:lang w:eastAsia="lv-LV"/>
        </w:rPr>
        <w:lastRenderedPageBreak/>
        <w:t>rezultātus un skaidri noteiktu robežas, aiz kurām ar sociālā darbinieka atbalstu vien nepietiek un ir piesaistāmi citi, kompleksāki pakalpojumi. Ir jādomā gan par esošo resursu efektīvu izmantošanu, gan papildus resursu piesaisti sociālaj</w:t>
      </w:r>
      <w:r w:rsidR="001D5EE6">
        <w:rPr>
          <w:rFonts w:ascii="Times New Roman" w:eastAsia="Times New Roman" w:hAnsi="Times New Roman" w:cs="Times New Roman"/>
          <w:color w:val="000000"/>
          <w:sz w:val="24"/>
          <w:szCs w:val="24"/>
          <w:lang w:eastAsia="lv-LV"/>
        </w:rPr>
        <w:t>a</w:t>
      </w:r>
      <w:r w:rsidRPr="0015154B">
        <w:rPr>
          <w:rFonts w:ascii="Times New Roman" w:eastAsia="Times New Roman" w:hAnsi="Times New Roman" w:cs="Times New Roman"/>
          <w:color w:val="000000"/>
          <w:sz w:val="24"/>
          <w:szCs w:val="24"/>
          <w:lang w:eastAsia="lv-LV"/>
        </w:rPr>
        <w:t xml:space="preserve">m darbam un sociālajiem pakalpojumiem. Sociālā darbinieka loma profesionālu lēmumu pieņemšanā un viņa sagatavotā atzinuma </w:t>
      </w:r>
      <w:r w:rsidR="00E234E0">
        <w:rPr>
          <w:rFonts w:ascii="Times New Roman" w:eastAsia="Times New Roman" w:hAnsi="Times New Roman" w:cs="Times New Roman"/>
          <w:color w:val="000000"/>
          <w:sz w:val="24"/>
          <w:szCs w:val="24"/>
          <w:lang w:eastAsia="lv-LV"/>
        </w:rPr>
        <w:t>nozīmība</w:t>
      </w:r>
      <w:r w:rsidRPr="0015154B">
        <w:rPr>
          <w:rFonts w:ascii="Times New Roman" w:eastAsia="Times New Roman" w:hAnsi="Times New Roman" w:cs="Times New Roman"/>
          <w:color w:val="000000"/>
          <w:sz w:val="24"/>
          <w:szCs w:val="24"/>
          <w:lang w:eastAsia="lv-LV"/>
        </w:rPr>
        <w:t xml:space="preserve"> jāstiprina arī dažādās starpprofesionālās komandās un starpinstitucionālās sadarbības ietvaros. </w:t>
      </w:r>
    </w:p>
    <w:p w14:paraId="714678DB" w14:textId="77777777" w:rsidR="0034498F" w:rsidRPr="0015154B" w:rsidRDefault="0034498F" w:rsidP="0034498F">
      <w:pPr>
        <w:spacing w:after="0" w:line="240" w:lineRule="auto"/>
        <w:textAlignment w:val="baseline"/>
        <w:outlineLvl w:val="1"/>
        <w:rPr>
          <w:rFonts w:ascii="Times New Roman" w:eastAsia="Times New Roman" w:hAnsi="Times New Roman" w:cs="Times New Roman"/>
          <w:b/>
          <w:color w:val="000000"/>
          <w:sz w:val="24"/>
          <w:szCs w:val="24"/>
          <w:lang w:eastAsia="lv-LV"/>
        </w:rPr>
      </w:pPr>
    </w:p>
    <w:p w14:paraId="430C9A44" w14:textId="656EE9CA" w:rsidR="0034498F" w:rsidRPr="0015154B" w:rsidRDefault="0034498F" w:rsidP="00DA5144">
      <w:pPr>
        <w:pStyle w:val="Heading2"/>
      </w:pPr>
      <w:bookmarkStart w:id="60" w:name="_Toc55316096"/>
      <w:r w:rsidRPr="0015154B">
        <w:t>Sociālā darbinieka profesijas standart</w:t>
      </w:r>
      <w:r w:rsidR="00563E4A">
        <w:t>s</w:t>
      </w:r>
      <w:bookmarkEnd w:id="60"/>
    </w:p>
    <w:p w14:paraId="5586EDEE"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 xml:space="preserve">Kopš 2010.gada, kad stājās spēkā esošais sociālā darbinieka profesijas standarts, profesijas darba vide un prasības sociālajiem darbiniekiem būtiski mainījušās: </w:t>
      </w:r>
    </w:p>
    <w:p w14:paraId="3462AB63"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 xml:space="preserve">1) mainījusies globālā sociāla darba profesijas </w:t>
      </w:r>
      <w:r w:rsidRPr="0015154B">
        <w:rPr>
          <w:rFonts w:ascii="Times New Roman" w:eastAsia="Times New Roman" w:hAnsi="Times New Roman" w:cs="Times New Roman"/>
          <w:b/>
          <w:color w:val="000000"/>
          <w:sz w:val="24"/>
          <w:szCs w:val="24"/>
          <w:lang w:eastAsia="lv-LV"/>
        </w:rPr>
        <w:t>definīcija</w:t>
      </w:r>
      <w:r w:rsidRPr="0015154B">
        <w:rPr>
          <w:rFonts w:ascii="Times New Roman" w:eastAsia="Times New Roman" w:hAnsi="Times New Roman" w:cs="Times New Roman"/>
          <w:color w:val="000000"/>
          <w:sz w:val="24"/>
          <w:szCs w:val="24"/>
          <w:lang w:eastAsia="lv-LV"/>
        </w:rPr>
        <w:t xml:space="preserve">; </w:t>
      </w:r>
    </w:p>
    <w:p w14:paraId="4855CC55" w14:textId="5C7AF002" w:rsidR="0034498F" w:rsidRPr="0025422D" w:rsidRDefault="0034498F" w:rsidP="00AC38FA">
      <w:pPr>
        <w:spacing w:before="120" w:after="0" w:line="240" w:lineRule="auto"/>
        <w:ind w:right="45" w:firstLine="720"/>
        <w:jc w:val="both"/>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2) 2017.gada LM pasūtītajā pētījumā</w:t>
      </w:r>
      <w:r w:rsidRPr="007157D3">
        <w:rPr>
          <w:rStyle w:val="FootnoteReference"/>
          <w:rFonts w:ascii="Times New Roman" w:eastAsia="Times New Roman" w:hAnsi="Times New Roman" w:cs="Times New Roman"/>
          <w:color w:val="000000"/>
          <w:sz w:val="24"/>
          <w:szCs w:val="24"/>
          <w:lang w:eastAsia="lv-LV"/>
        </w:rPr>
        <w:footnoteReference w:id="145"/>
      </w:r>
      <w:r w:rsidRPr="007157D3">
        <w:rPr>
          <w:rFonts w:ascii="Times New Roman" w:eastAsia="Times New Roman" w:hAnsi="Times New Roman" w:cs="Times New Roman"/>
          <w:color w:val="000000"/>
          <w:sz w:val="24"/>
          <w:szCs w:val="24"/>
          <w:lang w:eastAsia="lv-LV"/>
        </w:rPr>
        <w:t xml:space="preserve"> konstatētas sociālo darbinieku pienākumu veikšanai nepietiekamas </w:t>
      </w:r>
      <w:r w:rsidRPr="007157D3">
        <w:rPr>
          <w:rFonts w:ascii="Times New Roman" w:eastAsia="Times New Roman" w:hAnsi="Times New Roman" w:cs="Times New Roman"/>
          <w:b/>
          <w:color w:val="000000"/>
          <w:sz w:val="24"/>
          <w:szCs w:val="24"/>
          <w:lang w:eastAsia="lv-LV"/>
        </w:rPr>
        <w:t>prasmes un kompetences</w:t>
      </w:r>
      <w:r w:rsidRPr="007157D3">
        <w:rPr>
          <w:rFonts w:ascii="Times New Roman" w:eastAsia="Times New Roman" w:hAnsi="Times New Roman" w:cs="Times New Roman"/>
          <w:color w:val="000000"/>
          <w:sz w:val="24"/>
          <w:szCs w:val="24"/>
          <w:lang w:eastAsia="lv-LV"/>
        </w:rPr>
        <w:t>, kas prasa aktīvu darbu sociālā darba augstākās izglītības un profesionālas kompetences pilnveides jomā</w:t>
      </w:r>
      <w:r w:rsidRPr="002F5278">
        <w:rPr>
          <w:rFonts w:ascii="Times New Roman" w:eastAsia="Times New Roman" w:hAnsi="Times New Roman" w:cs="Times New Roman"/>
          <w:color w:val="000000"/>
          <w:sz w:val="24"/>
          <w:szCs w:val="24"/>
          <w:lang w:eastAsia="lv-LV"/>
        </w:rPr>
        <w:t>. Vērtējot sociālo darbinieku iegūtās izglītības att</w:t>
      </w:r>
      <w:r w:rsidRPr="00573B49">
        <w:rPr>
          <w:rFonts w:ascii="Times New Roman" w:eastAsia="Times New Roman" w:hAnsi="Times New Roman" w:cs="Times New Roman"/>
          <w:color w:val="000000"/>
          <w:sz w:val="24"/>
          <w:szCs w:val="24"/>
          <w:lang w:eastAsia="lv-LV"/>
        </w:rPr>
        <w:t>iecībā pret sociālā darba prakses prasībām, tika identificētas nepilnības sociālā darba jomas izglītībā, proti, nedaudz vairāk nekā puse aptaujāto sociālo dienestu vadītāju, kuru vadītajos dienestos pēdējo divu gadu laikā ir sākuši strādāt sociālā darba jomas studiju programmu absolventi, vērtē to profesionālo sagatavotību kā drīzāk sliktu</w:t>
      </w:r>
      <w:r w:rsidR="007B3870">
        <w:rPr>
          <w:rFonts w:ascii="Times New Roman" w:eastAsia="Times New Roman" w:hAnsi="Times New Roman" w:cs="Times New Roman"/>
          <w:color w:val="000000"/>
          <w:sz w:val="24"/>
          <w:szCs w:val="24"/>
          <w:lang w:eastAsia="lv-LV"/>
        </w:rPr>
        <w:t>.</w:t>
      </w:r>
      <w:r w:rsidRPr="00573B49">
        <w:rPr>
          <w:rFonts w:ascii="Times New Roman" w:eastAsia="Times New Roman" w:hAnsi="Times New Roman" w:cs="Times New Roman"/>
          <w:color w:val="000000"/>
          <w:sz w:val="24"/>
          <w:szCs w:val="24"/>
          <w:lang w:eastAsia="lv-LV"/>
        </w:rPr>
        <w:t xml:space="preserve"> </w:t>
      </w:r>
      <w:r w:rsidR="007B3870">
        <w:rPr>
          <w:rFonts w:ascii="Times New Roman" w:eastAsia="Times New Roman" w:hAnsi="Times New Roman" w:cs="Times New Roman"/>
          <w:color w:val="000000"/>
          <w:sz w:val="24"/>
          <w:szCs w:val="24"/>
          <w:lang w:eastAsia="lv-LV"/>
        </w:rPr>
        <w:t>N</w:t>
      </w:r>
      <w:r w:rsidRPr="00573B49">
        <w:rPr>
          <w:rFonts w:ascii="Times New Roman" w:eastAsia="Times New Roman" w:hAnsi="Times New Roman" w:cs="Times New Roman"/>
          <w:color w:val="000000"/>
          <w:sz w:val="24"/>
          <w:szCs w:val="24"/>
          <w:lang w:eastAsia="lv-LV"/>
        </w:rPr>
        <w:t>edaudz augstāk jauno profesionāļu sagatavotību vērtēja sociālā darba speciālisti. Sociālo dienestu vadītāji savukārt pētījumā norāda, ka jaunajiem speciālistiem ir laba teorētisko zināšanu bāze, taču viņiem nav pietiekamu zināšanu par normatīvo regulējumu, trūkst iemaņu darbā ar speciālajām programmām (SOPA u.c.), kā arī trūkst praktiskas iemaņas darbā ar cilvēkiem</w:t>
      </w:r>
      <w:r w:rsidR="007B3870">
        <w:rPr>
          <w:rFonts w:ascii="Times New Roman" w:eastAsia="Times New Roman" w:hAnsi="Times New Roman" w:cs="Times New Roman"/>
          <w:color w:val="000000"/>
          <w:sz w:val="24"/>
          <w:szCs w:val="24"/>
          <w:lang w:eastAsia="lv-LV"/>
        </w:rPr>
        <w:t>,</w:t>
      </w:r>
      <w:r w:rsidRPr="00573B49">
        <w:rPr>
          <w:rFonts w:ascii="Times New Roman" w:eastAsia="Times New Roman" w:hAnsi="Times New Roman" w:cs="Times New Roman"/>
          <w:color w:val="000000"/>
          <w:sz w:val="24"/>
          <w:szCs w:val="24"/>
          <w:lang w:eastAsia="lv-LV"/>
        </w:rPr>
        <w:t xml:space="preserve"> un atsevišķos gadījumos trūkst arī iemaņas klienta sociā</w:t>
      </w:r>
      <w:r w:rsidRPr="0025422D">
        <w:rPr>
          <w:rFonts w:ascii="Times New Roman" w:eastAsia="Times New Roman" w:hAnsi="Times New Roman" w:cs="Times New Roman"/>
          <w:color w:val="000000"/>
          <w:sz w:val="24"/>
          <w:szCs w:val="24"/>
          <w:lang w:eastAsia="lv-LV"/>
        </w:rPr>
        <w:t xml:space="preserve">lās situācijas izvērtēšanā, kas ir sociālā darba pamatā; </w:t>
      </w:r>
    </w:p>
    <w:p w14:paraId="1E8CAAC7"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A857F2">
        <w:rPr>
          <w:rFonts w:ascii="Times New Roman" w:eastAsia="Times New Roman" w:hAnsi="Times New Roman" w:cs="Times New Roman"/>
          <w:color w:val="000000"/>
          <w:sz w:val="24"/>
          <w:szCs w:val="24"/>
          <w:lang w:eastAsia="lv-LV"/>
        </w:rPr>
        <w:t>3) kopš 2016.gada saskaņā ar Ministru kabineta 2016.gada 27.septembra noteikumiem Nr. 633 “Profesijas standarta, profesionālās kvalifikācijas prasību (ja profesijai neapstiprina profesijas standartu</w:t>
      </w:r>
      <w:r w:rsidRPr="00662D1E">
        <w:rPr>
          <w:rFonts w:ascii="Times New Roman" w:eastAsia="Times New Roman" w:hAnsi="Times New Roman" w:cs="Times New Roman"/>
          <w:color w:val="000000"/>
          <w:sz w:val="24"/>
          <w:szCs w:val="24"/>
          <w:lang w:eastAsia="lv-LV"/>
        </w:rPr>
        <w:t xml:space="preserve">) un nozares kvalifikāciju struktūras izstrādes kārtība” mainījies </w:t>
      </w:r>
      <w:r w:rsidRPr="009703E6">
        <w:rPr>
          <w:rFonts w:ascii="Times New Roman" w:eastAsia="Times New Roman" w:hAnsi="Times New Roman" w:cs="Times New Roman"/>
          <w:b/>
          <w:color w:val="000000"/>
          <w:sz w:val="24"/>
          <w:szCs w:val="24"/>
          <w:lang w:eastAsia="lv-LV"/>
        </w:rPr>
        <w:t>tiesiskais regulējums profesijas standarta izstrādē</w:t>
      </w:r>
      <w:r w:rsidRPr="0015154B">
        <w:rPr>
          <w:rFonts w:ascii="Times New Roman" w:eastAsia="Times New Roman" w:hAnsi="Times New Roman" w:cs="Times New Roman"/>
          <w:color w:val="000000"/>
          <w:sz w:val="24"/>
          <w:szCs w:val="24"/>
          <w:lang w:eastAsia="lv-LV"/>
        </w:rPr>
        <w:t>. </w:t>
      </w:r>
    </w:p>
    <w:p w14:paraId="15805C3A" w14:textId="2E81054B" w:rsidR="0034498F" w:rsidRPr="00573B49" w:rsidRDefault="0034498F" w:rsidP="00AC38FA">
      <w:pPr>
        <w:spacing w:before="120" w:after="0" w:line="240" w:lineRule="auto"/>
        <w:ind w:right="45" w:firstLine="720"/>
        <w:jc w:val="both"/>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 xml:space="preserve">Šo faktoru kopums pamatoja nepieciešamību aktualizēt </w:t>
      </w:r>
      <w:r w:rsidR="007B3870" w:rsidRPr="0015154B">
        <w:rPr>
          <w:rFonts w:ascii="Times New Roman" w:eastAsia="Times New Roman" w:hAnsi="Times New Roman" w:cs="Times New Roman"/>
          <w:color w:val="000000"/>
          <w:sz w:val="24"/>
          <w:szCs w:val="24"/>
          <w:lang w:eastAsia="lv-LV"/>
        </w:rPr>
        <w:t>sociāl</w:t>
      </w:r>
      <w:r w:rsidR="007B3870">
        <w:rPr>
          <w:rFonts w:ascii="Times New Roman" w:eastAsia="Times New Roman" w:hAnsi="Times New Roman" w:cs="Times New Roman"/>
          <w:color w:val="000000"/>
          <w:sz w:val="24"/>
          <w:szCs w:val="24"/>
          <w:lang w:eastAsia="lv-LV"/>
        </w:rPr>
        <w:t>ā</w:t>
      </w:r>
      <w:r w:rsidR="007B3870" w:rsidRPr="0015154B">
        <w:rPr>
          <w:rFonts w:ascii="Times New Roman" w:eastAsia="Times New Roman" w:hAnsi="Times New Roman" w:cs="Times New Roman"/>
          <w:color w:val="000000"/>
          <w:sz w:val="24"/>
          <w:szCs w:val="24"/>
          <w:lang w:eastAsia="lv-LV"/>
        </w:rPr>
        <w:t xml:space="preserve"> darbiniek</w:t>
      </w:r>
      <w:r w:rsidR="007B3870">
        <w:rPr>
          <w:rFonts w:ascii="Times New Roman" w:eastAsia="Times New Roman" w:hAnsi="Times New Roman" w:cs="Times New Roman"/>
          <w:color w:val="000000"/>
          <w:sz w:val="24"/>
          <w:szCs w:val="24"/>
          <w:lang w:eastAsia="lv-LV"/>
        </w:rPr>
        <w:t>a</w:t>
      </w:r>
      <w:r w:rsidR="007B3870" w:rsidRPr="0015154B">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profesijas standartu atbilstoši darba tirgus prasībām un sociālā darbinieka klientu vajadzībām.</w:t>
      </w:r>
      <w:r w:rsidR="007B3870">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Līdzšinējais aktualizācijas process ir raisījis diskusijas par to, kas tiek uzskatītas Profesiju klasifikatorā par atsevišķām sociālā darba profesijām</w:t>
      </w:r>
      <w:r w:rsidRPr="007157D3">
        <w:rPr>
          <w:rStyle w:val="FootnoteReference"/>
          <w:rFonts w:ascii="Times New Roman" w:eastAsia="Times New Roman" w:hAnsi="Times New Roman" w:cs="Times New Roman"/>
          <w:color w:val="000000"/>
          <w:sz w:val="24"/>
          <w:szCs w:val="24"/>
          <w:lang w:eastAsia="lv-LV"/>
        </w:rPr>
        <w:footnoteReference w:id="146"/>
      </w:r>
      <w:r w:rsidRPr="007157D3">
        <w:rPr>
          <w:rFonts w:ascii="Times New Roman" w:eastAsia="Times New Roman" w:hAnsi="Times New Roman" w:cs="Times New Roman"/>
          <w:color w:val="000000"/>
          <w:sz w:val="24"/>
          <w:szCs w:val="24"/>
          <w:lang w:eastAsia="lv-LV"/>
        </w:rPr>
        <w:t xml:space="preserve"> un kādi aspekti ir saistīti</w:t>
      </w:r>
      <w:r w:rsidRPr="002F5278">
        <w:rPr>
          <w:rFonts w:ascii="Times New Roman" w:eastAsia="Times New Roman" w:hAnsi="Times New Roman" w:cs="Times New Roman"/>
          <w:color w:val="000000"/>
          <w:sz w:val="24"/>
          <w:szCs w:val="24"/>
          <w:lang w:eastAsia="lv-LV"/>
        </w:rPr>
        <w:t xml:space="preserve"> ar sociālā darbinieka profesijas standa</w:t>
      </w:r>
      <w:r w:rsidRPr="00573B49">
        <w:rPr>
          <w:rFonts w:ascii="Times New Roman" w:eastAsia="Times New Roman" w:hAnsi="Times New Roman" w:cs="Times New Roman"/>
          <w:color w:val="000000"/>
          <w:sz w:val="24"/>
          <w:szCs w:val="24"/>
          <w:lang w:eastAsia="lv-LV"/>
        </w:rPr>
        <w:t>rtu un kādas kompetences kā neatņemama sastāvdaļa ir iestrādājamas jaunajā sociālā darbinieka profesijas standarta projektā. Līdztekus specifiskajām kompetencēm arvien aktuālākas kļūst tādas vispārējas kompetences kā sadarbības, komunikācijas, kritiskas domāšanas un krīzes vadības kompetences. Ņemot vērā minēto, jāveic izmaiņas Profesiju klasifikatorā: (1) kā profesiju atstājot tikai vienu – sociālais darbinieks; (2) apstiprināt profesijas sociālais darbinieks standartu.</w:t>
      </w:r>
    </w:p>
    <w:p w14:paraId="785EDEEE" w14:textId="26B4D667" w:rsidR="0034498F" w:rsidRPr="00573B49"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573B49">
        <w:rPr>
          <w:rFonts w:ascii="Times New Roman" w:eastAsia="Times New Roman" w:hAnsi="Times New Roman" w:cs="Times New Roman"/>
          <w:color w:val="000000"/>
          <w:sz w:val="24"/>
          <w:szCs w:val="24"/>
          <w:lang w:eastAsia="lv-LV"/>
        </w:rPr>
        <w:lastRenderedPageBreak/>
        <w:t>Aktualizētajā profesijas standartā</w:t>
      </w:r>
      <w:r w:rsidRPr="007157D3">
        <w:rPr>
          <w:rStyle w:val="FootnoteReference"/>
          <w:rFonts w:ascii="Times New Roman" w:eastAsia="Times New Roman" w:hAnsi="Times New Roman" w:cs="Times New Roman"/>
          <w:color w:val="000000"/>
          <w:sz w:val="24"/>
          <w:szCs w:val="24"/>
          <w:lang w:eastAsia="lv-LV"/>
        </w:rPr>
        <w:footnoteReference w:id="147"/>
      </w:r>
      <w:r w:rsidRPr="007157D3">
        <w:rPr>
          <w:rFonts w:ascii="Times New Roman" w:eastAsia="Times New Roman" w:hAnsi="Times New Roman" w:cs="Times New Roman"/>
          <w:color w:val="000000"/>
          <w:sz w:val="24"/>
          <w:szCs w:val="24"/>
          <w:lang w:eastAsia="lv-LV"/>
        </w:rPr>
        <w:t xml:space="preserve"> sociālā darbiniek</w:t>
      </w:r>
      <w:r w:rsidRPr="002F5278">
        <w:rPr>
          <w:rFonts w:ascii="Times New Roman" w:eastAsia="Times New Roman" w:hAnsi="Times New Roman" w:cs="Times New Roman"/>
          <w:color w:val="000000"/>
          <w:sz w:val="24"/>
          <w:szCs w:val="24"/>
          <w:lang w:eastAsia="lv-LV"/>
        </w:rPr>
        <w:t>a profesionālās kvalifikācijas līmenis (5.PKL) atbilst sestajam Latvijas kvalifikāciju ietvarstruktūras līmenim (6.LKI)). Profesijas standarts paredz arī specializāciju - Sociālais darbinieks darbam ar ģimeni ar bērniem (7.LKI), kas nozīmē, ka kvalifikāciju, kas dos tiesības sociālajam darbiniekam strādāt ar ģimenēm ar bērniem, varēs iegūt</w:t>
      </w:r>
      <w:r w:rsidR="00E234E0">
        <w:rPr>
          <w:rFonts w:ascii="Times New Roman" w:eastAsia="Times New Roman" w:hAnsi="Times New Roman" w:cs="Times New Roman"/>
          <w:color w:val="000000"/>
          <w:sz w:val="24"/>
          <w:szCs w:val="24"/>
          <w:lang w:eastAsia="lv-LV"/>
        </w:rPr>
        <w:t>,</w:t>
      </w:r>
      <w:r w:rsidRPr="002F5278">
        <w:rPr>
          <w:rFonts w:ascii="Times New Roman" w:eastAsia="Times New Roman" w:hAnsi="Times New Roman" w:cs="Times New Roman"/>
          <w:color w:val="000000"/>
          <w:sz w:val="24"/>
          <w:szCs w:val="24"/>
          <w:lang w:eastAsia="lv-LV"/>
        </w:rPr>
        <w:t xml:space="preserve"> sekmīgi absolvējot atbilstošu profesionālā maģistra studiju programmu vai tālākizglītības programmu, pirms tam iegūstot profesionāla sociālā darbinieka </w:t>
      </w:r>
      <w:r w:rsidRPr="00573B49">
        <w:rPr>
          <w:rFonts w:ascii="Times New Roman" w:eastAsia="Times New Roman" w:hAnsi="Times New Roman" w:cs="Times New Roman"/>
          <w:color w:val="000000"/>
          <w:sz w:val="24"/>
          <w:szCs w:val="24"/>
          <w:lang w:eastAsia="lv-LV"/>
        </w:rPr>
        <w:t>kvalifikāciju. Savukārt plānots, ka apgūt konkrētas un specifiskas sociālā darba kompetences (piemēram, sociālo darbu ārstniecības iestādēs, izglītības iestādēs, ieslodzījuma vietās, kopienās; ar senioriem, ar personām ar atkarības problēmām, ar personām ar garīga rakstura traucējumiem, ar vardarbībā cietušām personām un citām klientu mērķa grupām) iespējams, specializējoties un apgūstot modulāri augstskolās vai tālākizglītības procesā.</w:t>
      </w:r>
    </w:p>
    <w:p w14:paraId="6A9B43B3" w14:textId="77777777" w:rsidR="0034498F" w:rsidRPr="00A857F2" w:rsidRDefault="0034498F" w:rsidP="00AC38FA">
      <w:pPr>
        <w:spacing w:before="120" w:after="0" w:line="240" w:lineRule="auto"/>
        <w:ind w:right="45" w:firstLine="720"/>
        <w:jc w:val="both"/>
        <w:rPr>
          <w:rFonts w:ascii="Times New Roman" w:eastAsia="Times New Roman" w:hAnsi="Times New Roman" w:cs="Times New Roman"/>
          <w:color w:val="000000"/>
          <w:sz w:val="24"/>
          <w:szCs w:val="24"/>
          <w:lang w:eastAsia="lv-LV"/>
        </w:rPr>
      </w:pPr>
      <w:r w:rsidRPr="0025422D">
        <w:rPr>
          <w:rFonts w:ascii="Times New Roman" w:eastAsia="Times New Roman" w:hAnsi="Times New Roman" w:cs="Times New Roman"/>
          <w:color w:val="000000"/>
          <w:sz w:val="24"/>
          <w:szCs w:val="24"/>
          <w:lang w:eastAsia="lv-LV"/>
        </w:rPr>
        <w:t>ESF Projekta īstenošanas laikā ieviešot pašvaldību praksē ģimenes asist</w:t>
      </w:r>
      <w:r w:rsidRPr="00A857F2">
        <w:rPr>
          <w:rFonts w:ascii="Times New Roman" w:eastAsia="Times New Roman" w:hAnsi="Times New Roman" w:cs="Times New Roman"/>
          <w:color w:val="000000"/>
          <w:sz w:val="24"/>
          <w:szCs w:val="24"/>
          <w:lang w:eastAsia="lv-LV"/>
        </w:rPr>
        <w:t>enta pakalpojumu un vērtējot tā efektivitāti, ir jānonāk pie redzējuma, vai ģimenes asistents ir jauna profesija, kurai arī būtu nepieciešams apstiprināt profesijas standartu. Arī šis uzdevums ir risināms nākamajā plānošanas periodā.</w:t>
      </w:r>
    </w:p>
    <w:p w14:paraId="618111F3" w14:textId="77777777" w:rsidR="0034498F" w:rsidRPr="00662D1E" w:rsidRDefault="0034498F" w:rsidP="0034498F">
      <w:pPr>
        <w:spacing w:after="0" w:line="240" w:lineRule="auto"/>
        <w:rPr>
          <w:rFonts w:ascii="Times New Roman" w:eastAsia="Times New Roman" w:hAnsi="Times New Roman" w:cs="Times New Roman"/>
          <w:sz w:val="24"/>
          <w:szCs w:val="24"/>
          <w:lang w:eastAsia="lv-LV"/>
        </w:rPr>
      </w:pPr>
    </w:p>
    <w:p w14:paraId="58533F9F" w14:textId="057882B1" w:rsidR="0034498F" w:rsidRPr="0015154B" w:rsidRDefault="0034498F" w:rsidP="00DA5144">
      <w:pPr>
        <w:pStyle w:val="Heading2"/>
      </w:pPr>
      <w:bookmarkStart w:id="61" w:name="_Toc55316097"/>
      <w:r w:rsidRPr="009703E6">
        <w:t>Sociālo darbinieku iz</w:t>
      </w:r>
      <w:r w:rsidRPr="0015154B">
        <w:t>glītība</w:t>
      </w:r>
      <w:bookmarkEnd w:id="61"/>
    </w:p>
    <w:p w14:paraId="0CBCA50F"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Uzsverot sociālā darba izglītības nozīmi,  NAP2027 paredzēta sociālā darba speciālistu un sociālo pakalpojumu sniedzēju motivācijas sistēmas pilnveide un profesionālās kompetences stiprināšana un specializācijas nostiprināšana demogrāfijas tendencēm un iedzīvotāju vajadzībām atbilstošu inovatīvu, uz klienta vajadzībām balstītu sociālo pakalpojumu sniegšanai, pilnveidošanai un pieejamības nodrošināšanai reģionos.</w:t>
      </w:r>
    </w:p>
    <w:p w14:paraId="3C14F250"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Sociālā darba izglītības satura un formas pārmaiņu procesus kopš 2018.gada pasaulē raksturo </w:t>
      </w:r>
      <w:r w:rsidRPr="0015154B">
        <w:rPr>
          <w:rFonts w:ascii="Times New Roman" w:eastAsia="Times New Roman" w:hAnsi="Times New Roman" w:cs="Times New Roman"/>
          <w:b/>
          <w:color w:val="000000"/>
          <w:sz w:val="24"/>
          <w:szCs w:val="24"/>
          <w:lang w:eastAsia="lv-LV"/>
        </w:rPr>
        <w:t>sociālā darba praktiķu loma</w:t>
      </w:r>
      <w:r w:rsidRPr="0015154B">
        <w:rPr>
          <w:rFonts w:ascii="Times New Roman" w:eastAsia="Times New Roman" w:hAnsi="Times New Roman" w:cs="Times New Roman"/>
          <w:color w:val="000000"/>
          <w:sz w:val="24"/>
          <w:szCs w:val="24"/>
          <w:lang w:eastAsia="lv-LV"/>
        </w:rPr>
        <w:t>. IFSW Eiropas nodaļas sociālā darba prakses standartos uzsvērta praktiķu loma sociālā darba studentu sagatavošanā, augsti novērtēta starpdisciplināra prakse, citu zinātnes jomu ieguldījuma izmantošana sociālā darba mērķu sasniegšanai, globālo pārmaiņu atspoguļojums sociālā darba izglītībā (dzimuma, seksuālās orientācijas, daudzkultūru sabiedrības un starpkultūru attiecību, vides un ilgtspējas tematika, nenoteiktības un riska apstākļi, terorisma un pretterorisma studijas). Ņemot vērā, ka globālo pārmaiņu ietekmē sociālā darba izglītību nevar vairs viennozīmīgi saistīt ar 2004.gada globālo izglītības standartu prasībām, 2019.gadā IFSW un Starptautiskā sociālā darba augstskolu asociācija (IASSW) ir uzsākusi Globālo sociālā darba izglītības standartu pārskatīšanas procesu, kas ietekmēs sociālā darba izglītības politikas veidošanu arī Latvijā. </w:t>
      </w:r>
    </w:p>
    <w:p w14:paraId="0AA0B3F1" w14:textId="1314F016"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Atbilstoši Sociālo pakalpojumu un sociālās palīdzības (turpmāk tekstā – SPSPL)  41. un 42.pantam </w:t>
      </w:r>
      <w:r w:rsidRPr="0015154B">
        <w:rPr>
          <w:rFonts w:ascii="Times New Roman" w:eastAsia="Times New Roman" w:hAnsi="Times New Roman" w:cs="Times New Roman"/>
          <w:b/>
          <w:color w:val="000000"/>
          <w:sz w:val="24"/>
          <w:szCs w:val="24"/>
          <w:lang w:eastAsia="lv-LV"/>
        </w:rPr>
        <w:t>tiesības veikt sociālo darbu</w:t>
      </w:r>
      <w:r w:rsidRPr="0015154B">
        <w:rPr>
          <w:rFonts w:ascii="Times New Roman" w:eastAsia="Times New Roman" w:hAnsi="Times New Roman" w:cs="Times New Roman"/>
          <w:color w:val="000000"/>
          <w:sz w:val="24"/>
          <w:szCs w:val="24"/>
          <w:lang w:eastAsia="lv-LV"/>
        </w:rPr>
        <w:t xml:space="preserve"> ir personām, kas ieguvušas otrā līmeņa profesionālo augstāko vai akadēmisko izglītību sociālajā darbā vai karitatīvajā sociālajā darbā, bet tiesības sniegt sociālās aprūpes vai sociālās rehabilitācijas pakalpojumus, vai sociālo palīdzību ir personām, kas ieguvušas pirmā līmeņa profesionālo augstāko izglītību sociālās aprūpes, sociālās rehabilitācijas vai sociālās palīdzības sniegšanas jomā vai attiecībā uz sociālo aprūpi - profesionālo vidējo izglītību sociālās aprūpes jomā (pēc tādas profesionālās vidusskolas vai citas izglītības iestādes beigšanas, kura īsteno profesionālās vidējās izglītības programmas). Latvijā akreditētās studiju programmās sociālā darbinieka kvalifikāciju var iegūt sešās augstākās izglītības iestādēs: Baltijas starptautiskā akadēmija (turpmāk – BSA), Liepājas Universitāte (turpmāk – LiepU), Rēzeknes tehnoloģiju akadēmija (turpmāk – RTA), Latvijas Kristīgā akadēmija (turpmāk – LKrA), Latvijas Universitāte (turpmāk – LU), Rīgas Stradiņa universitāte (turpmāk – RSU). Profesionālā maģistra grādu sociālajā darbā iespējams iegūt, </w:t>
      </w:r>
      <w:r w:rsidRPr="0015154B">
        <w:rPr>
          <w:rFonts w:ascii="Times New Roman" w:eastAsia="Times New Roman" w:hAnsi="Times New Roman" w:cs="Times New Roman"/>
          <w:color w:val="000000"/>
          <w:sz w:val="24"/>
          <w:szCs w:val="24"/>
          <w:lang w:eastAsia="lv-LV"/>
        </w:rPr>
        <w:lastRenderedPageBreak/>
        <w:t>studējot BSA, RSU, LiepU, LU. Profesionālā maģistra grādu karitatīvajā sociālajā darbā var iegūt LKrA, savukārt profesionālā maģistra grādu sociālajā darbā ar bērniem un jauniešiem var iegūt RSU. Saskaņā ar IZM datiem 2018./2019.studiju gadā sociālā darbinieka kvalifikāciju ieguvušas 81 persona un maģistra grādu sociālajā darbā ieguvušas 57 personas.</w:t>
      </w:r>
    </w:p>
    <w:p w14:paraId="5223E5F6"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Maģistratūras studiju programmas pabeigšana nodrošina iespējas turpināt studijas doktorantūrā zinātniskā grāda iegūšanai. Saskaņā ar Latvijas Zinātnes padomes zinātnisko grādu nomenklatūru sociālais darbs klasificēts kā socioloģijas apakšnozare „sociālā politika un sociālā darba organizācija”. Līdz ar to doktorantūras absolvents, kurš aizstāvējis promocijas darbu socioloģijas apakšnozarē „sociālā politika un sociālā darba organizācija” iegūst zinātnes doktora grādu (PhD) socioloģijā. Doktorantūras studijas socioloģijā, tai skaitā, apakšnozarē „sociālā politika un sociālā darba organizācija” piedāvā LU un RSU.</w:t>
      </w:r>
    </w:p>
    <w:p w14:paraId="4639FE29"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Sociālā darba studiju programmas tiek finansētas gan no valsts budžeta, gan arī kā maksas studijas, piesaistot citus, visbiežāk pašu studējošo, finansējuma avotus. Ik gadu no valsts budžeta tiek finansētas </w:t>
      </w:r>
      <w:r w:rsidRPr="0015154B">
        <w:rPr>
          <w:rFonts w:ascii="Times New Roman" w:eastAsia="Times New Roman" w:hAnsi="Times New Roman" w:cs="Times New Roman"/>
          <w:b/>
          <w:color w:val="000000"/>
          <w:sz w:val="24"/>
          <w:szCs w:val="24"/>
          <w:lang w:eastAsia="lv-LV"/>
        </w:rPr>
        <w:t>198 sociālā darba jomas studiju vietas</w:t>
      </w:r>
      <w:r w:rsidRPr="0015154B">
        <w:rPr>
          <w:rFonts w:ascii="Times New Roman" w:eastAsia="Times New Roman" w:hAnsi="Times New Roman" w:cs="Times New Roman"/>
          <w:color w:val="000000"/>
          <w:sz w:val="24"/>
          <w:szCs w:val="24"/>
          <w:lang w:eastAsia="lv-LV"/>
        </w:rPr>
        <w:t xml:space="preserve">, aptverot sociālā aprūpētāja, sociālā rehabilitētāja, sociālā darbinieka izglītību dažādās Latvijas augstskolās, augstākās izglītības tematiskās grupas “Veselības aprūpe un sociālā labklājība” ietvaros. </w:t>
      </w:r>
    </w:p>
    <w:p w14:paraId="39D84509" w14:textId="50E75A93" w:rsidR="0034498F" w:rsidRPr="00573B49"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Izglītības rezultāta – studiju programmu absolventu snieguma darba tirgū – novērtējums</w:t>
      </w:r>
      <w:r w:rsidRPr="007157D3">
        <w:rPr>
          <w:rStyle w:val="FootnoteReference"/>
          <w:rFonts w:ascii="Times New Roman" w:eastAsia="Times New Roman" w:hAnsi="Times New Roman" w:cs="Times New Roman"/>
          <w:color w:val="000000"/>
          <w:sz w:val="24"/>
          <w:szCs w:val="24"/>
          <w:lang w:eastAsia="lv-LV"/>
        </w:rPr>
        <w:footnoteReference w:id="148"/>
      </w:r>
      <w:r w:rsidRPr="007157D3">
        <w:rPr>
          <w:rFonts w:ascii="Times New Roman" w:eastAsia="Times New Roman" w:hAnsi="Times New Roman" w:cs="Times New Roman"/>
          <w:color w:val="000000"/>
          <w:sz w:val="24"/>
          <w:szCs w:val="24"/>
          <w:lang w:eastAsia="lv-LV"/>
        </w:rPr>
        <w:t xml:space="preserve"> pievērš uzmanību vēl </w:t>
      </w:r>
      <w:r w:rsidRPr="007157D3">
        <w:rPr>
          <w:rFonts w:ascii="Times New Roman" w:eastAsia="Times New Roman" w:hAnsi="Times New Roman" w:cs="Times New Roman"/>
          <w:b/>
          <w:color w:val="000000"/>
          <w:sz w:val="24"/>
          <w:szCs w:val="24"/>
          <w:lang w:eastAsia="lv-LV"/>
        </w:rPr>
        <w:t>neatrisinātām problēmām sociālā darba izglītībā</w:t>
      </w:r>
      <w:r w:rsidRPr="002F5278">
        <w:rPr>
          <w:rFonts w:ascii="Times New Roman" w:eastAsia="Times New Roman" w:hAnsi="Times New Roman" w:cs="Times New Roman"/>
          <w:color w:val="000000"/>
          <w:sz w:val="24"/>
          <w:szCs w:val="24"/>
          <w:lang w:eastAsia="lv-LV"/>
        </w:rPr>
        <w:t xml:space="preserve"> Latvijā. Gan sociālo dienestu vadītāji, kuru vadītajos dienestos pēdējo divu gadu laikā ir sākuši strādāt sociālā darba studiju programmu absolventi, gan sociālo dienestu sadarbības partne</w:t>
      </w:r>
      <w:r w:rsidRPr="00573B49">
        <w:rPr>
          <w:rFonts w:ascii="Times New Roman" w:eastAsia="Times New Roman" w:hAnsi="Times New Roman" w:cs="Times New Roman"/>
          <w:color w:val="000000"/>
          <w:sz w:val="24"/>
          <w:szCs w:val="24"/>
          <w:lang w:eastAsia="lv-LV"/>
        </w:rPr>
        <w:t>ri kritiski novērtējuši jauno speciālistu profesionālo piemērotību un studiju motivāciju, iegūto teorētisko un praktisko zināšanu sasaisti un kvalitāti. Sociālo dienestu sadarbības partneri uzsvēruši, ka daļa jauno speciālistu nav gatavi veikt darbu, kas prasa tik daudz komunikācijas, motivēšanas un tolerances, kā tas ir nepieciešams sociālajam darbam, tāpēc būtu jānovērtē potenciālo studentu profesionālā piemērotība pirms valsts apmaksātās sociālā darba studiju uzsākšanas. </w:t>
      </w:r>
    </w:p>
    <w:p w14:paraId="38DD3174" w14:textId="0DF2E744"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25422D">
        <w:rPr>
          <w:rFonts w:ascii="Times New Roman" w:eastAsia="Times New Roman" w:hAnsi="Times New Roman" w:cs="Times New Roman"/>
          <w:color w:val="000000"/>
          <w:sz w:val="24"/>
          <w:szCs w:val="24"/>
          <w:lang w:eastAsia="lv-LV"/>
        </w:rPr>
        <w:t>Vērtējot iegūto teorētisko un pr</w:t>
      </w:r>
      <w:r w:rsidRPr="00A857F2">
        <w:rPr>
          <w:rFonts w:ascii="Times New Roman" w:eastAsia="Times New Roman" w:hAnsi="Times New Roman" w:cs="Times New Roman"/>
          <w:color w:val="000000"/>
          <w:sz w:val="24"/>
          <w:szCs w:val="24"/>
          <w:lang w:eastAsia="lv-LV"/>
        </w:rPr>
        <w:t>aktisko zināšanu sasaisti un kvalitāti, gan sociālo dienestu vadītāji un sociālā darba speciālisti, gan sociālo dienestu sadarbības partneri uzsver vairākus negatīvos aspektus. Pirmkārt, prasmju trūkums pielietot teorētiskās zināšanas praksē. Daļēji</w:t>
      </w:r>
      <w:r w:rsidRPr="00662D1E">
        <w:rPr>
          <w:rFonts w:ascii="Times New Roman" w:eastAsia="Times New Roman" w:hAnsi="Times New Roman" w:cs="Times New Roman"/>
          <w:color w:val="000000"/>
          <w:sz w:val="24"/>
          <w:szCs w:val="24"/>
          <w:lang w:eastAsia="lv-LV"/>
        </w:rPr>
        <w:t xml:space="preserve"> tas izriet no nepilnībām sociālā darba studiju programmās, kur daļai pasniedzēju trūkst praktisko zināšanu, tāpēc nepilnīgi tiek sniegti piemēri no reālās sociālā darba prakses. Otrkārt, neraugoties uz to, ka šobrīd sociālā darba studiju programmu ietvaro</w:t>
      </w:r>
      <w:r w:rsidRPr="009703E6">
        <w:rPr>
          <w:rFonts w:ascii="Times New Roman" w:eastAsia="Times New Roman" w:hAnsi="Times New Roman" w:cs="Times New Roman"/>
          <w:color w:val="000000"/>
          <w:sz w:val="24"/>
          <w:szCs w:val="24"/>
          <w:lang w:eastAsia="lv-LV"/>
        </w:rPr>
        <w:t>s ir paredzēta arī prakse sociālajos dienestos, tā, pēc sociālo dienestu sadarbības partneru novērojumiem, mēdz būt nekvalitatīva, pat neatbilstoša nacionālā līmeņa normatīvajam regulējumam un kopējām sociālā darba prakses iespējām. Tā rezultātā jaunie soc</w:t>
      </w:r>
      <w:r w:rsidRPr="0015154B">
        <w:rPr>
          <w:rFonts w:ascii="Times New Roman" w:eastAsia="Times New Roman" w:hAnsi="Times New Roman" w:cs="Times New Roman"/>
          <w:color w:val="000000"/>
          <w:sz w:val="24"/>
          <w:szCs w:val="24"/>
          <w:lang w:eastAsia="lv-LV"/>
        </w:rPr>
        <w:t xml:space="preserve">iālā darba speciālisti iegūst nepilnīgas zināšanas un praktiskās iemaņas, kuras viņi tālāk nevar pielietot darbā. </w:t>
      </w:r>
    </w:p>
    <w:p w14:paraId="18BEF80C" w14:textId="3A9ED732"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LM sociālā darba studiju rezultātu izvērtējums 2019.gadā liecina, ka situācija sociālā darba izglītības rezultātos – </w:t>
      </w:r>
      <w:r w:rsidRPr="0015154B">
        <w:rPr>
          <w:rFonts w:ascii="Times New Roman" w:eastAsia="Times New Roman" w:hAnsi="Times New Roman" w:cs="Times New Roman"/>
          <w:b/>
          <w:color w:val="000000"/>
          <w:sz w:val="24"/>
          <w:szCs w:val="24"/>
          <w:lang w:eastAsia="lv-LV"/>
        </w:rPr>
        <w:t>absolventa kvalitātē</w:t>
      </w:r>
      <w:r w:rsidRPr="0015154B">
        <w:rPr>
          <w:rFonts w:ascii="Times New Roman" w:eastAsia="Times New Roman" w:hAnsi="Times New Roman" w:cs="Times New Roman"/>
          <w:color w:val="000000"/>
          <w:sz w:val="24"/>
          <w:szCs w:val="24"/>
          <w:lang w:eastAsia="lv-LV"/>
        </w:rPr>
        <w:t xml:space="preserve"> – nav uzlabojusies kopš 2012.gada. Teorijas un prakses nesaskaņotība, kopveseluma izpratnes trūkums, pat atšķirīgas teorētiķu un praktiķu pieejas pašam sociālā darba definējumam un būtībai joprojām ir aktuālas un deformē gan sociālā darba izglītību, padarot to nepraktisku, gan sociālā darba praksi, to novājinot un deprofesionalizējot. Galvenās problēmu jomas, kuras sociālā darba izglītībā saskata sociālo darbinieku darba devēji, ir gan caurviju kompetenču kā sadarbības un komunikācijas, jūtu konstruktīvas vadības, digitālās, kritiskās domāšanas, gan specifisku kompetenču – risku novērtēšanas, gadījuma vadīšanas, klienta sociālās situācijas izvērtēšanas un novērtēšanas, </w:t>
      </w:r>
      <w:r w:rsidRPr="0015154B">
        <w:rPr>
          <w:rFonts w:ascii="Times New Roman" w:eastAsia="Times New Roman" w:hAnsi="Times New Roman" w:cs="Times New Roman"/>
          <w:color w:val="000000"/>
          <w:sz w:val="24"/>
          <w:szCs w:val="24"/>
          <w:lang w:eastAsia="lv-LV"/>
        </w:rPr>
        <w:lastRenderedPageBreak/>
        <w:t>sociālo pakalpojumu plānošanas, aizstāvības, tiesību un normatīvā regulējuma piemērošanas kompetences. Viskritiskāk no darba devēju puses vērtētas LiepU, BSA un RTA absolventu gatavība darbam, bet visvairāk atzinības veltīts RSU absolventiem. </w:t>
      </w:r>
    </w:p>
    <w:p w14:paraId="713EB415" w14:textId="77777777"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2020.gada jūlijā, atbilstoši 2020. gada 23. jūlija līgumam Nr. LM2020/24-1-1321/28e “Par Latvijas augstskolu sociālā darba jomas studiju programmu izvērtējumu” uzsākts visu sociālā darba jomas </w:t>
      </w:r>
      <w:r w:rsidRPr="0015154B">
        <w:rPr>
          <w:rFonts w:ascii="Times New Roman" w:eastAsia="Times New Roman" w:hAnsi="Times New Roman" w:cs="Times New Roman"/>
          <w:b/>
          <w:color w:val="000000"/>
          <w:sz w:val="24"/>
          <w:szCs w:val="24"/>
          <w:lang w:eastAsia="lv-LV"/>
        </w:rPr>
        <w:t>studiju programmu kvalitātes izvērtējums</w:t>
      </w:r>
      <w:r w:rsidRPr="0015154B">
        <w:rPr>
          <w:rFonts w:ascii="Times New Roman" w:eastAsia="Times New Roman" w:hAnsi="Times New Roman" w:cs="Times New Roman"/>
          <w:color w:val="000000"/>
          <w:sz w:val="24"/>
          <w:szCs w:val="24"/>
          <w:lang w:eastAsia="lv-LV"/>
        </w:rPr>
        <w:t>, ko plānots noslēgt 2021.gada janvārī. Izvērtējuma laikā gūtie rezultāti un priekšlikumi kalpos par pamatu valsts pieprasījuma sociālā darba izglītības programmu izstrādei 2021.gada pirmajā pusē.  </w:t>
      </w:r>
    </w:p>
    <w:p w14:paraId="0D8F6DA9" w14:textId="77777777" w:rsidR="0034498F" w:rsidRPr="0015154B" w:rsidRDefault="0034498F" w:rsidP="0034498F">
      <w:pPr>
        <w:spacing w:after="0" w:line="240" w:lineRule="auto"/>
        <w:textAlignment w:val="baseline"/>
        <w:outlineLvl w:val="1"/>
        <w:rPr>
          <w:rFonts w:ascii="Times New Roman" w:eastAsia="Times New Roman" w:hAnsi="Times New Roman" w:cs="Times New Roman"/>
          <w:sz w:val="24"/>
          <w:szCs w:val="24"/>
          <w:lang w:eastAsia="lv-LV"/>
        </w:rPr>
      </w:pPr>
    </w:p>
    <w:p w14:paraId="526EB2C0" w14:textId="12B755FC" w:rsidR="0034498F" w:rsidRPr="0015154B" w:rsidRDefault="0034498F" w:rsidP="00DA5144">
      <w:pPr>
        <w:pStyle w:val="Heading2"/>
      </w:pPr>
      <w:bookmarkStart w:id="62" w:name="_Toc55316098"/>
      <w:r w:rsidRPr="0015154B">
        <w:t>Sociālā darba prakse</w:t>
      </w:r>
      <w:bookmarkEnd w:id="62"/>
    </w:p>
    <w:p w14:paraId="57288620" w14:textId="5212F91F" w:rsidR="0034498F" w:rsidRPr="0015154B" w:rsidRDefault="0034498F" w:rsidP="001101F7">
      <w:pPr>
        <w:pStyle w:val="Heading3"/>
        <w:rPr>
          <w:rFonts w:eastAsia="Times New Roman"/>
          <w:bCs/>
          <w:lang w:eastAsia="lv-LV"/>
        </w:rPr>
      </w:pPr>
      <w:bookmarkStart w:id="63" w:name="_Toc55316099"/>
      <w:r w:rsidRPr="0015154B">
        <w:rPr>
          <w:rFonts w:eastAsia="Times New Roman"/>
          <w:lang w:eastAsia="lv-LV"/>
        </w:rPr>
        <w:t>Profesionālās kompetences pilnveide</w:t>
      </w:r>
      <w:bookmarkEnd w:id="63"/>
      <w:r w:rsidRPr="0015154B">
        <w:rPr>
          <w:rFonts w:eastAsia="Times New Roman"/>
          <w:lang w:eastAsia="lv-LV"/>
        </w:rPr>
        <w:t xml:space="preserve"> </w:t>
      </w:r>
    </w:p>
    <w:p w14:paraId="48AE6D9D" w14:textId="00D2569E"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Pēc 2020.gadā īstenotās sociālā darba jomas izpētes un saskaņā ar tās rezultātiem un aktualizēto sociālā darbinieka profesijas standartu, kā arī saskaņā ar valsts augstākās izglītības politiku, kura formulēta IZM izstrādātajās Izglītības attīstības pamatnostādnes 2021.–2027.</w:t>
      </w:r>
      <w:r w:rsidR="007B3870">
        <w:rPr>
          <w:rFonts w:ascii="Times New Roman" w:eastAsia="Times New Roman" w:hAnsi="Times New Roman" w:cs="Times New Roman"/>
          <w:color w:val="000000"/>
          <w:sz w:val="24"/>
          <w:szCs w:val="24"/>
          <w:lang w:eastAsia="lv-LV"/>
        </w:rPr>
        <w:t> </w:t>
      </w:r>
      <w:r w:rsidRPr="0015154B">
        <w:rPr>
          <w:rFonts w:ascii="Times New Roman" w:eastAsia="Times New Roman" w:hAnsi="Times New Roman" w:cs="Times New Roman"/>
          <w:color w:val="000000"/>
          <w:sz w:val="24"/>
          <w:szCs w:val="24"/>
          <w:lang w:eastAsia="lv-LV"/>
        </w:rPr>
        <w:t>gadam</w:t>
      </w:r>
      <w:r w:rsidR="007B3870">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“Nākotnes prasmes nākotnes sabiedrībai”, plānots īstenot augstākās izglītības ietvaros modulāru, elastīgu un prasmju attīstību veicinošu studiju un tālākizglītības programmu attīstību. Ņemot vērā sociālā darba vides (ārstniecības un izglītības iestādes, kopienas, klientu atrašanās vides u.c.) un klientu mērķa grupas (seniori, personas ar atkarības problēmām, personas ar garīga rakstura traucējumiem, vardarbībā cietušas personas, u.c.) gan sociālā darba studiju programmās studējošajiem paralēli studijām, gan praktiķiem plānots dot iespēju profesionāli pilnveidoties, izvēloties sev atbilstošu un piemērotu profesionālās pilnveides formu: (1) specializējoties kādā no sociāla darba prakses jomām augstskolās, kuras piedāvā tālākizglītības programmas (160 akadēmiskās stundas/4KP apjomā), vai (2) apgūstot līdzīga satura un apjoma licencētu profesionālās kompetences pilnveides programmu pie privātā sektora izglītības pakalpojumu sniedzēja, vai (3) nākotnes karjerai atbilstoši izvēloties studiju moduli un iegūstot mikroapliecinājumu par tā ietvaros sasniegto kompetenču apguvi, vai (4) studējot maģistra studiju programmā. </w:t>
      </w:r>
    </w:p>
    <w:p w14:paraId="66B000C4" w14:textId="77777777"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Visās no profesionālās pilnveides iepriekš minētajām formām plānots integrēt </w:t>
      </w:r>
      <w:r w:rsidRPr="0015154B">
        <w:rPr>
          <w:rFonts w:ascii="Times New Roman" w:eastAsia="Times New Roman" w:hAnsi="Times New Roman" w:cs="Times New Roman"/>
          <w:b/>
          <w:color w:val="000000"/>
          <w:sz w:val="24"/>
          <w:szCs w:val="24"/>
          <w:lang w:eastAsia="lv-LV"/>
        </w:rPr>
        <w:t>darba vidē balstītu mācību elementus</w:t>
      </w:r>
      <w:r w:rsidRPr="0015154B">
        <w:rPr>
          <w:rFonts w:ascii="Times New Roman" w:eastAsia="Times New Roman" w:hAnsi="Times New Roman" w:cs="Times New Roman"/>
          <w:color w:val="000000"/>
          <w:sz w:val="24"/>
          <w:szCs w:val="24"/>
          <w:lang w:eastAsia="lv-LV"/>
        </w:rPr>
        <w:t xml:space="preserve"> un proporcionāli nozīmīgu – līdz 50 % studiju daļu īstenot darba vidē. </w:t>
      </w:r>
    </w:p>
    <w:p w14:paraId="091A4C27" w14:textId="3BEB4633" w:rsidR="0034498F" w:rsidRPr="0015154B" w:rsidRDefault="0034498F" w:rsidP="00AC38FA">
      <w:pPr>
        <w:spacing w:before="120" w:after="0" w:line="240" w:lineRule="auto"/>
        <w:ind w:firstLine="720"/>
        <w:jc w:val="both"/>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Ņemot vērā sociālo darbinieku nepietiekamību valstī, plānojot aktivitātes profesionāla sociālā darba attīstībai</w:t>
      </w:r>
      <w:r w:rsidR="00C2711A"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tiek izvērtēta iespēja līdzīgi kā IZM iniciētajam un valdības atbalstītajam skolotāju izglītības projektam „Mācītspēks” plānot un eksperimentālā kārtā ieviest īslaicīgu studiju programmu citu augstāko izglītību ieguvušiem speci</w:t>
      </w:r>
      <w:r w:rsidR="00E234E0">
        <w:rPr>
          <w:rFonts w:ascii="Times New Roman" w:eastAsia="Times New Roman" w:hAnsi="Times New Roman" w:cs="Times New Roman"/>
          <w:color w:val="000000"/>
          <w:sz w:val="24"/>
          <w:szCs w:val="24"/>
          <w:lang w:eastAsia="lv-LV"/>
        </w:rPr>
        <w:t>ā</w:t>
      </w:r>
      <w:r w:rsidRPr="0015154B">
        <w:rPr>
          <w:rFonts w:ascii="Times New Roman" w:eastAsia="Times New Roman" w:hAnsi="Times New Roman" w:cs="Times New Roman"/>
          <w:color w:val="000000"/>
          <w:sz w:val="24"/>
          <w:szCs w:val="24"/>
          <w:lang w:eastAsia="lv-LV"/>
        </w:rPr>
        <w:t>listiem (piemēram, pedagogi, psihologi, sociologi). Šo iespēju pētot un izvērtējot, iegūta informācija par iespējamu sociālo darbinieku sagatavošanu divu gadu laikā (pirmais gads – intensīva piecu nedēļu vasaras skola, kurai seko darbs konkrētā darba vidē, kam savukārt seko nākamais gads darba vidē ar paralēlu supervīziju un profesionālās pilnveides  darbu, pēc kura sekmīgas pabeigšanas studējošie saņem maģistra grādu). Pēc detalizētas programmas izstrādes un izmēģinājuma līdzīgu praksi varētu būt iespējams īstenot Latvijā pēc 2027.gada. </w:t>
      </w:r>
    </w:p>
    <w:p w14:paraId="50E82BB0" w14:textId="77777777" w:rsidR="0034498F" w:rsidRPr="0015154B" w:rsidRDefault="0034498F" w:rsidP="0034498F">
      <w:pPr>
        <w:spacing w:after="0" w:line="240" w:lineRule="auto"/>
        <w:ind w:firstLine="360"/>
        <w:jc w:val="both"/>
        <w:rPr>
          <w:rFonts w:ascii="Times New Roman" w:eastAsia="Times New Roman" w:hAnsi="Times New Roman" w:cs="Times New Roman"/>
          <w:color w:val="000000"/>
          <w:sz w:val="24"/>
          <w:szCs w:val="24"/>
          <w:lang w:eastAsia="lv-LV"/>
        </w:rPr>
      </w:pPr>
    </w:p>
    <w:p w14:paraId="5155D485" w14:textId="7317E861" w:rsidR="0034498F" w:rsidRPr="0015154B" w:rsidRDefault="0034498F" w:rsidP="001101F7">
      <w:pPr>
        <w:pStyle w:val="Heading3"/>
        <w:rPr>
          <w:rFonts w:eastAsia="Times New Roman"/>
          <w:bCs/>
          <w:lang w:eastAsia="lv-LV"/>
        </w:rPr>
      </w:pPr>
      <w:bookmarkStart w:id="64" w:name="_Toc55316100"/>
      <w:r w:rsidRPr="0015154B">
        <w:rPr>
          <w:rFonts w:eastAsia="Times New Roman"/>
          <w:lang w:eastAsia="lv-LV"/>
        </w:rPr>
        <w:t>Metodikas darbam ar noteiktām mērķa grupā</w:t>
      </w:r>
      <w:r w:rsidR="00563E4A">
        <w:rPr>
          <w:rFonts w:eastAsia="Times New Roman"/>
          <w:lang w:eastAsia="lv-LV"/>
        </w:rPr>
        <w:t>m</w:t>
      </w:r>
      <w:r w:rsidRPr="0015154B">
        <w:rPr>
          <w:rFonts w:eastAsia="Times New Roman"/>
          <w:lang w:eastAsia="lv-LV"/>
        </w:rPr>
        <w:t xml:space="preserve"> padziļinātās mācības</w:t>
      </w:r>
      <w:bookmarkEnd w:id="64"/>
    </w:p>
    <w:p w14:paraId="64C6D4D8" w14:textId="7B1380CA" w:rsidR="0034498F" w:rsidRPr="0015154B" w:rsidRDefault="0034498F" w:rsidP="00AC38FA">
      <w:pPr>
        <w:spacing w:before="120" w:after="0" w:line="240" w:lineRule="auto"/>
        <w:ind w:firstLine="720"/>
        <w:jc w:val="both"/>
        <w:textAlignment w:val="baseline"/>
        <w:outlineLvl w:val="3"/>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Profesionāla sociālā darba attīstības pamatnostādnēs 2014.-2020. gadam viens no uzdevumiem bija p</w:t>
      </w:r>
      <w:r w:rsidRPr="0015154B">
        <w:rPr>
          <w:rFonts w:ascii="Times New Roman" w:hAnsi="Times New Roman" w:cs="Times New Roman"/>
          <w:sz w:val="24"/>
          <w:szCs w:val="24"/>
        </w:rPr>
        <w:t xml:space="preserve">ilnveidot </w:t>
      </w:r>
      <w:r w:rsidRPr="0015154B">
        <w:rPr>
          <w:rFonts w:ascii="Times New Roman" w:hAnsi="Times New Roman" w:cs="Times New Roman"/>
          <w:b/>
          <w:sz w:val="24"/>
          <w:szCs w:val="24"/>
        </w:rPr>
        <w:t>profesionālās prasmes</w:t>
      </w:r>
      <w:r w:rsidRPr="0015154B">
        <w:rPr>
          <w:rFonts w:ascii="Times New Roman" w:hAnsi="Times New Roman" w:cs="Times New Roman"/>
          <w:sz w:val="24"/>
          <w:szCs w:val="24"/>
        </w:rPr>
        <w:t xml:space="preserve"> sociālā darba praksē ar dažādām klientu mērķgrupām</w:t>
      </w:r>
      <w:r w:rsidRPr="0015154B">
        <w:rPr>
          <w:rFonts w:ascii="Times New Roman" w:eastAsia="Times New Roman" w:hAnsi="Times New Roman" w:cs="Times New Roman"/>
          <w:color w:val="000000"/>
          <w:sz w:val="24"/>
          <w:szCs w:val="24"/>
          <w:lang w:eastAsia="lv-LV"/>
        </w:rPr>
        <w:t xml:space="preserve">. Ir jāturpina iespējami plašu sociālo darbinieku iesaiste padziļinātajās mācībās (līdz 100h) par izstrādāto metodiku tēmām (darbs ar personām ar garīga rakstura traucējumiem, darbs ar vardarbībā cietušām un vardarbību veikušām personām u.c). Jau šobrīd pēc pirmo metodiku izstrādes, tiek organizētas jaunas grupas, un katrā no metodiku tēmām gadā tiek </w:t>
      </w:r>
      <w:r w:rsidRPr="0015154B">
        <w:rPr>
          <w:rFonts w:ascii="Times New Roman" w:eastAsia="Times New Roman" w:hAnsi="Times New Roman" w:cs="Times New Roman"/>
          <w:color w:val="000000"/>
          <w:sz w:val="24"/>
          <w:szCs w:val="24"/>
          <w:lang w:eastAsia="lv-LV"/>
        </w:rPr>
        <w:lastRenderedPageBreak/>
        <w:t xml:space="preserve">apmācīti vismaz 40 sociālie darbinieki. Sociālo darbinieku iesaiste padziļinātajās mācībās jāturpina arī nākamajā periodā, ar tām pamazām aizstājot īsās (8, 16 un 24) stundu apmācību programmas. </w:t>
      </w:r>
    </w:p>
    <w:p w14:paraId="3AE05D34" w14:textId="3DF74366" w:rsidR="0034498F" w:rsidRPr="0015154B" w:rsidRDefault="0034498F" w:rsidP="00AC38FA">
      <w:pPr>
        <w:spacing w:before="120" w:after="0" w:line="240" w:lineRule="auto"/>
        <w:ind w:right="43"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Nākamajā plānošanas periodā</w:t>
      </w:r>
      <w:r w:rsidR="00E234E0">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lai šīs metodikas tiktu pilnvērtīgi lietotas sociālajā darbā un </w:t>
      </w:r>
      <w:r w:rsidR="00E234E0">
        <w:rPr>
          <w:rFonts w:ascii="Times New Roman" w:eastAsia="Times New Roman" w:hAnsi="Times New Roman" w:cs="Times New Roman"/>
          <w:color w:val="000000"/>
          <w:sz w:val="24"/>
          <w:szCs w:val="24"/>
          <w:lang w:eastAsia="lv-LV"/>
        </w:rPr>
        <w:t xml:space="preserve">tiktu </w:t>
      </w:r>
      <w:r w:rsidRPr="0015154B">
        <w:rPr>
          <w:rFonts w:ascii="Times New Roman" w:eastAsia="Times New Roman" w:hAnsi="Times New Roman" w:cs="Times New Roman"/>
          <w:color w:val="000000"/>
          <w:sz w:val="24"/>
          <w:szCs w:val="24"/>
          <w:lang w:eastAsia="lv-LV"/>
        </w:rPr>
        <w:t>izplatīt</w:t>
      </w:r>
      <w:r w:rsidR="00E234E0">
        <w:rPr>
          <w:rFonts w:ascii="Times New Roman" w:eastAsia="Times New Roman" w:hAnsi="Times New Roman" w:cs="Times New Roman"/>
          <w:color w:val="000000"/>
          <w:sz w:val="24"/>
          <w:szCs w:val="24"/>
          <w:lang w:eastAsia="lv-LV"/>
        </w:rPr>
        <w:t>a</w:t>
      </w:r>
      <w:r w:rsidRPr="0015154B">
        <w:rPr>
          <w:rFonts w:ascii="Times New Roman" w:eastAsia="Times New Roman" w:hAnsi="Times New Roman" w:cs="Times New Roman"/>
          <w:color w:val="000000"/>
          <w:sz w:val="24"/>
          <w:szCs w:val="24"/>
          <w:lang w:eastAsia="lv-LV"/>
        </w:rPr>
        <w:t xml:space="preserve">s visās pašvaldībās, tās tiks izmantotas par pamatu </w:t>
      </w:r>
      <w:r w:rsidRPr="0015154B">
        <w:rPr>
          <w:rFonts w:ascii="Times New Roman" w:eastAsia="Times New Roman" w:hAnsi="Times New Roman" w:cs="Times New Roman"/>
          <w:b/>
          <w:color w:val="000000"/>
          <w:sz w:val="24"/>
          <w:szCs w:val="24"/>
          <w:lang w:eastAsia="lv-LV"/>
        </w:rPr>
        <w:t>profesionālās kompetences pilnveides mācību programmas</w:t>
      </w:r>
      <w:r w:rsidRPr="0015154B">
        <w:rPr>
          <w:rFonts w:ascii="Times New Roman" w:eastAsia="Times New Roman" w:hAnsi="Times New Roman" w:cs="Times New Roman"/>
          <w:color w:val="000000"/>
          <w:sz w:val="24"/>
          <w:szCs w:val="24"/>
          <w:lang w:eastAsia="lv-LV"/>
        </w:rPr>
        <w:t xml:space="preserve"> (160 h) izstrādei, kas vēlāk tiks integrētas augstskolu programmās moduļu veidā un tiks nodrošināta iespēja tās apgūt sociālā darba studentiem un speciālistiem ar izglītību, piešķirot stipendijas moduļu apguvei. Papildus, ņemot vērā nepieciešamību sociālajiem darbiniekiem strādāt ar dažādām klientu mērķa grupām un viņu sociālajām problēmām, plānots izstrādāt un aprobēt arī vairākas jaunas metodikas, atbilstoši aktuālākajām vajadzībām, tajā skaitā metodiku darbam ar likumpārkāpējiem.</w:t>
      </w:r>
    </w:p>
    <w:p w14:paraId="3CA6AA28" w14:textId="67B7B07B" w:rsidR="0034498F" w:rsidRPr="0015154B" w:rsidRDefault="0034498F" w:rsidP="00AC38FA">
      <w:pPr>
        <w:spacing w:before="120" w:after="0" w:line="240" w:lineRule="auto"/>
        <w:ind w:firstLine="720"/>
        <w:jc w:val="both"/>
        <w:textAlignment w:val="baseline"/>
        <w:outlineLvl w:val="3"/>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Jāturpina arī tiešsaistes mācību īstenošana sadarbībā ar Valsts Administrācijas skolu, šajās mācībās pēc iespējas iesaistot arī sadarbības organizāciju pārstāvjus un citus interesentus. Šo tiešsaistes mācību pieejamība interesentiem būtu jānodrošina bez maksas. Jāstiprina Valsts administrācijas skolas mācību platformas programmatūras ies</w:t>
      </w:r>
      <w:r w:rsidR="00C2711A" w:rsidRPr="0015154B">
        <w:rPr>
          <w:rFonts w:ascii="Times New Roman" w:eastAsia="Times New Roman" w:hAnsi="Times New Roman" w:cs="Times New Roman"/>
          <w:color w:val="000000"/>
          <w:sz w:val="24"/>
          <w:szCs w:val="24"/>
          <w:lang w:eastAsia="lv-LV"/>
        </w:rPr>
        <w:t>p</w:t>
      </w:r>
      <w:r w:rsidRPr="0015154B">
        <w:rPr>
          <w:rFonts w:ascii="Times New Roman" w:eastAsia="Times New Roman" w:hAnsi="Times New Roman" w:cs="Times New Roman"/>
          <w:color w:val="000000"/>
          <w:sz w:val="24"/>
          <w:szCs w:val="24"/>
          <w:lang w:eastAsia="lv-LV"/>
        </w:rPr>
        <w:t>ējas, t.sk. palielinot interaktivitāti un iespēju novērtēt dalībnieka ieguldīto laiku, kā rezultātā radot iespēju piešķirt apliecinājumus par mācību satura apguvi noteiktu stundu apjomā.</w:t>
      </w:r>
      <w:r w:rsidR="00C2711A"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color w:val="000000"/>
          <w:sz w:val="24"/>
          <w:szCs w:val="24"/>
          <w:lang w:eastAsia="lv-LV"/>
        </w:rPr>
        <w:t>Ex-post izvērtējuma laikā 2022.gadā jāvērtē metodiku ietekme uz praksi sociālajos dienestos un sasniegtajiem rezultātiem.</w:t>
      </w:r>
    </w:p>
    <w:p w14:paraId="60DAA72E" w14:textId="77777777" w:rsidR="0034498F" w:rsidRPr="0015154B" w:rsidRDefault="0034498F" w:rsidP="0034498F">
      <w:pPr>
        <w:pStyle w:val="ListParagraph"/>
        <w:spacing w:after="0" w:line="240" w:lineRule="auto"/>
        <w:ind w:left="502"/>
        <w:textAlignment w:val="baseline"/>
        <w:outlineLvl w:val="3"/>
        <w:rPr>
          <w:rFonts w:ascii="Times New Roman" w:eastAsia="Times New Roman" w:hAnsi="Times New Roman" w:cs="Times New Roman"/>
          <w:b/>
          <w:bCs/>
          <w:iCs/>
          <w:sz w:val="24"/>
          <w:szCs w:val="24"/>
          <w:lang w:eastAsia="lv-LV"/>
        </w:rPr>
      </w:pPr>
    </w:p>
    <w:p w14:paraId="76599FC4" w14:textId="25B2E66E" w:rsidR="0034498F" w:rsidRPr="0015154B" w:rsidRDefault="0034498F" w:rsidP="001101F7">
      <w:pPr>
        <w:pStyle w:val="Heading3"/>
        <w:rPr>
          <w:rFonts w:eastAsia="Times New Roman"/>
          <w:bCs/>
          <w:lang w:eastAsia="lv-LV"/>
        </w:rPr>
      </w:pPr>
      <w:bookmarkStart w:id="65" w:name="_Toc55316101"/>
      <w:r w:rsidRPr="0015154B">
        <w:rPr>
          <w:rFonts w:eastAsia="Times New Roman"/>
          <w:lang w:eastAsia="lv-LV"/>
        </w:rPr>
        <w:t>Supervīzijas sociālā darba speciālistiem</w:t>
      </w:r>
      <w:bookmarkEnd w:id="65"/>
    </w:p>
    <w:p w14:paraId="77B86B6D" w14:textId="0F198ECF" w:rsidR="0034498F" w:rsidRPr="0015154B" w:rsidRDefault="00C2711A"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N</w:t>
      </w:r>
      <w:r w:rsidR="0034498F" w:rsidRPr="0015154B">
        <w:rPr>
          <w:rFonts w:ascii="Times New Roman" w:eastAsia="Times New Roman" w:hAnsi="Times New Roman" w:cs="Times New Roman"/>
          <w:color w:val="000000"/>
          <w:sz w:val="24"/>
          <w:szCs w:val="24"/>
          <w:lang w:eastAsia="lv-LV"/>
        </w:rPr>
        <w:t>epietiekošs sociālā darba speciālistu, kuri piedalās supervīzijās</w:t>
      </w:r>
      <w:r w:rsidRPr="0015154B">
        <w:rPr>
          <w:rFonts w:ascii="Times New Roman" w:eastAsia="Times New Roman" w:hAnsi="Times New Roman" w:cs="Times New Roman"/>
          <w:color w:val="000000"/>
          <w:sz w:val="24"/>
          <w:szCs w:val="24"/>
          <w:lang w:eastAsia="lv-LV"/>
        </w:rPr>
        <w:t xml:space="preserve">, </w:t>
      </w:r>
      <w:r w:rsidR="00E234E0">
        <w:rPr>
          <w:rFonts w:ascii="Times New Roman" w:eastAsia="Times New Roman" w:hAnsi="Times New Roman" w:cs="Times New Roman"/>
          <w:color w:val="000000"/>
          <w:sz w:val="24"/>
          <w:szCs w:val="24"/>
          <w:lang w:eastAsia="lv-LV"/>
        </w:rPr>
        <w:t xml:space="preserve">skaits </w:t>
      </w:r>
      <w:r w:rsidRPr="0015154B">
        <w:rPr>
          <w:rFonts w:ascii="Times New Roman" w:eastAsia="Times New Roman" w:hAnsi="Times New Roman" w:cs="Times New Roman"/>
          <w:color w:val="000000"/>
          <w:sz w:val="24"/>
          <w:szCs w:val="24"/>
          <w:lang w:eastAsia="lv-LV"/>
        </w:rPr>
        <w:t>kā aktuāla problēma tika identificēta jau iepriekšējo sociālā darba jomas pamatnostādņu izstrādes un īstenošanas laikā</w:t>
      </w:r>
      <w:r w:rsidR="0034498F" w:rsidRPr="0015154B">
        <w:rPr>
          <w:rFonts w:ascii="Times New Roman" w:eastAsia="Times New Roman" w:hAnsi="Times New Roman" w:cs="Times New Roman"/>
          <w:color w:val="000000"/>
          <w:sz w:val="24"/>
          <w:szCs w:val="24"/>
          <w:lang w:eastAsia="lv-LV"/>
        </w:rPr>
        <w:t xml:space="preserve">. Sociālā darba speciālistu </w:t>
      </w:r>
      <w:r w:rsidR="0034498F" w:rsidRPr="0015154B">
        <w:rPr>
          <w:rFonts w:ascii="Times New Roman" w:eastAsia="Times New Roman" w:hAnsi="Times New Roman" w:cs="Times New Roman"/>
          <w:b/>
          <w:color w:val="000000"/>
          <w:sz w:val="24"/>
          <w:szCs w:val="24"/>
          <w:lang w:eastAsia="lv-LV"/>
        </w:rPr>
        <w:t>dalību supervīzijā</w:t>
      </w:r>
      <w:r w:rsidRPr="0015154B">
        <w:rPr>
          <w:rFonts w:ascii="Times New Roman" w:eastAsia="Times New Roman" w:hAnsi="Times New Roman" w:cs="Times New Roman"/>
          <w:color w:val="000000"/>
          <w:sz w:val="24"/>
          <w:szCs w:val="24"/>
          <w:lang w:eastAsia="lv-LV"/>
        </w:rPr>
        <w:t xml:space="preserve"> ietekmē vairāki faktori</w:t>
      </w:r>
      <w:r w:rsidR="0034498F" w:rsidRPr="0015154B">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1</w:t>
      </w:r>
      <w:r w:rsidR="0034498F" w:rsidRPr="0015154B">
        <w:rPr>
          <w:rFonts w:ascii="Times New Roman" w:eastAsia="Times New Roman" w:hAnsi="Times New Roman" w:cs="Times New Roman"/>
          <w:color w:val="000000"/>
          <w:sz w:val="24"/>
          <w:szCs w:val="24"/>
          <w:lang w:eastAsia="lv-LV"/>
        </w:rPr>
        <w:t xml:space="preserve">) darba devējam (jo atbilstoši prasībās sociālo pakalpojumu sniedzējiem noteiktajam, tā ir darba devēja atbildība) nav tam pietiekoši finanšu resursi; </w:t>
      </w:r>
      <w:r w:rsidRPr="0015154B">
        <w:rPr>
          <w:rFonts w:ascii="Times New Roman" w:eastAsia="Times New Roman" w:hAnsi="Times New Roman" w:cs="Times New Roman"/>
          <w:color w:val="000000"/>
          <w:sz w:val="24"/>
          <w:szCs w:val="24"/>
          <w:lang w:eastAsia="lv-LV"/>
        </w:rPr>
        <w:t xml:space="preserve">2) </w:t>
      </w:r>
      <w:r w:rsidR="0034498F" w:rsidRPr="0015154B">
        <w:rPr>
          <w:rFonts w:ascii="Times New Roman" w:eastAsia="Times New Roman" w:hAnsi="Times New Roman" w:cs="Times New Roman"/>
          <w:color w:val="000000"/>
          <w:sz w:val="24"/>
          <w:szCs w:val="24"/>
          <w:lang w:eastAsia="lv-LV"/>
        </w:rPr>
        <w:t xml:space="preserve">gan darba devējiem, gan arī pašiem sociālā darba specialistiem vāja izpratne par supervīzijas nozīmi palīdzošo profesiju pārstāvju profesionālajā darbā; un rezultātā sociālā darba speciālisti vāji apmeklē supervīzijas sesijas vai tajās nepiedalās; </w:t>
      </w:r>
      <w:r w:rsidRPr="0015154B">
        <w:rPr>
          <w:rFonts w:ascii="Times New Roman" w:eastAsia="Times New Roman" w:hAnsi="Times New Roman" w:cs="Times New Roman"/>
          <w:color w:val="000000"/>
          <w:sz w:val="24"/>
          <w:szCs w:val="24"/>
          <w:lang w:eastAsia="lv-LV"/>
        </w:rPr>
        <w:t>3</w:t>
      </w:r>
      <w:r w:rsidR="0034498F" w:rsidRPr="0015154B">
        <w:rPr>
          <w:rFonts w:ascii="Times New Roman" w:eastAsia="Times New Roman" w:hAnsi="Times New Roman" w:cs="Times New Roman"/>
          <w:color w:val="000000"/>
          <w:sz w:val="24"/>
          <w:szCs w:val="24"/>
          <w:lang w:eastAsia="lv-LV"/>
        </w:rPr>
        <w:t>) supervizoru, kuri profesionāli var vadīt supervīzijas sesijas, skaits ir mazs; un, lai nodrošinātu supervīzijas visiem sociālā darba speciālistiem, kvalificēti supervizori trūkst.</w:t>
      </w:r>
      <w:r w:rsidRPr="0015154B">
        <w:rPr>
          <w:rFonts w:ascii="Times New Roman" w:eastAsia="Times New Roman" w:hAnsi="Times New Roman" w:cs="Times New Roman"/>
          <w:sz w:val="24"/>
          <w:szCs w:val="24"/>
          <w:lang w:eastAsia="lv-LV"/>
        </w:rPr>
        <w:t xml:space="preserve"> </w:t>
      </w:r>
      <w:r w:rsidR="0034498F" w:rsidRPr="0015154B">
        <w:rPr>
          <w:rFonts w:ascii="Times New Roman" w:eastAsia="Times New Roman" w:hAnsi="Times New Roman" w:cs="Times New Roman"/>
          <w:color w:val="000000"/>
          <w:sz w:val="24"/>
          <w:szCs w:val="24"/>
          <w:lang w:eastAsia="lv-LV"/>
        </w:rPr>
        <w:t xml:space="preserve">Minētās problēmas risināšanā viens no veidiem bija nodrošināt pašvaldībām </w:t>
      </w:r>
      <w:r w:rsidR="0034498F" w:rsidRPr="0015154B">
        <w:rPr>
          <w:rFonts w:ascii="Times New Roman" w:eastAsia="Times New Roman" w:hAnsi="Times New Roman" w:cs="Times New Roman"/>
          <w:b/>
          <w:color w:val="000000"/>
          <w:sz w:val="24"/>
          <w:szCs w:val="24"/>
          <w:lang w:eastAsia="lv-LV"/>
        </w:rPr>
        <w:t>ar supervīziju saistīto izdevumu kompensāciju</w:t>
      </w:r>
      <w:r w:rsidR="0034498F" w:rsidRPr="0015154B">
        <w:rPr>
          <w:rFonts w:ascii="Times New Roman" w:eastAsia="Times New Roman" w:hAnsi="Times New Roman" w:cs="Times New Roman"/>
          <w:color w:val="000000"/>
          <w:sz w:val="24"/>
          <w:szCs w:val="24"/>
          <w:lang w:eastAsia="lv-LV"/>
        </w:rPr>
        <w:t>, kas joprojām tiek īstenota ar ESF Projekta atbalstu ietvaros. Sākotnēji, 2015. gadā tika kompensēti 50% no izdevumiem, un vēlāk izdevumu kompensācijas apmērs tika paaugstināts uz 70%.</w:t>
      </w:r>
    </w:p>
    <w:p w14:paraId="78FE33D3" w14:textId="7C5BA59B"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Pēdējo piecu gadu laikā </w:t>
      </w:r>
      <w:r w:rsidR="006F1450" w:rsidRPr="0015154B">
        <w:rPr>
          <w:rFonts w:ascii="Times New Roman" w:eastAsia="Times New Roman" w:hAnsi="Times New Roman" w:cs="Times New Roman"/>
          <w:color w:val="000000"/>
          <w:sz w:val="24"/>
          <w:szCs w:val="24"/>
          <w:lang w:eastAsia="lv-LV"/>
        </w:rPr>
        <w:t xml:space="preserve">sociālo darbinieku iesaiste supervīzijās ir būtiski palielinājusies </w:t>
      </w:r>
      <w:r w:rsidRPr="0015154B">
        <w:rPr>
          <w:rFonts w:ascii="Times New Roman" w:eastAsia="Times New Roman" w:hAnsi="Times New Roman" w:cs="Times New Roman"/>
          <w:color w:val="000000"/>
          <w:sz w:val="24"/>
          <w:szCs w:val="24"/>
          <w:lang w:eastAsia="lv-LV"/>
        </w:rPr>
        <w:t xml:space="preserve">– 2015. gadā, kad </w:t>
      </w:r>
      <w:r w:rsidR="00C2711A" w:rsidRPr="0015154B">
        <w:rPr>
          <w:rFonts w:ascii="Times New Roman" w:eastAsia="Times New Roman" w:hAnsi="Times New Roman" w:cs="Times New Roman"/>
          <w:color w:val="000000"/>
          <w:sz w:val="24"/>
          <w:szCs w:val="24"/>
          <w:lang w:eastAsia="lv-LV"/>
        </w:rPr>
        <w:t xml:space="preserve">uzsākās </w:t>
      </w:r>
      <w:r w:rsidRPr="0015154B">
        <w:rPr>
          <w:rFonts w:ascii="Times New Roman" w:eastAsia="Times New Roman" w:hAnsi="Times New Roman" w:cs="Times New Roman"/>
          <w:color w:val="000000"/>
          <w:sz w:val="24"/>
          <w:szCs w:val="24"/>
          <w:lang w:eastAsia="lv-LV"/>
        </w:rPr>
        <w:t>ESF Projekt</w:t>
      </w:r>
      <w:r w:rsidR="00C2711A" w:rsidRPr="0015154B">
        <w:rPr>
          <w:rFonts w:ascii="Times New Roman" w:eastAsia="Times New Roman" w:hAnsi="Times New Roman" w:cs="Times New Roman"/>
          <w:color w:val="000000"/>
          <w:sz w:val="24"/>
          <w:szCs w:val="24"/>
          <w:lang w:eastAsia="lv-LV"/>
        </w:rPr>
        <w:t>a īstenošana</w:t>
      </w:r>
      <w:r w:rsidRPr="0015154B">
        <w:rPr>
          <w:rFonts w:ascii="Times New Roman" w:eastAsia="Times New Roman" w:hAnsi="Times New Roman" w:cs="Times New Roman"/>
          <w:color w:val="000000"/>
          <w:sz w:val="24"/>
          <w:szCs w:val="24"/>
          <w:lang w:eastAsia="lv-LV"/>
        </w:rPr>
        <w:t>, supervīziju nodrošināja un izdevumu kompensāciju saņēma 39 pašvaldības (32,8% no visām pašvaldībām) par 520 sociālā darba speciālistu dalību supervīzijā, 2019. gadā – 85 pašvaldības (71,4% no visām pašvaldībām) par 1 295 sociālā darba speciālistiem, kas ir 92,8% no visos sociālajos dienestos vai 61,9% no visās pašvaldību institūcijās, kas sniedz sociālos pakalpojumus, strādājošiem sociālā darba speciālistiem. </w:t>
      </w:r>
    </w:p>
    <w:p w14:paraId="4B170FFA" w14:textId="2353081B"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Biedrība “Latvijas supervizoru apvienība” (LSA) ir vienīgais Latvijā Eiropas Nacionālo supervīzijas organizāciju apvienības ANSE (Association of National Organisation for Supervision in Europe) pilna statusa biedrs, un tā sevi pozicionē kā organizāciju, kura iezīmē virzību uz profesionālās darbības prakses sakārtošanu un izvirza kritērijus supervizoru izglītībai un darba pieredzei, tā apliecinot, ka šīs profesionālās apvienības sertificētie biedri ir sagatavoti un praktizē atbilstoši ANSE prasībām. Supervizoru profesionālās darbības kvalitātes nodrošināšanai 2014. gadā LSA biedru kopsapulcē tika ievēlēta Sertifikācijas komisija un 2015. gadā – Ētikas komisija.</w:t>
      </w:r>
    </w:p>
    <w:p w14:paraId="4ECCBA11" w14:textId="3C42EE42"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lastRenderedPageBreak/>
        <w:t xml:space="preserve">Lai veicinātu profesionālu un kvalificētu supervizoru vadītas supervīzijas sesijas sociālā darba speciālistiem, tiesību aktos tika noteikts, ka uz izdevumu par supervīziju kompensāciju var pretendēt tikai tās pašvaldības, kuras noslēgušas līgumus ar </w:t>
      </w:r>
      <w:r w:rsidRPr="0015154B">
        <w:rPr>
          <w:rFonts w:ascii="Times New Roman" w:eastAsia="Times New Roman" w:hAnsi="Times New Roman" w:cs="Times New Roman"/>
          <w:b/>
          <w:color w:val="000000"/>
          <w:sz w:val="24"/>
          <w:szCs w:val="24"/>
          <w:lang w:eastAsia="lv-LV"/>
        </w:rPr>
        <w:t>sertificētiem supervizoriem</w:t>
      </w:r>
      <w:r w:rsidRPr="0015154B">
        <w:rPr>
          <w:rFonts w:ascii="Times New Roman" w:eastAsia="Times New Roman" w:hAnsi="Times New Roman" w:cs="Times New Roman"/>
          <w:color w:val="000000"/>
          <w:sz w:val="24"/>
          <w:szCs w:val="24"/>
          <w:lang w:eastAsia="lv-LV"/>
        </w:rPr>
        <w:t>. Šis fakts, savukārt</w:t>
      </w:r>
      <w:r w:rsidR="00E234E0">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bija veicinošs impulss tam, ka Latvijā līdz šim praktizējošie supervizori, kuri vēlējās turpināt savu supervizora profesionālo darbību, izgāja sertifikācijas procesu Latvijas supervizoru apvienībā un saņēma ANSE prasībām atbilstošu supervizora sertifikātu. LSA mājaslapā publicētajā biedrības supervizoru sarakstā ir minēti 142 biedri un asociētie biedri, no tiem 100 supervizoriem izsniegtais sertifikāts ir ar pašlaik spēkā esošu derīguma termiņu. Par supervizoru sertificēšanos pēdējo gadu laikā liecina fakts, ka no šiem 100 supervizoriem 72 supervizori ir sertificējušies laikā no 2016. gada, savukārt 23 supervizori jau ir izgājuši resertificē</w:t>
      </w:r>
      <w:r w:rsidR="00E234E0">
        <w:rPr>
          <w:rFonts w:ascii="Times New Roman" w:eastAsia="Times New Roman" w:hAnsi="Times New Roman" w:cs="Times New Roman"/>
          <w:color w:val="000000"/>
          <w:sz w:val="24"/>
          <w:szCs w:val="24"/>
          <w:lang w:eastAsia="lv-LV"/>
        </w:rPr>
        <w:t>š</w:t>
      </w:r>
      <w:r w:rsidRPr="0015154B">
        <w:rPr>
          <w:rFonts w:ascii="Times New Roman" w:eastAsia="Times New Roman" w:hAnsi="Times New Roman" w:cs="Times New Roman"/>
          <w:color w:val="000000"/>
          <w:sz w:val="24"/>
          <w:szCs w:val="24"/>
          <w:lang w:eastAsia="lv-LV"/>
        </w:rPr>
        <w:t>anās procesu.</w:t>
      </w:r>
    </w:p>
    <w:p w14:paraId="05EFFF90" w14:textId="6EBB35D6" w:rsidR="0034498F" w:rsidRPr="0015154B" w:rsidRDefault="0034498F" w:rsidP="00AC38FA">
      <w:pPr>
        <w:spacing w:before="120" w:after="0" w:line="240" w:lineRule="auto"/>
        <w:ind w:right="43"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Nozīmīgs solis supervīzijas ieviešanā sociālo darbinieku praksē bija arī tas, ka tiesību aktos papildus jau esošajiem </w:t>
      </w:r>
      <w:r w:rsidRPr="0015154B">
        <w:rPr>
          <w:rFonts w:ascii="Times New Roman" w:eastAsia="Times New Roman" w:hAnsi="Times New Roman" w:cs="Times New Roman"/>
          <w:b/>
          <w:color w:val="000000"/>
          <w:sz w:val="24"/>
          <w:szCs w:val="24"/>
          <w:lang w:eastAsia="lv-LV"/>
        </w:rPr>
        <w:t>supervīzijas veidiem</w:t>
      </w:r>
      <w:r w:rsidRPr="0015154B">
        <w:rPr>
          <w:rFonts w:ascii="Times New Roman" w:eastAsia="Times New Roman" w:hAnsi="Times New Roman" w:cs="Times New Roman"/>
          <w:color w:val="000000"/>
          <w:sz w:val="24"/>
          <w:szCs w:val="24"/>
          <w:lang w:eastAsia="lv-LV"/>
        </w:rPr>
        <w:t xml:space="preserve"> – individuālā supervīzija un grupas supervīzija, tika noteikta arī organizācijas supervīzija un komandas supervīzija. Nākas atzīt, ka pagaidām vēl šie divi pēdējie minētie supervīzijas veidi praksē ieviešas samērā lēni. Tas varētu būt izskaidrojams ar iestāžu vadības (kas joprojām ir atbildīga par supervīzijas nodrošināšanu savas vadītās iestādes sociālā darba speciālistiem) nepietiekošo izpratni un zināšanām par supervīzijas veidiem, atšķirībām.</w:t>
      </w:r>
      <w:r w:rsidR="006F1450"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color w:val="000000"/>
          <w:sz w:val="24"/>
          <w:szCs w:val="24"/>
          <w:lang w:eastAsia="lv-LV"/>
        </w:rPr>
        <w:t xml:space="preserve">Citas būtiskas ar supervīzijas procesu saistītās izmaiņas, kam impulsu deva šī gada martā noteiktā ārkārtējā situācija valstī sakarā ar Covid-19 vīrusa pandēmijas izplatību un tās radītajām sekām, bija tiesību aktos noteiktā iespēja piedalīties supervīzijā arī attālināti tiešsaistē. </w:t>
      </w:r>
      <w:r w:rsidR="006F1450" w:rsidRPr="0015154B">
        <w:rPr>
          <w:rFonts w:ascii="Times New Roman" w:eastAsia="Times New Roman" w:hAnsi="Times New Roman" w:cs="Times New Roman"/>
          <w:color w:val="000000"/>
          <w:sz w:val="24"/>
          <w:szCs w:val="24"/>
          <w:lang w:eastAsia="lv-LV"/>
        </w:rPr>
        <w:t>Līdz</w:t>
      </w:r>
      <w:r w:rsidRPr="0015154B">
        <w:rPr>
          <w:rFonts w:ascii="Times New Roman" w:eastAsia="Times New Roman" w:hAnsi="Times New Roman" w:cs="Times New Roman"/>
          <w:color w:val="000000"/>
          <w:sz w:val="24"/>
          <w:szCs w:val="24"/>
          <w:lang w:eastAsia="lv-LV"/>
        </w:rPr>
        <w:t xml:space="preserve"> tam sociālā darba speciālistiem bija iespēja piedalīties attālināti tiešsaistē tikai individuālā supervīzijas sesijā</w:t>
      </w:r>
      <w:r w:rsidR="006F1450"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w:t>
      </w:r>
      <w:r w:rsidR="006F1450" w:rsidRPr="0015154B">
        <w:rPr>
          <w:rFonts w:ascii="Times New Roman" w:eastAsia="Times New Roman" w:hAnsi="Times New Roman" w:cs="Times New Roman"/>
          <w:color w:val="000000"/>
          <w:sz w:val="24"/>
          <w:szCs w:val="24"/>
          <w:lang w:eastAsia="lv-LV"/>
        </w:rPr>
        <w:t>Tā kā</w:t>
      </w:r>
      <w:r w:rsidRPr="0015154B">
        <w:rPr>
          <w:rFonts w:ascii="Times New Roman" w:eastAsia="Times New Roman" w:hAnsi="Times New Roman" w:cs="Times New Roman"/>
          <w:color w:val="000000"/>
          <w:sz w:val="24"/>
          <w:szCs w:val="24"/>
          <w:lang w:eastAsia="lv-LV"/>
        </w:rPr>
        <w:t xml:space="preserve"> supervizoru koncentrācija galvenokārt ir ap Rīgu vai lielākajās valsts pilsētās, </w:t>
      </w:r>
      <w:r w:rsidR="006F1450" w:rsidRPr="0015154B">
        <w:rPr>
          <w:rFonts w:ascii="Times New Roman" w:eastAsia="Times New Roman" w:hAnsi="Times New Roman" w:cs="Times New Roman"/>
          <w:color w:val="000000"/>
          <w:sz w:val="24"/>
          <w:szCs w:val="24"/>
          <w:lang w:eastAsia="lv-LV"/>
        </w:rPr>
        <w:t xml:space="preserve">supervīziju organizēšana tiešraidē sekmēja augstākas līdzdalības iespējas un pieejamību visās pašvaldībās. </w:t>
      </w:r>
    </w:p>
    <w:p w14:paraId="296D5B71" w14:textId="1902B286" w:rsidR="0034498F" w:rsidRPr="0015154B" w:rsidRDefault="0034498F" w:rsidP="00AC38FA">
      <w:pPr>
        <w:spacing w:before="120" w:after="0" w:line="240" w:lineRule="auto"/>
        <w:ind w:right="43"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Pēdējo gadu laikā ir izdevies palielināt sociālā darba speciālistu, kas piedalās supervīzijā</w:t>
      </w:r>
      <w:r w:rsidR="00E234E0" w:rsidRPr="00E234E0">
        <w:rPr>
          <w:rFonts w:ascii="Times New Roman" w:eastAsia="Times New Roman" w:hAnsi="Times New Roman" w:cs="Times New Roman"/>
          <w:color w:val="000000"/>
          <w:sz w:val="24"/>
          <w:szCs w:val="24"/>
          <w:lang w:eastAsia="lv-LV"/>
        </w:rPr>
        <w:t xml:space="preserve"> </w:t>
      </w:r>
      <w:r w:rsidR="00E234E0" w:rsidRPr="0015154B">
        <w:rPr>
          <w:rFonts w:ascii="Times New Roman" w:eastAsia="Times New Roman" w:hAnsi="Times New Roman" w:cs="Times New Roman"/>
          <w:color w:val="000000"/>
          <w:sz w:val="24"/>
          <w:szCs w:val="24"/>
          <w:lang w:eastAsia="lv-LV"/>
        </w:rPr>
        <w:t>skaitu</w:t>
      </w:r>
      <w:r w:rsidRPr="0015154B">
        <w:rPr>
          <w:rFonts w:ascii="Times New Roman" w:eastAsia="Times New Roman" w:hAnsi="Times New Roman" w:cs="Times New Roman"/>
          <w:color w:val="000000"/>
          <w:sz w:val="24"/>
          <w:szCs w:val="24"/>
          <w:lang w:eastAsia="lv-LV"/>
        </w:rPr>
        <w:t>,</w:t>
      </w:r>
      <w:r w:rsidR="00E234E0">
        <w:rPr>
          <w:rFonts w:ascii="Times New Roman" w:eastAsia="Times New Roman" w:hAnsi="Times New Roman" w:cs="Times New Roman"/>
          <w:color w:val="000000"/>
          <w:sz w:val="24"/>
          <w:szCs w:val="24"/>
          <w:lang w:eastAsia="lv-LV"/>
        </w:rPr>
        <w:t xml:space="preserve"> kā arī</w:t>
      </w:r>
      <w:r w:rsidRPr="0015154B">
        <w:rPr>
          <w:rFonts w:ascii="Times New Roman" w:eastAsia="Times New Roman" w:hAnsi="Times New Roman" w:cs="Times New Roman"/>
          <w:color w:val="000000"/>
          <w:sz w:val="24"/>
          <w:szCs w:val="24"/>
          <w:lang w:eastAsia="lv-LV"/>
        </w:rPr>
        <w:t xml:space="preserve"> sociālo dienestu vadības izpratne par supervīzijas nozīmi ir augusi</w:t>
      </w:r>
      <w:r w:rsidR="00F6336A"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w:t>
      </w:r>
      <w:r w:rsidR="00F6336A" w:rsidRPr="0015154B">
        <w:rPr>
          <w:rFonts w:ascii="Times New Roman" w:eastAsia="Times New Roman" w:hAnsi="Times New Roman" w:cs="Times New Roman"/>
          <w:color w:val="000000"/>
          <w:sz w:val="24"/>
          <w:szCs w:val="24"/>
          <w:lang w:eastAsia="lv-LV"/>
        </w:rPr>
        <w:t>T</w:t>
      </w:r>
      <w:r w:rsidRPr="0015154B">
        <w:rPr>
          <w:rFonts w:ascii="Times New Roman" w:eastAsia="Times New Roman" w:hAnsi="Times New Roman" w:cs="Times New Roman"/>
          <w:color w:val="000000"/>
          <w:sz w:val="24"/>
          <w:szCs w:val="24"/>
          <w:lang w:eastAsia="lv-LV"/>
        </w:rPr>
        <w:t>omēr arī turpmāk</w:t>
      </w:r>
      <w:r w:rsidR="00F6336A" w:rsidRPr="0015154B">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nepieciešama</w:t>
      </w:r>
      <w:r w:rsidR="00F6336A" w:rsidRPr="0015154B">
        <w:rPr>
          <w:rFonts w:ascii="Times New Roman" w:eastAsia="Times New Roman" w:hAnsi="Times New Roman" w:cs="Times New Roman"/>
          <w:color w:val="000000"/>
          <w:sz w:val="24"/>
          <w:szCs w:val="24"/>
          <w:lang w:eastAsia="lv-LV"/>
        </w:rPr>
        <w:t xml:space="preserve"> atbalsta sniegšana supervīziju nodrošināšanai, kompensējot</w:t>
      </w:r>
      <w:r w:rsidRPr="0015154B">
        <w:rPr>
          <w:rFonts w:ascii="Times New Roman" w:eastAsia="Times New Roman" w:hAnsi="Times New Roman" w:cs="Times New Roman"/>
          <w:color w:val="000000"/>
          <w:sz w:val="24"/>
          <w:szCs w:val="24"/>
          <w:lang w:eastAsia="lv-LV"/>
        </w:rPr>
        <w:t xml:space="preserve"> izdevumu</w:t>
      </w:r>
      <w:r w:rsidR="00C6330C" w:rsidRPr="0015154B">
        <w:rPr>
          <w:rFonts w:ascii="Times New Roman" w:eastAsia="Times New Roman" w:hAnsi="Times New Roman" w:cs="Times New Roman"/>
          <w:color w:val="000000"/>
          <w:sz w:val="24"/>
          <w:szCs w:val="24"/>
          <w:lang w:eastAsia="lv-LV"/>
        </w:rPr>
        <w:t>s</w:t>
      </w:r>
      <w:r w:rsidRPr="0015154B">
        <w:rPr>
          <w:rFonts w:ascii="Times New Roman" w:eastAsia="Times New Roman" w:hAnsi="Times New Roman" w:cs="Times New Roman"/>
          <w:color w:val="000000"/>
          <w:sz w:val="24"/>
          <w:szCs w:val="24"/>
          <w:lang w:eastAsia="lv-LV"/>
        </w:rPr>
        <w:t xml:space="preserve"> par supervīzij</w:t>
      </w:r>
      <w:r w:rsidR="00C6330C" w:rsidRPr="0015154B">
        <w:rPr>
          <w:rFonts w:ascii="Times New Roman" w:eastAsia="Times New Roman" w:hAnsi="Times New Roman" w:cs="Times New Roman"/>
          <w:color w:val="000000"/>
          <w:sz w:val="24"/>
          <w:szCs w:val="24"/>
          <w:lang w:eastAsia="lv-LV"/>
        </w:rPr>
        <w:t xml:space="preserve">ām un </w:t>
      </w:r>
      <w:r w:rsidRPr="0015154B">
        <w:rPr>
          <w:rFonts w:ascii="Times New Roman" w:eastAsia="Times New Roman" w:hAnsi="Times New Roman" w:cs="Times New Roman"/>
          <w:color w:val="000000"/>
          <w:sz w:val="24"/>
          <w:szCs w:val="24"/>
          <w:lang w:eastAsia="lv-LV"/>
        </w:rPr>
        <w:t>nodrošināt valsts budžeta un ESF daļēju finansējumu (kompensāciju veidā).</w:t>
      </w:r>
      <w:r w:rsidR="00C6330C" w:rsidRPr="0015154B">
        <w:rPr>
          <w:rFonts w:ascii="Times New Roman" w:eastAsia="Times New Roman" w:hAnsi="Times New Roman" w:cs="Times New Roman"/>
          <w:sz w:val="24"/>
          <w:szCs w:val="24"/>
          <w:lang w:eastAsia="lv-LV"/>
        </w:rPr>
        <w:t xml:space="preserve"> Vērtējot supervīziju saturu, iezīmējas vairāki attīstāmi aspekti</w:t>
      </w:r>
      <w:r w:rsidRPr="0015154B">
        <w:rPr>
          <w:rFonts w:ascii="Times New Roman" w:eastAsia="Times New Roman" w:hAnsi="Times New Roman" w:cs="Times New Roman"/>
          <w:color w:val="000000"/>
          <w:sz w:val="24"/>
          <w:szCs w:val="24"/>
          <w:lang w:eastAsia="lv-LV"/>
        </w:rPr>
        <w:t xml:space="preserve">, piemēram, supervīzijas sesijās </w:t>
      </w:r>
      <w:r w:rsidR="00C6330C" w:rsidRPr="0015154B">
        <w:rPr>
          <w:rFonts w:ascii="Times New Roman" w:eastAsia="Times New Roman" w:hAnsi="Times New Roman" w:cs="Times New Roman"/>
          <w:color w:val="000000"/>
          <w:sz w:val="24"/>
          <w:szCs w:val="24"/>
          <w:lang w:eastAsia="lv-LV"/>
        </w:rPr>
        <w:t>iekļaujot sociālos darbiniekus</w:t>
      </w:r>
      <w:r w:rsidRPr="0015154B">
        <w:rPr>
          <w:rFonts w:ascii="Times New Roman" w:eastAsia="Times New Roman" w:hAnsi="Times New Roman" w:cs="Times New Roman"/>
          <w:color w:val="000000"/>
          <w:sz w:val="24"/>
          <w:szCs w:val="24"/>
          <w:lang w:eastAsia="lv-LV"/>
        </w:rPr>
        <w:t xml:space="preserve"> no dažādām pašvaldībām, vairākām institūcijām un ar atšķirīgiem profesionāliem uzdevumiem. Šāda un līdzīga dalībnieku sastāva supervīzijas grupas nodrošinātu arvien lielāku “pleca sajūtu” un atbalstu speciālistiem, kā arī veicinātu savstarpējo komunikāciju, kas rezultētos veiksmīgākā atbalsta klientiem nodrošināšanā.</w:t>
      </w:r>
    </w:p>
    <w:p w14:paraId="6359C06F" w14:textId="17877F45" w:rsidR="0034498F" w:rsidRPr="0015154B" w:rsidRDefault="0034498F" w:rsidP="00AC38FA">
      <w:pPr>
        <w:spacing w:before="120" w:after="0" w:line="240" w:lineRule="auto"/>
        <w:ind w:right="43"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Jaunajiem speciālistiem supervīzija ir viens no veidiem, kā stiprināt savu profesionālo varēšanu, apzināties un stingri ievērot profesionālās robežas. </w:t>
      </w:r>
      <w:r w:rsidR="00C6330C" w:rsidRPr="0015154B">
        <w:rPr>
          <w:rFonts w:ascii="Times New Roman" w:eastAsia="Times New Roman" w:hAnsi="Times New Roman" w:cs="Times New Roman"/>
          <w:color w:val="000000"/>
          <w:sz w:val="24"/>
          <w:szCs w:val="24"/>
          <w:lang w:eastAsia="lv-LV"/>
        </w:rPr>
        <w:t>J</w:t>
      </w:r>
      <w:r w:rsidRPr="0015154B">
        <w:rPr>
          <w:rFonts w:ascii="Times New Roman" w:eastAsia="Times New Roman" w:hAnsi="Times New Roman" w:cs="Times New Roman"/>
          <w:color w:val="000000"/>
          <w:sz w:val="24"/>
          <w:szCs w:val="24"/>
          <w:lang w:eastAsia="lv-LV"/>
        </w:rPr>
        <w:t xml:space="preserve">aunajam speciālistam atbilstoša supervizora izvēle varētu būt veicinošs apstāklis tam, lai sociālais darbinieks veiksmīgāk uzsāktu savu profesionālo praksi, kas mazinātu viņa vēlmi “aiziet prom” no sociālā darba jomas. Savukārt supervizori ar bāzes izglītību sociālajā darbā nav pietiekošā skaitā. </w:t>
      </w:r>
      <w:r w:rsidR="00C6330C" w:rsidRPr="0015154B">
        <w:rPr>
          <w:rFonts w:ascii="Times New Roman" w:eastAsia="Times New Roman" w:hAnsi="Times New Roman" w:cs="Times New Roman"/>
          <w:color w:val="000000"/>
          <w:sz w:val="24"/>
          <w:szCs w:val="24"/>
          <w:lang w:eastAsia="lv-LV"/>
        </w:rPr>
        <w:t>Tāpēc vidējā termiņā ir plānots</w:t>
      </w:r>
      <w:r w:rsidRPr="0015154B">
        <w:rPr>
          <w:rFonts w:ascii="Times New Roman" w:eastAsia="Times New Roman" w:hAnsi="Times New Roman" w:cs="Times New Roman"/>
          <w:color w:val="000000"/>
          <w:sz w:val="24"/>
          <w:szCs w:val="24"/>
          <w:lang w:eastAsia="lv-LV"/>
        </w:rPr>
        <w:t xml:space="preserve"> </w:t>
      </w:r>
      <w:r w:rsidR="00C6330C" w:rsidRPr="0015154B">
        <w:rPr>
          <w:rFonts w:ascii="Times New Roman" w:eastAsia="Times New Roman" w:hAnsi="Times New Roman" w:cs="Times New Roman"/>
          <w:color w:val="000000"/>
          <w:sz w:val="24"/>
          <w:szCs w:val="24"/>
          <w:lang w:eastAsia="lv-LV"/>
        </w:rPr>
        <w:t>sniegt atbalstu</w:t>
      </w:r>
      <w:r w:rsidRPr="0015154B">
        <w:rPr>
          <w:rFonts w:ascii="Times New Roman" w:eastAsia="Times New Roman" w:hAnsi="Times New Roman" w:cs="Times New Roman"/>
          <w:color w:val="000000"/>
          <w:sz w:val="24"/>
          <w:szCs w:val="24"/>
          <w:lang w:eastAsia="lv-LV"/>
        </w:rPr>
        <w:t xml:space="preserve"> supervizora kvalifikācij</w:t>
      </w:r>
      <w:r w:rsidR="00C6330C" w:rsidRPr="0015154B">
        <w:rPr>
          <w:rFonts w:ascii="Times New Roman" w:eastAsia="Times New Roman" w:hAnsi="Times New Roman" w:cs="Times New Roman"/>
          <w:color w:val="000000"/>
          <w:sz w:val="24"/>
          <w:szCs w:val="24"/>
          <w:lang w:eastAsia="lv-LV"/>
        </w:rPr>
        <w:t>as iegūšanai</w:t>
      </w:r>
      <w:r w:rsidRPr="0015154B">
        <w:rPr>
          <w:rFonts w:ascii="Times New Roman" w:eastAsia="Times New Roman" w:hAnsi="Times New Roman" w:cs="Times New Roman"/>
          <w:color w:val="000000"/>
          <w:sz w:val="24"/>
          <w:szCs w:val="24"/>
          <w:lang w:eastAsia="lv-LV"/>
        </w:rPr>
        <w:t xml:space="preserve"> tiem sociālajiem darbiniekiem, kuri līdz šim ir guvuši praksi sociālajā darbā un kuri vēlas pilnveidoties un jūt sevī vēlmi dalīties savā profesionālajā pieredzē.</w:t>
      </w:r>
    </w:p>
    <w:p w14:paraId="05385FFC" w14:textId="77777777" w:rsidR="0034498F" w:rsidRPr="0015154B" w:rsidRDefault="0034498F" w:rsidP="00AC38FA">
      <w:pPr>
        <w:spacing w:before="120" w:after="0" w:line="240" w:lineRule="auto"/>
        <w:ind w:right="43"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Ņemot vērā mūsdienu sabiedrības un sociālo problēmu attīstības un mainības straujo dinamiku, sociālo darbu nevar apgūt 4 gados, tāpēc sociālo pakalpojumu sniegšanā iesaistītajiem speciālistiem svarīgs resurss papildus profesionālajai sagatavotībai, ko sniedz sociālās izglītības studiju programmas, ir metodisks un profesionāls atbalsts, ko var sniegt supervīzijas, profesionālās kompetences pilnveides mācību kursi, informatīvi izglītojoši pasākumi. Īpaši svarīgi tas ir mazajos novados, kuros ir grūti reaģēt uz sabiedrības pieprasījumu. Kopumā Latvijā trūkst sociālā darba praksē aprobētu metožu, trūkst tālākizglītības sistēmas un kvalitatīvu kompetences pilnveides iespēju arī tiem, kam jau ir </w:t>
      </w:r>
      <w:r w:rsidRPr="0015154B">
        <w:rPr>
          <w:rFonts w:ascii="Times New Roman" w:eastAsia="Times New Roman" w:hAnsi="Times New Roman" w:cs="Times New Roman"/>
          <w:color w:val="000000"/>
          <w:sz w:val="24"/>
          <w:szCs w:val="24"/>
          <w:lang w:eastAsia="lv-LV"/>
        </w:rPr>
        <w:lastRenderedPageBreak/>
        <w:t>izglītība. Profesionāļi uzsver, ka ir nepieciešami sociālie darbinieki ar specializācijām, piemēram, sociālie darbinieki darbam ar paaugstināta riska jauniešu grupām, sociālie darbinieki darbam ar vardarbības upuriem vai varmākām, sociālie darbinieki darbam ar ģimenēm ar bērniem u.c. mērķa grupām.  </w:t>
      </w:r>
    </w:p>
    <w:p w14:paraId="5EC6EB1C" w14:textId="77777777" w:rsidR="0034498F" w:rsidRPr="0015154B" w:rsidRDefault="0034498F" w:rsidP="00AC38FA">
      <w:pPr>
        <w:spacing w:before="120" w:after="0" w:line="240" w:lineRule="auto"/>
        <w:ind w:right="43"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Ņemot vērā iepriekšminēto, lai nodrošinātu kvalitatīvu un profesionālu sociālo pakalpojumu sniegšanu, nepieciešams nodrošināt regulārus un sabiedrības aktualitātēm atbilstošus profesionālās kompetences pilnveides un tālākizglītības, kā arī informatīvi izglītojošos pasākumus, sociālā darba speciālistiem, iestāžu vadītājiem un citiem speciālistiem, kuri nodrošina sociālos pakalpojumus, kā arī atbalstu jaunajiem darbiniekiem, kuri uzsāk darbu sociālajā jomā. Svarīgi papildināt zinošu supervizoru ar profesionālo pieredzi sociālā darba praksē skaitu, veicinot kvalitatīvu un metodisku atbalsta sniegšanu sociālā darba speciālistiem.</w:t>
      </w:r>
    </w:p>
    <w:p w14:paraId="10368397" w14:textId="1AC1A4C8" w:rsidR="0034498F" w:rsidRPr="0015154B" w:rsidRDefault="0034498F" w:rsidP="00AC38FA">
      <w:pPr>
        <w:spacing w:before="120" w:after="0" w:line="240" w:lineRule="auto"/>
        <w:ind w:right="43"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Lai sniegtu profesionālu atbalstu efektīvu, kvalitatīvu sociālo pakalpojumu sniegšanā, joprojām tiks nodrošinātas kompensācijas pašvaldībām par supervizora pakalpojuma nodrošināšanu sociālā darba speciālistiem un iestāžu vadītājiem, tāpat plānots nodrošināt stipendijas sociālajiem darbiniekiem ar profesionālu pieredzi, kuri iegūs supervizora izglītību.  </w:t>
      </w:r>
    </w:p>
    <w:p w14:paraId="1662F958" w14:textId="77777777" w:rsidR="0034498F" w:rsidRPr="0015154B" w:rsidRDefault="0034498F" w:rsidP="0034498F">
      <w:pPr>
        <w:spacing w:after="0" w:line="240" w:lineRule="auto"/>
        <w:textAlignment w:val="baseline"/>
        <w:outlineLvl w:val="3"/>
        <w:rPr>
          <w:rFonts w:ascii="Times New Roman" w:eastAsia="Times New Roman" w:hAnsi="Times New Roman" w:cs="Times New Roman"/>
          <w:b/>
          <w:bCs/>
          <w:iCs/>
          <w:sz w:val="24"/>
          <w:szCs w:val="24"/>
          <w:lang w:eastAsia="lv-LV"/>
        </w:rPr>
      </w:pPr>
    </w:p>
    <w:p w14:paraId="69C3D22D" w14:textId="3539FE66" w:rsidR="0034498F" w:rsidRPr="0015154B" w:rsidRDefault="0034498F" w:rsidP="001101F7">
      <w:pPr>
        <w:pStyle w:val="Heading3"/>
        <w:rPr>
          <w:rFonts w:eastAsia="Times New Roman"/>
          <w:bCs/>
          <w:lang w:eastAsia="lv-LV"/>
        </w:rPr>
      </w:pPr>
      <w:bookmarkStart w:id="66" w:name="_Toc55316102"/>
      <w:r w:rsidRPr="0015154B">
        <w:rPr>
          <w:rFonts w:eastAsia="Times New Roman"/>
          <w:lang w:eastAsia="lv-LV"/>
        </w:rPr>
        <w:t>Metodikas darbam ar ģimenēm ar bērniem ilgtspēja</w:t>
      </w:r>
      <w:bookmarkEnd w:id="66"/>
      <w:r w:rsidRPr="0015154B">
        <w:rPr>
          <w:rFonts w:eastAsia="Times New Roman"/>
          <w:lang w:eastAsia="lv-LV"/>
        </w:rPr>
        <w:t> </w:t>
      </w:r>
    </w:p>
    <w:p w14:paraId="1862F419" w14:textId="442A4392" w:rsidR="0034498F" w:rsidRPr="0015154B" w:rsidRDefault="00C6330C" w:rsidP="00C6330C">
      <w:pPr>
        <w:spacing w:after="0" w:line="240" w:lineRule="auto"/>
        <w:ind w:firstLine="720"/>
        <w:jc w:val="both"/>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M</w:t>
      </w:r>
      <w:r w:rsidR="0034498F" w:rsidRPr="0015154B">
        <w:rPr>
          <w:rFonts w:ascii="Times New Roman" w:eastAsia="Times New Roman" w:hAnsi="Times New Roman" w:cs="Times New Roman"/>
          <w:color w:val="000000"/>
          <w:sz w:val="24"/>
          <w:szCs w:val="24"/>
          <w:lang w:eastAsia="lv-LV"/>
        </w:rPr>
        <w:t>etodik</w:t>
      </w:r>
      <w:r w:rsidRPr="0015154B">
        <w:rPr>
          <w:rFonts w:ascii="Times New Roman" w:eastAsia="Times New Roman" w:hAnsi="Times New Roman" w:cs="Times New Roman"/>
          <w:color w:val="000000"/>
          <w:sz w:val="24"/>
          <w:szCs w:val="24"/>
          <w:lang w:eastAsia="lv-LV"/>
        </w:rPr>
        <w:t>as</w:t>
      </w:r>
      <w:r w:rsidR="0034498F" w:rsidRPr="0015154B">
        <w:rPr>
          <w:rFonts w:ascii="Times New Roman" w:eastAsia="Times New Roman" w:hAnsi="Times New Roman" w:cs="Times New Roman"/>
          <w:color w:val="000000"/>
          <w:sz w:val="24"/>
          <w:szCs w:val="24"/>
          <w:lang w:eastAsia="lv-LV"/>
        </w:rPr>
        <w:t xml:space="preserve"> sociālajam darbam ģimenēm ar bērniem</w:t>
      </w:r>
      <w:r w:rsidRPr="0015154B">
        <w:rPr>
          <w:rFonts w:ascii="Times New Roman" w:eastAsia="Times New Roman" w:hAnsi="Times New Roman" w:cs="Times New Roman"/>
          <w:color w:val="000000"/>
          <w:sz w:val="24"/>
          <w:szCs w:val="24"/>
          <w:lang w:eastAsia="lv-LV"/>
        </w:rPr>
        <w:t xml:space="preserve"> </w:t>
      </w:r>
      <w:r w:rsidR="0034498F" w:rsidRPr="0015154B">
        <w:rPr>
          <w:rFonts w:ascii="Times New Roman" w:eastAsia="Times New Roman" w:hAnsi="Times New Roman" w:cs="Times New Roman"/>
          <w:color w:val="000000"/>
          <w:sz w:val="24"/>
          <w:szCs w:val="24"/>
          <w:lang w:eastAsia="lv-LV"/>
        </w:rPr>
        <w:t>pamatā ir pieeja uz ģimeni vērstu sociālā darba ģimenēm ar bērniem (gadījuma vadīšanas) modeli sociālajā dienestā. Lai</w:t>
      </w:r>
      <w:r w:rsidRPr="0015154B">
        <w:rPr>
          <w:rFonts w:ascii="Times New Roman" w:eastAsia="Times New Roman" w:hAnsi="Times New Roman" w:cs="Times New Roman"/>
          <w:color w:val="000000"/>
          <w:sz w:val="24"/>
          <w:szCs w:val="24"/>
          <w:lang w:eastAsia="lv-LV"/>
        </w:rPr>
        <w:t xml:space="preserve"> </w:t>
      </w:r>
      <w:r w:rsidR="0034498F" w:rsidRPr="0015154B">
        <w:rPr>
          <w:rFonts w:ascii="Times New Roman" w:eastAsia="Times New Roman" w:hAnsi="Times New Roman" w:cs="Times New Roman"/>
          <w:color w:val="000000"/>
          <w:sz w:val="24"/>
          <w:szCs w:val="24"/>
          <w:lang w:eastAsia="lv-LV"/>
        </w:rPr>
        <w:t>par sociālo darbu ģimenēm ar bērniem salīdzinoši tuvā nākotnē (2028. gadā) varētu runāt kā par specializāciju</w:t>
      </w:r>
      <w:r w:rsidR="00A720F7" w:rsidRPr="0015154B">
        <w:rPr>
          <w:rFonts w:ascii="Times New Roman" w:eastAsia="Times New Roman" w:hAnsi="Times New Roman" w:cs="Times New Roman"/>
          <w:color w:val="000000"/>
          <w:sz w:val="24"/>
          <w:szCs w:val="24"/>
          <w:lang w:eastAsia="lv-LV"/>
        </w:rPr>
        <w:t xml:space="preserve"> atbilstoši šai metodikai</w:t>
      </w:r>
      <w:r w:rsidR="0034498F" w:rsidRPr="0015154B">
        <w:rPr>
          <w:rFonts w:ascii="Times New Roman" w:eastAsia="Times New Roman" w:hAnsi="Times New Roman" w:cs="Times New Roman"/>
          <w:color w:val="000000"/>
          <w:sz w:val="24"/>
          <w:szCs w:val="24"/>
          <w:lang w:eastAsia="lv-LV"/>
        </w:rPr>
        <w:t>, kas ir nostiprinājusies izglītības sistēmā, praksē un tiesību aktos, ir nepieciešams veikt vairākus savstarpēji saistītus uzdevumus: 1) jāveic izmaiņas tiesību aktos, aizstājot risku izvērtēšanu ar daudzpakāpju izvērtēšanu; 2) jāvērtē, jāaktualizē un jāpilnveido metodika, t.sk., mācību programma; 3) jāveic ietekmes uz ģimenēm ar bērniem izvērtējums; 4) jāsagatavo apmācīttiesīgi un apmācītspējīgi sociālie darbinieki, kuri savā praksē izmanto jauno metodiku un vēlas dalīties savā pieredzē; 5) jāīsteno visu sociālo darbinieku, kuri strādā ar ģimenēm ar bērniem, padziļinātās mācības par jauno metodiku (tālākizglītībā kā profesionālās kompetences pilnveide vai profesionālajās maģistra studiju programmās); 6) mācību laikā un arī pēc tam jānodrošina sociālajiem darbiniekiem nepieciešamais atbalsts jaunās metodikas veiksmīgai ieviešanai praksē – svarīga ir dalība supervīzijās, kā arī atbalstošas vides veidošana sociālajā dienestā gan no vadības, gan no pārējo kolēģu puses (piem., informēšana, darba apstākļi u.c.); 7) jaunu ģimenēm ar bērniem piemērotu pakalpojumu un atbalsta veidu attīstība pašvaldībā, piem., ģimenes asistents u.c.</w:t>
      </w:r>
    </w:p>
    <w:p w14:paraId="273B1E34" w14:textId="77777777" w:rsidR="0034498F" w:rsidRPr="0015154B" w:rsidRDefault="0034498F" w:rsidP="0034498F">
      <w:pPr>
        <w:spacing w:after="0" w:line="240" w:lineRule="auto"/>
        <w:rPr>
          <w:rFonts w:ascii="Times New Roman" w:eastAsia="Times New Roman" w:hAnsi="Times New Roman" w:cs="Times New Roman"/>
          <w:sz w:val="24"/>
          <w:szCs w:val="24"/>
          <w:lang w:eastAsia="lv-LV"/>
        </w:rPr>
      </w:pPr>
    </w:p>
    <w:p w14:paraId="2202706F" w14:textId="0CB3D405" w:rsidR="0034498F" w:rsidRPr="0015154B" w:rsidRDefault="0034498F" w:rsidP="001101F7">
      <w:pPr>
        <w:pStyle w:val="Heading3"/>
        <w:rPr>
          <w:rFonts w:eastAsia="Times New Roman"/>
          <w:bCs/>
          <w:color w:val="2F5496"/>
          <w:lang w:eastAsia="lv-LV"/>
        </w:rPr>
      </w:pPr>
      <w:bookmarkStart w:id="67" w:name="_Toc55316103"/>
      <w:r w:rsidRPr="0015154B">
        <w:rPr>
          <w:rFonts w:eastAsia="Times New Roman"/>
          <w:lang w:eastAsia="lv-LV"/>
        </w:rPr>
        <w:t>Specializācija sociālajam darbam izglītības iestādē</w:t>
      </w:r>
      <w:bookmarkEnd w:id="67"/>
    </w:p>
    <w:p w14:paraId="60395913" w14:textId="11DB58B6" w:rsidR="0034498F" w:rsidRPr="0015154B" w:rsidRDefault="00552077"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Saskaņā ar p</w:t>
      </w:r>
      <w:r w:rsidR="0034498F" w:rsidRPr="0015154B">
        <w:rPr>
          <w:rFonts w:ascii="Times New Roman" w:eastAsia="Times New Roman" w:hAnsi="Times New Roman" w:cs="Times New Roman"/>
          <w:color w:val="000000"/>
          <w:sz w:val="24"/>
          <w:szCs w:val="24"/>
          <w:lang w:eastAsia="lv-LV"/>
        </w:rPr>
        <w:t>riekšlikumi</w:t>
      </w:r>
      <w:r w:rsidRPr="0015154B">
        <w:rPr>
          <w:rFonts w:ascii="Times New Roman" w:eastAsia="Times New Roman" w:hAnsi="Times New Roman" w:cs="Times New Roman"/>
          <w:color w:val="000000"/>
          <w:sz w:val="24"/>
          <w:szCs w:val="24"/>
          <w:lang w:eastAsia="lv-LV"/>
        </w:rPr>
        <w:t>em</w:t>
      </w:r>
      <w:r w:rsidR="0034498F" w:rsidRPr="0015154B">
        <w:rPr>
          <w:rFonts w:ascii="Times New Roman" w:eastAsia="Times New Roman" w:hAnsi="Times New Roman" w:cs="Times New Roman"/>
          <w:color w:val="000000"/>
          <w:sz w:val="24"/>
          <w:szCs w:val="24"/>
          <w:lang w:eastAsia="lv-LV"/>
        </w:rPr>
        <w:t xml:space="preserve"> konceptuāli jaunas kompetencēs balstītas izglītības prasībām atbilstošas skolotāju izglītības nodrošināšanai Latvij</w:t>
      </w:r>
      <w:r w:rsidRPr="0015154B">
        <w:rPr>
          <w:rFonts w:ascii="Times New Roman" w:eastAsia="Times New Roman" w:hAnsi="Times New Roman" w:cs="Times New Roman"/>
          <w:color w:val="000000"/>
          <w:sz w:val="24"/>
          <w:szCs w:val="24"/>
          <w:lang w:eastAsia="lv-LV"/>
        </w:rPr>
        <w:t>ā,</w:t>
      </w:r>
      <w:r w:rsidR="0034498F" w:rsidRPr="0015154B">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s</w:t>
      </w:r>
      <w:r w:rsidR="0034498F" w:rsidRPr="0015154B">
        <w:rPr>
          <w:rFonts w:ascii="Times New Roman" w:eastAsia="Times New Roman" w:hAnsi="Times New Roman" w:cs="Times New Roman"/>
          <w:color w:val="000000"/>
          <w:sz w:val="24"/>
          <w:szCs w:val="24"/>
          <w:lang w:eastAsia="lv-LV"/>
        </w:rPr>
        <w:t>tudiju programmām, kas sagatavo sociālos pedagogus</w:t>
      </w:r>
      <w:r w:rsidRPr="0015154B">
        <w:rPr>
          <w:rFonts w:ascii="Times New Roman" w:eastAsia="Times New Roman" w:hAnsi="Times New Roman" w:cs="Times New Roman"/>
          <w:color w:val="000000"/>
          <w:sz w:val="24"/>
          <w:szCs w:val="24"/>
          <w:lang w:eastAsia="lv-LV"/>
        </w:rPr>
        <w:t>,</w:t>
      </w:r>
      <w:r w:rsidR="0034498F" w:rsidRPr="0015154B">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 xml:space="preserve">tiek mainīts </w:t>
      </w:r>
      <w:r w:rsidR="0034498F" w:rsidRPr="0015154B">
        <w:rPr>
          <w:rFonts w:ascii="Times New Roman" w:eastAsia="Times New Roman" w:hAnsi="Times New Roman" w:cs="Times New Roman"/>
          <w:color w:val="000000"/>
          <w:sz w:val="24"/>
          <w:szCs w:val="24"/>
          <w:lang w:eastAsia="lv-LV"/>
        </w:rPr>
        <w:t>profils uz sociālo darbinieku sagatavošanu darbam skolā</w:t>
      </w:r>
      <w:r w:rsidRPr="0015154B">
        <w:rPr>
          <w:rFonts w:ascii="Times New Roman" w:eastAsia="Times New Roman" w:hAnsi="Times New Roman" w:cs="Times New Roman"/>
          <w:color w:val="000000"/>
          <w:sz w:val="24"/>
          <w:szCs w:val="24"/>
          <w:lang w:eastAsia="lv-LV"/>
        </w:rPr>
        <w:t>.</w:t>
      </w:r>
      <w:r w:rsidR="0034498F" w:rsidRPr="007157D3">
        <w:rPr>
          <w:rStyle w:val="FootnoteReference"/>
          <w:rFonts w:ascii="Times New Roman" w:eastAsia="Times New Roman" w:hAnsi="Times New Roman" w:cs="Times New Roman"/>
          <w:color w:val="000000"/>
          <w:sz w:val="24"/>
          <w:szCs w:val="24"/>
          <w:lang w:eastAsia="lv-LV"/>
        </w:rPr>
        <w:footnoteReference w:id="149"/>
      </w:r>
      <w:r w:rsidR="0034498F" w:rsidRPr="007157D3">
        <w:rPr>
          <w:rFonts w:ascii="Times New Roman" w:eastAsia="Times New Roman" w:hAnsi="Times New Roman" w:cs="Times New Roman"/>
          <w:color w:val="000000"/>
          <w:sz w:val="24"/>
          <w:szCs w:val="24"/>
          <w:lang w:eastAsia="lv-LV"/>
        </w:rPr>
        <w:t xml:space="preserve"> Tā rezultātā 2020</w:t>
      </w:r>
      <w:r w:rsidRPr="007157D3">
        <w:rPr>
          <w:rFonts w:ascii="Times New Roman" w:eastAsia="Times New Roman" w:hAnsi="Times New Roman" w:cs="Times New Roman"/>
          <w:color w:val="000000"/>
          <w:sz w:val="24"/>
          <w:szCs w:val="24"/>
          <w:lang w:eastAsia="lv-LV"/>
        </w:rPr>
        <w:t>.</w:t>
      </w:r>
      <w:r w:rsidR="0034498F" w:rsidRPr="007157D3">
        <w:rPr>
          <w:rFonts w:ascii="Times New Roman" w:eastAsia="Times New Roman" w:hAnsi="Times New Roman" w:cs="Times New Roman"/>
          <w:color w:val="000000"/>
          <w:sz w:val="24"/>
          <w:szCs w:val="24"/>
          <w:lang w:eastAsia="lv-LV"/>
        </w:rPr>
        <w:t>/2021.mācību gadā</w:t>
      </w:r>
      <w:r w:rsidR="0034498F" w:rsidRPr="002F5278">
        <w:rPr>
          <w:rFonts w:ascii="Times New Roman" w:eastAsia="Times New Roman" w:hAnsi="Times New Roman" w:cs="Times New Roman"/>
          <w:color w:val="000000"/>
          <w:sz w:val="24"/>
          <w:szCs w:val="24"/>
          <w:lang w:eastAsia="lv-LV"/>
        </w:rPr>
        <w:t xml:space="preserve"> jauni studenti sociālā pedagoga izglītības programmās vairs netiek uzņemti. Tā kā process n</w:t>
      </w:r>
      <w:r w:rsidR="0034498F" w:rsidRPr="00573B49">
        <w:rPr>
          <w:rFonts w:ascii="Times New Roman" w:eastAsia="Times New Roman" w:hAnsi="Times New Roman" w:cs="Times New Roman"/>
          <w:color w:val="000000"/>
          <w:sz w:val="24"/>
          <w:szCs w:val="24"/>
          <w:lang w:eastAsia="lv-LV"/>
        </w:rPr>
        <w:t>av pietiekami diskutēts nedz sociālā darba</w:t>
      </w:r>
      <w:r w:rsidRPr="00573B49">
        <w:rPr>
          <w:rFonts w:ascii="Times New Roman" w:eastAsia="Times New Roman" w:hAnsi="Times New Roman" w:cs="Times New Roman"/>
          <w:color w:val="000000"/>
          <w:sz w:val="24"/>
          <w:szCs w:val="24"/>
          <w:lang w:eastAsia="lv-LV"/>
        </w:rPr>
        <w:t>,</w:t>
      </w:r>
      <w:r w:rsidR="0034498F" w:rsidRPr="00573B49">
        <w:rPr>
          <w:rFonts w:ascii="Times New Roman" w:eastAsia="Times New Roman" w:hAnsi="Times New Roman" w:cs="Times New Roman"/>
          <w:color w:val="000000"/>
          <w:sz w:val="24"/>
          <w:szCs w:val="24"/>
          <w:lang w:eastAsia="lv-LV"/>
        </w:rPr>
        <w:t xml:space="preserve"> nedz sociālās pedagoģijas profesionāļu vidē, ir vērojama </w:t>
      </w:r>
      <w:r w:rsidRPr="0025422D">
        <w:rPr>
          <w:rFonts w:ascii="Times New Roman" w:eastAsia="Times New Roman" w:hAnsi="Times New Roman" w:cs="Times New Roman"/>
          <w:color w:val="000000"/>
          <w:sz w:val="24"/>
          <w:szCs w:val="24"/>
          <w:lang w:eastAsia="lv-LV"/>
        </w:rPr>
        <w:t>neizpratne par turpmāko procesu</w:t>
      </w:r>
      <w:r w:rsidR="0034498F" w:rsidRPr="00A857F2">
        <w:rPr>
          <w:rFonts w:ascii="Times New Roman" w:eastAsia="Times New Roman" w:hAnsi="Times New Roman" w:cs="Times New Roman"/>
          <w:color w:val="000000"/>
          <w:sz w:val="24"/>
          <w:szCs w:val="24"/>
          <w:lang w:eastAsia="lv-LV"/>
        </w:rPr>
        <w:t>. Lai to risinātu</w:t>
      </w:r>
      <w:r w:rsidRPr="00662D1E">
        <w:rPr>
          <w:rFonts w:ascii="Times New Roman" w:eastAsia="Times New Roman" w:hAnsi="Times New Roman" w:cs="Times New Roman"/>
          <w:color w:val="000000"/>
          <w:sz w:val="24"/>
          <w:szCs w:val="24"/>
          <w:lang w:eastAsia="lv-LV"/>
        </w:rPr>
        <w:t>,</w:t>
      </w:r>
      <w:r w:rsidR="0034498F" w:rsidRPr="009703E6">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 xml:space="preserve">ir nepieciešama </w:t>
      </w:r>
      <w:r w:rsidR="0034498F" w:rsidRPr="0015154B">
        <w:rPr>
          <w:rFonts w:ascii="Times New Roman" w:eastAsia="Times New Roman" w:hAnsi="Times New Roman" w:cs="Times New Roman"/>
          <w:color w:val="000000"/>
          <w:sz w:val="24"/>
          <w:szCs w:val="24"/>
          <w:lang w:eastAsia="lv-LV"/>
        </w:rPr>
        <w:t>skaidra atbildības noteikšan</w:t>
      </w:r>
      <w:r w:rsidRPr="0015154B">
        <w:rPr>
          <w:rFonts w:ascii="Times New Roman" w:eastAsia="Times New Roman" w:hAnsi="Times New Roman" w:cs="Times New Roman"/>
          <w:color w:val="000000"/>
          <w:sz w:val="24"/>
          <w:szCs w:val="24"/>
          <w:lang w:eastAsia="lv-LV"/>
        </w:rPr>
        <w:t>a</w:t>
      </w:r>
      <w:r w:rsidR="0034498F" w:rsidRPr="0015154B">
        <w:rPr>
          <w:rFonts w:ascii="Times New Roman" w:eastAsia="Times New Roman" w:hAnsi="Times New Roman" w:cs="Times New Roman"/>
          <w:color w:val="000000"/>
          <w:sz w:val="24"/>
          <w:szCs w:val="24"/>
          <w:lang w:eastAsia="lv-LV"/>
        </w:rPr>
        <w:t xml:space="preserve"> un reglamentēšanu sociālajam darbiniekam, kas strādā izglītības iestādē, pārejas period</w:t>
      </w:r>
      <w:r w:rsidRPr="0015154B">
        <w:rPr>
          <w:rFonts w:ascii="Times New Roman" w:eastAsia="Times New Roman" w:hAnsi="Times New Roman" w:cs="Times New Roman"/>
          <w:color w:val="000000"/>
          <w:sz w:val="24"/>
          <w:szCs w:val="24"/>
          <w:lang w:eastAsia="lv-LV"/>
        </w:rPr>
        <w:t>s</w:t>
      </w:r>
      <w:r w:rsidR="0034498F" w:rsidRPr="0015154B">
        <w:rPr>
          <w:rFonts w:ascii="Times New Roman" w:eastAsia="Times New Roman" w:hAnsi="Times New Roman" w:cs="Times New Roman"/>
          <w:color w:val="000000"/>
          <w:sz w:val="24"/>
          <w:szCs w:val="24"/>
          <w:lang w:eastAsia="lv-LV"/>
        </w:rPr>
        <w:t xml:space="preserve"> esošo sociālo pedagogu darbībai, risinājuma izstrād</w:t>
      </w:r>
      <w:r w:rsidRPr="0015154B">
        <w:rPr>
          <w:rFonts w:ascii="Times New Roman" w:eastAsia="Times New Roman" w:hAnsi="Times New Roman" w:cs="Times New Roman"/>
          <w:color w:val="000000"/>
          <w:sz w:val="24"/>
          <w:szCs w:val="24"/>
          <w:lang w:eastAsia="lv-LV"/>
        </w:rPr>
        <w:t>e</w:t>
      </w:r>
      <w:r w:rsidR="0034498F" w:rsidRPr="0015154B">
        <w:rPr>
          <w:rFonts w:ascii="Times New Roman" w:eastAsia="Times New Roman" w:hAnsi="Times New Roman" w:cs="Times New Roman"/>
          <w:color w:val="000000"/>
          <w:sz w:val="24"/>
          <w:szCs w:val="24"/>
          <w:lang w:eastAsia="lv-LV"/>
        </w:rPr>
        <w:t xml:space="preserve"> to kompetences pilnveidei un darbības abu jomu sadarbības stiprināšanai. Tāpat aktuāla ir sociālajiem pedagogiem paredzētā budžeta finansējuma turpmāka novirzīšana sociālo darbinieku sagatavošanai, jo kopš 2020.gada sociālā darbinieka profesijas standarta aktualizācijas, sociālā darbinieka profesionālās kompetences papildinātas ar spēju kompetenti, </w:t>
      </w:r>
      <w:r w:rsidR="0034498F" w:rsidRPr="0015154B">
        <w:rPr>
          <w:rFonts w:ascii="Times New Roman" w:eastAsia="Times New Roman" w:hAnsi="Times New Roman" w:cs="Times New Roman"/>
          <w:color w:val="000000"/>
          <w:sz w:val="24"/>
          <w:szCs w:val="24"/>
          <w:lang w:eastAsia="lv-LV"/>
        </w:rPr>
        <w:lastRenderedPageBreak/>
        <w:t>zinātniski pamatoti un atbildīgi īstenot sociālpedagoģisko darbību un spēju īstenot praksē bērnu tiesību aizsardzības principus. Starp profesionālajām prasmēm uzsvērtas prasmes identificēt bērnu un jauniešu socializācijas riskus un novērtēt tos, izvēloties piemērotas socializācijas procesa risku novērtēšanas metodes, prasme noteikt bērna vai jaunieša dzīves prasmju līmeni, veidot un uzturēt iekļaujošu, bērniem un jauniešiem emocionāli un fiziski drošu vidi, konsultēt un izglītot socializācijas un bērnu tiesību jautājumos bērnu un jauniešu ģimenes, vispārizglītojošo, ārpusskolas pedagoģisko un atbalsta personālu, kā arī izmantot sociālpedagoģiskā darba metodes darbā ar senioriem, personām ar garīga rakstura traucējumiem, arī citām mērķa grupām.</w:t>
      </w:r>
    </w:p>
    <w:p w14:paraId="131B1216" w14:textId="77777777" w:rsidR="0034498F" w:rsidRPr="0015154B" w:rsidRDefault="0034498F" w:rsidP="00AC38FA">
      <w:pPr>
        <w:spacing w:before="120" w:after="0" w:line="240" w:lineRule="auto"/>
        <w:rPr>
          <w:rFonts w:ascii="Times New Roman" w:eastAsia="Times New Roman" w:hAnsi="Times New Roman" w:cs="Times New Roman"/>
          <w:sz w:val="24"/>
          <w:szCs w:val="24"/>
          <w:lang w:eastAsia="lv-LV"/>
        </w:rPr>
      </w:pPr>
    </w:p>
    <w:p w14:paraId="109183DA" w14:textId="366393A5" w:rsidR="0034498F" w:rsidRPr="0015154B" w:rsidRDefault="0034498F" w:rsidP="001101F7">
      <w:pPr>
        <w:pStyle w:val="Heading3"/>
        <w:rPr>
          <w:rFonts w:eastAsia="Times New Roman"/>
          <w:bCs/>
          <w:lang w:eastAsia="lv-LV"/>
        </w:rPr>
      </w:pPr>
      <w:bookmarkStart w:id="68" w:name="_Toc55316104"/>
      <w:r w:rsidRPr="0015154B">
        <w:rPr>
          <w:rFonts w:eastAsia="Times New Roman"/>
          <w:lang w:eastAsia="lv-LV"/>
        </w:rPr>
        <w:t>Sociālā darba vadības un pētniecības aspekts izglītībā</w:t>
      </w:r>
      <w:bookmarkEnd w:id="68"/>
    </w:p>
    <w:p w14:paraId="647E0E4A" w14:textId="39B9F284"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Kā neatņemamai izglītības daļai sociālā darba profesijā jābūt arī vadības un pētniecības specializācijām. Sociālo dienestu un sociālo pakalpojumu sniedzēju institūcijas ir nemitīgā mijiedarbībā ar dažādām ieinteresētajām pusēm un to vajadzībām</w:t>
      </w:r>
      <w:r w:rsidR="00F34020"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w:t>
      </w:r>
      <w:r w:rsidR="00F34020" w:rsidRPr="0015154B">
        <w:rPr>
          <w:rFonts w:ascii="Times New Roman" w:eastAsia="Times New Roman" w:hAnsi="Times New Roman" w:cs="Times New Roman"/>
          <w:color w:val="000000"/>
          <w:sz w:val="24"/>
          <w:szCs w:val="24"/>
          <w:lang w:eastAsia="lv-LV"/>
        </w:rPr>
        <w:t>Tie ir</w:t>
      </w:r>
      <w:r w:rsidRPr="0015154B">
        <w:rPr>
          <w:rFonts w:ascii="Times New Roman" w:eastAsia="Times New Roman" w:hAnsi="Times New Roman" w:cs="Times New Roman"/>
          <w:color w:val="000000"/>
          <w:sz w:val="24"/>
          <w:szCs w:val="24"/>
          <w:lang w:eastAsia="lv-LV"/>
        </w:rPr>
        <w:t xml:space="preserve"> pakļauti nemitīgām pārmaiņām gan attiecībā uz pieprasījumu, gan cilvēkresursu izaicinājumiem un pieaugošu resursu nepieciešamību, ka</w:t>
      </w:r>
      <w:r w:rsidR="00E234E0">
        <w:rPr>
          <w:rFonts w:ascii="Times New Roman" w:eastAsia="Times New Roman" w:hAnsi="Times New Roman" w:cs="Times New Roman"/>
          <w:color w:val="000000"/>
          <w:sz w:val="24"/>
          <w:szCs w:val="24"/>
          <w:lang w:eastAsia="lv-LV"/>
        </w:rPr>
        <w:t>s</w:t>
      </w:r>
      <w:r w:rsidRPr="0015154B">
        <w:rPr>
          <w:rFonts w:ascii="Times New Roman" w:eastAsia="Times New Roman" w:hAnsi="Times New Roman" w:cs="Times New Roman"/>
          <w:color w:val="000000"/>
          <w:sz w:val="24"/>
          <w:szCs w:val="24"/>
          <w:lang w:eastAsia="lv-LV"/>
        </w:rPr>
        <w:t xml:space="preserve"> prasa papildus </w:t>
      </w:r>
      <w:r w:rsidR="00F34020" w:rsidRPr="0015154B">
        <w:rPr>
          <w:rFonts w:ascii="Times New Roman" w:eastAsia="Times New Roman" w:hAnsi="Times New Roman" w:cs="Times New Roman"/>
          <w:color w:val="000000"/>
          <w:sz w:val="24"/>
          <w:szCs w:val="24"/>
          <w:lang w:eastAsia="lv-LV"/>
        </w:rPr>
        <w:t xml:space="preserve">nepārtraukti attīstāmas </w:t>
      </w:r>
      <w:r w:rsidRPr="0015154B">
        <w:rPr>
          <w:rFonts w:ascii="Times New Roman" w:eastAsia="Times New Roman" w:hAnsi="Times New Roman" w:cs="Times New Roman"/>
          <w:color w:val="000000"/>
          <w:sz w:val="24"/>
          <w:szCs w:val="24"/>
          <w:lang w:eastAsia="lv-LV"/>
        </w:rPr>
        <w:t>prasmes. Savukārt lēmumiem</w:t>
      </w:r>
      <w:r w:rsidR="00F34020"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ko pieņem gan </w:t>
      </w:r>
      <w:r w:rsidR="00F34020" w:rsidRPr="0015154B">
        <w:rPr>
          <w:rFonts w:ascii="Times New Roman" w:eastAsia="Times New Roman" w:hAnsi="Times New Roman" w:cs="Times New Roman"/>
          <w:color w:val="000000"/>
          <w:sz w:val="24"/>
          <w:szCs w:val="24"/>
          <w:lang w:eastAsia="lv-LV"/>
        </w:rPr>
        <w:t>nacionālā,</w:t>
      </w:r>
      <w:r w:rsidRPr="0015154B">
        <w:rPr>
          <w:rFonts w:ascii="Times New Roman" w:eastAsia="Times New Roman" w:hAnsi="Times New Roman" w:cs="Times New Roman"/>
          <w:color w:val="000000"/>
          <w:sz w:val="24"/>
          <w:szCs w:val="24"/>
          <w:lang w:eastAsia="lv-LV"/>
        </w:rPr>
        <w:t xml:space="preserve"> gan pašvaldības līmenī</w:t>
      </w:r>
      <w:r w:rsidR="00F34020"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ir jābūt balstītiem uz dziļāku problēmjautājumu izpēti un analīzi. Ir jāveido starpsektorālas izglītības programmas sadarbībā ar citām akadēmiskajām nozarēm, piemēram</w:t>
      </w:r>
      <w:r w:rsidR="009820F3">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socioloģiju un vadības zinātni, lai periodiski veidotu attiecīgi padziļinātu pētniecības specializāciju un sociālās jomas vadības specializāciju. Tāpat sociālo dienestu un sociālo pakalpojumu sniedzēju vadītājiem un vidējā līmeņa vadītājiem ne retāk kā triju gadu periodā obligāti būtu nepieciešama profesionālā pilnveide vadības jautājumos.</w:t>
      </w:r>
    </w:p>
    <w:p w14:paraId="52F72BBC" w14:textId="77777777" w:rsidR="0034498F" w:rsidRPr="0015154B" w:rsidRDefault="0034498F" w:rsidP="0034498F">
      <w:pPr>
        <w:spacing w:after="0" w:line="240" w:lineRule="auto"/>
        <w:rPr>
          <w:rFonts w:ascii="Times New Roman" w:eastAsia="Times New Roman" w:hAnsi="Times New Roman" w:cs="Times New Roman"/>
          <w:sz w:val="24"/>
          <w:szCs w:val="24"/>
          <w:lang w:eastAsia="lv-LV"/>
        </w:rPr>
      </w:pPr>
    </w:p>
    <w:p w14:paraId="46A6BF1E" w14:textId="569AFCF3" w:rsidR="0034498F" w:rsidRPr="0015154B" w:rsidRDefault="0034498F" w:rsidP="00DA5144">
      <w:pPr>
        <w:pStyle w:val="Heading2"/>
      </w:pPr>
      <w:bookmarkStart w:id="69" w:name="_Toc55316105"/>
      <w:r w:rsidRPr="0015154B">
        <w:t>Sociālā darba tiesiskais ietvars</w:t>
      </w:r>
      <w:bookmarkEnd w:id="69"/>
    </w:p>
    <w:p w14:paraId="05FEA975" w14:textId="3B20F651" w:rsidR="0034498F" w:rsidRPr="0015154B" w:rsidRDefault="0034498F" w:rsidP="00AC38FA">
      <w:pPr>
        <w:spacing w:before="120" w:after="0" w:line="240" w:lineRule="auto"/>
        <w:ind w:right="40"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Sociālā darbinieka profesionālie uzdevumi</w:t>
      </w:r>
      <w:r w:rsidR="009820F3">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tajā skaitā profesionālās prakses robežas</w:t>
      </w:r>
      <w:r w:rsidR="009820F3">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ir noteikt</w:t>
      </w:r>
      <w:r w:rsidR="009820F3">
        <w:rPr>
          <w:rFonts w:ascii="Times New Roman" w:eastAsia="Times New Roman" w:hAnsi="Times New Roman" w:cs="Times New Roman"/>
          <w:color w:val="000000"/>
          <w:sz w:val="24"/>
          <w:szCs w:val="24"/>
          <w:lang w:eastAsia="lv-LV"/>
        </w:rPr>
        <w:t>i</w:t>
      </w:r>
      <w:r w:rsidRPr="0015154B">
        <w:rPr>
          <w:rFonts w:ascii="Times New Roman" w:eastAsia="Times New Roman" w:hAnsi="Times New Roman" w:cs="Times New Roman"/>
          <w:color w:val="000000"/>
          <w:sz w:val="24"/>
          <w:szCs w:val="24"/>
          <w:lang w:eastAsia="lv-LV"/>
        </w:rPr>
        <w:t xml:space="preserve"> profesijas standartā un arī SPSPL. </w:t>
      </w:r>
      <w:r w:rsidR="00F34020" w:rsidRPr="0015154B">
        <w:rPr>
          <w:rFonts w:ascii="Times New Roman" w:eastAsia="Times New Roman" w:hAnsi="Times New Roman" w:cs="Times New Roman"/>
          <w:color w:val="000000"/>
          <w:sz w:val="24"/>
          <w:szCs w:val="24"/>
          <w:lang w:eastAsia="lv-LV"/>
        </w:rPr>
        <w:t>Diemžēl</w:t>
      </w:r>
      <w:r w:rsidRPr="0015154B">
        <w:rPr>
          <w:rFonts w:ascii="Times New Roman" w:eastAsia="Times New Roman" w:hAnsi="Times New Roman" w:cs="Times New Roman"/>
          <w:color w:val="000000"/>
          <w:sz w:val="24"/>
          <w:szCs w:val="24"/>
          <w:lang w:eastAsia="lv-LV"/>
        </w:rPr>
        <w:t xml:space="preserve"> ne visi sociālie darbinieki var realizēt savus profesionālos uzdevumus pilnā apmērā, kas tiešā mērā ir saistīts ar sociālā darbinieka prakses vietu. Sociālie darbinieki, kuri strādā medicīnas iestādēs, ieslodzījuma vietās, sociālo pakalpojumu sniedzēju organizācijās (piemēram, krīžu centros, nevalstiskajās organizācijās) un citās prakses vietās</w:t>
      </w:r>
      <w:r w:rsidR="00F34020"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ne vienmēr var klientu sociālās situācijas uzlabošanai izmantot visus pašvaldībā pieejamos resursus. Šī situācija rada birokrātisku slogu pašvaldību sociālo dienestu sociālajiem darbiniekiem, jo, piemēram, tikai pašvaldības sociālajā dienestā iespējams saņemt nosūtījumus sociālo pakalpojumu saņemšanai vai piešķiršanai. Turklāt sociālo pakalpojumu saņemšanai pašvaldības sociālā dienesta sociālais darbinieks veic atkārtotu klienta situācijas izvērtējumu, pat ja šādu izvērtējumu jau veicis sociālais darbinieks citā prakses vietā. Tāpēc nepieciešams rast risinājumu, lai ikviens sociālais darbinieks varētu īstenot noteiktos profesionālos uzdevumus vienādā apmērā neatkarīgi no prakses vietas. </w:t>
      </w:r>
      <w:r w:rsidR="00F34020" w:rsidRPr="0015154B">
        <w:rPr>
          <w:rFonts w:ascii="Times New Roman" w:eastAsia="Times New Roman" w:hAnsi="Times New Roman" w:cs="Times New Roman"/>
          <w:color w:val="000000"/>
          <w:sz w:val="24"/>
          <w:szCs w:val="24"/>
          <w:lang w:eastAsia="lv-LV"/>
        </w:rPr>
        <w:t>Vidējā termiņā</w:t>
      </w:r>
      <w:r w:rsidRPr="0015154B">
        <w:rPr>
          <w:rFonts w:ascii="Times New Roman" w:eastAsia="Times New Roman" w:hAnsi="Times New Roman" w:cs="Times New Roman"/>
          <w:color w:val="000000"/>
          <w:sz w:val="24"/>
          <w:szCs w:val="24"/>
          <w:lang w:eastAsia="lv-LV"/>
        </w:rPr>
        <w:t xml:space="preserve"> ir jāmeklē risinājumi kā, balstoties uz sociālā darbinieka kompetenci un sagatavotajiem atzinumiem, samazināt administratīvo slogu starpinstitucionālajā darbībā. Primāri šis mērķis ir īstenojams uz pakalpojumu piesaisti tādos gadījumos, kur klientam pienākas kāds mērķa grupai atbilstošs standarta pakalpojums, bet līdzšinējā prakse tā saņemšanai liek vērsties sociālajā dienestā. Šajos gadījumos citās prakses vietās strādājošiem sociālajiem darbiniekiem būtu jābūt tiesībām piešķirt noteiktu apjomu pakalpojumu (definēts grozs), bez klienta novirzīšanas uz pašvaldības sociālo dienestu. Tas samazinātu administratīvos resursus un dotu iespēju ātrākai pakalpojuma saņemšanai personai, kam tas nepieciešams. </w:t>
      </w:r>
    </w:p>
    <w:p w14:paraId="15B7B2E4" w14:textId="2FE52A83" w:rsidR="0034498F" w:rsidRPr="0015154B" w:rsidRDefault="0034498F" w:rsidP="00AC38FA">
      <w:pPr>
        <w:spacing w:before="120" w:after="0" w:line="240" w:lineRule="auto"/>
        <w:ind w:right="40"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Vienādojot sociālo darbinieku profesionālo praksi, visās prakses vietās strādājošie sociālie darbinieki būtu tiesīgi pieņemt ar klientu saistītus lēmumus, kā arī sociālo darbinieku atzinumi par klienta sociālo situāciju būtu profesionāli neapstrīdami, nevis inform</w:t>
      </w:r>
      <w:r w:rsidR="00F34020" w:rsidRPr="0015154B">
        <w:rPr>
          <w:rFonts w:ascii="Times New Roman" w:eastAsia="Times New Roman" w:hAnsi="Times New Roman" w:cs="Times New Roman"/>
          <w:color w:val="000000"/>
          <w:sz w:val="24"/>
          <w:szCs w:val="24"/>
          <w:lang w:eastAsia="lv-LV"/>
        </w:rPr>
        <w:t>a</w:t>
      </w:r>
      <w:r w:rsidRPr="0015154B">
        <w:rPr>
          <w:rFonts w:ascii="Times New Roman" w:eastAsia="Times New Roman" w:hAnsi="Times New Roman" w:cs="Times New Roman"/>
          <w:color w:val="000000"/>
          <w:sz w:val="24"/>
          <w:szCs w:val="24"/>
          <w:lang w:eastAsia="lv-LV"/>
        </w:rPr>
        <w:t xml:space="preserve">tīvi un </w:t>
      </w:r>
      <w:r w:rsidRPr="0015154B">
        <w:rPr>
          <w:rFonts w:ascii="Times New Roman" w:eastAsia="Times New Roman" w:hAnsi="Times New Roman" w:cs="Times New Roman"/>
          <w:color w:val="000000"/>
          <w:sz w:val="24"/>
          <w:szCs w:val="24"/>
          <w:lang w:eastAsia="lv-LV"/>
        </w:rPr>
        <w:lastRenderedPageBreak/>
        <w:t xml:space="preserve">rekomendējoši, kā tas ir šobrīd, īpaši saistībā ar vecāku aizgādības tiesību pārtraukšanu vai atjaunošanu. </w:t>
      </w:r>
      <w:r w:rsidR="00F34020" w:rsidRPr="0015154B">
        <w:rPr>
          <w:rFonts w:ascii="Times New Roman" w:eastAsia="Times New Roman" w:hAnsi="Times New Roman" w:cs="Times New Roman"/>
          <w:color w:val="000000"/>
          <w:sz w:val="24"/>
          <w:szCs w:val="24"/>
          <w:lang w:eastAsia="lv-LV"/>
        </w:rPr>
        <w:t>Š</w:t>
      </w:r>
      <w:r w:rsidRPr="0015154B">
        <w:rPr>
          <w:rFonts w:ascii="Times New Roman" w:eastAsia="Times New Roman" w:hAnsi="Times New Roman" w:cs="Times New Roman"/>
          <w:color w:val="000000"/>
          <w:sz w:val="24"/>
          <w:szCs w:val="24"/>
          <w:lang w:eastAsia="lv-LV"/>
        </w:rPr>
        <w:t>ādas vienotas prakses izveide nākotnē radīs nepieciešamību pēc sociālo darbinieku sertificēšanas vai vismaz reģistrācijas vienotā reģistrā. Lai to īstenotu</w:t>
      </w:r>
      <w:r w:rsidR="00F34020"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sociālajiem darbiniekiem ir nepieciešama kompetences apliecināšanas sistēma, iespējams pārejas periodā tā varētu būt reģistrācija, balstoties uz iegūto izglītību un noteiktā laikā apgūtu zināšanu apjomu noteiktu stundu apjomā, kā arī apliecinājums par regulāri apmeklētām supervīzijām noteiktu stundu apjomā. Savukārt </w:t>
      </w:r>
      <w:r w:rsidR="00F34020" w:rsidRPr="0015154B">
        <w:rPr>
          <w:rFonts w:ascii="Times New Roman" w:eastAsia="Times New Roman" w:hAnsi="Times New Roman" w:cs="Times New Roman"/>
          <w:color w:val="000000"/>
          <w:sz w:val="24"/>
          <w:szCs w:val="24"/>
          <w:lang w:eastAsia="lv-LV"/>
        </w:rPr>
        <w:t xml:space="preserve">vidējā termiņā </w:t>
      </w:r>
      <w:r w:rsidRPr="0015154B">
        <w:rPr>
          <w:rFonts w:ascii="Times New Roman" w:eastAsia="Times New Roman" w:hAnsi="Times New Roman" w:cs="Times New Roman"/>
          <w:color w:val="000000"/>
          <w:sz w:val="24"/>
          <w:szCs w:val="24"/>
          <w:lang w:eastAsia="lv-LV"/>
        </w:rPr>
        <w:t>šis process būtu jāvirza uz sociālo darbinieku sertifikāciju, t.sk. ar specializāciju apliecinājumu, ko veiktu profesionālā organizācija. Šādas sertifikācijas esamība ar laiku sniegtu arī atalgojuma priekšrocības un iespēju strādāt kā pašnodarbinātam sociālajam darbiniekam valsts, pašvaldību un nevalstiskajā sektorā.</w:t>
      </w:r>
    </w:p>
    <w:p w14:paraId="43568FF2" w14:textId="7A964336" w:rsidR="0034498F" w:rsidRPr="0015154B" w:rsidRDefault="0034498F" w:rsidP="00AC38FA">
      <w:pPr>
        <w:autoSpaceDE w:val="0"/>
        <w:autoSpaceDN w:val="0"/>
        <w:adjustRightInd w:val="0"/>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Sociālā darbinieka vienotas profesionālās prakses robežas neatkarīgi no prakses vietas ir jānostiprina normatīvajā regulējumā, piemēram, atsevišķā Sociālā darba likumā vai veidojot atsevišķu sociālā darba profesionālās prakses daļu esošajā SPSPL likumā. Jau Profesionāla sociālā darba attīstības pamatnostādnēs 2014.-2020. gadam tika paredzēts izstrādāt vienotu likumisko ietvaru</w:t>
      </w:r>
      <w:r w:rsidR="00F34020"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rPr>
        <w:t>nosakot sociālā darba kompetences robežas</w:t>
      </w:r>
      <w:r w:rsidR="00F34020" w:rsidRPr="0015154B">
        <w:rPr>
          <w:rFonts w:ascii="Times New Roman" w:eastAsia="Times New Roman" w:hAnsi="Times New Roman" w:cs="Times New Roman"/>
          <w:color w:val="000000"/>
          <w:sz w:val="24"/>
          <w:szCs w:val="24"/>
        </w:rPr>
        <w:t>:</w:t>
      </w:r>
      <w:r w:rsidRPr="0015154B">
        <w:rPr>
          <w:rFonts w:ascii="Times New Roman" w:eastAsia="Times New Roman" w:hAnsi="Times New Roman" w:cs="Times New Roman"/>
          <w:color w:val="000000"/>
          <w:sz w:val="24"/>
          <w:szCs w:val="24"/>
        </w:rPr>
        <w:t xml:space="preserve"> slodzes kritērijus un rezultatīvos rādītājus sociālā darba praksei; sistemātisku, vajadzībās pamatotu sociālo darbinieku atbalsta sistēmas (mācības, supervīziju) nodrošināšanu; mehānismu, kas nodrošina par valsts budžeta līdzekļiem studējošo sociālo darbinieku piesaisti nozarei; starpinstitucionālā un starpprofesionālā sadarbība starp klienta sociālo problēmu risināšanā iesaistītajām institūcijām. Lai gan vairāki procesi ir jau uzsākušies</w:t>
      </w:r>
      <w:r w:rsidR="00F34020" w:rsidRPr="0015154B">
        <w:rPr>
          <w:rFonts w:ascii="Times New Roman" w:eastAsia="Times New Roman" w:hAnsi="Times New Roman" w:cs="Times New Roman"/>
          <w:color w:val="000000"/>
          <w:sz w:val="24"/>
          <w:szCs w:val="24"/>
        </w:rPr>
        <w:t xml:space="preserve"> (supervīzij</w:t>
      </w:r>
      <w:r w:rsidR="00E57397" w:rsidRPr="0015154B">
        <w:rPr>
          <w:rFonts w:ascii="Times New Roman" w:eastAsia="Times New Roman" w:hAnsi="Times New Roman" w:cs="Times New Roman"/>
          <w:color w:val="000000"/>
          <w:sz w:val="24"/>
          <w:szCs w:val="24"/>
        </w:rPr>
        <w:t>u attīstība</w:t>
      </w:r>
      <w:r w:rsidR="00F34020" w:rsidRPr="0015154B">
        <w:rPr>
          <w:rFonts w:ascii="Times New Roman" w:eastAsia="Times New Roman" w:hAnsi="Times New Roman" w:cs="Times New Roman"/>
          <w:color w:val="000000"/>
          <w:sz w:val="24"/>
          <w:szCs w:val="24"/>
        </w:rPr>
        <w:t>)</w:t>
      </w:r>
      <w:r w:rsidR="00E57397" w:rsidRPr="0015154B">
        <w:rPr>
          <w:rFonts w:ascii="Times New Roman" w:eastAsia="Times New Roman" w:hAnsi="Times New Roman" w:cs="Times New Roman"/>
          <w:color w:val="000000"/>
          <w:sz w:val="24"/>
          <w:szCs w:val="24"/>
        </w:rPr>
        <w:t>,</w:t>
      </w:r>
      <w:r w:rsidRPr="0015154B">
        <w:rPr>
          <w:rFonts w:ascii="Times New Roman" w:eastAsia="Times New Roman" w:hAnsi="Times New Roman" w:cs="Times New Roman"/>
          <w:color w:val="000000"/>
          <w:sz w:val="24"/>
          <w:szCs w:val="24"/>
          <w:lang w:eastAsia="lv-LV"/>
        </w:rPr>
        <w:t xml:space="preserve"> </w:t>
      </w:r>
      <w:r w:rsidR="00E57397" w:rsidRPr="0015154B">
        <w:rPr>
          <w:rFonts w:ascii="Times New Roman" w:eastAsia="Times New Roman" w:hAnsi="Times New Roman" w:cs="Times New Roman"/>
          <w:color w:val="000000"/>
          <w:sz w:val="24"/>
          <w:szCs w:val="24"/>
          <w:lang w:eastAsia="lv-LV"/>
        </w:rPr>
        <w:t>t</w:t>
      </w:r>
      <w:r w:rsidRPr="0015154B">
        <w:rPr>
          <w:rFonts w:ascii="Times New Roman" w:eastAsia="Times New Roman" w:hAnsi="Times New Roman" w:cs="Times New Roman"/>
          <w:color w:val="000000"/>
          <w:sz w:val="24"/>
          <w:szCs w:val="24"/>
        </w:rPr>
        <w:t xml:space="preserve">omēr daudzi </w:t>
      </w:r>
      <w:r w:rsidR="00E57397" w:rsidRPr="0015154B">
        <w:rPr>
          <w:rFonts w:ascii="Times New Roman" w:eastAsia="Times New Roman" w:hAnsi="Times New Roman" w:cs="Times New Roman"/>
          <w:color w:val="000000"/>
          <w:sz w:val="24"/>
          <w:szCs w:val="24"/>
        </w:rPr>
        <w:t xml:space="preserve">plānotie </w:t>
      </w:r>
      <w:r w:rsidRPr="0015154B">
        <w:rPr>
          <w:rFonts w:ascii="Times New Roman" w:eastAsia="Times New Roman" w:hAnsi="Times New Roman" w:cs="Times New Roman"/>
          <w:color w:val="000000"/>
          <w:sz w:val="24"/>
          <w:szCs w:val="24"/>
        </w:rPr>
        <w:t>uzdevum</w:t>
      </w:r>
      <w:r w:rsidR="009820F3">
        <w:rPr>
          <w:rFonts w:ascii="Times New Roman" w:eastAsia="Times New Roman" w:hAnsi="Times New Roman" w:cs="Times New Roman"/>
          <w:color w:val="000000"/>
          <w:sz w:val="24"/>
          <w:szCs w:val="24"/>
        </w:rPr>
        <w:t>i</w:t>
      </w:r>
      <w:r w:rsidR="00E57397" w:rsidRPr="0015154B">
        <w:rPr>
          <w:rFonts w:ascii="Times New Roman" w:eastAsia="Times New Roman" w:hAnsi="Times New Roman" w:cs="Times New Roman"/>
          <w:color w:val="000000"/>
          <w:sz w:val="24"/>
          <w:szCs w:val="24"/>
        </w:rPr>
        <w:t xml:space="preserve"> </w:t>
      </w:r>
      <w:r w:rsidRPr="0015154B">
        <w:rPr>
          <w:rFonts w:ascii="Times New Roman" w:eastAsia="Times New Roman" w:hAnsi="Times New Roman" w:cs="Times New Roman"/>
          <w:color w:val="000000"/>
          <w:sz w:val="24"/>
          <w:szCs w:val="24"/>
        </w:rPr>
        <w:t xml:space="preserve">vēl </w:t>
      </w:r>
      <w:r w:rsidR="00E57397" w:rsidRPr="0015154B">
        <w:rPr>
          <w:rFonts w:ascii="Times New Roman" w:eastAsia="Times New Roman" w:hAnsi="Times New Roman" w:cs="Times New Roman"/>
          <w:color w:val="000000"/>
          <w:sz w:val="24"/>
          <w:szCs w:val="24"/>
        </w:rPr>
        <w:t xml:space="preserve">nav </w:t>
      </w:r>
      <w:r w:rsidRPr="0015154B">
        <w:rPr>
          <w:rFonts w:ascii="Times New Roman" w:eastAsia="Times New Roman" w:hAnsi="Times New Roman" w:cs="Times New Roman"/>
          <w:color w:val="000000"/>
          <w:sz w:val="24"/>
          <w:szCs w:val="24"/>
        </w:rPr>
        <w:t>noslēgušies</w:t>
      </w:r>
      <w:r w:rsidR="00E57397" w:rsidRPr="0015154B">
        <w:rPr>
          <w:rFonts w:ascii="Times New Roman" w:eastAsia="Times New Roman" w:hAnsi="Times New Roman" w:cs="Times New Roman"/>
          <w:color w:val="000000"/>
          <w:sz w:val="24"/>
          <w:szCs w:val="24"/>
        </w:rPr>
        <w:t>. J</w:t>
      </w:r>
      <w:r w:rsidRPr="0015154B">
        <w:rPr>
          <w:rFonts w:ascii="Times New Roman" w:eastAsia="Times New Roman" w:hAnsi="Times New Roman" w:cs="Times New Roman"/>
          <w:color w:val="000000"/>
          <w:sz w:val="24"/>
          <w:szCs w:val="24"/>
        </w:rPr>
        <w:t xml:space="preserve">āturpina </w:t>
      </w:r>
      <w:r w:rsidR="00E57397" w:rsidRPr="0015154B">
        <w:rPr>
          <w:rFonts w:ascii="Times New Roman" w:eastAsia="Times New Roman" w:hAnsi="Times New Roman" w:cs="Times New Roman"/>
          <w:color w:val="000000"/>
          <w:sz w:val="24"/>
          <w:szCs w:val="24"/>
        </w:rPr>
        <w:t xml:space="preserve">ietvara izveide </w:t>
      </w:r>
      <w:r w:rsidRPr="0015154B">
        <w:rPr>
          <w:rFonts w:ascii="Times New Roman" w:eastAsia="Times New Roman" w:hAnsi="Times New Roman" w:cs="Times New Roman"/>
          <w:color w:val="000000"/>
          <w:sz w:val="24"/>
          <w:szCs w:val="24"/>
        </w:rPr>
        <w:t>un v</w:t>
      </w:r>
      <w:r w:rsidRPr="0015154B">
        <w:rPr>
          <w:rFonts w:ascii="Times New Roman" w:eastAsia="Times New Roman" w:hAnsi="Times New Roman" w:cs="Times New Roman"/>
          <w:color w:val="000000"/>
          <w:sz w:val="24"/>
          <w:szCs w:val="24"/>
          <w:lang w:eastAsia="lv-LV"/>
        </w:rPr>
        <w:t xml:space="preserve">ienotas profesionālās prakses ieviešanas pārejas periodā īpaša uzmanība būtu jāvelta sociālo darbinieku profesionālās kompetences pilnveidei, tajā skaitā, mācībām un supervīzijai. </w:t>
      </w:r>
    </w:p>
    <w:p w14:paraId="3FA758F7" w14:textId="51F54B9C" w:rsidR="0034498F" w:rsidRPr="00C63513" w:rsidRDefault="00E57397" w:rsidP="00AC38FA">
      <w:pPr>
        <w:pStyle w:val="FootnoteText"/>
        <w:spacing w:before="120" w:after="0" w:line="240" w:lineRule="auto"/>
        <w:ind w:firstLine="720"/>
        <w:jc w:val="both"/>
        <w:rPr>
          <w:rFonts w:ascii="Times New Roman" w:eastAsia="Times New Roman" w:hAnsi="Times New Roman"/>
          <w:color w:val="000000"/>
          <w:sz w:val="24"/>
          <w:szCs w:val="24"/>
          <w:lang w:val="lv-LV" w:eastAsia="lv-LV"/>
        </w:rPr>
      </w:pPr>
      <w:r w:rsidRPr="0015154B">
        <w:rPr>
          <w:rFonts w:ascii="Times New Roman" w:eastAsia="Times New Roman" w:hAnsi="Times New Roman"/>
          <w:sz w:val="24"/>
          <w:szCs w:val="24"/>
          <w:lang w:val="lv-LV" w:eastAsia="lv-LV"/>
        </w:rPr>
        <w:t>Turpmāk</w:t>
      </w:r>
      <w:r w:rsidR="0034498F" w:rsidRPr="00C63513">
        <w:rPr>
          <w:rFonts w:ascii="Times New Roman" w:eastAsia="Times New Roman" w:hAnsi="Times New Roman"/>
          <w:color w:val="000000"/>
          <w:sz w:val="24"/>
          <w:szCs w:val="24"/>
          <w:lang w:val="lv-LV" w:eastAsia="lv-LV"/>
        </w:rPr>
        <w:t xml:space="preserve"> uzsvars liekams uz starpinstitucionālās sadarbības nemitīgu pilnveidi</w:t>
      </w:r>
      <w:r w:rsidR="0034498F" w:rsidRPr="00C63513">
        <w:rPr>
          <w:rFonts w:ascii="Times New Roman" w:hAnsi="Times New Roman"/>
          <w:color w:val="212529"/>
          <w:sz w:val="24"/>
          <w:szCs w:val="24"/>
          <w:shd w:val="clear" w:color="auto" w:fill="FFFFFF"/>
          <w:lang w:val="lv-LV"/>
        </w:rPr>
        <w:t xml:space="preserve">. </w:t>
      </w:r>
      <w:bookmarkStart w:id="70" w:name="_Hlk54376824"/>
      <w:r w:rsidR="0034498F" w:rsidRPr="00C63513">
        <w:rPr>
          <w:rFonts w:ascii="Times New Roman" w:hAnsi="Times New Roman"/>
          <w:color w:val="212529"/>
          <w:sz w:val="24"/>
          <w:szCs w:val="24"/>
          <w:shd w:val="clear" w:color="auto" w:fill="FFFFFF"/>
          <w:lang w:val="lv-LV"/>
        </w:rPr>
        <w:t xml:space="preserve">Pētījums </w:t>
      </w:r>
      <w:r w:rsidRPr="007157D3">
        <w:rPr>
          <w:rFonts w:ascii="Times New Roman" w:hAnsi="Times New Roman"/>
          <w:color w:val="212529"/>
          <w:sz w:val="24"/>
          <w:szCs w:val="24"/>
          <w:shd w:val="clear" w:color="auto" w:fill="FFFFFF"/>
          <w:lang w:val="lv-LV"/>
        </w:rPr>
        <w:t>“</w:t>
      </w:r>
      <w:r w:rsidR="0034498F" w:rsidRPr="00C63513">
        <w:rPr>
          <w:rFonts w:ascii="Times New Roman" w:hAnsi="Times New Roman"/>
          <w:color w:val="212529"/>
          <w:sz w:val="24"/>
          <w:szCs w:val="24"/>
          <w:shd w:val="clear" w:color="auto" w:fill="FFFFFF"/>
          <w:lang w:val="lv-LV"/>
        </w:rPr>
        <w:t>Ex-ante izvērtējums pašvaldību sociālo dienestu darbības efektivitātes novērtēšanai</w:t>
      </w:r>
      <w:r w:rsidRPr="007157D3">
        <w:rPr>
          <w:rFonts w:ascii="Times New Roman" w:hAnsi="Times New Roman"/>
          <w:color w:val="212529"/>
          <w:sz w:val="24"/>
          <w:szCs w:val="24"/>
          <w:shd w:val="clear" w:color="auto" w:fill="FFFFFF"/>
          <w:lang w:val="lv-LV"/>
        </w:rPr>
        <w:t>”</w:t>
      </w:r>
      <w:r w:rsidR="0034498F" w:rsidRPr="00C63513">
        <w:rPr>
          <w:rFonts w:ascii="Times New Roman" w:hAnsi="Times New Roman"/>
          <w:color w:val="212529"/>
          <w:sz w:val="24"/>
          <w:szCs w:val="24"/>
          <w:shd w:val="clear" w:color="auto" w:fill="FFFFFF"/>
          <w:lang w:val="lv-LV"/>
        </w:rPr>
        <w:t xml:space="preserve"> </w:t>
      </w:r>
      <w:bookmarkEnd w:id="70"/>
      <w:r w:rsidRPr="007157D3">
        <w:rPr>
          <w:rFonts w:ascii="Times New Roman" w:eastAsia="Times New Roman" w:hAnsi="Times New Roman"/>
          <w:color w:val="000000"/>
          <w:sz w:val="24"/>
          <w:szCs w:val="24"/>
          <w:lang w:val="lv-LV" w:eastAsia="lv-LV"/>
        </w:rPr>
        <w:t>atklāja</w:t>
      </w:r>
      <w:r w:rsidR="0034498F" w:rsidRPr="00C63513">
        <w:rPr>
          <w:rFonts w:ascii="Times New Roman" w:eastAsia="Times New Roman" w:hAnsi="Times New Roman"/>
          <w:color w:val="000000"/>
          <w:sz w:val="24"/>
          <w:szCs w:val="24"/>
          <w:lang w:val="lv-LV" w:eastAsia="lv-LV"/>
        </w:rPr>
        <w:t xml:space="preserve">, ka iesaistītajām institūcijām ir vāja izpratne par pārējo partneru lomu un atbildību un nereti informācijas nodošana norit uz formāla sadarbības pienākuma pamata normatīvajos aktos, bet iztrūkst izpratnes par pievienoto vērtību, ko sadarbības institūcija uz saņemtās informācijas pamata sniedz klientam. Jau šobrīd ESF projekta ietvaros notiek darbs pie starpprofesionālās sadarbības stiprināšanas. Tiek izstrādāti sadarbības modeļi starp sociālajiem dienestiem un sadarbības institūcijām (izglītības iestādes, bāriņtiesas, tiesībsargājošās iestādes, veselības aprūpes speciālisti un </w:t>
      </w:r>
      <w:r w:rsidRPr="007157D3">
        <w:rPr>
          <w:rFonts w:ascii="Times New Roman" w:eastAsia="Times New Roman" w:hAnsi="Times New Roman"/>
          <w:color w:val="000000"/>
          <w:sz w:val="24"/>
          <w:szCs w:val="24"/>
          <w:lang w:val="lv-LV" w:eastAsia="lv-LV"/>
        </w:rPr>
        <w:t>NVA</w:t>
      </w:r>
      <w:r w:rsidR="0034498F" w:rsidRPr="00C63513">
        <w:rPr>
          <w:rFonts w:ascii="Times New Roman" w:eastAsia="Times New Roman" w:hAnsi="Times New Roman"/>
          <w:color w:val="000000"/>
          <w:sz w:val="24"/>
          <w:szCs w:val="24"/>
          <w:lang w:val="lv-LV" w:eastAsia="lv-LV"/>
        </w:rPr>
        <w:t>)</w:t>
      </w:r>
      <w:r w:rsidR="009820F3">
        <w:rPr>
          <w:rFonts w:ascii="Times New Roman" w:eastAsia="Times New Roman" w:hAnsi="Times New Roman"/>
          <w:color w:val="000000"/>
          <w:sz w:val="24"/>
          <w:szCs w:val="24"/>
          <w:lang w:val="lv-LV" w:eastAsia="lv-LV"/>
        </w:rPr>
        <w:t>,</w:t>
      </w:r>
      <w:r w:rsidR="0034498F" w:rsidRPr="00C63513">
        <w:rPr>
          <w:rFonts w:ascii="Times New Roman" w:eastAsia="Times New Roman" w:hAnsi="Times New Roman"/>
          <w:color w:val="000000"/>
          <w:sz w:val="24"/>
          <w:szCs w:val="24"/>
          <w:lang w:val="lv-LV" w:eastAsia="lv-LV"/>
        </w:rPr>
        <w:t xml:space="preserve"> balstoties uz klientu vajadzībām tādu problēmu kā – zemas prasmes, atkarības, vardarbība, mentālās veselības problēmas u.c. ietvaros. Šāda pieeja nodrošina iespēju visām institūcijām saprast savas un pārējo iesaistīto institūciju un pakalpojumu sniedzēju lomas un atbildības robežas, kā arī klienta vajadzības un klientu virzību cauri atbalsta saņemšanas procesam</w:t>
      </w:r>
      <w:r w:rsidR="0034498F" w:rsidRPr="00C63513">
        <w:rPr>
          <w:rStyle w:val="FootnoteReference"/>
          <w:rFonts w:ascii="Times New Roman" w:eastAsia="Times New Roman" w:hAnsi="Times New Roman"/>
          <w:color w:val="000000"/>
          <w:sz w:val="24"/>
          <w:szCs w:val="24"/>
          <w:lang w:val="lv-LV" w:eastAsia="lv-LV"/>
        </w:rPr>
        <w:footnoteReference w:id="150"/>
      </w:r>
      <w:r w:rsidR="0034498F" w:rsidRPr="00C63513">
        <w:rPr>
          <w:rFonts w:ascii="Times New Roman" w:eastAsia="Times New Roman" w:hAnsi="Times New Roman"/>
          <w:color w:val="000000"/>
          <w:sz w:val="24"/>
          <w:szCs w:val="24"/>
          <w:lang w:val="lv-LV" w:eastAsia="lv-LV"/>
        </w:rPr>
        <w:t>. Pēc šo sadarbības modeļu izstrādes paredzamas regulāras mācības un komandas supervīzijas šo modeļu nostiprināšanai, praktisko prasmju treniņiem un regulārai kļūdu analīzei sadarbības partneru starpā. Šādas praktiskas darbības īstenojamas pašvaldības ietvaros, reālās st</w:t>
      </w:r>
      <w:r w:rsidRPr="007157D3">
        <w:rPr>
          <w:rFonts w:ascii="Times New Roman" w:eastAsia="Times New Roman" w:hAnsi="Times New Roman"/>
          <w:color w:val="000000"/>
          <w:sz w:val="24"/>
          <w:szCs w:val="24"/>
          <w:lang w:val="lv-LV" w:eastAsia="lv-LV"/>
        </w:rPr>
        <w:t>ar</w:t>
      </w:r>
      <w:r w:rsidR="0034498F" w:rsidRPr="00C63513">
        <w:rPr>
          <w:rFonts w:ascii="Times New Roman" w:eastAsia="Times New Roman" w:hAnsi="Times New Roman"/>
          <w:color w:val="000000"/>
          <w:sz w:val="24"/>
          <w:szCs w:val="24"/>
          <w:lang w:val="lv-LV" w:eastAsia="lv-LV"/>
        </w:rPr>
        <w:t>pinstitucionālās sadarbības komandās.</w:t>
      </w:r>
    </w:p>
    <w:p w14:paraId="120CC9E2" w14:textId="77777777" w:rsidR="0034498F" w:rsidRPr="00C63513" w:rsidRDefault="0034498F" w:rsidP="00E57397">
      <w:pPr>
        <w:pStyle w:val="FootnoteText"/>
        <w:spacing w:after="0" w:line="240" w:lineRule="auto"/>
        <w:jc w:val="both"/>
        <w:rPr>
          <w:rFonts w:ascii="Times New Roman" w:eastAsia="Times New Roman" w:hAnsi="Times New Roman"/>
          <w:sz w:val="24"/>
          <w:szCs w:val="24"/>
          <w:lang w:val="lv-LV" w:eastAsia="lv-LV"/>
        </w:rPr>
      </w:pPr>
    </w:p>
    <w:p w14:paraId="7A9A7F8F" w14:textId="7B47E04A" w:rsidR="0034498F" w:rsidRPr="007157D3" w:rsidRDefault="0034498F" w:rsidP="00DA5144">
      <w:pPr>
        <w:pStyle w:val="Heading2"/>
      </w:pPr>
      <w:bookmarkStart w:id="71" w:name="_Toc55316106"/>
      <w:r w:rsidRPr="007157D3">
        <w:t>Dalība profesionālajās organizācij</w:t>
      </w:r>
      <w:r w:rsidR="00265B22" w:rsidRPr="007157D3">
        <w:t>ās</w:t>
      </w:r>
      <w:bookmarkEnd w:id="71"/>
      <w:r w:rsidRPr="007157D3">
        <w:t xml:space="preserve"> </w:t>
      </w:r>
    </w:p>
    <w:p w14:paraId="141C97D3" w14:textId="4BEC7022" w:rsidR="0034498F" w:rsidRPr="00662D1E" w:rsidRDefault="0034498F" w:rsidP="00265B22">
      <w:pPr>
        <w:spacing w:after="0" w:line="240" w:lineRule="auto"/>
        <w:ind w:right="43" w:firstLine="720"/>
        <w:jc w:val="both"/>
        <w:rPr>
          <w:rFonts w:ascii="Times New Roman" w:eastAsia="Times New Roman" w:hAnsi="Times New Roman" w:cs="Times New Roman"/>
          <w:color w:val="000000"/>
          <w:sz w:val="24"/>
          <w:szCs w:val="24"/>
          <w:lang w:eastAsia="lv-LV"/>
        </w:rPr>
      </w:pPr>
      <w:r w:rsidRPr="002F5278">
        <w:rPr>
          <w:rFonts w:ascii="Times New Roman" w:eastAsia="Times New Roman" w:hAnsi="Times New Roman" w:cs="Times New Roman"/>
          <w:color w:val="000000"/>
          <w:sz w:val="24"/>
          <w:szCs w:val="24"/>
          <w:lang w:eastAsia="lv-LV"/>
        </w:rPr>
        <w:t>Sociālā darba globālā definīcija nosaka, ka sociālais darbs ir praksē balstīta profesija, tāpēc sociālā darba politikas veidošanai jo īpaši svarīga ir</w:t>
      </w:r>
      <w:r w:rsidRPr="00573B49">
        <w:rPr>
          <w:rFonts w:ascii="Times New Roman" w:eastAsia="Times New Roman" w:hAnsi="Times New Roman" w:cs="Times New Roman"/>
          <w:color w:val="000000"/>
          <w:sz w:val="24"/>
          <w:szCs w:val="24"/>
          <w:lang w:eastAsia="lv-LV"/>
        </w:rPr>
        <w:t xml:space="preserve"> sadarbība ar profesionālajām organizācijām, kas apvieno sociālos darbiniekus. Profesionāļus apvienojošās organizācijas apkopo un analizē praksē balstītus novērojumu</w:t>
      </w:r>
      <w:r w:rsidR="00A94B98">
        <w:rPr>
          <w:rFonts w:ascii="Times New Roman" w:eastAsia="Times New Roman" w:hAnsi="Times New Roman" w:cs="Times New Roman"/>
          <w:color w:val="000000"/>
          <w:sz w:val="24"/>
          <w:szCs w:val="24"/>
          <w:lang w:eastAsia="lv-LV"/>
        </w:rPr>
        <w:t>s</w:t>
      </w:r>
      <w:r w:rsidRPr="00573B49">
        <w:rPr>
          <w:rFonts w:ascii="Times New Roman" w:eastAsia="Times New Roman" w:hAnsi="Times New Roman" w:cs="Times New Roman"/>
          <w:color w:val="000000"/>
          <w:sz w:val="24"/>
          <w:szCs w:val="24"/>
          <w:lang w:eastAsia="lv-LV"/>
        </w:rPr>
        <w:t xml:space="preserve">, izvirzot priekšlikumus sociālā darba attīstībai un kalpojot kā nozīmīgs resurss politikas veidotājiem. </w:t>
      </w:r>
      <w:r w:rsidR="00265B22" w:rsidRPr="00573B49">
        <w:rPr>
          <w:rFonts w:ascii="Times New Roman" w:eastAsia="Times New Roman" w:hAnsi="Times New Roman" w:cs="Times New Roman"/>
          <w:color w:val="000000"/>
          <w:sz w:val="24"/>
          <w:szCs w:val="24"/>
          <w:lang w:eastAsia="lv-LV"/>
        </w:rPr>
        <w:t>SPSPL</w:t>
      </w:r>
      <w:r w:rsidRPr="0025422D">
        <w:rPr>
          <w:rFonts w:ascii="Times New Roman" w:eastAsia="Times New Roman" w:hAnsi="Times New Roman" w:cs="Times New Roman"/>
          <w:color w:val="000000"/>
          <w:sz w:val="24"/>
          <w:szCs w:val="24"/>
          <w:lang w:eastAsia="lv-LV"/>
        </w:rPr>
        <w:t xml:space="preserve"> nosaka, ka Sociālo darbinieku </w:t>
      </w:r>
      <w:r w:rsidRPr="0025422D">
        <w:rPr>
          <w:rFonts w:ascii="Times New Roman" w:eastAsia="Times New Roman" w:hAnsi="Times New Roman" w:cs="Times New Roman"/>
          <w:color w:val="000000"/>
          <w:sz w:val="24"/>
          <w:szCs w:val="24"/>
          <w:lang w:eastAsia="lv-LV"/>
        </w:rPr>
        <w:lastRenderedPageBreak/>
        <w:t>biedrība apstiprina sociālo darbinieku ētikas kodeksu, kas ir saistošs visiem sociālajiem darbiniekiem. Ētikas kodeksa apstiprināšana ietver arī tā izveidi, reaģēšanu uz neētisku sociālā darba praksi un ēti</w:t>
      </w:r>
      <w:r w:rsidRPr="00A857F2">
        <w:rPr>
          <w:rFonts w:ascii="Times New Roman" w:eastAsia="Times New Roman" w:hAnsi="Times New Roman" w:cs="Times New Roman"/>
          <w:color w:val="000000"/>
          <w:sz w:val="24"/>
          <w:szCs w:val="24"/>
          <w:lang w:eastAsia="lv-LV"/>
        </w:rPr>
        <w:t>kas komisijas darbību. Šādas darbības nenoliedzami ir saistītas ar finansējumu, kam būtu jāseko līdz ar biedrībai uzlikto pienākumu likumā, tādējādi atbalstot profesionālās organizācijas un to pārstāvošo profesionāļu attīstību ilgtermiņā. Sociālo darbiniek</w:t>
      </w:r>
      <w:r w:rsidRPr="00662D1E">
        <w:rPr>
          <w:rFonts w:ascii="Times New Roman" w:eastAsia="Times New Roman" w:hAnsi="Times New Roman" w:cs="Times New Roman"/>
          <w:color w:val="000000"/>
          <w:sz w:val="24"/>
          <w:szCs w:val="24"/>
          <w:lang w:eastAsia="lv-LV"/>
        </w:rPr>
        <w:t>u biedrībai nākotnē varētu deleģēt arī sociālo darbinieku reģistrēšanas procesa īstenošanu, kā arī uzticamas tālākizglītības mācību platformas izveidi un uzturēšanu.</w:t>
      </w:r>
    </w:p>
    <w:p w14:paraId="27F92B55" w14:textId="77777777" w:rsidR="0034498F" w:rsidRPr="00662D1E" w:rsidRDefault="0034498F" w:rsidP="00E57397">
      <w:pPr>
        <w:spacing w:after="0" w:line="240" w:lineRule="auto"/>
        <w:ind w:right="43"/>
        <w:jc w:val="both"/>
        <w:rPr>
          <w:rFonts w:ascii="Times New Roman" w:eastAsia="Times New Roman" w:hAnsi="Times New Roman" w:cs="Times New Roman"/>
          <w:color w:val="000000"/>
          <w:sz w:val="24"/>
          <w:szCs w:val="24"/>
          <w:lang w:eastAsia="lv-LV"/>
        </w:rPr>
      </w:pPr>
    </w:p>
    <w:p w14:paraId="28CF6B69" w14:textId="08586780" w:rsidR="0034498F" w:rsidRPr="009703E6" w:rsidRDefault="0034498F" w:rsidP="00DA5144">
      <w:pPr>
        <w:pStyle w:val="Heading2"/>
      </w:pPr>
      <w:bookmarkStart w:id="72" w:name="_Toc55316107"/>
      <w:r w:rsidRPr="009703E6">
        <w:t>Sociālo dienestu vadība un kapacitāte</w:t>
      </w:r>
      <w:bookmarkEnd w:id="72"/>
    </w:p>
    <w:p w14:paraId="2006B2CE" w14:textId="57968F6D"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Sociāl</w:t>
      </w:r>
      <w:r w:rsidR="00C347CC">
        <w:rPr>
          <w:rFonts w:ascii="Times New Roman" w:eastAsia="Times New Roman" w:hAnsi="Times New Roman" w:cs="Times New Roman"/>
          <w:color w:val="000000"/>
          <w:sz w:val="24"/>
          <w:szCs w:val="24"/>
          <w:lang w:eastAsia="lv-LV"/>
        </w:rPr>
        <w:t>ā</w:t>
      </w:r>
      <w:r w:rsidRPr="0015154B">
        <w:rPr>
          <w:rFonts w:ascii="Times New Roman" w:eastAsia="Times New Roman" w:hAnsi="Times New Roman" w:cs="Times New Roman"/>
          <w:color w:val="000000"/>
          <w:sz w:val="24"/>
          <w:szCs w:val="24"/>
          <w:lang w:eastAsia="lv-LV"/>
        </w:rPr>
        <w:t xml:space="preserve"> darba un sociālo pakalpojumu sekmīgai īstenošanai, efektivitātes pilnveidošanai un jaunu, mūsdienīgu un klientu vajadzībā</w:t>
      </w:r>
      <w:r w:rsidR="00A94B98">
        <w:rPr>
          <w:rFonts w:ascii="Times New Roman" w:eastAsia="Times New Roman" w:hAnsi="Times New Roman" w:cs="Times New Roman"/>
          <w:color w:val="000000"/>
          <w:sz w:val="24"/>
          <w:szCs w:val="24"/>
          <w:lang w:eastAsia="lv-LV"/>
        </w:rPr>
        <w:t>m</w:t>
      </w:r>
      <w:r w:rsidRPr="0015154B">
        <w:rPr>
          <w:rFonts w:ascii="Times New Roman" w:eastAsia="Times New Roman" w:hAnsi="Times New Roman" w:cs="Times New Roman"/>
          <w:color w:val="000000"/>
          <w:sz w:val="24"/>
          <w:szCs w:val="24"/>
          <w:lang w:eastAsia="lv-LV"/>
        </w:rPr>
        <w:t xml:space="preserve"> atbilstošu sociālo pakalpojumu izveidei, pašvaldībām trūkst izpratnes par pārvaldības (vadības)</w:t>
      </w:r>
      <w:r w:rsidRPr="007157D3">
        <w:rPr>
          <w:rStyle w:val="FootnoteReference"/>
          <w:rFonts w:ascii="Times New Roman" w:eastAsia="Times New Roman" w:hAnsi="Times New Roman" w:cs="Times New Roman"/>
          <w:color w:val="000000"/>
          <w:sz w:val="24"/>
          <w:szCs w:val="24"/>
          <w:lang w:eastAsia="lv-LV"/>
        </w:rPr>
        <w:footnoteReference w:id="151"/>
      </w:r>
      <w:r w:rsidRPr="007157D3">
        <w:rPr>
          <w:rFonts w:ascii="Times New Roman" w:eastAsia="Times New Roman" w:hAnsi="Times New Roman" w:cs="Times New Roman"/>
          <w:color w:val="000000"/>
          <w:sz w:val="24"/>
          <w:szCs w:val="24"/>
          <w:lang w:eastAsia="lv-LV"/>
        </w:rPr>
        <w:t xml:space="preserve"> nozīmi, zināšanu un pieredzes, kā arī atbalsta šo jautājumu sakārtošana gan no valsts</w:t>
      </w:r>
      <w:r w:rsidR="00A94B98">
        <w:rPr>
          <w:rFonts w:ascii="Times New Roman" w:eastAsia="Times New Roman" w:hAnsi="Times New Roman" w:cs="Times New Roman"/>
          <w:color w:val="000000"/>
          <w:sz w:val="24"/>
          <w:szCs w:val="24"/>
          <w:lang w:eastAsia="lv-LV"/>
        </w:rPr>
        <w:t>,</w:t>
      </w:r>
      <w:r w:rsidRPr="007157D3">
        <w:rPr>
          <w:rFonts w:ascii="Times New Roman" w:eastAsia="Times New Roman" w:hAnsi="Times New Roman" w:cs="Times New Roman"/>
          <w:color w:val="000000"/>
          <w:sz w:val="24"/>
          <w:szCs w:val="24"/>
          <w:lang w:eastAsia="lv-LV"/>
        </w:rPr>
        <w:t xml:space="preserve"> gan pašvaldības puses. Iepriekšējā pamatnostādņu periodā izvirzītā problēma </w:t>
      </w:r>
      <w:r w:rsidRPr="007157D3">
        <w:rPr>
          <w:rFonts w:ascii="Times New Roman" w:eastAsia="Times New Roman" w:hAnsi="Times New Roman" w:cs="Times New Roman"/>
          <w:i/>
          <w:iCs/>
          <w:color w:val="000000"/>
          <w:sz w:val="24"/>
          <w:szCs w:val="24"/>
          <w:lang w:eastAsia="lv-LV"/>
        </w:rPr>
        <w:t>“sociālajos dienestos nav pietiekoša institūcijas darbības plānošana, rezultātu novērtēšana un iekšējās kontroles sistēma”</w:t>
      </w:r>
      <w:r w:rsidRPr="002F5278">
        <w:rPr>
          <w:rFonts w:ascii="Times New Roman" w:eastAsia="Times New Roman" w:hAnsi="Times New Roman" w:cs="Times New Roman"/>
          <w:color w:val="000000"/>
          <w:sz w:val="24"/>
          <w:szCs w:val="24"/>
          <w:lang w:eastAsia="lv-LV"/>
        </w:rPr>
        <w:t xml:space="preserve"> spilgti pamatota 2020.gada sākumā klajā</w:t>
      </w:r>
      <w:r w:rsidRPr="00573B49">
        <w:rPr>
          <w:rFonts w:ascii="Times New Roman" w:eastAsia="Times New Roman" w:hAnsi="Times New Roman" w:cs="Times New Roman"/>
          <w:color w:val="000000"/>
          <w:sz w:val="24"/>
          <w:szCs w:val="24"/>
          <w:lang w:eastAsia="lv-LV"/>
        </w:rPr>
        <w:t xml:space="preserve"> nākušajā Valsts Kontroles ziņojumā</w:t>
      </w:r>
      <w:r w:rsidRPr="007157D3">
        <w:rPr>
          <w:rStyle w:val="FootnoteReference"/>
          <w:rFonts w:ascii="Times New Roman" w:eastAsia="Times New Roman" w:hAnsi="Times New Roman" w:cs="Times New Roman"/>
          <w:color w:val="000000"/>
          <w:sz w:val="24"/>
          <w:szCs w:val="24"/>
          <w:lang w:eastAsia="lv-LV"/>
        </w:rPr>
        <w:footnoteReference w:id="152"/>
      </w:r>
      <w:r w:rsidRPr="007157D3">
        <w:rPr>
          <w:rFonts w:ascii="Times New Roman" w:eastAsia="Times New Roman" w:hAnsi="Times New Roman" w:cs="Times New Roman"/>
          <w:color w:val="000000"/>
          <w:sz w:val="24"/>
          <w:szCs w:val="24"/>
          <w:lang w:eastAsia="lv-LV"/>
        </w:rPr>
        <w:t xml:space="preserve">, kurā tā norāda uz vāju vajadzību izvērtēšanas procesu, plānošanu un pieejamo resursu sadali, kas ir pamatelementi efektīvas pārvaldības nodrošināšanai. Arī epizodiskas ikdienas rīcības un to sekas norāda uz pārvaldības jautājumu pilnveides nepieciešamību. ESF </w:t>
      </w:r>
      <w:r w:rsidRPr="002F5278">
        <w:rPr>
          <w:rFonts w:ascii="Times New Roman" w:eastAsia="Times New Roman" w:hAnsi="Times New Roman" w:cs="Times New Roman"/>
          <w:color w:val="000000"/>
          <w:sz w:val="24"/>
          <w:szCs w:val="24"/>
          <w:lang w:eastAsia="lv-LV"/>
        </w:rPr>
        <w:t>Projekta ietvaros ir uzsākts darbs pie vadības kvalitātes moduļa izstrādes, kas paredz divu līmeņu organizāciju pašnovērtējuma (programma minimums un uz labās prakses principiem veidots attīstības pašnovērtējums iz</w:t>
      </w:r>
      <w:r w:rsidRPr="00573B49">
        <w:rPr>
          <w:rFonts w:ascii="Times New Roman" w:eastAsia="Times New Roman" w:hAnsi="Times New Roman" w:cs="Times New Roman"/>
          <w:color w:val="000000"/>
          <w:sz w:val="24"/>
          <w:szCs w:val="24"/>
          <w:lang w:eastAsia="lv-LV"/>
        </w:rPr>
        <w:t>strādi) metodoloģiju izstrādi un ieviešanu, visaptveroša sociālā dienesta pamatdarbības organizēšanas izvērtējuma veikšanas un starpinstitucionālo sadarbības mehānismu izstrādes. Minēto aktivitāšu ietvaros tiek izstrādātas arī padziļinātas apmācības par pārvaldības jautājumiem augstākā un vidējā līmeņa vadītājiem.</w:t>
      </w:r>
      <w:r w:rsidR="00333A57" w:rsidRPr="00573B49">
        <w:rPr>
          <w:rFonts w:ascii="Times New Roman" w:eastAsia="Times New Roman" w:hAnsi="Times New Roman" w:cs="Times New Roman"/>
          <w:sz w:val="24"/>
          <w:szCs w:val="24"/>
          <w:lang w:eastAsia="lv-LV"/>
        </w:rPr>
        <w:t xml:space="preserve"> </w:t>
      </w:r>
      <w:r w:rsidRPr="0025422D">
        <w:rPr>
          <w:rFonts w:ascii="Times New Roman" w:eastAsia="Times New Roman" w:hAnsi="Times New Roman" w:cs="Times New Roman"/>
          <w:color w:val="000000"/>
          <w:sz w:val="24"/>
          <w:szCs w:val="24"/>
          <w:lang w:eastAsia="lv-LV"/>
        </w:rPr>
        <w:t>Līdz 2022.gadam esošā ESF Projekta ietvaros tiks izstrādāti arī divi apmācību moduļi, kuru izmantošana turpināma un attīstāma arī nākamajā periodā sociālo dienestu snieguma stiprināšanai.</w:t>
      </w:r>
      <w:r w:rsidR="00333A57" w:rsidRPr="00A857F2">
        <w:rPr>
          <w:rFonts w:ascii="Times New Roman" w:eastAsia="Times New Roman" w:hAnsi="Times New Roman" w:cs="Times New Roman"/>
          <w:sz w:val="24"/>
          <w:szCs w:val="24"/>
          <w:lang w:eastAsia="lv-LV"/>
        </w:rPr>
        <w:t xml:space="preserve"> </w:t>
      </w:r>
      <w:r w:rsidRPr="00662D1E">
        <w:rPr>
          <w:rFonts w:ascii="Times New Roman" w:eastAsia="Times New Roman" w:hAnsi="Times New Roman" w:cs="Times New Roman"/>
          <w:color w:val="000000"/>
          <w:sz w:val="24"/>
          <w:szCs w:val="24"/>
          <w:lang w:eastAsia="lv-LV"/>
        </w:rPr>
        <w:t>Papildus</w:t>
      </w:r>
      <w:r w:rsidRPr="009703E6">
        <w:rPr>
          <w:rFonts w:ascii="Times New Roman" w:eastAsia="Times New Roman" w:hAnsi="Times New Roman" w:cs="Times New Roman"/>
          <w:color w:val="000000"/>
          <w:sz w:val="24"/>
          <w:szCs w:val="24"/>
          <w:lang w:eastAsia="lv-LV"/>
        </w:rPr>
        <w:t xml:space="preserve"> tam, izmantojot izstrādātās pašnovērtējuma metodoloģijas, nepieciešams pilnveidot sociālo dienestu pārraudzības modeli, nosakot regulāru pašnovērtējumu ieviešanu un paredzot epizodiskas (plānveida un ārkārtas) uzraudzības šo pašvērtējumu adekvātuma novērt</w:t>
      </w:r>
      <w:r w:rsidRPr="0015154B">
        <w:rPr>
          <w:rFonts w:ascii="Times New Roman" w:eastAsia="Times New Roman" w:hAnsi="Times New Roman" w:cs="Times New Roman"/>
          <w:color w:val="000000"/>
          <w:sz w:val="24"/>
          <w:szCs w:val="24"/>
          <w:lang w:eastAsia="lv-LV"/>
        </w:rPr>
        <w:t>ēšanai.</w:t>
      </w:r>
    </w:p>
    <w:p w14:paraId="5655D9F5" w14:textId="4CE0E4A2"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Ieviešama pašnovērtējumu salīdzināšanas jeb </w:t>
      </w:r>
      <w:r w:rsidRPr="0015154B">
        <w:rPr>
          <w:rFonts w:ascii="Times New Roman" w:eastAsia="Times New Roman" w:hAnsi="Times New Roman" w:cs="Times New Roman"/>
          <w:i/>
          <w:iCs/>
          <w:color w:val="000000"/>
          <w:sz w:val="24"/>
          <w:szCs w:val="24"/>
          <w:lang w:eastAsia="lv-LV"/>
        </w:rPr>
        <w:t>benchmark</w:t>
      </w:r>
      <w:r w:rsidRPr="0015154B">
        <w:rPr>
          <w:rFonts w:ascii="Times New Roman" w:eastAsia="Times New Roman" w:hAnsi="Times New Roman" w:cs="Times New Roman"/>
          <w:color w:val="000000"/>
          <w:sz w:val="24"/>
          <w:szCs w:val="24"/>
          <w:lang w:eastAsia="lv-LV"/>
        </w:rPr>
        <w:t xml:space="preserve"> sistēma, kuras ietvaros katra sociālā dienesta pašnovērtējuma rezultāti ir publiski pieejami un savstarpēji salīdzināmi, tiek fiksēti arī gadījumi, kad šo pašvērtējum</w:t>
      </w:r>
      <w:r w:rsidR="00C347CC">
        <w:rPr>
          <w:rFonts w:ascii="Times New Roman" w:eastAsia="Times New Roman" w:hAnsi="Times New Roman" w:cs="Times New Roman"/>
          <w:color w:val="000000"/>
          <w:sz w:val="24"/>
          <w:szCs w:val="24"/>
          <w:lang w:eastAsia="lv-LV"/>
        </w:rPr>
        <w:t>u</w:t>
      </w:r>
      <w:r w:rsidRPr="0015154B">
        <w:rPr>
          <w:rFonts w:ascii="Times New Roman" w:eastAsia="Times New Roman" w:hAnsi="Times New Roman" w:cs="Times New Roman"/>
          <w:color w:val="000000"/>
          <w:sz w:val="24"/>
          <w:szCs w:val="24"/>
          <w:lang w:eastAsia="lv-LV"/>
        </w:rPr>
        <w:t xml:space="preserve"> atbilstība neattaisnojas un ārējā uzraudzība fiksē neatbilstības. Tādos gadījumos būtu paredzama noteikta publiski pieejama atzīme, kas samazina dienesta kopējo darbības uzticamības līmeni.</w:t>
      </w:r>
      <w:r w:rsidR="00333A57"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color w:val="000000"/>
          <w:sz w:val="24"/>
          <w:szCs w:val="24"/>
          <w:lang w:eastAsia="lv-LV"/>
        </w:rPr>
        <w:t>Šāds pārvaldības sistēmas novērtējums, īpaši sadaļas, kas attiecas uz vadītāja kompetences jomu (līderība, procesu vadība, rezultāti), iet kopsolī arī ar sociālo dienestu vadītāju novērtējumu, t.sk. ar novērtējumu “Labākais sociālā dienesta vadītājs”.</w:t>
      </w:r>
    </w:p>
    <w:p w14:paraId="6B24CA60" w14:textId="732F7C91"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Gan </w:t>
      </w:r>
      <w:r w:rsidRPr="0015154B">
        <w:rPr>
          <w:rFonts w:ascii="Times New Roman" w:hAnsi="Times New Roman" w:cs="Times New Roman"/>
          <w:color w:val="212529"/>
          <w:sz w:val="24"/>
          <w:szCs w:val="24"/>
          <w:shd w:val="clear" w:color="auto" w:fill="FFFFFF"/>
        </w:rPr>
        <w:t xml:space="preserve">Pētījuma "Ex-ante izvērtējums pašvaldību sociālo dienestu darbības efektivitātes novērtēšanai" </w:t>
      </w:r>
      <w:r w:rsidRPr="0015154B">
        <w:rPr>
          <w:rFonts w:ascii="Times New Roman" w:eastAsia="Times New Roman" w:hAnsi="Times New Roman" w:cs="Times New Roman"/>
          <w:color w:val="000000"/>
          <w:sz w:val="24"/>
          <w:szCs w:val="24"/>
          <w:lang w:eastAsia="lv-LV"/>
        </w:rPr>
        <w:t>rezultāti, gan diskusiju ar jomas profesionāļiem laikā paustie viedokļi parāda, ka augstā darba slodze un papildu personāla resursu trūkums sociālajos dienestos ir uzskatāms par vienu no būtiskākajiem iemesliem, kāpēc nav attīstīts preventīvais darbs, lai izvērtētu iespējamos riskus un ievērojami samazinātu krīzes situācijas.</w:t>
      </w:r>
      <w:r w:rsidR="00C347CC">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 xml:space="preserve">Ar esošajiem sociālo darbinieku resursiem pietiek tikai krīzes intervencēm. Lai arī </w:t>
      </w:r>
      <w:r w:rsidR="00EE6AD5" w:rsidRPr="0015154B">
        <w:rPr>
          <w:rFonts w:ascii="Times New Roman" w:eastAsia="Times New Roman" w:hAnsi="Times New Roman" w:cs="Times New Roman"/>
          <w:color w:val="000000"/>
          <w:sz w:val="24"/>
          <w:szCs w:val="24"/>
          <w:lang w:eastAsia="lv-LV"/>
        </w:rPr>
        <w:t>SPSPL</w:t>
      </w:r>
      <w:r w:rsidRPr="0015154B">
        <w:rPr>
          <w:rFonts w:ascii="Times New Roman" w:eastAsia="Times New Roman" w:hAnsi="Times New Roman" w:cs="Times New Roman"/>
          <w:color w:val="000000"/>
          <w:sz w:val="24"/>
          <w:szCs w:val="24"/>
          <w:lang w:eastAsia="lv-LV"/>
        </w:rPr>
        <w:t xml:space="preserve"> 10.pantā joprojām ir noteikts, ka uz </w:t>
      </w:r>
      <w:r w:rsidRPr="0015154B">
        <w:rPr>
          <w:rFonts w:ascii="Times New Roman" w:eastAsia="Times New Roman" w:hAnsi="Times New Roman" w:cs="Times New Roman"/>
          <w:color w:val="000000"/>
          <w:sz w:val="24"/>
          <w:szCs w:val="24"/>
          <w:lang w:eastAsia="lv-LV"/>
        </w:rPr>
        <w:lastRenderedPageBreak/>
        <w:t>vienu tūkstoti iedzīvotāju jābūt vismaz vienam sociālā darba speciālistam, šī norma gadiem ilgi netiek pildīta, ir novecojusi un neatspoguļo iedzīvotāju reālās vajadzības. Latvijā 2018.gadā sociālos pakalpojumus pašvaldību iestādes (t.sk. sociālajos dienestos, to struktūrvienībās, sociālās aprūpes centros, dienas centros, utt.) sniedza un tajās tika nodarbināti</w:t>
      </w:r>
      <w:r w:rsidRPr="0015154B">
        <w:rPr>
          <w:rFonts w:ascii="Times New Roman" w:eastAsia="Times New Roman" w:hAnsi="Times New Roman" w:cs="Times New Roman"/>
          <w:color w:val="000000"/>
          <w:sz w:val="24"/>
          <w:szCs w:val="24"/>
          <w:shd w:val="clear" w:color="auto" w:fill="FFFFFF"/>
          <w:lang w:eastAsia="lv-LV"/>
        </w:rPr>
        <w:t xml:space="preserve"> 2128 sociālā darba speciālisti. </w:t>
      </w:r>
      <w:r w:rsidRPr="0015154B">
        <w:rPr>
          <w:rFonts w:ascii="Times New Roman" w:eastAsia="Times New Roman" w:hAnsi="Times New Roman" w:cs="Times New Roman"/>
          <w:color w:val="000000"/>
          <w:sz w:val="24"/>
          <w:szCs w:val="24"/>
          <w:lang w:eastAsia="lv-LV"/>
        </w:rPr>
        <w:t xml:space="preserve">2018.gadā likuma norma tika izpildīta tikai par 76%. Savukārt 2019.gadā tie bija vairs tikai 2092, līdz ar to likuma norma tika izpildīta </w:t>
      </w:r>
      <w:r w:rsidR="00A94B98">
        <w:rPr>
          <w:rFonts w:ascii="Times New Roman" w:eastAsia="Times New Roman" w:hAnsi="Times New Roman" w:cs="Times New Roman"/>
          <w:color w:val="000000"/>
          <w:sz w:val="24"/>
          <w:szCs w:val="24"/>
          <w:lang w:eastAsia="lv-LV"/>
        </w:rPr>
        <w:t>tikai</w:t>
      </w:r>
      <w:r w:rsidRPr="0015154B">
        <w:rPr>
          <w:rFonts w:ascii="Times New Roman" w:eastAsia="Times New Roman" w:hAnsi="Times New Roman" w:cs="Times New Roman"/>
          <w:color w:val="000000"/>
          <w:sz w:val="24"/>
          <w:szCs w:val="24"/>
          <w:lang w:eastAsia="lv-LV"/>
        </w:rPr>
        <w:t xml:space="preserve"> par 75%.  Turklāt jāņem arī vērā, ka sociālā darba speciālisti nav tikai sociālie darbinieki, bet arī sociālie rehabilitētāji, sociālie aprūpētāji un sociālās palīdzības organizatori. 2018.gadā no 1479 sociālā darba speciālistiem pašvaldību sociālajos dienestos sociālie darbinieki bija 1193, bet 2019.gadā arī šis skaits ir samazinājies, proti, no 1436 sociālā darba speciālistiem pašvaldību sociālajos dienestos sociālie darbinieki bija 1142</w:t>
      </w:r>
      <w:r w:rsidR="00EE6AD5"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color w:val="000000"/>
          <w:sz w:val="24"/>
          <w:szCs w:val="24"/>
          <w:lang w:eastAsia="lv-LV"/>
        </w:rPr>
        <w:t>Vienlaikus jāmin arī tādas problēmas kā sociālo darbinieku trūkums, kas visbiežāk saistīts ar zemo atalgojumu nozarē un atbalsta trūkumu visplašākajā nozīmē.</w:t>
      </w:r>
    </w:p>
    <w:p w14:paraId="04321C96" w14:textId="7BB25C3D"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Līdzīgi kā lielā daļā Eiropas valstu normu</w:t>
      </w:r>
      <w:r w:rsidR="00EE6AD5" w:rsidRPr="0015154B">
        <w:rPr>
          <w:rFonts w:ascii="Times New Roman" w:eastAsia="Times New Roman" w:hAnsi="Times New Roman" w:cs="Times New Roman"/>
          <w:color w:val="000000"/>
          <w:sz w:val="24"/>
          <w:szCs w:val="24"/>
          <w:lang w:eastAsia="lv-LV"/>
        </w:rPr>
        <w:t xml:space="preserve"> par sociālo darbinieku skaitu</w:t>
      </w:r>
      <w:r w:rsidRPr="0015154B">
        <w:rPr>
          <w:rFonts w:ascii="Times New Roman" w:eastAsia="Times New Roman" w:hAnsi="Times New Roman" w:cs="Times New Roman"/>
          <w:color w:val="000000"/>
          <w:sz w:val="24"/>
          <w:szCs w:val="24"/>
          <w:lang w:eastAsia="lv-LV"/>
        </w:rPr>
        <w:t xml:space="preserve"> būtu nepieciešams </w:t>
      </w:r>
      <w:r w:rsidR="00EE6AD5" w:rsidRPr="0015154B">
        <w:rPr>
          <w:rFonts w:ascii="Times New Roman" w:eastAsia="Times New Roman" w:hAnsi="Times New Roman" w:cs="Times New Roman"/>
          <w:color w:val="000000"/>
          <w:sz w:val="24"/>
          <w:szCs w:val="24"/>
          <w:lang w:eastAsia="lv-LV"/>
        </w:rPr>
        <w:t>vērtēt</w:t>
      </w:r>
      <w:r w:rsidRPr="0015154B">
        <w:rPr>
          <w:rFonts w:ascii="Times New Roman" w:eastAsia="Times New Roman" w:hAnsi="Times New Roman" w:cs="Times New Roman"/>
          <w:color w:val="000000"/>
          <w:sz w:val="24"/>
          <w:szCs w:val="24"/>
          <w:lang w:eastAsia="lv-LV"/>
        </w:rPr>
        <w:t xml:space="preserve"> pret noteiktu aktīvo klientu lietu skaitu. Šis skaits varētu variēt atkarībā no darba intensitātes</w:t>
      </w:r>
      <w:r w:rsidR="00EE6AD5"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kāda ir jāiegulda noteiktu gadījumu risināšanā un pie</w:t>
      </w:r>
      <w:r w:rsidR="00EE6AD5" w:rsidRPr="0015154B">
        <w:rPr>
          <w:rFonts w:ascii="Times New Roman" w:eastAsia="Times New Roman" w:hAnsi="Times New Roman" w:cs="Times New Roman"/>
          <w:color w:val="000000"/>
          <w:sz w:val="24"/>
          <w:szCs w:val="24"/>
          <w:lang w:eastAsia="lv-LV"/>
        </w:rPr>
        <w:t>ļ</w:t>
      </w:r>
      <w:r w:rsidRPr="0015154B">
        <w:rPr>
          <w:rFonts w:ascii="Times New Roman" w:eastAsia="Times New Roman" w:hAnsi="Times New Roman" w:cs="Times New Roman"/>
          <w:color w:val="000000"/>
          <w:sz w:val="24"/>
          <w:szCs w:val="24"/>
          <w:lang w:eastAsia="lv-LV"/>
        </w:rPr>
        <w:t>autu salīdzinoši lielāku aktīvo lietu skaitu vispārējā sociālā darba praksē un noteiktu skaitu specializāciju ietvaros, kā arī krīzes gadījumos.</w:t>
      </w:r>
      <w:r w:rsidR="00C347CC">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 xml:space="preserve">Šāda prakse ļaus veiksmīgi plānot resursus, nodrošina darbiniekiem pārskatāmu darba slodzi un ar atbilstošu intensitāti pietiekamu laiku veltot visiem sociālā darba ar klientu posmiem, nodrošina noteiktu rezultātu sasniegšanu. </w:t>
      </w:r>
      <w:r w:rsidRPr="0015154B">
        <w:rPr>
          <w:rFonts w:ascii="Times New Roman" w:hAnsi="Times New Roman" w:cs="Times New Roman"/>
          <w:color w:val="212529"/>
          <w:sz w:val="24"/>
          <w:szCs w:val="24"/>
          <w:shd w:val="clear" w:color="auto" w:fill="FFFFFF"/>
        </w:rPr>
        <w:t xml:space="preserve">Pētījuma "Ex-ante izvērtējums pašvaldību sociālo dienestu darbības efektivitātes novērtēšanai" </w:t>
      </w:r>
      <w:r w:rsidRPr="0015154B">
        <w:rPr>
          <w:rFonts w:ascii="Times New Roman" w:eastAsia="Times New Roman" w:hAnsi="Times New Roman" w:cs="Times New Roman"/>
          <w:color w:val="000000"/>
          <w:sz w:val="24"/>
          <w:szCs w:val="24"/>
          <w:lang w:eastAsia="lv-LV"/>
        </w:rPr>
        <w:t>rezultāti parādīja, ka sociālo darbinieku noslodze pašvaldībās ir dažāda un variē. Atsevišķās pašvaldībās sasniedzot līdz pat 50 aktīvām lietām uz darbinieku. Šāda noslodze un atbildība ir pamats izdegšanai, lēmumiem mainīt darbu, t.sk. bieži pametot jomu un profesiju</w:t>
      </w:r>
      <w:r w:rsidR="00A94B98">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un tas atspoguļojas darbinieku mainības rādītājos, īpaši lielo pašvaldību sociālajos dienestos. ESF Projekta ietvaros līdz 2023.gadam  notiek sociālā darba prakses invertējums, t.sk noteiktu procesu soļu laikietilpības novērtēšana. Šie rezultāti būs izmantojami nākamajā periodā</w:t>
      </w:r>
      <w:r w:rsidR="00A94B98">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vērtējot regulējuma maiņas pamatojumu un nostiprinot šo diferencēto noslodzes apjomu normatīvajos aktos.</w:t>
      </w:r>
    </w:p>
    <w:p w14:paraId="5BB72744" w14:textId="1922B269"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Lai motivētu esošos speciālistus un piesaistītu trūkstošos, ir nepieciešams sniegt papildus finansiālo atbalstu sociālajiem darbiniekiem, īpaši tiem, kuri strādā ar tādām mērķa grupām kā ģimenēm ar bērniem un personām ar GRT.</w:t>
      </w:r>
      <w:r w:rsidR="00EE6AD5"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bCs/>
          <w:color w:val="000000"/>
          <w:sz w:val="24"/>
          <w:szCs w:val="24"/>
          <w:lang w:eastAsia="lv-LV"/>
        </w:rPr>
        <w:t>Tāpat būtisks aspekts ir darbinieku motivācija celt savu profesionālo kompetenci vai iegūt atbilstošo profesionālo izglītību sociālajā darbā. To iespējams panākt, nodrošinot bezmaksas mācības un/vai stipendijas tiem, kuri mācās. </w:t>
      </w:r>
    </w:p>
    <w:p w14:paraId="1C6A4F9F" w14:textId="37628924" w:rsidR="0034498F" w:rsidRPr="0015154B" w:rsidRDefault="0034498F" w:rsidP="00AC38FA">
      <w:pPr>
        <w:spacing w:before="120" w:after="0" w:line="240" w:lineRule="auto"/>
        <w:ind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Jau Profesionāla sociālā darba attīstības pamatnostādnēs bija izvirzīts mērķis 1.3. “pilnveidot sociālo darbinieku atbalsta sistēmu” un atbilstoši uzdevumu 1.3.1. “izveidot atbalsta sistēmu kvalifikāciju ieguvušam „jaunajam speciālistam” – sociālajam darbiniekam sociālā darba prakses uzsākšanai sociālajā dienestā pieredzējuša sociālā darbinieka – mentora uzraudzībā”. Tomēr jāatzīst, ka šis uzdevums netika izpildīts, tomēr tā aktualitāte nav mazinājusies</w:t>
      </w:r>
      <w:r w:rsidR="00EE6AD5"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w:t>
      </w:r>
      <w:r w:rsidR="00EE6AD5" w:rsidRPr="0015154B">
        <w:rPr>
          <w:rFonts w:ascii="Times New Roman" w:eastAsia="Times New Roman" w:hAnsi="Times New Roman" w:cs="Times New Roman"/>
          <w:color w:val="000000"/>
          <w:sz w:val="24"/>
          <w:szCs w:val="24"/>
          <w:lang w:eastAsia="lv-LV"/>
        </w:rPr>
        <w:t>L</w:t>
      </w:r>
      <w:r w:rsidRPr="0015154B">
        <w:rPr>
          <w:rFonts w:ascii="Times New Roman" w:eastAsia="Times New Roman" w:hAnsi="Times New Roman" w:cs="Times New Roman"/>
          <w:color w:val="000000"/>
          <w:sz w:val="24"/>
          <w:szCs w:val="24"/>
          <w:lang w:eastAsia="lv-LV"/>
        </w:rPr>
        <w:t>īdz ar to, lai sniegtu profesionālu atbalstu efektīvu, kvalitatīvu sociālo pakalpojumu sniegšanā, plānots izveidot profesionālu atbalsta sistēmu sociālo pakalpojumu sniedzējiem, kas ietvers darba vadītāju sistēmas izveidi atbalsta sniegšanai jaunajiem darbiniekiem un praktikantiem sociālajos dienestos.</w:t>
      </w:r>
    </w:p>
    <w:p w14:paraId="202D27F7" w14:textId="77777777" w:rsidR="0034498F" w:rsidRPr="0015154B" w:rsidRDefault="0034498F" w:rsidP="0034498F">
      <w:pPr>
        <w:spacing w:after="0" w:line="240" w:lineRule="auto"/>
        <w:rPr>
          <w:rFonts w:ascii="Times New Roman" w:eastAsia="Times New Roman" w:hAnsi="Times New Roman" w:cs="Times New Roman"/>
          <w:sz w:val="24"/>
          <w:szCs w:val="24"/>
          <w:lang w:eastAsia="lv-LV"/>
        </w:rPr>
      </w:pPr>
    </w:p>
    <w:p w14:paraId="1019B698" w14:textId="0707E5D5" w:rsidR="0034498F" w:rsidRPr="0015154B" w:rsidRDefault="0034498F" w:rsidP="00DA5144">
      <w:pPr>
        <w:pStyle w:val="Heading2"/>
      </w:pPr>
      <w:bookmarkStart w:id="73" w:name="_Toc55316108"/>
      <w:r w:rsidRPr="0015154B">
        <w:t>Profesijas prestiž</w:t>
      </w:r>
      <w:r w:rsidR="00C347CC">
        <w:t>s</w:t>
      </w:r>
      <w:bookmarkEnd w:id="73"/>
    </w:p>
    <w:p w14:paraId="23224872" w14:textId="7077F6F5" w:rsidR="0034498F" w:rsidRPr="0015154B" w:rsidRDefault="0034498F" w:rsidP="00AC38FA">
      <w:pPr>
        <w:spacing w:before="120" w:after="0" w:line="240" w:lineRule="auto"/>
        <w:ind w:right="43"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Lai arī iepriekšējā plānošanas periodā kā būtisks trūkums nozares pilnvērtīgai attīstībai tika minēts zems sociālā darba profesijas prestižs un pēdējo gadu laikā gan pašvaldību, gan valsts līmenī īstenoti pasākumi, lai skaidrotu sociāla dienesta vietu un lomu, profesijas pienesumu sabiedrības attīstībai un rādītu konkrētus stāstus par profesijā strādājošajiem </w:t>
      </w:r>
      <w:r w:rsidRPr="0015154B">
        <w:rPr>
          <w:rFonts w:ascii="Times New Roman" w:eastAsia="Times New Roman" w:hAnsi="Times New Roman" w:cs="Times New Roman"/>
          <w:color w:val="000000"/>
          <w:sz w:val="24"/>
          <w:szCs w:val="24"/>
          <w:lang w:eastAsia="lv-LV"/>
        </w:rPr>
        <w:lastRenderedPageBreak/>
        <w:t>cilvēkiem un viņu ikdienu, izmaiņas notiek ļoti lēni.</w:t>
      </w:r>
      <w:r w:rsidR="009377C3" w:rsidRPr="0015154B">
        <w:rPr>
          <w:rFonts w:ascii="Times New Roman" w:eastAsia="Times New Roman" w:hAnsi="Times New Roman" w:cs="Times New Roman"/>
          <w:sz w:val="24"/>
          <w:szCs w:val="24"/>
          <w:lang w:eastAsia="lv-LV"/>
        </w:rPr>
        <w:t xml:space="preserve"> Profesijas prestiža veidošanā </w:t>
      </w:r>
      <w:r w:rsidR="009377C3" w:rsidRPr="0015154B">
        <w:rPr>
          <w:rFonts w:ascii="Times New Roman" w:eastAsia="Times New Roman" w:hAnsi="Times New Roman" w:cs="Times New Roman"/>
          <w:color w:val="000000"/>
          <w:sz w:val="24"/>
          <w:szCs w:val="24"/>
          <w:lang w:eastAsia="lv-LV"/>
        </w:rPr>
        <w:t>n</w:t>
      </w:r>
      <w:r w:rsidRPr="0015154B">
        <w:rPr>
          <w:rFonts w:ascii="Times New Roman" w:eastAsia="Times New Roman" w:hAnsi="Times New Roman" w:cs="Times New Roman"/>
          <w:color w:val="000000"/>
          <w:sz w:val="24"/>
          <w:szCs w:val="24"/>
          <w:lang w:eastAsia="lv-LV"/>
        </w:rPr>
        <w:t>ozīmīga ir krīzes komunikācija un tās kvalitāte, kas jāturpina attīstīt pārvaldības apmācību ietvaros. Svarīgas ir arī profesijas robežas, jeb skaidra</w:t>
      </w:r>
      <w:r w:rsidR="009377C3" w:rsidRPr="0015154B">
        <w:rPr>
          <w:rFonts w:ascii="Times New Roman" w:eastAsia="Times New Roman" w:hAnsi="Times New Roman" w:cs="Times New Roman"/>
          <w:color w:val="000000"/>
          <w:sz w:val="24"/>
          <w:szCs w:val="24"/>
          <w:lang w:eastAsia="lv-LV"/>
        </w:rPr>
        <w:t>s</w:t>
      </w:r>
      <w:r w:rsidRPr="0015154B">
        <w:rPr>
          <w:rFonts w:ascii="Times New Roman" w:eastAsia="Times New Roman" w:hAnsi="Times New Roman" w:cs="Times New Roman"/>
          <w:color w:val="000000"/>
          <w:sz w:val="24"/>
          <w:szCs w:val="24"/>
          <w:lang w:eastAsia="lv-LV"/>
        </w:rPr>
        <w:t xml:space="preserve"> atbildības </w:t>
      </w:r>
      <w:r w:rsidR="009377C3" w:rsidRPr="0015154B">
        <w:rPr>
          <w:rFonts w:ascii="Times New Roman" w:eastAsia="Times New Roman" w:hAnsi="Times New Roman" w:cs="Times New Roman"/>
          <w:color w:val="000000"/>
          <w:sz w:val="24"/>
          <w:szCs w:val="24"/>
          <w:lang w:eastAsia="lv-LV"/>
        </w:rPr>
        <w:t>robežas</w:t>
      </w:r>
      <w:r w:rsidRPr="0015154B">
        <w:rPr>
          <w:rFonts w:ascii="Times New Roman" w:eastAsia="Times New Roman" w:hAnsi="Times New Roman" w:cs="Times New Roman"/>
          <w:color w:val="000000"/>
          <w:sz w:val="24"/>
          <w:szCs w:val="24"/>
          <w:lang w:eastAsia="lv-LV"/>
        </w:rPr>
        <w:t xml:space="preserve"> – veicami uzdevumi, termiņi, noteikts darba laika ietvars un sadarbības principi ar iesaistītajām pusēm, tādejādi pasargājot no papildus atbildības uzņemšanās par jautājumiem, kuros sociālā darba un pašvaldību sociālajiem dienestiem nav nedz ietekmes</w:t>
      </w:r>
      <w:r w:rsidR="009377C3"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nedz pilnvaru.</w:t>
      </w:r>
    </w:p>
    <w:p w14:paraId="7541F1F0" w14:textId="76CCE46D" w:rsidR="0034498F" w:rsidRPr="0015154B" w:rsidRDefault="0034498F" w:rsidP="00AC38FA">
      <w:pPr>
        <w:spacing w:before="120" w:after="0" w:line="240" w:lineRule="auto"/>
        <w:ind w:right="40"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Profesijas iekšienē plānots attīstīt tieši profesionālo atbalstu, tas īpaši attiecas uz nopietnām krīzes situācijām, kad vitāli svarīgi ir reaģēt īsā laikā un ļoti mērķtiecīgi. Šim nolūkam plānots veidot mobilas speciālistu krīzes komandas, kas dodas pie saviem kolēģiem (piemēram, sociālajā dienestā), lai sniegtu atbalstu ārkārtējā vai krīzes situācijā, kā arī kopā meklētu un izstrādātu risinājumus turpmākajam darbam. Šīs krīzes komandas plānotas arī gadījumos, kuri nav akūti, bet iespējams sarežģīti risināmi no institūcijas pārvaldības, sadarbības, vai sociālā darba prakses viedokļa. Šajā komandā plānota dažādu speci</w:t>
      </w:r>
      <w:r w:rsidR="00A94B98">
        <w:rPr>
          <w:rFonts w:ascii="Times New Roman" w:eastAsia="Times New Roman" w:hAnsi="Times New Roman" w:cs="Times New Roman"/>
          <w:color w:val="000000"/>
          <w:sz w:val="24"/>
          <w:szCs w:val="24"/>
          <w:lang w:eastAsia="lv-LV"/>
        </w:rPr>
        <w:t>ā</w:t>
      </w:r>
      <w:r w:rsidRPr="0015154B">
        <w:rPr>
          <w:rFonts w:ascii="Times New Roman" w:eastAsia="Times New Roman" w:hAnsi="Times New Roman" w:cs="Times New Roman"/>
          <w:color w:val="000000"/>
          <w:sz w:val="24"/>
          <w:szCs w:val="24"/>
          <w:lang w:eastAsia="lv-LV"/>
        </w:rPr>
        <w:t>listu – supervizoru, komunikācijas un vadības speciālistu, sociālā darba ekspertu, psihoterapeitu, mākslas terapeitu un citu speciālistu, kas kādā noteiktā gadījumā varētu būt nepieciešami, piesaiste.</w:t>
      </w:r>
    </w:p>
    <w:p w14:paraId="4B68CE5C" w14:textId="1F2D42AA" w:rsidR="0034498F" w:rsidRPr="0015154B" w:rsidRDefault="0034498F" w:rsidP="00AC38FA">
      <w:pPr>
        <w:spacing w:before="120" w:after="0" w:line="240" w:lineRule="auto"/>
        <w:ind w:right="40"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Profesijas prestižu stiprina arī jaunas un inovatīvas idejas jomā, kas ir starpsektorālas, balstītas labajā praksē un sniedz iespēju sniegt efektīvu atbalstu kādai mērķa grupai vai strauji attīstīt kādas problemātikas risināšanas gaitu, tamdēļ nākamā periodā plānoti ideju forumi jeb sociālā darba jomas hakatoni</w:t>
      </w:r>
      <w:r w:rsidR="00A94B98">
        <w:rPr>
          <w:rFonts w:ascii="Times New Roman" w:eastAsia="Times New Roman" w:hAnsi="Times New Roman" w:cs="Times New Roman"/>
          <w:color w:val="000000"/>
          <w:sz w:val="24"/>
          <w:szCs w:val="24"/>
          <w:lang w:eastAsia="lv-LV"/>
        </w:rPr>
        <w:t xml:space="preserve"> (ideju forumi)</w:t>
      </w:r>
      <w:r w:rsidRPr="0015154B">
        <w:rPr>
          <w:rFonts w:ascii="Times New Roman" w:eastAsia="Times New Roman" w:hAnsi="Times New Roman" w:cs="Times New Roman"/>
          <w:color w:val="000000"/>
          <w:sz w:val="24"/>
          <w:szCs w:val="24"/>
          <w:lang w:eastAsia="lv-LV"/>
        </w:rPr>
        <w:t xml:space="preserve"> ar dažādu jomu speciālistiem. Papildus inovatīvām idejām, tas informē un sniedz izpratni citu jomu speciālistiem gan par sociālā darba mērķiem, gan dažādām klientu mērķa grupām un to vajadzībām.</w:t>
      </w:r>
      <w:r w:rsidR="009377C3"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color w:val="000000"/>
          <w:sz w:val="24"/>
          <w:szCs w:val="24"/>
          <w:lang w:eastAsia="lv-LV"/>
        </w:rPr>
        <w:t>Ir jāveido spilgti un emocionāli stāsti gan par sociālajiem darbiniekiem, gan viņu vērtībām un mijiedarbību ar klientiem, tas noteikti kalpotu par līdzekli stereotipu laušanai un tādu sociālā darba vērtību kā cilvēktiesības, taisnīgums, solidaritāte un kalpošana izplatīšanai sabiedrībā. Šādi stāsti var būt gan kā individuālas aktivitātes, gan noteiktos laika periodos ierobežotas informatīvās kampaņas par noteiktiem jautājumiem. </w:t>
      </w:r>
    </w:p>
    <w:p w14:paraId="0EC172F8" w14:textId="77777777" w:rsidR="0034498F" w:rsidRPr="0015154B" w:rsidRDefault="0034498F" w:rsidP="00AC38FA">
      <w:pPr>
        <w:spacing w:before="120" w:after="0" w:line="240" w:lineRule="auto"/>
        <w:ind w:right="40"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 xml:space="preserve">Lai veicinātu sabiedrības izpratni par sabiedrībā aktuālajām sociālajām problēmām un atbalstu sociālajam darbam un sociālā darba speciālistiem, tiks realizētas jaudīgas un sabiedrību uzrunājošas, inovatīvas sociālās kampaņas par dažādām aktuālām sociālajām tēmām un sociālo darbu, t.sk. krīzes situācijās. Nepieciešams sociālā darba vērtībās balstīts viedoklis, kas ir redzams un nodrošina sabiedrības mazaizsargāto grupu interešu pārstāvniecību, tādējādi radot jaunu un izpratnes pilnu sabiedrības viedokli par sociālo darbu, tā iespējām un robežām. </w:t>
      </w:r>
    </w:p>
    <w:p w14:paraId="5B257AAA" w14:textId="564DC275" w:rsidR="0034498F" w:rsidRPr="0015154B" w:rsidRDefault="0034498F" w:rsidP="00AC38FA">
      <w:pPr>
        <w:spacing w:before="120" w:after="0" w:line="240" w:lineRule="auto"/>
        <w:ind w:right="43" w:firstLine="720"/>
        <w:jc w:val="both"/>
        <w:rPr>
          <w:rFonts w:ascii="Times New Roman" w:eastAsia="Times New Roman" w:hAnsi="Times New Roman" w:cs="Times New Roman"/>
          <w:color w:val="000000"/>
          <w:sz w:val="24"/>
          <w:szCs w:val="24"/>
          <w:lang w:eastAsia="lv-LV"/>
        </w:rPr>
      </w:pPr>
      <w:r w:rsidRPr="0015154B">
        <w:rPr>
          <w:rFonts w:ascii="Times New Roman" w:eastAsia="Times New Roman" w:hAnsi="Times New Roman" w:cs="Times New Roman"/>
          <w:color w:val="000000"/>
          <w:sz w:val="24"/>
          <w:szCs w:val="24"/>
          <w:lang w:eastAsia="lv-LV"/>
        </w:rPr>
        <w:t>Kā rāda p</w:t>
      </w:r>
      <w:r w:rsidRPr="0015154B">
        <w:rPr>
          <w:rFonts w:ascii="Times New Roman" w:hAnsi="Times New Roman" w:cs="Times New Roman"/>
          <w:color w:val="212529"/>
          <w:sz w:val="24"/>
          <w:szCs w:val="24"/>
          <w:shd w:val="clear" w:color="auto" w:fill="FFFFFF"/>
        </w:rPr>
        <w:t>ētījums</w:t>
      </w:r>
      <w:r w:rsidR="000C39D7">
        <w:rPr>
          <w:rStyle w:val="FootnoteReference"/>
          <w:rFonts w:ascii="Times New Roman" w:hAnsi="Times New Roman" w:cs="Times New Roman"/>
          <w:color w:val="212529"/>
          <w:sz w:val="24"/>
          <w:szCs w:val="24"/>
          <w:shd w:val="clear" w:color="auto" w:fill="FFFFFF"/>
        </w:rPr>
        <w:footnoteReference w:id="153"/>
      </w:r>
      <w:r w:rsidRPr="0015154B">
        <w:rPr>
          <w:rFonts w:ascii="Times New Roman" w:eastAsia="Times New Roman" w:hAnsi="Times New Roman" w:cs="Times New Roman"/>
          <w:color w:val="000000"/>
          <w:sz w:val="24"/>
          <w:szCs w:val="24"/>
          <w:lang w:eastAsia="lv-LV"/>
        </w:rPr>
        <w:t>, cilvēkiem ir aizspriedumi pret sociālo dienestu un tas vairāk tiek uztverts kā vieta, kur sabiedrības trūcīgākā un mazaizsargātākā daļa saņem pabalstus, un kā vieta</w:t>
      </w:r>
      <w:r w:rsidR="00A94B98">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ar ko pārējā sabiedrības daļa negrib tikt identificēta. Tas diemžēl dažkārt liedz savlaicīgas atbalsta saņemšanas iespējas un padziļina iedzīvotāju problēmas. T</w:t>
      </w:r>
      <w:r w:rsidR="00FC3D33" w:rsidRPr="0015154B">
        <w:rPr>
          <w:rFonts w:ascii="Times New Roman" w:eastAsia="Times New Roman" w:hAnsi="Times New Roman" w:cs="Times New Roman"/>
          <w:color w:val="000000"/>
          <w:sz w:val="24"/>
          <w:szCs w:val="24"/>
          <w:lang w:eastAsia="lv-LV"/>
        </w:rPr>
        <w:t>ā</w:t>
      </w:r>
      <w:r w:rsidRPr="0015154B">
        <w:rPr>
          <w:rFonts w:ascii="Times New Roman" w:eastAsia="Times New Roman" w:hAnsi="Times New Roman" w:cs="Times New Roman"/>
          <w:color w:val="000000"/>
          <w:sz w:val="24"/>
          <w:szCs w:val="24"/>
          <w:lang w:eastAsia="lv-LV"/>
        </w:rPr>
        <w:t xml:space="preserve">dēļ nākamajā periodā ir </w:t>
      </w:r>
      <w:r w:rsidR="009377C3" w:rsidRPr="0015154B">
        <w:rPr>
          <w:rFonts w:ascii="Times New Roman" w:eastAsia="Times New Roman" w:hAnsi="Times New Roman" w:cs="Times New Roman"/>
          <w:color w:val="000000"/>
          <w:sz w:val="24"/>
          <w:szCs w:val="24"/>
          <w:lang w:eastAsia="lv-LV"/>
        </w:rPr>
        <w:t>jāu</w:t>
      </w:r>
      <w:r w:rsidRPr="0015154B">
        <w:rPr>
          <w:rFonts w:ascii="Times New Roman" w:eastAsia="Times New Roman" w:hAnsi="Times New Roman" w:cs="Times New Roman"/>
          <w:color w:val="000000"/>
          <w:sz w:val="24"/>
          <w:szCs w:val="24"/>
          <w:lang w:eastAsia="lv-LV"/>
        </w:rPr>
        <w:t>zlabo sociālā dienesta tēl</w:t>
      </w:r>
      <w:r w:rsidR="009377C3" w:rsidRPr="0015154B">
        <w:rPr>
          <w:rFonts w:ascii="Times New Roman" w:eastAsia="Times New Roman" w:hAnsi="Times New Roman" w:cs="Times New Roman"/>
          <w:color w:val="000000"/>
          <w:sz w:val="24"/>
          <w:szCs w:val="24"/>
          <w:lang w:eastAsia="lv-LV"/>
        </w:rPr>
        <w:t>s</w:t>
      </w:r>
      <w:r w:rsidRPr="0015154B">
        <w:rPr>
          <w:rFonts w:ascii="Times New Roman" w:eastAsia="Times New Roman" w:hAnsi="Times New Roman" w:cs="Times New Roman"/>
          <w:color w:val="000000"/>
          <w:sz w:val="24"/>
          <w:szCs w:val="24"/>
          <w:lang w:eastAsia="lv-LV"/>
        </w:rPr>
        <w:t xml:space="preserve">, tā struktūrā nodalot sociālo palīdzību no sociālā darba un sociālajiem pakalpojumiem. Skandināvijas pieredze liecina, ka </w:t>
      </w:r>
      <w:r w:rsidR="00A94B98" w:rsidRPr="0015154B">
        <w:rPr>
          <w:rFonts w:ascii="Times New Roman" w:eastAsia="Times New Roman" w:hAnsi="Times New Roman" w:cs="Times New Roman"/>
          <w:color w:val="000000"/>
          <w:sz w:val="24"/>
          <w:szCs w:val="24"/>
          <w:lang w:eastAsia="lv-LV"/>
        </w:rPr>
        <w:t>ģimeņu atbalsta centri</w:t>
      </w:r>
      <w:r w:rsidR="00A94B98">
        <w:rPr>
          <w:rFonts w:ascii="Times New Roman" w:eastAsia="Times New Roman" w:hAnsi="Times New Roman" w:cs="Times New Roman"/>
          <w:color w:val="000000"/>
          <w:sz w:val="24"/>
          <w:szCs w:val="24"/>
          <w:lang w:eastAsia="lv-LV"/>
        </w:rPr>
        <w:t xml:space="preserve"> ir</w:t>
      </w:r>
      <w:r w:rsidR="00A94B98" w:rsidRPr="0015154B">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kā atsevišķas struktūrvienības</w:t>
      </w:r>
      <w:r w:rsidR="00A94B98">
        <w:rPr>
          <w:rFonts w:ascii="Times New Roman" w:eastAsia="Times New Roman" w:hAnsi="Times New Roman" w:cs="Times New Roman"/>
          <w:color w:val="000000"/>
          <w:sz w:val="24"/>
          <w:szCs w:val="24"/>
          <w:lang w:eastAsia="lv-LV"/>
        </w:rPr>
        <w:t xml:space="preserve">, kuras pamatā sniedz </w:t>
      </w:r>
      <w:r w:rsidRPr="0015154B">
        <w:rPr>
          <w:rFonts w:ascii="Times New Roman" w:eastAsia="Times New Roman" w:hAnsi="Times New Roman" w:cs="Times New Roman"/>
          <w:color w:val="000000"/>
          <w:sz w:val="24"/>
          <w:szCs w:val="24"/>
          <w:lang w:eastAsia="lv-LV"/>
        </w:rPr>
        <w:t>preventīvā atbalsta pakalpojum</w:t>
      </w:r>
      <w:r w:rsidR="00A94B98">
        <w:rPr>
          <w:rFonts w:ascii="Times New Roman" w:eastAsia="Times New Roman" w:hAnsi="Times New Roman" w:cs="Times New Roman"/>
          <w:color w:val="000000"/>
          <w:sz w:val="24"/>
          <w:szCs w:val="24"/>
          <w:lang w:eastAsia="lv-LV"/>
        </w:rPr>
        <w:t>us un klātienē nodrošina</w:t>
      </w:r>
      <w:r w:rsidRPr="0015154B">
        <w:rPr>
          <w:rFonts w:ascii="Times New Roman" w:eastAsia="Times New Roman" w:hAnsi="Times New Roman" w:cs="Times New Roman"/>
          <w:color w:val="000000"/>
          <w:sz w:val="24"/>
          <w:szCs w:val="24"/>
          <w:lang w:eastAsia="lv-LV"/>
        </w:rPr>
        <w:t xml:space="preserve"> ērtu</w:t>
      </w:r>
      <w:r w:rsidR="00A94B98">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ģimeņu vajadzībām pielāgotu vidi un nenosodošu attieksmi. Vairākas pašvaldības (Tukums, Liepāja) šo saredz kā tuvākā perioda attīstības ceļu un plāno šādas pakalpojumu struktūras izveidi. Šādu praksi būtu nepieciešams izplatīt arī citām pašvaldībām, analizēt izmaiņas un ieguvumus un izvērtēt to kā universāli ieviešamu pieeju. Nepieciešama arī uz personu centrēta pakalpojumu un atbalsta plānošana un īstenošana, darbinieki, kas nebaidās no individualizētas pieejas un sarežģītiem gadījumiem, kā arī sociālā darba vērtībās balstīta attieksme pret atbalsta saņēmējiem neatkarīgi no to piederības kādai no mērķa grupām.</w:t>
      </w:r>
      <w:r w:rsidR="00A94B98">
        <w:rPr>
          <w:rFonts w:ascii="Times New Roman" w:eastAsia="Times New Roman" w:hAnsi="Times New Roman" w:cs="Times New Roman"/>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lastRenderedPageBreak/>
        <w:t>Līdzīgi kā iepriekš, lai veicinātu vienotu metodisko izpratni un praksi sociālajā darbā un sociālo pakalpojumu sniegšanā, informācijas nodošanu par aktualitātēm nozarē, kā arī veicinātu uz nozares attīstību vērstu diskusiju, ideju apmaiņu, starpinstitucionālu sadarbību un tīklošanos, tiks turpināti un attīstīti informatīvi izglītojošie pasākumi</w:t>
      </w:r>
      <w:r w:rsidR="009377C3" w:rsidRPr="0015154B">
        <w:rPr>
          <w:rFonts w:ascii="Times New Roman" w:eastAsia="Times New Roman" w:hAnsi="Times New Roman" w:cs="Times New Roman"/>
          <w:color w:val="000000"/>
          <w:sz w:val="24"/>
          <w:szCs w:val="24"/>
          <w:lang w:eastAsia="lv-LV"/>
        </w:rPr>
        <w:t>,</w:t>
      </w:r>
      <w:r w:rsidRPr="0015154B">
        <w:rPr>
          <w:rFonts w:ascii="Times New Roman" w:eastAsia="Times New Roman" w:hAnsi="Times New Roman" w:cs="Times New Roman"/>
          <w:color w:val="000000"/>
          <w:sz w:val="24"/>
          <w:szCs w:val="24"/>
          <w:lang w:eastAsia="lv-LV"/>
        </w:rPr>
        <w:t xml:space="preserve"> profesijas tradīciju kopšana,</w:t>
      </w:r>
      <w:r w:rsidR="009377C3" w:rsidRPr="0015154B">
        <w:rPr>
          <w:rFonts w:ascii="Times New Roman" w:eastAsia="Times New Roman" w:hAnsi="Times New Roman" w:cs="Times New Roman"/>
          <w:color w:val="000000"/>
          <w:sz w:val="24"/>
          <w:szCs w:val="24"/>
          <w:lang w:eastAsia="lv-LV"/>
        </w:rPr>
        <w:t xml:space="preserve"> izpratnes paaugstin</w:t>
      </w:r>
      <w:r w:rsidR="00E07E75">
        <w:rPr>
          <w:rFonts w:ascii="Times New Roman" w:eastAsia="Times New Roman" w:hAnsi="Times New Roman" w:cs="Times New Roman"/>
          <w:color w:val="000000"/>
          <w:sz w:val="24"/>
          <w:szCs w:val="24"/>
          <w:lang w:eastAsia="lv-LV"/>
        </w:rPr>
        <w:t>ā</w:t>
      </w:r>
      <w:r w:rsidR="009377C3" w:rsidRPr="0015154B">
        <w:rPr>
          <w:rFonts w:ascii="Times New Roman" w:eastAsia="Times New Roman" w:hAnsi="Times New Roman" w:cs="Times New Roman"/>
          <w:color w:val="000000"/>
          <w:sz w:val="24"/>
          <w:szCs w:val="24"/>
          <w:lang w:eastAsia="lv-LV"/>
        </w:rPr>
        <w:t>šana par sociālo darbu</w:t>
      </w:r>
      <w:r w:rsidRPr="0015154B">
        <w:rPr>
          <w:rFonts w:ascii="Times New Roman" w:eastAsia="Times New Roman" w:hAnsi="Times New Roman" w:cs="Times New Roman"/>
          <w:color w:val="000000"/>
          <w:sz w:val="24"/>
          <w:szCs w:val="24"/>
          <w:lang w:eastAsia="lv-LV"/>
        </w:rPr>
        <w:t xml:space="preserve">. </w:t>
      </w:r>
    </w:p>
    <w:p w14:paraId="47DFA0E0" w14:textId="77777777" w:rsidR="0034498F" w:rsidRPr="0015154B" w:rsidRDefault="0034498F" w:rsidP="0034498F">
      <w:pPr>
        <w:spacing w:after="0" w:line="240" w:lineRule="auto"/>
        <w:rPr>
          <w:rFonts w:ascii="Times New Roman" w:eastAsia="Times New Roman" w:hAnsi="Times New Roman" w:cs="Times New Roman"/>
          <w:sz w:val="24"/>
          <w:szCs w:val="24"/>
          <w:lang w:eastAsia="lv-LV"/>
        </w:rPr>
      </w:pPr>
    </w:p>
    <w:p w14:paraId="488277E4" w14:textId="47F599AE" w:rsidR="0034498F" w:rsidRPr="0015154B" w:rsidRDefault="0034498F" w:rsidP="00DA5144">
      <w:pPr>
        <w:pStyle w:val="Heading2"/>
      </w:pPr>
      <w:bookmarkStart w:id="74" w:name="_Toc55316109"/>
      <w:r w:rsidRPr="0015154B">
        <w:t>Sociālo darbinieku atalgojuma sistēma</w:t>
      </w:r>
      <w:bookmarkEnd w:id="74"/>
    </w:p>
    <w:p w14:paraId="3AD8288B" w14:textId="10C7B992"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Profesionāla sociālā darba attīstības pamatnostādnēs 2014.-2020. gadam kā viena no problēmām tika minēta sociālā darba studiju programmu absolventu “aizplūšana” no nozares. Minētā problēma saistīta ar pasākumu kopumu, t.sk., neadekvāts</w:t>
      </w:r>
      <w:r w:rsidRPr="0015154B">
        <w:rPr>
          <w:rFonts w:ascii="Times New Roman" w:eastAsia="Times New Roman" w:hAnsi="Times New Roman" w:cs="Times New Roman"/>
          <w:b/>
          <w:bCs/>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atalgojums</w:t>
      </w:r>
      <w:r w:rsidRPr="0015154B">
        <w:rPr>
          <w:rFonts w:ascii="Times New Roman" w:eastAsia="Times New Roman" w:hAnsi="Times New Roman" w:cs="Times New Roman"/>
          <w:b/>
          <w:bCs/>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kā arī</w:t>
      </w:r>
      <w:r w:rsidRPr="0015154B">
        <w:rPr>
          <w:rFonts w:ascii="Times New Roman" w:eastAsia="Times New Roman" w:hAnsi="Times New Roman" w:cs="Times New Roman"/>
          <w:b/>
          <w:bCs/>
          <w:color w:val="000000"/>
          <w:sz w:val="24"/>
          <w:szCs w:val="24"/>
          <w:lang w:eastAsia="lv-LV"/>
        </w:rPr>
        <w:t xml:space="preserve"> </w:t>
      </w:r>
      <w:r w:rsidRPr="0015154B">
        <w:rPr>
          <w:rFonts w:ascii="Times New Roman" w:eastAsia="Times New Roman" w:hAnsi="Times New Roman" w:cs="Times New Roman"/>
          <w:color w:val="000000"/>
          <w:sz w:val="24"/>
          <w:szCs w:val="24"/>
          <w:lang w:eastAsia="lv-LV"/>
        </w:rPr>
        <w:t>nemotivējoša un necaurskatāma atalgojuma noteikšanas sistēma.</w:t>
      </w:r>
      <w:r w:rsidR="00FC3D33"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color w:val="000000"/>
          <w:sz w:val="24"/>
          <w:szCs w:val="24"/>
          <w:lang w:eastAsia="lv-LV"/>
        </w:rPr>
        <w:t>Valsts kanceleja ir izstrādājusi grozījumus Valsts un pašvaldību institūciju amatpersonu un darbinieku atlīdzības likumā, kurā dots deleģējums Ministru kabinetam noteikt Valsts un pašvaldību institūciju amatu katalogu. Amatu katalogs ir pamats darba samaksas noteikšanai pašvaldību iestādēs, tajā skaitā arī sociālajā dienestā. Labklājības ministrija, atsaucoties Valsts kancelejas aicinājumam, sadarbībā ar Sociālā darba speciālistu sadarbības padomi, ir izstrādājusi jaunu sociālā darba saimes (42.1.) aprakstu, kas ir amatu kataloga projekta sastāvdaļa. Jaunajā sociālā darba saimes aprakstā ir gan saturiskas, gan strukturālas izmaiņas</w:t>
      </w:r>
      <w:r w:rsidR="00A94B98">
        <w:rPr>
          <w:rFonts w:ascii="Times New Roman" w:eastAsia="Times New Roman" w:hAnsi="Times New Roman" w:cs="Times New Roman"/>
          <w:color w:val="000000"/>
          <w:sz w:val="24"/>
          <w:szCs w:val="24"/>
          <w:lang w:eastAsia="lv-LV"/>
        </w:rPr>
        <w:t xml:space="preserve">, salīdzinot ar </w:t>
      </w:r>
      <w:r w:rsidRPr="0015154B">
        <w:rPr>
          <w:rFonts w:ascii="Times New Roman" w:eastAsia="Times New Roman" w:hAnsi="Times New Roman" w:cs="Times New Roman"/>
          <w:color w:val="000000"/>
          <w:sz w:val="24"/>
          <w:szCs w:val="24"/>
          <w:lang w:eastAsia="lv-LV"/>
        </w:rPr>
        <w:t>iepriekšējo (pašlaik spēkā esošo). Būtiskākās izmaiņas: (a) sociālais darbs kā profesionāla darbība norit trijos prakses līmeņos – mikro, mezo, makro; (b) iekļauti arī citi amati, piem., ģimenes asistents, sociālais pedagogs, speciālists bērnu tiesību aizsardzības jautājumos, pavadonis, asistents; (c) amati ir klasificēti līmeņos tā, lai darba samaksa tiktu noteikta atkarībā no veicamajiem uzdevumiem, no atbildības, no izglītības un no profesionālās pieredzes.</w:t>
      </w:r>
      <w:r w:rsidR="00FC3D33"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color w:val="000000"/>
          <w:sz w:val="24"/>
          <w:szCs w:val="24"/>
          <w:lang w:eastAsia="lv-LV"/>
        </w:rPr>
        <w:t>Līdz ar jaunā Amatu kataloga apstiprināšanu Ministru kabinetā tiks radīts tiesiskais ietvars tam, lai pašvaldību iestādēs sociālā darba jomā strādājošajiem speciālistiem atalgojuma noteikšana būtu caurskatāma un motivējoša.</w:t>
      </w:r>
    </w:p>
    <w:p w14:paraId="11983A89" w14:textId="77777777" w:rsidR="0034498F" w:rsidRPr="0015154B" w:rsidRDefault="0034498F" w:rsidP="00AC38FA">
      <w:pPr>
        <w:spacing w:before="120" w:after="0" w:line="240" w:lineRule="auto"/>
        <w:ind w:right="45" w:firstLine="709"/>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ESF Projekta ietvaros tiks izstrādāta kvalitātes vadības sistēma sociālajos dienestos. Būtiska sastāvdaļa tajā būs darba samaksas kritēriju noteikšana, kas tiks balstīta optimālā sociālā darbinieka slodzes apjomā. Līdz šim ir izstrādātas četras metodikas sociālajam darbam (ar pilngadīgām personām ar garīga rakstura traucējumiem; ar vardarbībā cietušām un vardarbību veikušām personām; ar atkarīgām un līdzatkarīgām personām; ģimenēm ar bērniem), no kurām secināms, ka vienam sociālajam darbiniekam, kurš strādā kā gadījuma vadītājs ar kādu no minētajām klientu mērķgrupām, optimāla slodze būtu nosakāma ap 15-20 aktīvas klientu lietas vienlaicīgi (te nav runa par krīzes intervences gadījumiem, par psihosociālo darbu vai citu specifiku).</w:t>
      </w:r>
    </w:p>
    <w:p w14:paraId="222D06A3" w14:textId="12710D64" w:rsidR="0034498F" w:rsidRPr="0015154B" w:rsidRDefault="0034498F" w:rsidP="00AC38FA">
      <w:pPr>
        <w:spacing w:before="120" w:after="0" w:line="240" w:lineRule="auto"/>
        <w:ind w:right="45" w:firstLine="720"/>
        <w:jc w:val="both"/>
        <w:rPr>
          <w:rFonts w:ascii="Times New Roman" w:eastAsia="Times New Roman" w:hAnsi="Times New Roman" w:cs="Times New Roman"/>
          <w:sz w:val="24"/>
          <w:szCs w:val="24"/>
          <w:lang w:eastAsia="lv-LV"/>
        </w:rPr>
      </w:pPr>
      <w:r w:rsidRPr="0015154B">
        <w:rPr>
          <w:rFonts w:ascii="Times New Roman" w:eastAsia="Times New Roman" w:hAnsi="Times New Roman" w:cs="Times New Roman"/>
          <w:color w:val="000000"/>
          <w:sz w:val="24"/>
          <w:szCs w:val="24"/>
          <w:lang w:eastAsia="lv-LV"/>
        </w:rPr>
        <w:t>Cits darba samaksas kritērijs ir darba kvalitātes rādītāji, kam nepieciešama darba kvalitātes novērtēšana.</w:t>
      </w:r>
      <w:r w:rsidR="00FC3D33" w:rsidRPr="0015154B">
        <w:rPr>
          <w:rFonts w:ascii="Times New Roman" w:eastAsia="Times New Roman" w:hAnsi="Times New Roman" w:cs="Times New Roman"/>
          <w:sz w:val="24"/>
          <w:szCs w:val="24"/>
          <w:lang w:eastAsia="lv-LV"/>
        </w:rPr>
        <w:t xml:space="preserve"> </w:t>
      </w:r>
      <w:r w:rsidRPr="0015154B">
        <w:rPr>
          <w:rFonts w:ascii="Times New Roman" w:eastAsia="Times New Roman" w:hAnsi="Times New Roman" w:cs="Times New Roman"/>
          <w:color w:val="000000"/>
          <w:sz w:val="24"/>
          <w:szCs w:val="24"/>
          <w:lang w:eastAsia="lv-LV"/>
        </w:rPr>
        <w:t>Divi iepriekš minētie darba samaksas noteikšanas kritēriji – slodzes apjoms un darba kvalitātes rādītāji, kombinācijā ar Amatu katalogā iestrādāto pieeju par izglītības un profesionālās pieredzes ietekmi uz darba samaksu, būs pamats darba samaksas noteikšanai sociālajiem darbiniekiem.</w:t>
      </w:r>
    </w:p>
    <w:p w14:paraId="49FDB4BA" w14:textId="767A8020" w:rsidR="006253A4" w:rsidRPr="0015154B" w:rsidRDefault="006253A4" w:rsidP="006253A4">
      <w:pPr>
        <w:autoSpaceDE w:val="0"/>
        <w:autoSpaceDN w:val="0"/>
        <w:adjustRightInd w:val="0"/>
        <w:spacing w:after="0" w:line="240" w:lineRule="auto"/>
        <w:jc w:val="both"/>
        <w:rPr>
          <w:rFonts w:ascii="Times New Roman" w:hAnsi="Times New Roman" w:cs="Times New Roman"/>
          <w:sz w:val="24"/>
          <w:szCs w:val="24"/>
        </w:rPr>
      </w:pPr>
    </w:p>
    <w:p w14:paraId="0ECD7590" w14:textId="5492302E" w:rsidR="006253A4" w:rsidRPr="007157D3" w:rsidRDefault="00FC3D33" w:rsidP="007A27EB">
      <w:pPr>
        <w:spacing w:after="0" w:line="240" w:lineRule="auto"/>
        <w:rPr>
          <w:rFonts w:ascii="Times New Roman" w:hAnsi="Times New Roman" w:cs="Times New Roman"/>
          <w:sz w:val="24"/>
          <w:szCs w:val="24"/>
          <w:lang w:eastAsia="lv-LV"/>
        </w:rPr>
      </w:pPr>
      <w:r w:rsidRPr="00C63513">
        <w:rPr>
          <w:rFonts w:ascii="Times New Roman" w:hAnsi="Times New Roman" w:cs="Times New Roman"/>
          <w:noProof/>
          <w:sz w:val="24"/>
          <w:szCs w:val="24"/>
        </w:rPr>
        <w:lastRenderedPageBreak/>
        <mc:AlternateContent>
          <mc:Choice Requires="wpg">
            <w:drawing>
              <wp:inline distT="0" distB="0" distL="0" distR="0" wp14:anchorId="25253F70" wp14:editId="266BD629">
                <wp:extent cx="5416062" cy="2628900"/>
                <wp:effectExtent l="0" t="0" r="0" b="0"/>
                <wp:docPr id="7" name="Group 7"/>
                <wp:cNvGraphicFramePr/>
                <a:graphic xmlns:a="http://schemas.openxmlformats.org/drawingml/2006/main">
                  <a:graphicData uri="http://schemas.microsoft.com/office/word/2010/wordprocessingGroup">
                    <wpg:wgp>
                      <wpg:cNvGrpSpPr/>
                      <wpg:grpSpPr>
                        <a:xfrm>
                          <a:off x="0" y="0"/>
                          <a:ext cx="5416062" cy="2628900"/>
                          <a:chOff x="0" y="0"/>
                          <a:chExt cx="3567448" cy="1539569"/>
                        </a:xfrm>
                      </wpg:grpSpPr>
                      <wps:wsp>
                        <wps:cNvPr id="50" name="Rectangle 50"/>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A20DF7" w14:textId="6478B50F" w:rsidR="00D67CF6" w:rsidRPr="00825BD5" w:rsidRDefault="00D67CF6">
                              <w:pPr>
                                <w:jc w:val="center"/>
                                <w:rPr>
                                  <w:rFonts w:ascii="Times New Roman" w:eastAsiaTheme="majorEastAsia" w:hAnsi="Times New Roman" w:cs="Times New Roman"/>
                                  <w:b/>
                                  <w:color w:val="FFFFFF" w:themeColor="background1"/>
                                  <w:sz w:val="24"/>
                                  <w:szCs w:val="28"/>
                                </w:rPr>
                              </w:pPr>
                              <w:r>
                                <w:rPr>
                                  <w:rFonts w:ascii="Times New Roman" w:eastAsiaTheme="majorEastAsia" w:hAnsi="Times New Roman" w:cs="Times New Roman"/>
                                  <w:b/>
                                  <w:color w:val="FFFFFF" w:themeColor="background1"/>
                                  <w:sz w:val="24"/>
                                  <w:szCs w:val="28"/>
                                </w:rPr>
                                <w:t>IZAICINĀJUMI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Text Box 52"/>
                        <wps:cNvSpPr txBox="1"/>
                        <wps:spPr>
                          <a:xfrm>
                            <a:off x="0" y="252695"/>
                            <a:ext cx="3567448" cy="1286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366174" w14:textId="5633F5EB" w:rsidR="00D67CF6" w:rsidRPr="00FC3D33"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FC3D33">
                                <w:rPr>
                                  <w:rFonts w:ascii="Times New Roman" w:hAnsi="Times New Roman" w:cs="Times New Roman"/>
                                  <w:color w:val="549E39" w:themeColor="accent1"/>
                                  <w:sz w:val="24"/>
                                  <w:szCs w:val="24"/>
                                </w:rPr>
                                <w:t>Pieaugošs pieprasījums pēc augsti kvalificētiem un specializētiem sociālajiem darbiniekiem dienestos un dažādu jomu institūcijās</w:t>
                              </w:r>
                            </w:p>
                            <w:p w14:paraId="226E2099" w14:textId="0CEE9F4A" w:rsidR="00D67CF6" w:rsidRPr="00FC3D33"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FC3D33">
                                <w:rPr>
                                  <w:rFonts w:ascii="Times New Roman" w:hAnsi="Times New Roman" w:cs="Times New Roman"/>
                                  <w:color w:val="549E39" w:themeColor="accent1"/>
                                  <w:sz w:val="24"/>
                                  <w:szCs w:val="24"/>
                                </w:rPr>
                                <w:t>Nepilnības sociālā darba jomas izglītībā, kas negatīvi ietekmē jauno speciālistu profesionāl</w:t>
                              </w:r>
                              <w:r>
                                <w:rPr>
                                  <w:rFonts w:ascii="Times New Roman" w:hAnsi="Times New Roman" w:cs="Times New Roman"/>
                                  <w:color w:val="549E39" w:themeColor="accent1"/>
                                  <w:sz w:val="24"/>
                                  <w:szCs w:val="24"/>
                                </w:rPr>
                                <w:t>o</w:t>
                              </w:r>
                              <w:r w:rsidRPr="00FC3D33">
                                <w:rPr>
                                  <w:rFonts w:ascii="Times New Roman" w:hAnsi="Times New Roman" w:cs="Times New Roman"/>
                                  <w:color w:val="549E39" w:themeColor="accent1"/>
                                  <w:sz w:val="24"/>
                                  <w:szCs w:val="24"/>
                                </w:rPr>
                                <w:t xml:space="preserve"> piemērotību, iegūto teorētisko un praktisko zināšanu sasaisti un kvalitāti</w:t>
                              </w:r>
                            </w:p>
                            <w:p w14:paraId="4B212760" w14:textId="76AFBA5F" w:rsidR="00D67CF6" w:rsidRPr="00FC3D33"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FC3D33">
                                <w:rPr>
                                  <w:rFonts w:ascii="Times New Roman" w:hAnsi="Times New Roman" w:cs="Times New Roman"/>
                                  <w:color w:val="549E39" w:themeColor="accent1"/>
                                  <w:sz w:val="24"/>
                                  <w:szCs w:val="24"/>
                                </w:rPr>
                                <w:t>Nepietiekams skaits supervizoru un nepietiekama iesaiste supervīzijās</w:t>
                              </w:r>
                            </w:p>
                            <w:p w14:paraId="4E8DC559" w14:textId="55471676" w:rsidR="00D67CF6" w:rsidRPr="00FC3D33"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FC3D33">
                                <w:rPr>
                                  <w:rFonts w:ascii="Times New Roman" w:hAnsi="Times New Roman" w:cs="Times New Roman"/>
                                  <w:color w:val="549E39" w:themeColor="accent1"/>
                                  <w:sz w:val="24"/>
                                  <w:szCs w:val="24"/>
                                </w:rPr>
                                <w:t>Sociālo darbinieku vienotas profesionālās prakses noteikšana un esošo administratīvo šķēršļu novēršana</w:t>
                              </w:r>
                            </w:p>
                            <w:p w14:paraId="23359791" w14:textId="224EA77A" w:rsidR="00D67CF6" w:rsidRPr="00770C49"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770C49">
                                <w:rPr>
                                  <w:rFonts w:ascii="Times New Roman" w:hAnsi="Times New Roman" w:cs="Times New Roman"/>
                                  <w:color w:val="549E39" w:themeColor="accent1"/>
                                  <w:sz w:val="24"/>
                                  <w:szCs w:val="24"/>
                                </w:rPr>
                                <w:t>Augstās sociālo darbinieku noslodzes un cilvēkresursu trūkuma negatīvā ietekme uz preventīvā darba attīstību</w:t>
                              </w:r>
                            </w:p>
                            <w:p w14:paraId="3E7BC059" w14:textId="474FAA8F" w:rsidR="00D67CF6" w:rsidRPr="00770C49"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770C49">
                                <w:rPr>
                                  <w:rFonts w:ascii="Times New Roman" w:hAnsi="Times New Roman" w:cs="Times New Roman"/>
                                  <w:color w:val="549E39" w:themeColor="accent1"/>
                                  <w:sz w:val="24"/>
                                  <w:szCs w:val="24"/>
                                </w:rPr>
                                <w:t>Zems soc</w:t>
                              </w:r>
                              <w:r>
                                <w:rPr>
                                  <w:rFonts w:ascii="Times New Roman" w:hAnsi="Times New Roman" w:cs="Times New Roman"/>
                                  <w:color w:val="549E39" w:themeColor="accent1"/>
                                  <w:sz w:val="24"/>
                                  <w:szCs w:val="24"/>
                                </w:rPr>
                                <w:t>i</w:t>
                              </w:r>
                              <w:r w:rsidRPr="00770C49">
                                <w:rPr>
                                  <w:rFonts w:ascii="Times New Roman" w:hAnsi="Times New Roman" w:cs="Times New Roman"/>
                                  <w:color w:val="549E39" w:themeColor="accent1"/>
                                  <w:sz w:val="24"/>
                                  <w:szCs w:val="24"/>
                                </w:rPr>
                                <w:t>ālā darba prestižs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25253F70" id="Group 7" o:spid="_x0000_s1048" style="width:426.45pt;height:207pt;mso-position-horizontal-relative:char;mso-position-vertical-relative:line"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">
                <v:rect id="Rectangle 50" o:spid="_x0000_s1049"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" fillcolor="#549e39 [3204]" stroked="f" strokeweight="1pt">
                  <v:textbox>
                    <w:txbxContent>
                      <w:p w14:paraId="42A20DF7" w14:textId="6478B50F" w:rsidR="00D67CF6" w:rsidRPr="00825BD5" w:rsidRDefault="00D67CF6">
                        <w:pPr>
                          <w:jc w:val="center"/>
                          <w:rPr>
                            <w:rFonts w:ascii="Times New Roman" w:eastAsiaTheme="majorEastAsia" w:hAnsi="Times New Roman" w:cs="Times New Roman"/>
                            <w:b/>
                            <w:color w:val="FFFFFF" w:themeColor="background1"/>
                            <w:sz w:val="24"/>
                            <w:szCs w:val="28"/>
                          </w:rPr>
                        </w:pPr>
                        <w:r>
                          <w:rPr>
                            <w:rFonts w:ascii="Times New Roman" w:eastAsiaTheme="majorEastAsia" w:hAnsi="Times New Roman" w:cs="Times New Roman"/>
                            <w:b/>
                            <w:color w:val="FFFFFF" w:themeColor="background1"/>
                            <w:sz w:val="24"/>
                            <w:szCs w:val="28"/>
                          </w:rPr>
                          <w:t>IZAICINĀJUMI</w:t>
                        </w:r>
                      </w:p>
                    </w:txbxContent>
                  </v:textbox>
                </v:rect>
                <v:shape id="Text Box 52" o:spid="_x0000_s1050"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" filled="f" stroked="f" strokeweight=".5pt">
                  <v:textbox inset=",7.2pt,,0">
                    <w:txbxContent>
                      <w:p w14:paraId="0C366174" w14:textId="5633F5EB" w:rsidR="00D67CF6" w:rsidRPr="00FC3D33"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FC3D33">
                          <w:rPr>
                            <w:rFonts w:ascii="Times New Roman" w:hAnsi="Times New Roman" w:cs="Times New Roman"/>
                            <w:color w:val="549E39" w:themeColor="accent1"/>
                            <w:sz w:val="24"/>
                            <w:szCs w:val="24"/>
                          </w:rPr>
                          <w:t>Pieaugošs pieprasījums pēc augsti kvalificētiem un specializētiem sociālajiem darbiniekiem dienestos un dažādu jomu institūcijās</w:t>
                        </w:r>
                      </w:p>
                      <w:p w14:paraId="226E2099" w14:textId="0CEE9F4A" w:rsidR="00D67CF6" w:rsidRPr="00FC3D33"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FC3D33">
                          <w:rPr>
                            <w:rFonts w:ascii="Times New Roman" w:hAnsi="Times New Roman" w:cs="Times New Roman"/>
                            <w:color w:val="549E39" w:themeColor="accent1"/>
                            <w:sz w:val="24"/>
                            <w:szCs w:val="24"/>
                          </w:rPr>
                          <w:t>Nepilnības sociālā darba jomas izglītībā, kas negatīvi ietekmē jauno speciālistu profesionāl</w:t>
                        </w:r>
                        <w:r>
                          <w:rPr>
                            <w:rFonts w:ascii="Times New Roman" w:hAnsi="Times New Roman" w:cs="Times New Roman"/>
                            <w:color w:val="549E39" w:themeColor="accent1"/>
                            <w:sz w:val="24"/>
                            <w:szCs w:val="24"/>
                          </w:rPr>
                          <w:t>o</w:t>
                        </w:r>
                        <w:r w:rsidRPr="00FC3D33">
                          <w:rPr>
                            <w:rFonts w:ascii="Times New Roman" w:hAnsi="Times New Roman" w:cs="Times New Roman"/>
                            <w:color w:val="549E39" w:themeColor="accent1"/>
                            <w:sz w:val="24"/>
                            <w:szCs w:val="24"/>
                          </w:rPr>
                          <w:t xml:space="preserve"> piemērotību, iegūto teorētisko un praktisko zināšanu sasaisti un kvalitāti</w:t>
                        </w:r>
                      </w:p>
                      <w:p w14:paraId="4B212760" w14:textId="76AFBA5F" w:rsidR="00D67CF6" w:rsidRPr="00FC3D33"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FC3D33">
                          <w:rPr>
                            <w:rFonts w:ascii="Times New Roman" w:hAnsi="Times New Roman" w:cs="Times New Roman"/>
                            <w:color w:val="549E39" w:themeColor="accent1"/>
                            <w:sz w:val="24"/>
                            <w:szCs w:val="24"/>
                          </w:rPr>
                          <w:t>Nepietiekams skaits supervizoru un nepietiekama iesaiste supervīzijās</w:t>
                        </w:r>
                      </w:p>
                      <w:p w14:paraId="4E8DC559" w14:textId="55471676" w:rsidR="00D67CF6" w:rsidRPr="00FC3D33"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FC3D33">
                          <w:rPr>
                            <w:rFonts w:ascii="Times New Roman" w:hAnsi="Times New Roman" w:cs="Times New Roman"/>
                            <w:color w:val="549E39" w:themeColor="accent1"/>
                            <w:sz w:val="24"/>
                            <w:szCs w:val="24"/>
                          </w:rPr>
                          <w:t>Sociālo darbinieku vienotas profesionālās prakses noteikšana un esošo administratīvo šķēršļu novēršana</w:t>
                        </w:r>
                      </w:p>
                      <w:p w14:paraId="23359791" w14:textId="224EA77A" w:rsidR="00D67CF6" w:rsidRPr="00770C49"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770C49">
                          <w:rPr>
                            <w:rFonts w:ascii="Times New Roman" w:hAnsi="Times New Roman" w:cs="Times New Roman"/>
                            <w:color w:val="549E39" w:themeColor="accent1"/>
                            <w:sz w:val="24"/>
                            <w:szCs w:val="24"/>
                          </w:rPr>
                          <w:t>Augstās sociālo darbinieku noslodzes un cilvēkresursu trūkuma negatīvā ietekme uz preventīvā darba attīstību</w:t>
                        </w:r>
                      </w:p>
                      <w:p w14:paraId="3E7BC059" w14:textId="474FAA8F" w:rsidR="00D67CF6" w:rsidRPr="00770C49" w:rsidRDefault="00D67CF6" w:rsidP="00974071">
                        <w:pPr>
                          <w:pStyle w:val="ListParagraph"/>
                          <w:numPr>
                            <w:ilvl w:val="0"/>
                            <w:numId w:val="54"/>
                          </w:numPr>
                          <w:spacing w:after="0" w:line="240" w:lineRule="auto"/>
                          <w:rPr>
                            <w:rFonts w:ascii="Times New Roman" w:hAnsi="Times New Roman" w:cs="Times New Roman"/>
                            <w:color w:val="549E39" w:themeColor="accent1"/>
                            <w:sz w:val="24"/>
                            <w:szCs w:val="24"/>
                          </w:rPr>
                        </w:pPr>
                        <w:r w:rsidRPr="00770C49">
                          <w:rPr>
                            <w:rFonts w:ascii="Times New Roman" w:hAnsi="Times New Roman" w:cs="Times New Roman"/>
                            <w:color w:val="549E39" w:themeColor="accent1"/>
                            <w:sz w:val="24"/>
                            <w:szCs w:val="24"/>
                          </w:rPr>
                          <w:t>Zems soc</w:t>
                        </w:r>
                        <w:r>
                          <w:rPr>
                            <w:rFonts w:ascii="Times New Roman" w:hAnsi="Times New Roman" w:cs="Times New Roman"/>
                            <w:color w:val="549E39" w:themeColor="accent1"/>
                            <w:sz w:val="24"/>
                            <w:szCs w:val="24"/>
                          </w:rPr>
                          <w:t>i</w:t>
                        </w:r>
                        <w:r w:rsidRPr="00770C49">
                          <w:rPr>
                            <w:rFonts w:ascii="Times New Roman" w:hAnsi="Times New Roman" w:cs="Times New Roman"/>
                            <w:color w:val="549E39" w:themeColor="accent1"/>
                            <w:sz w:val="24"/>
                            <w:szCs w:val="24"/>
                          </w:rPr>
                          <w:t>ālā darba prestižs</w:t>
                        </w:r>
                      </w:p>
                    </w:txbxContent>
                  </v:textbox>
                </v:shape>
                <w10:anchorlock/>
              </v:group>
            </w:pict>
          </mc:Fallback>
        </mc:AlternateContent>
      </w:r>
    </w:p>
    <w:p w14:paraId="64834A4F" w14:textId="4D7FE5AD" w:rsidR="00FC3D33" w:rsidRPr="007157D3" w:rsidRDefault="00FC3D33" w:rsidP="007A27EB">
      <w:pPr>
        <w:spacing w:after="0" w:line="240" w:lineRule="auto"/>
        <w:rPr>
          <w:rFonts w:ascii="Times New Roman" w:hAnsi="Times New Roman" w:cs="Times New Roman"/>
          <w:sz w:val="24"/>
          <w:szCs w:val="24"/>
          <w:lang w:eastAsia="lv-LV"/>
        </w:rPr>
      </w:pPr>
    </w:p>
    <w:p w14:paraId="59DF8342" w14:textId="77777777" w:rsidR="00FC3D33" w:rsidRPr="007157D3" w:rsidRDefault="00FC3D33" w:rsidP="007A27EB">
      <w:pPr>
        <w:spacing w:after="0" w:line="240" w:lineRule="auto"/>
        <w:rPr>
          <w:rFonts w:ascii="Times New Roman" w:hAnsi="Times New Roman" w:cs="Times New Roman"/>
          <w:sz w:val="24"/>
          <w:szCs w:val="24"/>
          <w:lang w:eastAsia="lv-LV"/>
        </w:rPr>
      </w:pPr>
    </w:p>
    <w:bookmarkEnd w:id="57"/>
    <w:p w14:paraId="7A38C65D" w14:textId="77777777" w:rsidR="00912F9E" w:rsidRPr="002F5278" w:rsidRDefault="00912F9E">
      <w:pPr>
        <w:rPr>
          <w:rFonts w:ascii="Times New Roman" w:hAnsi="Times New Roman"/>
          <w:b/>
          <w:bCs/>
          <w:sz w:val="28"/>
          <w:szCs w:val="28"/>
        </w:rPr>
      </w:pPr>
      <w:r w:rsidRPr="002F5278">
        <w:rPr>
          <w:rFonts w:ascii="Times New Roman" w:hAnsi="Times New Roman"/>
          <w:b/>
          <w:bCs/>
          <w:sz w:val="28"/>
          <w:szCs w:val="28"/>
        </w:rPr>
        <w:br w:type="page"/>
      </w:r>
    </w:p>
    <w:p w14:paraId="717E5660" w14:textId="6060BCD3" w:rsidR="00D6309F" w:rsidRPr="002F5278" w:rsidRDefault="00D6309F" w:rsidP="00EC7537">
      <w:pPr>
        <w:pStyle w:val="Heading1"/>
      </w:pPr>
      <w:bookmarkStart w:id="75" w:name="_Toc55316110"/>
      <w:r w:rsidRPr="002F5278">
        <w:lastRenderedPageBreak/>
        <w:t>Mazāk aizsargāto personu pieeja tiesiskumam</w:t>
      </w:r>
      <w:bookmarkEnd w:id="75"/>
    </w:p>
    <w:p w14:paraId="2CAD43AC" w14:textId="6C086C74"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573B49">
        <w:rPr>
          <w:rFonts w:ascii="Times New Roman" w:hAnsi="Times New Roman"/>
          <w:sz w:val="24"/>
          <w:szCs w:val="24"/>
        </w:rPr>
        <w:t xml:space="preserve">Vienlīdzīgas pieejas tiesiskumam neesamība, juridisko problēmu savlaicīga nerisināšana būtiski palielina sociālās atstumtības un nabadzības risku, ietekmē personas materiālo un fizisko stāvokli. Tas var atstāt ietekmi uz veselību, nodarbinātību, produktivitāti, ģimenes stabilitāti, izglītības iespējām bērniem, paaugstinot vardarbības riskus. Tādas mērķa grupas kā </w:t>
      </w:r>
      <w:r w:rsidR="0011371F" w:rsidRPr="0025422D">
        <w:rPr>
          <w:rFonts w:ascii="Times New Roman" w:hAnsi="Times New Roman"/>
          <w:sz w:val="24"/>
          <w:szCs w:val="24"/>
        </w:rPr>
        <w:t>personas ar</w:t>
      </w:r>
      <w:r w:rsidRPr="00A857F2">
        <w:rPr>
          <w:rFonts w:ascii="Times New Roman" w:hAnsi="Times New Roman"/>
          <w:sz w:val="24"/>
          <w:szCs w:val="24"/>
        </w:rPr>
        <w:t xml:space="preserve"> funkcionāliem traucējumiem vai invalidit</w:t>
      </w:r>
      <w:r w:rsidRPr="00662D1E">
        <w:rPr>
          <w:rFonts w:ascii="Times New Roman" w:hAnsi="Times New Roman"/>
          <w:sz w:val="24"/>
          <w:szCs w:val="24"/>
        </w:rPr>
        <w:t xml:space="preserve">āti, </w:t>
      </w:r>
      <w:r w:rsidR="0011371F" w:rsidRPr="009703E6">
        <w:rPr>
          <w:rFonts w:ascii="Times New Roman" w:hAnsi="Times New Roman"/>
          <w:sz w:val="24"/>
          <w:szCs w:val="24"/>
        </w:rPr>
        <w:t>personas ar GRT,</w:t>
      </w:r>
      <w:r w:rsidRPr="0015154B">
        <w:rPr>
          <w:rFonts w:ascii="Times New Roman" w:hAnsi="Times New Roman"/>
          <w:sz w:val="24"/>
          <w:szCs w:val="24"/>
        </w:rPr>
        <w:t xml:space="preserve"> </w:t>
      </w:r>
      <w:r w:rsidR="0011371F" w:rsidRPr="0015154B">
        <w:rPr>
          <w:rFonts w:ascii="Times New Roman" w:hAnsi="Times New Roman"/>
          <w:sz w:val="24"/>
          <w:szCs w:val="24"/>
        </w:rPr>
        <w:t>ilgtermiņa aprūpē esošas personas</w:t>
      </w:r>
      <w:r w:rsidRPr="0015154B">
        <w:rPr>
          <w:rFonts w:ascii="Times New Roman" w:hAnsi="Times New Roman"/>
          <w:sz w:val="24"/>
          <w:szCs w:val="24"/>
        </w:rPr>
        <w:t>, viņu ģimenes locekļi/neformālie aprūpētāji, bezpajumtnieki, ielu bērni un jaunieši, no atkarību vielām un procesiem atkarīgas personas, ilgstošie bezdarbnieki, personas, kuras atbrīvotas no ieslodzījuma vietas, probācijas klienti, personas, kuras ieguvušas bēgļa vai alternatīvās personas statusu</w:t>
      </w:r>
      <w:r w:rsidR="0011371F" w:rsidRPr="0015154B">
        <w:rPr>
          <w:rFonts w:ascii="Times New Roman" w:hAnsi="Times New Roman"/>
          <w:sz w:val="24"/>
          <w:szCs w:val="24"/>
        </w:rPr>
        <w:t>,</w:t>
      </w:r>
      <w:r w:rsidRPr="0015154B">
        <w:rPr>
          <w:rFonts w:ascii="Times New Roman" w:hAnsi="Times New Roman"/>
          <w:sz w:val="24"/>
          <w:szCs w:val="24"/>
        </w:rPr>
        <w:t xml:space="preserve"> ir tās, kurām jo īpaši ir nepieciešams nodrošināt savlaicīgu pieeju tiesiskajiem instrumentiem savu tiesību un pienākumu realizācijai un aizstāvībai. </w:t>
      </w:r>
    </w:p>
    <w:p w14:paraId="0E09E259" w14:textId="77777777"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 xml:space="preserve">Latvijā šobrīd pastāv dažādas </w:t>
      </w:r>
      <w:r w:rsidRPr="0015154B">
        <w:rPr>
          <w:rFonts w:ascii="Times New Roman" w:hAnsi="Times New Roman"/>
          <w:b/>
          <w:sz w:val="24"/>
          <w:szCs w:val="24"/>
        </w:rPr>
        <w:t>atbalsta sistēmas</w:t>
      </w:r>
      <w:r w:rsidRPr="0015154B">
        <w:rPr>
          <w:rFonts w:ascii="Times New Roman" w:hAnsi="Times New Roman"/>
          <w:sz w:val="24"/>
          <w:szCs w:val="24"/>
        </w:rPr>
        <w:t xml:space="preserve"> dažādu sociālo grupu cilvēkiem juridisku jautājumu risināšanai. Šīs atbalsta sistēmas nodrošina gan valsts, gan pašvaldība, to īstenošana var būt deleģēta nevalstiskajām organizācijām vai realizēta uz brīvprātīgas iniciatīvas pamata. Bieži šīs iniciatīvas tiek īstenotas atsevišķu projektu veidā vai publisko iepirkumu ietvaros. Attiecīgi daļa no iniciatīvām ir pastāvīgas, bet daļa – atkarīgas no konkrētā projekta laika ietvara vai nākamā iepirkuma rezultātiem. Tomēr šīs pastāvošās iespējas nav sistemātiskas un vienlīdz pieejamas visiem Latvijas iedzīvotājiem vai visā Latvijā dzīvojošiem mērķa grupas pārstāvjiem gan tādēļ, ka atšķiras valsts un pašvaldību iespējas un prakse, gan tādēļ, ka atšķiras personu zināšanas par savām tiesībām un iespējām.</w:t>
      </w:r>
    </w:p>
    <w:p w14:paraId="2C3D2109" w14:textId="77777777"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Līdz ar to nenoliedzami ir jāsaglabā un tai pat laikā nekavējoši jāpaplašina esošās iespējas mērķa grupai saņemt atbalstu gan pašvaldībās, gan NVO, gan iestādēs, pamatojot šo atbalstu ar valsts pārvaldes pienākumu pēc iespējas pilnveidot un vienkāršot savus pakalpojumus, kā arī nodrošināt privātpersonu tiesību ievērošanu. Šim atbalstam ir jābūt pastāvīgam un brīvi pieejamam, kas nodrošinātu sistemātisku atbalstu personām dažādu juridisku jautājumu risināšanā.</w:t>
      </w:r>
    </w:p>
    <w:p w14:paraId="2BC7B30B" w14:textId="77777777"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 xml:space="preserve">Šobrīd saskaņā ar </w:t>
      </w:r>
      <w:r w:rsidRPr="0015154B">
        <w:rPr>
          <w:rFonts w:ascii="Times New Roman" w:hAnsi="Times New Roman"/>
          <w:b/>
          <w:sz w:val="24"/>
          <w:szCs w:val="24"/>
        </w:rPr>
        <w:t>Valsts nodrošinātās juridiskās palīdzības</w:t>
      </w:r>
      <w:r w:rsidRPr="0015154B">
        <w:rPr>
          <w:rFonts w:ascii="Times New Roman" w:hAnsi="Times New Roman"/>
          <w:sz w:val="24"/>
          <w:szCs w:val="24"/>
        </w:rPr>
        <w:t xml:space="preserve"> likumu valsts nodrošināto juridisko palīdzību Satversmes tiesas procesā, civillietās un noteikta veida administratīvajās lietās var saņemt persona, kura:</w:t>
      </w:r>
    </w:p>
    <w:p w14:paraId="272C741B" w14:textId="77777777" w:rsidR="00D6309F" w:rsidRPr="0015154B" w:rsidRDefault="00D6309F" w:rsidP="00AC38FA">
      <w:pPr>
        <w:pStyle w:val="ListParagraph"/>
        <w:numPr>
          <w:ilvl w:val="0"/>
          <w:numId w:val="48"/>
        </w:numPr>
        <w:autoSpaceDE w:val="0"/>
        <w:autoSpaceDN w:val="0"/>
        <w:adjustRightInd w:val="0"/>
        <w:spacing w:before="120" w:after="0" w:line="240" w:lineRule="auto"/>
        <w:jc w:val="both"/>
        <w:rPr>
          <w:rFonts w:ascii="Times New Roman" w:hAnsi="Times New Roman"/>
          <w:sz w:val="24"/>
          <w:szCs w:val="24"/>
        </w:rPr>
      </w:pPr>
      <w:r w:rsidRPr="0015154B">
        <w:rPr>
          <w:rFonts w:ascii="Times New Roman" w:hAnsi="Times New Roman"/>
          <w:sz w:val="24"/>
          <w:szCs w:val="24"/>
        </w:rPr>
        <w:t>ir ieguvusi maznodrošinātas vai trūcīgas personas statusu;</w:t>
      </w:r>
    </w:p>
    <w:p w14:paraId="6F6EF1BE" w14:textId="77777777" w:rsidR="00D6309F" w:rsidRPr="0015154B" w:rsidRDefault="00D6309F" w:rsidP="00AC38FA">
      <w:pPr>
        <w:pStyle w:val="ListParagraph"/>
        <w:numPr>
          <w:ilvl w:val="0"/>
          <w:numId w:val="48"/>
        </w:numPr>
        <w:autoSpaceDE w:val="0"/>
        <w:autoSpaceDN w:val="0"/>
        <w:adjustRightInd w:val="0"/>
        <w:spacing w:before="120" w:after="0" w:line="240" w:lineRule="auto"/>
        <w:jc w:val="both"/>
        <w:rPr>
          <w:rFonts w:ascii="Times New Roman" w:hAnsi="Times New Roman"/>
          <w:sz w:val="24"/>
          <w:szCs w:val="24"/>
        </w:rPr>
      </w:pPr>
      <w:r w:rsidRPr="0015154B">
        <w:rPr>
          <w:rFonts w:ascii="Times New Roman" w:hAnsi="Times New Roman"/>
          <w:sz w:val="24"/>
          <w:szCs w:val="24"/>
        </w:rPr>
        <w:t>pēkšņi nonākusi tādā situācijā un materiālajā stāvoklī, kas liedz nodrošināt savu tiesību aizsardzību (stihisku nelaimju, nepārvaramas varas vai citu no personas neatkarīgu apstākļu dēļ);</w:t>
      </w:r>
    </w:p>
    <w:p w14:paraId="0E3D003C" w14:textId="77777777" w:rsidR="00D6309F" w:rsidRPr="0015154B" w:rsidRDefault="00D6309F" w:rsidP="00AC38FA">
      <w:pPr>
        <w:pStyle w:val="ListParagraph"/>
        <w:numPr>
          <w:ilvl w:val="0"/>
          <w:numId w:val="48"/>
        </w:numPr>
        <w:autoSpaceDE w:val="0"/>
        <w:autoSpaceDN w:val="0"/>
        <w:adjustRightInd w:val="0"/>
        <w:spacing w:before="120" w:after="0" w:line="240" w:lineRule="auto"/>
        <w:jc w:val="both"/>
        <w:rPr>
          <w:rFonts w:ascii="Times New Roman" w:hAnsi="Times New Roman"/>
          <w:sz w:val="24"/>
          <w:szCs w:val="24"/>
        </w:rPr>
      </w:pPr>
      <w:r w:rsidRPr="0015154B">
        <w:rPr>
          <w:rFonts w:ascii="Times New Roman" w:hAnsi="Times New Roman"/>
          <w:sz w:val="24"/>
          <w:szCs w:val="24"/>
        </w:rPr>
        <w:t>atrodas pilnā valsts vai pašvaldības apgādībā.</w:t>
      </w:r>
    </w:p>
    <w:p w14:paraId="553EBB2A" w14:textId="24EDFDD1"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b/>
          <w:sz w:val="24"/>
          <w:szCs w:val="24"/>
        </w:rPr>
        <w:t>Daļējo valsts nodrošināto juridisko palīdzību</w:t>
      </w:r>
      <w:r w:rsidRPr="0015154B">
        <w:rPr>
          <w:rFonts w:ascii="Times New Roman" w:hAnsi="Times New Roman"/>
          <w:sz w:val="24"/>
          <w:szCs w:val="24"/>
        </w:rPr>
        <w:t xml:space="preserve"> noteikta veida advokāta civilprocesa lietās (par kapitālsabiedrību dalībnieku vai akcionāru sapulces lēmumu atzīšanu par spēkā neesošiem un kas izriet no saistību tiesībām, ja prasības summa pārsniedz 150</w:t>
      </w:r>
      <w:r w:rsidR="0011371F" w:rsidRPr="0015154B">
        <w:rPr>
          <w:rFonts w:ascii="Times New Roman" w:hAnsi="Times New Roman"/>
          <w:sz w:val="24"/>
          <w:szCs w:val="24"/>
        </w:rPr>
        <w:t xml:space="preserve"> </w:t>
      </w:r>
      <w:r w:rsidRPr="0015154B">
        <w:rPr>
          <w:rFonts w:ascii="Times New Roman" w:hAnsi="Times New Roman"/>
          <w:sz w:val="24"/>
          <w:szCs w:val="24"/>
        </w:rPr>
        <w:t>000 e</w:t>
      </w:r>
      <w:r w:rsidR="0011371F" w:rsidRPr="0015154B">
        <w:rPr>
          <w:rFonts w:ascii="Times New Roman" w:hAnsi="Times New Roman"/>
          <w:sz w:val="24"/>
          <w:szCs w:val="24"/>
        </w:rPr>
        <w:t>i</w:t>
      </w:r>
      <w:r w:rsidRPr="0015154B">
        <w:rPr>
          <w:rFonts w:ascii="Times New Roman" w:hAnsi="Times New Roman"/>
          <w:sz w:val="24"/>
          <w:szCs w:val="24"/>
        </w:rPr>
        <w:t>ro) var saņemt personas:</w:t>
      </w:r>
    </w:p>
    <w:p w14:paraId="629F0B07" w14:textId="77777777" w:rsidR="00D6309F" w:rsidRPr="0015154B" w:rsidRDefault="00D6309F" w:rsidP="00AC38FA">
      <w:pPr>
        <w:pStyle w:val="ListParagraph"/>
        <w:numPr>
          <w:ilvl w:val="0"/>
          <w:numId w:val="49"/>
        </w:numPr>
        <w:autoSpaceDE w:val="0"/>
        <w:autoSpaceDN w:val="0"/>
        <w:adjustRightInd w:val="0"/>
        <w:spacing w:before="120" w:after="0" w:line="240" w:lineRule="auto"/>
        <w:jc w:val="both"/>
        <w:rPr>
          <w:rFonts w:ascii="Times New Roman" w:hAnsi="Times New Roman"/>
          <w:sz w:val="24"/>
          <w:szCs w:val="24"/>
        </w:rPr>
      </w:pPr>
      <w:r w:rsidRPr="0015154B">
        <w:rPr>
          <w:rFonts w:ascii="Times New Roman" w:hAnsi="Times New Roman"/>
          <w:sz w:val="24"/>
          <w:szCs w:val="24"/>
        </w:rPr>
        <w:t>kuras ienākumu līmenis nepārsniedz valstī noteikto minimālo mēneša darba algu;</w:t>
      </w:r>
    </w:p>
    <w:p w14:paraId="0A770468" w14:textId="77777777" w:rsidR="00D6309F" w:rsidRPr="0015154B" w:rsidRDefault="00D6309F" w:rsidP="00AC38FA">
      <w:pPr>
        <w:pStyle w:val="ListParagraph"/>
        <w:numPr>
          <w:ilvl w:val="0"/>
          <w:numId w:val="49"/>
        </w:numPr>
        <w:autoSpaceDE w:val="0"/>
        <w:autoSpaceDN w:val="0"/>
        <w:adjustRightInd w:val="0"/>
        <w:spacing w:before="120" w:after="0" w:line="240" w:lineRule="auto"/>
        <w:jc w:val="both"/>
        <w:rPr>
          <w:rFonts w:ascii="Times New Roman" w:hAnsi="Times New Roman"/>
          <w:sz w:val="24"/>
          <w:szCs w:val="24"/>
        </w:rPr>
      </w:pPr>
      <w:r w:rsidRPr="0015154B">
        <w:rPr>
          <w:rFonts w:ascii="Times New Roman" w:hAnsi="Times New Roman"/>
          <w:sz w:val="24"/>
          <w:szCs w:val="24"/>
        </w:rPr>
        <w:t>īpašuma stāvoklis atbilstošs juridiskās palīdzības saņemšanai.</w:t>
      </w:r>
    </w:p>
    <w:p w14:paraId="12F0BCBC" w14:textId="77777777"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Trauksmes cēlējs valsts nodrošināto juridisko palīdzību var saņemt Valsts nodrošinātās juridiskās palīdzības likumā noteiktajos gadījumos, nevērtējot tā mantisko stāvokli (no 2019.gada 1.maija).</w:t>
      </w:r>
    </w:p>
    <w:p w14:paraId="38853F8E" w14:textId="74823E96"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Juridiskās palīdzības administrācija</w:t>
      </w:r>
      <w:r w:rsidR="0080291F" w:rsidRPr="0015154B">
        <w:rPr>
          <w:rFonts w:ascii="Times New Roman" w:hAnsi="Times New Roman"/>
          <w:sz w:val="24"/>
          <w:szCs w:val="24"/>
        </w:rPr>
        <w:t xml:space="preserve"> (turpmāk - JPA)</w:t>
      </w:r>
      <w:r w:rsidRPr="0015154B">
        <w:rPr>
          <w:rFonts w:ascii="Times New Roman" w:hAnsi="Times New Roman"/>
          <w:sz w:val="24"/>
          <w:szCs w:val="24"/>
        </w:rPr>
        <w:t xml:space="preserve"> juridisko palīdzību nodrošina:</w:t>
      </w:r>
    </w:p>
    <w:p w14:paraId="6AE3FA75" w14:textId="77777777"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lastRenderedPageBreak/>
        <w:t>1) civillietās (izņemot, ja lieta ir saistīta ar muitas vai nodokļu jautājumiem, tā attiecas uz prasījumu par goda un cieņas aizskaršanu, tā attiecas uz prasījumu, kas tieši saistīts ar personas saimniecisko darbību vai komercdarbību, vai neatkarīgu profesionālo darbību u.c.);</w:t>
      </w:r>
    </w:p>
    <w:p w14:paraId="470C4C78" w14:textId="77777777"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2) administratīvajās lietās:</w:t>
      </w:r>
    </w:p>
    <w:p w14:paraId="3DDE7C13" w14:textId="77777777" w:rsidR="00D6309F" w:rsidRPr="0015154B" w:rsidRDefault="00D6309F" w:rsidP="00AC38FA">
      <w:pPr>
        <w:pStyle w:val="ListParagraph"/>
        <w:numPr>
          <w:ilvl w:val="0"/>
          <w:numId w:val="50"/>
        </w:numPr>
        <w:autoSpaceDE w:val="0"/>
        <w:autoSpaceDN w:val="0"/>
        <w:adjustRightInd w:val="0"/>
        <w:spacing w:before="120" w:after="0" w:line="240" w:lineRule="auto"/>
        <w:jc w:val="both"/>
        <w:rPr>
          <w:rFonts w:ascii="Times New Roman" w:hAnsi="Times New Roman"/>
          <w:sz w:val="24"/>
          <w:szCs w:val="24"/>
        </w:rPr>
      </w:pPr>
      <w:r w:rsidRPr="0015154B">
        <w:rPr>
          <w:rFonts w:ascii="Times New Roman" w:hAnsi="Times New Roman"/>
          <w:sz w:val="24"/>
          <w:szCs w:val="24"/>
        </w:rPr>
        <w:t>bāriņtiesas lēmuma par bērna tiesību un tiesisko interešu aizsardzību pārsūdzēšanas ietvaros;</w:t>
      </w:r>
    </w:p>
    <w:p w14:paraId="1B4AAEA2" w14:textId="77777777" w:rsidR="00D6309F" w:rsidRPr="0015154B" w:rsidRDefault="00D6309F" w:rsidP="00AC38FA">
      <w:pPr>
        <w:pStyle w:val="ListParagraph"/>
        <w:numPr>
          <w:ilvl w:val="0"/>
          <w:numId w:val="50"/>
        </w:numPr>
        <w:autoSpaceDE w:val="0"/>
        <w:autoSpaceDN w:val="0"/>
        <w:adjustRightInd w:val="0"/>
        <w:spacing w:before="120" w:after="0" w:line="240" w:lineRule="auto"/>
        <w:jc w:val="both"/>
        <w:rPr>
          <w:rFonts w:ascii="Times New Roman" w:hAnsi="Times New Roman"/>
          <w:sz w:val="24"/>
          <w:szCs w:val="24"/>
        </w:rPr>
      </w:pPr>
      <w:r w:rsidRPr="0015154B">
        <w:rPr>
          <w:rFonts w:ascii="Times New Roman" w:hAnsi="Times New Roman"/>
          <w:sz w:val="24"/>
          <w:szCs w:val="24"/>
        </w:rPr>
        <w:t>pārsūdzības procedūrās patvēruma piešķiršanas procesa ietvaros;</w:t>
      </w:r>
    </w:p>
    <w:p w14:paraId="1B1A4C81" w14:textId="24AC3117" w:rsidR="00D6309F" w:rsidRPr="0015154B" w:rsidRDefault="00D6309F" w:rsidP="00AC38FA">
      <w:pPr>
        <w:pStyle w:val="ListParagraph"/>
        <w:numPr>
          <w:ilvl w:val="0"/>
          <w:numId w:val="50"/>
        </w:numPr>
        <w:autoSpaceDE w:val="0"/>
        <w:autoSpaceDN w:val="0"/>
        <w:adjustRightInd w:val="0"/>
        <w:spacing w:before="120" w:after="0" w:line="240" w:lineRule="auto"/>
        <w:jc w:val="both"/>
        <w:rPr>
          <w:rFonts w:ascii="Times New Roman" w:hAnsi="Times New Roman"/>
          <w:sz w:val="24"/>
          <w:szCs w:val="24"/>
        </w:rPr>
      </w:pPr>
      <w:r w:rsidRPr="0015154B">
        <w:rPr>
          <w:rFonts w:ascii="Times New Roman" w:hAnsi="Times New Roman"/>
          <w:sz w:val="24"/>
          <w:szCs w:val="24"/>
        </w:rPr>
        <w:t xml:space="preserve">lēmuma par </w:t>
      </w:r>
      <w:r w:rsidR="00A94B98">
        <w:rPr>
          <w:rFonts w:ascii="Times New Roman" w:hAnsi="Times New Roman"/>
          <w:sz w:val="24"/>
          <w:szCs w:val="24"/>
        </w:rPr>
        <w:t>ap</w:t>
      </w:r>
      <w:r w:rsidRPr="0015154B">
        <w:rPr>
          <w:rFonts w:ascii="Times New Roman" w:hAnsi="Times New Roman"/>
          <w:sz w:val="24"/>
          <w:szCs w:val="24"/>
        </w:rPr>
        <w:t>strīdēto izbraukšanas rīkojumu vai lēmuma par apstrīdēto lēmumu par piespiedu izraidīšanu pārsūdzēšanas ietvaros;</w:t>
      </w:r>
    </w:p>
    <w:p w14:paraId="5AF5A78F" w14:textId="77777777" w:rsidR="00D6309F" w:rsidRPr="0015154B" w:rsidRDefault="00D6309F" w:rsidP="00AC38FA">
      <w:pPr>
        <w:pStyle w:val="ListParagraph"/>
        <w:numPr>
          <w:ilvl w:val="0"/>
          <w:numId w:val="50"/>
        </w:numPr>
        <w:autoSpaceDE w:val="0"/>
        <w:autoSpaceDN w:val="0"/>
        <w:adjustRightInd w:val="0"/>
        <w:spacing w:before="120" w:after="0" w:line="240" w:lineRule="auto"/>
        <w:jc w:val="both"/>
        <w:rPr>
          <w:rFonts w:ascii="Times New Roman" w:hAnsi="Times New Roman"/>
          <w:sz w:val="24"/>
          <w:szCs w:val="24"/>
        </w:rPr>
      </w:pPr>
      <w:r w:rsidRPr="0015154B">
        <w:rPr>
          <w:rFonts w:ascii="Times New Roman" w:hAnsi="Times New Roman"/>
          <w:sz w:val="24"/>
          <w:szCs w:val="24"/>
        </w:rPr>
        <w:t>administratīvajās lietās tiesā, kurās tiesas (tiesnesis) ir pieņēmis lēmumu par valsts nodrošinātās juridiskās palīdzības piešķiršanu, ievērojot lietas sarežģītību un fiziskās personas mantisko stāvokli;</w:t>
      </w:r>
    </w:p>
    <w:p w14:paraId="1D2A09B8" w14:textId="77777777"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3) Satversmes tiesas procesā personai, pēc kuras konstitucionālās sūdzības Satversmes tiesa ir pieņēmusi lēmumu par atteikšanos ierosināt lietu, kā šā lēmuma vienīgo pamatu, norādot juridiskā pamatojuma neesību vai tā acīmredzamu nepietiekamību prasījuma apmierināšanai.</w:t>
      </w:r>
    </w:p>
    <w:p w14:paraId="1AE3E205" w14:textId="77777777"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Krimināllietās – aizstāvības un pārstāvības nodrošināšanai personas vēršas pie kriminālprocesa virzītāja (izmeklētājs, prokurors vai tiesnesis) Kriminālprocesa likumā noteiktajos gadījumos un kārtībā.</w:t>
      </w:r>
    </w:p>
    <w:p w14:paraId="2EADD7C3" w14:textId="7A56CCB2"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Tieslietu ministrijas pasūtītajā 2020.gada pētījumā “</w:t>
      </w:r>
      <w:r w:rsidRPr="0015154B">
        <w:rPr>
          <w:rFonts w:ascii="Times New Roman" w:hAnsi="Times New Roman"/>
          <w:b/>
          <w:sz w:val="24"/>
          <w:szCs w:val="24"/>
        </w:rPr>
        <w:t>Pieeja tiesiskumam</w:t>
      </w:r>
      <w:r w:rsidRPr="0015154B">
        <w:rPr>
          <w:rFonts w:ascii="Times New Roman" w:hAnsi="Times New Roman"/>
          <w:sz w:val="24"/>
          <w:szCs w:val="24"/>
        </w:rPr>
        <w:t xml:space="preserve"> </w:t>
      </w:r>
      <w:r w:rsidRPr="009A6FF6">
        <w:rPr>
          <w:rFonts w:ascii="Times New Roman" w:hAnsi="Times New Roman"/>
          <w:b/>
          <w:sz w:val="24"/>
          <w:szCs w:val="24"/>
        </w:rPr>
        <w:t>Latvijā</w:t>
      </w:r>
      <w:r w:rsidRPr="0015154B">
        <w:rPr>
          <w:rFonts w:ascii="Times New Roman" w:hAnsi="Times New Roman"/>
          <w:sz w:val="24"/>
          <w:szCs w:val="24"/>
        </w:rPr>
        <w:t>”</w:t>
      </w:r>
      <w:r w:rsidRPr="007157D3">
        <w:rPr>
          <w:rStyle w:val="FootnoteReference"/>
          <w:rFonts w:ascii="Times New Roman" w:hAnsi="Times New Roman"/>
          <w:sz w:val="24"/>
          <w:szCs w:val="24"/>
        </w:rPr>
        <w:footnoteReference w:id="154"/>
      </w:r>
      <w:r w:rsidRPr="007157D3">
        <w:rPr>
          <w:rFonts w:ascii="Times New Roman" w:hAnsi="Times New Roman"/>
          <w:sz w:val="24"/>
          <w:szCs w:val="24"/>
        </w:rPr>
        <w:t>, kas izstrādāts ar mērķi analizēt nabadzības un sociālās atstumtības riskam pakļauto personu iespējas aizstāvēt savas tiesības un nodrošināt šo tiesību ievērošanu, risinot juridiska rakstura jautājumus</w:t>
      </w:r>
      <w:r w:rsidR="009A6FF6">
        <w:rPr>
          <w:rFonts w:ascii="Times New Roman" w:hAnsi="Times New Roman"/>
          <w:sz w:val="24"/>
          <w:szCs w:val="24"/>
        </w:rPr>
        <w:t>,</w:t>
      </w:r>
      <w:r w:rsidRPr="002F5278">
        <w:rPr>
          <w:rFonts w:ascii="Times New Roman" w:hAnsi="Times New Roman"/>
          <w:sz w:val="24"/>
          <w:szCs w:val="24"/>
        </w:rPr>
        <w:t xml:space="preserve"> tika veiktas dažāda veida, tostarp mērķgrupas, aptaujas, lai noskaidrotu</w:t>
      </w:r>
      <w:r w:rsidRPr="00573B49">
        <w:rPr>
          <w:rFonts w:ascii="Times New Roman" w:hAnsi="Times New Roman"/>
          <w:sz w:val="24"/>
          <w:szCs w:val="24"/>
        </w:rPr>
        <w:t xml:space="preserve"> personu pieejas tiesiskumam šā brīža efektivitāti un plānotu tās attīstību. Mērķa grupas aptaujas ietvaros lielākā daļa respondentu (32,6%) norādīja, ka labprāt izvēlētos valsts nodrošināto juridisko palīdzību savu juridisko problēmu risināšanai. Tomēr reāli JPA vērsušies tikai 2,96% respondentu. Acīmredzami jāsecina, ka cilvēkiem trūkst informācijas par valsts nodrošinātajām iespējām vai pastāv aizspriedumi pret to izmantošanu, kas sakņojas katra cilvēka individuālajos pieņēmumos un bieži ir subjektīvi, kā arī tās šobrīd nav tiesīgas saņemt valsts nodrošināto juridisko palīdzību tās saņemšanas nosacījumu neizpildes dēļ. No mērķa grupas aptaujas ietvaros aptaujātajām personām, kuras nebija vērsušās JPA, 69,9% nav vai nebija zināms par šādu iespēju. 18,68% n</w:t>
      </w:r>
      <w:r w:rsidRPr="0025422D">
        <w:rPr>
          <w:rFonts w:ascii="Times New Roman" w:hAnsi="Times New Roman"/>
          <w:sz w:val="24"/>
          <w:szCs w:val="24"/>
        </w:rPr>
        <w:t>evēlējās vērsties JPA, bet 6,92% neatbilda statusam, kas nepieciešams valsts nodrošinātās juridiskās palīdzības saņemšanai. Savukārt no respondentiem, kuri nevēlējās vērsties JPA, 35,19% norādīja, ka neuzticas valsts nodrošinātajiem juristiem vai advokātie</w:t>
      </w:r>
      <w:r w:rsidRPr="00A857F2">
        <w:rPr>
          <w:rFonts w:ascii="Times New Roman" w:hAnsi="Times New Roman"/>
          <w:sz w:val="24"/>
          <w:szCs w:val="24"/>
        </w:rPr>
        <w:t>m, savukārt 20,37% norādīja, ka procedūra viņu ieskatā ir pārāk sarežģīta. Lai arī pētījuma gaitā šie pieņēmumi neapstiprinājās, tomēr jāņem vērā, ka to esamība var būt šķērslis, kura dēļ personas nevēršas JPA valsts nodrošinātās juridiskās palīdzības saņe</w:t>
      </w:r>
      <w:r w:rsidRPr="00662D1E">
        <w:rPr>
          <w:rFonts w:ascii="Times New Roman" w:hAnsi="Times New Roman"/>
          <w:sz w:val="24"/>
          <w:szCs w:val="24"/>
        </w:rPr>
        <w:t>mšanai.</w:t>
      </w:r>
      <w:r w:rsidR="0080291F" w:rsidRPr="009703E6">
        <w:rPr>
          <w:rFonts w:ascii="Times New Roman" w:hAnsi="Times New Roman"/>
          <w:sz w:val="24"/>
          <w:szCs w:val="24"/>
        </w:rPr>
        <w:t xml:space="preserve"> </w:t>
      </w:r>
      <w:r w:rsidRPr="0015154B">
        <w:rPr>
          <w:rFonts w:ascii="Times New Roman" w:hAnsi="Times New Roman"/>
          <w:sz w:val="24"/>
          <w:szCs w:val="24"/>
        </w:rPr>
        <w:t>Līdz ar to ir nepieciešams paplašināt sabiedrības informēšanas aktivitātes ne tikai attiecībā uz juridiskās palīdzības mērķa grupu, bet arī uz sabiedrību kopumā, ņemot vērā personu ienākumu līmeņa objektīvi mainīgo raksturu un paradumu arī juridiskus jautājumus risināt, piemēram</w:t>
      </w:r>
      <w:r w:rsidR="0080291F" w:rsidRPr="0015154B">
        <w:rPr>
          <w:rFonts w:ascii="Times New Roman" w:hAnsi="Times New Roman"/>
          <w:sz w:val="24"/>
          <w:szCs w:val="24"/>
        </w:rPr>
        <w:t>,</w:t>
      </w:r>
      <w:r w:rsidRPr="0015154B">
        <w:rPr>
          <w:rFonts w:ascii="Times New Roman" w:hAnsi="Times New Roman"/>
          <w:sz w:val="24"/>
          <w:szCs w:val="24"/>
        </w:rPr>
        <w:t xml:space="preserve"> vispirms vēršoties pēc padoma pie līdzcilvēkiem. </w:t>
      </w:r>
    </w:p>
    <w:p w14:paraId="5E3B2044" w14:textId="518C2BB7"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 xml:space="preserve">Pasaules prakse valsts apmaksātās juridiskās palīdzības jomā iedala juridisko palīdzību </w:t>
      </w:r>
      <w:r w:rsidRPr="0015154B">
        <w:rPr>
          <w:rFonts w:ascii="Times New Roman" w:hAnsi="Times New Roman"/>
          <w:b/>
          <w:sz w:val="24"/>
          <w:szCs w:val="24"/>
        </w:rPr>
        <w:t>sākotnējā un padziļinātajā valsts apmaksātajā juridiskajā palīdzībā</w:t>
      </w:r>
      <w:r w:rsidRPr="0015154B">
        <w:rPr>
          <w:rFonts w:ascii="Times New Roman" w:hAnsi="Times New Roman"/>
          <w:sz w:val="24"/>
          <w:szCs w:val="24"/>
        </w:rPr>
        <w:t xml:space="preserve">, kur sākotnējās valsts apmaksātās juridiskās palīdzības ietvaros tiek sniegta parasti vienreizēja konsultācija un palīdzība vienkāršu dokumentu sagatavošanā vai aizpildīšanā, savukārt padziļinātās valsts apmaksātās juridiskās palīdzības ietvaros tiek sniegta padziļināta juridiskā palīdzība, ja nepieciešams arī sagatavojot tiesvedībai nepieciešamos dokumentus un nodrošinot pārstāvību </w:t>
      </w:r>
      <w:r w:rsidRPr="0015154B">
        <w:rPr>
          <w:rFonts w:ascii="Times New Roman" w:hAnsi="Times New Roman"/>
          <w:sz w:val="24"/>
          <w:szCs w:val="24"/>
        </w:rPr>
        <w:lastRenderedPageBreak/>
        <w:t xml:space="preserve">tiesās. Līdz ar to ir nepieciešams plānot šādas vai līdzīgas sistēmas ieviešanu arī Latvijā ar mērķi skaidrot personām nepieciešamību risināt juridiska rakstura jautājumus to agrīnajā stadijā un būt informētiem par savām tiesībām pienākumiem un jautājumu risināšanas iespējām. Ilgākā termiņā tas dotu iespēju samazināt juridisko strīdu rašanos sabiedrībā, līdz ar to </w:t>
      </w:r>
      <w:r w:rsidR="00CF4B98" w:rsidRPr="0015154B">
        <w:rPr>
          <w:rFonts w:ascii="Times New Roman" w:hAnsi="Times New Roman"/>
          <w:sz w:val="24"/>
          <w:szCs w:val="24"/>
        </w:rPr>
        <w:t>palielinot</w:t>
      </w:r>
      <w:r w:rsidRPr="0015154B">
        <w:rPr>
          <w:rFonts w:ascii="Times New Roman" w:hAnsi="Times New Roman"/>
          <w:sz w:val="24"/>
          <w:szCs w:val="24"/>
        </w:rPr>
        <w:t xml:space="preserve"> </w:t>
      </w:r>
      <w:r w:rsidR="00CF4B98" w:rsidRPr="0015154B">
        <w:rPr>
          <w:rFonts w:ascii="Times New Roman" w:hAnsi="Times New Roman"/>
          <w:sz w:val="24"/>
          <w:szCs w:val="24"/>
        </w:rPr>
        <w:t>tiesiskās aizsardzības pieejamību un novēršot iespējamus materiālus un sociālus riskus personai nākotnē</w:t>
      </w:r>
      <w:r w:rsidRPr="0015154B">
        <w:rPr>
          <w:rFonts w:ascii="Times New Roman" w:hAnsi="Times New Roman"/>
          <w:sz w:val="24"/>
          <w:szCs w:val="24"/>
        </w:rPr>
        <w:t>.</w:t>
      </w:r>
    </w:p>
    <w:p w14:paraId="1D51B509" w14:textId="379DC28F"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 xml:space="preserve">Tāpat ir nepieciešams </w:t>
      </w:r>
      <w:r w:rsidR="00CF4B98" w:rsidRPr="0015154B">
        <w:rPr>
          <w:rFonts w:ascii="Times New Roman" w:hAnsi="Times New Roman"/>
          <w:sz w:val="24"/>
          <w:szCs w:val="24"/>
        </w:rPr>
        <w:t>pilnveidot atbalstu</w:t>
      </w:r>
      <w:r w:rsidRPr="0015154B">
        <w:rPr>
          <w:rFonts w:ascii="Times New Roman" w:hAnsi="Times New Roman"/>
          <w:sz w:val="24"/>
          <w:szCs w:val="24"/>
        </w:rPr>
        <w:t xml:space="preserve"> </w:t>
      </w:r>
      <w:r w:rsidRPr="0015154B">
        <w:rPr>
          <w:rFonts w:ascii="Times New Roman" w:hAnsi="Times New Roman"/>
          <w:b/>
          <w:sz w:val="24"/>
          <w:szCs w:val="24"/>
        </w:rPr>
        <w:t xml:space="preserve">mērķgrupu, kas nekvalificējas </w:t>
      </w:r>
      <w:r w:rsidR="00CF4B98" w:rsidRPr="0015154B">
        <w:rPr>
          <w:rFonts w:ascii="Times New Roman" w:hAnsi="Times New Roman"/>
          <w:b/>
          <w:sz w:val="24"/>
          <w:szCs w:val="24"/>
        </w:rPr>
        <w:t>valsts nodrošinātās juridiskās palīdzības saņemšanas kritērijiem</w:t>
      </w:r>
      <w:r w:rsidRPr="0015154B">
        <w:rPr>
          <w:rFonts w:ascii="Times New Roman" w:hAnsi="Times New Roman"/>
          <w:sz w:val="24"/>
          <w:szCs w:val="24"/>
        </w:rPr>
        <w:t xml:space="preserve">, bet pie noteiktiem apstākļiem </w:t>
      </w:r>
      <w:r w:rsidR="00CF4B98" w:rsidRPr="0015154B">
        <w:rPr>
          <w:rFonts w:ascii="Times New Roman" w:hAnsi="Times New Roman"/>
          <w:sz w:val="24"/>
          <w:szCs w:val="24"/>
        </w:rPr>
        <w:t>persona varētu atbilst šiem kritērijiem</w:t>
      </w:r>
      <w:r w:rsidRPr="0015154B">
        <w:rPr>
          <w:rFonts w:ascii="Times New Roman" w:hAnsi="Times New Roman"/>
          <w:sz w:val="24"/>
          <w:szCs w:val="24"/>
        </w:rPr>
        <w:t>, ja vien pietiekami savlaicīgi nerisinās juridiskas rakstura jautājumus, kuru nerisināšanas seku iestāšanās rezultātā personai var būt nelabvēlīgs iznākums attiecībā uz tās emocionālo un materiālo stāvokli. Piemēram, savlaicīgi nerisinot parādsaistības, persona riskē ar to, ka pret to tiks vērsti piespiedu izpil</w:t>
      </w:r>
      <w:r w:rsidR="00CF4B98" w:rsidRPr="0015154B">
        <w:rPr>
          <w:rFonts w:ascii="Times New Roman" w:hAnsi="Times New Roman"/>
          <w:sz w:val="24"/>
          <w:szCs w:val="24"/>
        </w:rPr>
        <w:t>d</w:t>
      </w:r>
      <w:r w:rsidRPr="0015154B">
        <w:rPr>
          <w:rFonts w:ascii="Times New Roman" w:hAnsi="Times New Roman"/>
          <w:sz w:val="24"/>
          <w:szCs w:val="24"/>
        </w:rPr>
        <w:t>es līdzekļi, kas nebūs labvēlīgi personas materiālajam stāvoklim. Ņemot vērā minēto</w:t>
      </w:r>
      <w:r w:rsidR="00CF4B98" w:rsidRPr="0015154B">
        <w:rPr>
          <w:rFonts w:ascii="Times New Roman" w:hAnsi="Times New Roman"/>
          <w:sz w:val="24"/>
          <w:szCs w:val="24"/>
        </w:rPr>
        <w:t>,</w:t>
      </w:r>
      <w:r w:rsidRPr="0015154B">
        <w:rPr>
          <w:rFonts w:ascii="Times New Roman" w:hAnsi="Times New Roman"/>
          <w:sz w:val="24"/>
          <w:szCs w:val="24"/>
        </w:rPr>
        <w:t xml:space="preserve"> ir nepieciešams plānot atbalsta pasākumus arī tai sabiedrības daļai, kas šobrīd nekvalificējas maznodrošinātas un trūcīgas personas statusam, bet tai pat laikā tās ienākumu līmenis un juridiskās zināšanas nav pietiekamas, lai pati varētu nodrošināt savu tiesību aizsardzību. Līdz ar to ir nepieciešams attīstīt valsts nodrošināto sistēmu paplašinot šobrīd esošo atbalsta saņēmēju loku.</w:t>
      </w:r>
    </w:p>
    <w:p w14:paraId="2A743ED7" w14:textId="16A683A1"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 xml:space="preserve">Vienlaicīgi ir nepieciešams izmantot dažādas pastāvošās </w:t>
      </w:r>
      <w:r w:rsidRPr="0015154B">
        <w:rPr>
          <w:rFonts w:ascii="Times New Roman" w:hAnsi="Times New Roman"/>
          <w:b/>
          <w:sz w:val="24"/>
          <w:szCs w:val="24"/>
        </w:rPr>
        <w:t>alternatīvās strīdu risināšanas metodes</w:t>
      </w:r>
      <w:r w:rsidRPr="0015154B">
        <w:rPr>
          <w:rFonts w:ascii="Times New Roman" w:hAnsi="Times New Roman"/>
          <w:sz w:val="24"/>
          <w:szCs w:val="24"/>
        </w:rPr>
        <w:t xml:space="preserve">, kas personai tās juridisko jautājumu atrisināšanā ir draudzīgākas, nekā tiesvedība. </w:t>
      </w:r>
      <w:r w:rsidR="00583732" w:rsidRPr="0015154B">
        <w:rPr>
          <w:rFonts w:ascii="Times New Roman" w:hAnsi="Times New Roman"/>
          <w:sz w:val="24"/>
          <w:szCs w:val="24"/>
        </w:rPr>
        <w:t>P</w:t>
      </w:r>
      <w:r w:rsidRPr="0015154B">
        <w:rPr>
          <w:rFonts w:ascii="Times New Roman" w:hAnsi="Times New Roman"/>
          <w:sz w:val="24"/>
          <w:szCs w:val="24"/>
        </w:rPr>
        <w:t xml:space="preserve">ētījumā “Pieeja tiesiskumam Latvijā” secināts, ka sabiedrība joprojām nav informēta par to, kas ir mediācija un kā ar mediācijas palīdzību risināt juridiskus jautājumus. Tikai 13% </w:t>
      </w:r>
      <w:r w:rsidR="00583732" w:rsidRPr="0015154B">
        <w:rPr>
          <w:rFonts w:ascii="Times New Roman" w:hAnsi="Times New Roman"/>
          <w:sz w:val="24"/>
          <w:szCs w:val="24"/>
        </w:rPr>
        <w:t>respondentu</w:t>
      </w:r>
      <w:r w:rsidRPr="0015154B">
        <w:rPr>
          <w:rFonts w:ascii="Times New Roman" w:hAnsi="Times New Roman"/>
          <w:sz w:val="24"/>
          <w:szCs w:val="24"/>
        </w:rPr>
        <w:t xml:space="preserve"> atbildējuši, ka precīzi zina, kas ir mediācija. 24% atbildējuši, ka par mediāciju ir kaut kur dzirdējuši, tomēr nezina, kas tieši tas ir, savukārt 63% neko par tādu nav dzirdējuši. Šie rezultāti apliecina, ka sabiedrībā trūkst informācijas par mediāciju</w:t>
      </w:r>
      <w:r w:rsidR="00583732" w:rsidRPr="0015154B">
        <w:rPr>
          <w:rFonts w:ascii="Times New Roman" w:hAnsi="Times New Roman"/>
          <w:sz w:val="24"/>
          <w:szCs w:val="24"/>
        </w:rPr>
        <w:t>.</w:t>
      </w:r>
      <w:r w:rsidRPr="0015154B">
        <w:rPr>
          <w:rFonts w:ascii="Times New Roman" w:hAnsi="Times New Roman"/>
          <w:sz w:val="24"/>
          <w:szCs w:val="24"/>
        </w:rPr>
        <w:t xml:space="preserve"> </w:t>
      </w:r>
      <w:r w:rsidR="00583732" w:rsidRPr="0015154B">
        <w:rPr>
          <w:rFonts w:ascii="Times New Roman" w:hAnsi="Times New Roman"/>
          <w:sz w:val="24"/>
          <w:szCs w:val="24"/>
        </w:rPr>
        <w:t>S</w:t>
      </w:r>
      <w:r w:rsidRPr="0015154B">
        <w:rPr>
          <w:rFonts w:ascii="Times New Roman" w:hAnsi="Times New Roman"/>
          <w:sz w:val="24"/>
          <w:szCs w:val="24"/>
        </w:rPr>
        <w:t>avukārt, nezinot par mediāciju, nav iespējams nonākt līdz apzinātam lēmumam par tās izmantošanu strīda risināšanai. Vērtējot mediācijas pieejamību, būtiski ir vērtēt arī potenciālo klientu finansiālās iespējas izmantot mediācijas procesu. Pētījum</w:t>
      </w:r>
      <w:r w:rsidR="00583732" w:rsidRPr="0015154B">
        <w:rPr>
          <w:rFonts w:ascii="Times New Roman" w:hAnsi="Times New Roman"/>
          <w:sz w:val="24"/>
          <w:szCs w:val="24"/>
        </w:rPr>
        <w:t>ā</w:t>
      </w:r>
      <w:r w:rsidRPr="0015154B">
        <w:rPr>
          <w:rFonts w:ascii="Times New Roman" w:hAnsi="Times New Roman"/>
          <w:sz w:val="24"/>
          <w:szCs w:val="24"/>
        </w:rPr>
        <w:t xml:space="preserve">  konstatēts, ka sociāli un ekonomiski mazaizsargātām personām finanšu aspekts ir būtisks mediācijas pieejamības šķērslis. Šīm personām valsts atbalstam mediācijai jābūt pilnīgam, jo šajā gadījumā svarīgi nodrošināt pieejamību mediācijai kopumā. Līdzīgi kā citu valstu piekoptajā praksē, piemēram Lietuvā, arī Latvijā mediācijai kā strīdu risināšanas veidam būtu jāiekļaujas jau izveidotajā valsts apmaksātās juridiskās palīdzības sistēmā tādejādi veicinot mediācijas izmantošanu. </w:t>
      </w:r>
    </w:p>
    <w:p w14:paraId="386CF98A" w14:textId="43C1A0BB"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 xml:space="preserve">Tieslietu ministrijas darbības stratēģijas īstenošanas periodā no 2018.gada līdz 2020.gadam ir iekļauts virziens - pilnveidot valsts nodrošinātās juridiskās palīdzības sistēmu, ņemot vērā šīs sistēmas nozīmību valsts iedzīvotāju sociālās drošības uzturēšanā, kā arī attīstīt valsts nodrošinātās juridiskās palīdzības atbalsta sistēmu un šis darbs ir turpināms arī nākamajos gados, jo līdz šim veiktie </w:t>
      </w:r>
      <w:r w:rsidRPr="0015154B">
        <w:rPr>
          <w:rFonts w:ascii="Times New Roman" w:hAnsi="Times New Roman"/>
          <w:b/>
          <w:sz w:val="24"/>
          <w:szCs w:val="24"/>
        </w:rPr>
        <w:t>uzlabojumi nav pietiekami</w:t>
      </w:r>
      <w:r w:rsidRPr="0015154B">
        <w:rPr>
          <w:rFonts w:ascii="Times New Roman" w:hAnsi="Times New Roman"/>
          <w:sz w:val="24"/>
          <w:szCs w:val="24"/>
        </w:rPr>
        <w:t xml:space="preserve">. Arī pētījuma “Pieeja tiesiskumam Latvijā” ietvaros secināts, ka pašreiz noteiktie kritēriji un izveidotā valsts nodrošinātās juridiskās palīdzības sistēma spēj garantēt mērķa grupas pieeju tiesiskumam daļēji. Ir konstatējams, ka atsevišķas personas un pat personu grupas, kuras pēc būtības atbilst pētījuma mērķa grupai, nekvalificējas pašreizējai valsts nodrošinātās juridiskās palīdzības saņemšanai tādēļ, ka pastāv </w:t>
      </w:r>
      <w:r w:rsidRPr="0015154B">
        <w:rPr>
          <w:rFonts w:ascii="Times New Roman" w:hAnsi="Times New Roman"/>
          <w:b/>
          <w:sz w:val="24"/>
          <w:szCs w:val="24"/>
        </w:rPr>
        <w:t>formāli šķēršļi</w:t>
      </w:r>
      <w:r w:rsidRPr="0015154B">
        <w:rPr>
          <w:rFonts w:ascii="Times New Roman" w:hAnsi="Times New Roman"/>
          <w:sz w:val="24"/>
          <w:szCs w:val="24"/>
        </w:rPr>
        <w:t xml:space="preserve"> nepieciešamā statusa iegūšanai vai personas ienākumu līmenis pārsniedz trūcīgas vai maznodrošinātas personas statusa iegūšanai nepieciešamo ienākumu līmeni konkrētajā pašvaldībā. Turklāt ienākumu līmenis maznodrošinātas personas statusa iegūšanai dažādās pašvaldībās ir būtiski atšķirīgs, kas rada atšķirīgu attieksmi pret salīdzinoš</w:t>
      </w:r>
      <w:r w:rsidR="009A6FF6">
        <w:rPr>
          <w:rFonts w:ascii="Times New Roman" w:hAnsi="Times New Roman"/>
          <w:sz w:val="24"/>
          <w:szCs w:val="24"/>
        </w:rPr>
        <w:t>i līdzvērtīgā</w:t>
      </w:r>
      <w:r w:rsidRPr="0015154B">
        <w:rPr>
          <w:rFonts w:ascii="Times New Roman" w:hAnsi="Times New Roman"/>
          <w:sz w:val="24"/>
          <w:szCs w:val="24"/>
        </w:rPr>
        <w:t xml:space="preserve"> situācijā esošām personām. Ir nepieciešams izvirzīt mērķi – veidot tādu sabiedrību, kura zina savas tiesības un efektīvi tās izmanto. </w:t>
      </w:r>
    </w:p>
    <w:p w14:paraId="47ADF51B" w14:textId="598BDCCE" w:rsidR="00D6309F" w:rsidRPr="0015154B" w:rsidRDefault="00D6309F" w:rsidP="00AC38FA">
      <w:pPr>
        <w:autoSpaceDE w:val="0"/>
        <w:autoSpaceDN w:val="0"/>
        <w:adjustRightInd w:val="0"/>
        <w:spacing w:before="120" w:after="0" w:line="240" w:lineRule="auto"/>
        <w:ind w:firstLine="709"/>
        <w:jc w:val="both"/>
        <w:rPr>
          <w:rFonts w:ascii="Times New Roman" w:hAnsi="Times New Roman"/>
          <w:sz w:val="24"/>
          <w:szCs w:val="24"/>
        </w:rPr>
      </w:pPr>
      <w:r w:rsidRPr="0015154B">
        <w:rPr>
          <w:rFonts w:ascii="Times New Roman" w:hAnsi="Times New Roman"/>
          <w:sz w:val="24"/>
          <w:szCs w:val="24"/>
        </w:rPr>
        <w:t>No pētījuma “Pieeja tiesiskumam Latvijā” ietvaros veiktajām padziļinātajām intervijām secināms, ka bieži personas nemaz neapzinās, ka viņu problēma pamatā būtu juridiski risināma, uzskatot to vienkārši par “</w:t>
      </w:r>
      <w:r w:rsidRPr="0015154B">
        <w:rPr>
          <w:rFonts w:ascii="Times New Roman" w:hAnsi="Times New Roman"/>
          <w:i/>
          <w:sz w:val="24"/>
          <w:szCs w:val="24"/>
        </w:rPr>
        <w:t>nesaskaņām</w:t>
      </w:r>
      <w:r w:rsidRPr="0015154B">
        <w:rPr>
          <w:rFonts w:ascii="Times New Roman" w:hAnsi="Times New Roman"/>
          <w:sz w:val="24"/>
          <w:szCs w:val="24"/>
        </w:rPr>
        <w:t>”, “</w:t>
      </w:r>
      <w:r w:rsidRPr="0015154B">
        <w:rPr>
          <w:rFonts w:ascii="Times New Roman" w:hAnsi="Times New Roman"/>
          <w:i/>
          <w:sz w:val="24"/>
          <w:szCs w:val="24"/>
        </w:rPr>
        <w:t>neveiksmi</w:t>
      </w:r>
      <w:r w:rsidRPr="0015154B">
        <w:rPr>
          <w:rFonts w:ascii="Times New Roman" w:hAnsi="Times New Roman"/>
          <w:sz w:val="24"/>
          <w:szCs w:val="24"/>
        </w:rPr>
        <w:t>” vai “</w:t>
      </w:r>
      <w:r w:rsidRPr="0015154B">
        <w:rPr>
          <w:rFonts w:ascii="Times New Roman" w:hAnsi="Times New Roman"/>
          <w:i/>
          <w:sz w:val="24"/>
          <w:szCs w:val="24"/>
        </w:rPr>
        <w:t>tāda ir dzīve</w:t>
      </w:r>
      <w:r w:rsidRPr="0015154B">
        <w:rPr>
          <w:rFonts w:ascii="Times New Roman" w:hAnsi="Times New Roman"/>
          <w:sz w:val="24"/>
          <w:szCs w:val="24"/>
        </w:rPr>
        <w:t>” un “</w:t>
      </w:r>
      <w:r w:rsidRPr="0015154B">
        <w:rPr>
          <w:rFonts w:ascii="Times New Roman" w:hAnsi="Times New Roman"/>
          <w:i/>
          <w:sz w:val="24"/>
          <w:szCs w:val="24"/>
        </w:rPr>
        <w:t>ar to jāsamierinās</w:t>
      </w:r>
      <w:r w:rsidRPr="0015154B">
        <w:rPr>
          <w:rFonts w:ascii="Times New Roman" w:hAnsi="Times New Roman"/>
          <w:sz w:val="24"/>
          <w:szCs w:val="24"/>
        </w:rPr>
        <w:t xml:space="preserve">” </w:t>
      </w:r>
      <w:r w:rsidRPr="0015154B">
        <w:rPr>
          <w:rFonts w:ascii="Times New Roman" w:hAnsi="Times New Roman"/>
          <w:sz w:val="24"/>
          <w:szCs w:val="24"/>
        </w:rPr>
        <w:lastRenderedPageBreak/>
        <w:t xml:space="preserve">situāciju. Vienīgi vēršoties pēc palīdzības pie kāda no speciālistiem, kas visbiežāk ir pašvaldības sociālais darbinieks, sarunas gaitā var secināt, ka pašreizējās problēmas un personas zemo ienākumu pamatā ir juridiska rakstura strīds, piemēram, bērnam nav noteikta paternitāte un attiecīgi nav pieprasīti uzturlīdzekļi. Līdz ar to ir nepieciešams paaugstināt kopējo </w:t>
      </w:r>
      <w:r w:rsidRPr="0015154B">
        <w:rPr>
          <w:rFonts w:ascii="Times New Roman" w:hAnsi="Times New Roman"/>
          <w:b/>
          <w:sz w:val="24"/>
          <w:szCs w:val="24"/>
        </w:rPr>
        <w:t>sabiedrības informētību un izpratni</w:t>
      </w:r>
      <w:r w:rsidRPr="0015154B">
        <w:rPr>
          <w:rFonts w:ascii="Times New Roman" w:hAnsi="Times New Roman"/>
          <w:sz w:val="24"/>
          <w:szCs w:val="24"/>
        </w:rPr>
        <w:t xml:space="preserve"> par juridiskiem jautājumiem un to savlaicīgas risināšanas nozīmību, kas attiecīgi sekmē esošo pakalpojumu izmantošanu un uzticēšanos gan iestādes, gan tiesu sistēmas darbības tiesiskumam. Vienlaicīgi uzsverams, ka ir jēga veidot sabiedrības informēšanas aktivitātes tā, lai arī personas, kuras konkrētajā brīdī nekvalificējas valsts apmaksātās juridiskās palīdzības saņemšanai, būtu informētas par piedāvātajiem pakalpojumiem un atbalstu. Tas nepieciešams tādēļ, ka personu mantiskais stāvoklis ir mainīgs un neviens nevar būt pilnībā pārliecināts par savu situāciju un vajadzībām nākotnē. </w:t>
      </w:r>
    </w:p>
    <w:p w14:paraId="349B1F5E" w14:textId="2A399A68" w:rsidR="00D6309F" w:rsidRPr="0015154B" w:rsidRDefault="00D6309F" w:rsidP="005E2D17">
      <w:pPr>
        <w:spacing w:after="0" w:line="240" w:lineRule="auto"/>
        <w:jc w:val="both"/>
        <w:rPr>
          <w:rFonts w:ascii="Times New Roman" w:hAnsi="Times New Roman" w:cs="Times New Roman"/>
          <w:b/>
          <w:sz w:val="28"/>
          <w:szCs w:val="28"/>
        </w:rPr>
      </w:pPr>
    </w:p>
    <w:p w14:paraId="2CCA8375" w14:textId="5367D684" w:rsidR="005E2D17" w:rsidRPr="007157D3" w:rsidRDefault="005E2D17" w:rsidP="005E2D17">
      <w:pPr>
        <w:spacing w:after="0" w:line="240" w:lineRule="auto"/>
        <w:jc w:val="both"/>
        <w:rPr>
          <w:rFonts w:ascii="Times New Roman" w:hAnsi="Times New Roman" w:cs="Times New Roman"/>
          <w:b/>
          <w:sz w:val="28"/>
          <w:szCs w:val="28"/>
        </w:rPr>
      </w:pPr>
      <w:r w:rsidRPr="00A74C4A">
        <w:rPr>
          <w:rFonts w:ascii="Times New Roman" w:hAnsi="Times New Roman" w:cs="Times New Roman"/>
          <w:b/>
          <w:noProof/>
          <w:sz w:val="28"/>
          <w:szCs w:val="28"/>
        </w:rPr>
        <mc:AlternateContent>
          <mc:Choice Requires="wpg">
            <w:drawing>
              <wp:inline distT="0" distB="0" distL="0" distR="0" wp14:anchorId="34888A78" wp14:editId="12039E2A">
                <wp:extent cx="5250864" cy="1757548"/>
                <wp:effectExtent l="0" t="0" r="6985" b="14605"/>
                <wp:docPr id="46" name="Group 46"/>
                <wp:cNvGraphicFramePr/>
                <a:graphic xmlns:a="http://schemas.openxmlformats.org/drawingml/2006/main">
                  <a:graphicData uri="http://schemas.microsoft.com/office/word/2010/wordprocessingGroup">
                    <wpg:wgp>
                      <wpg:cNvGrpSpPr/>
                      <wpg:grpSpPr>
                        <a:xfrm>
                          <a:off x="0" y="0"/>
                          <a:ext cx="5250864" cy="1757548"/>
                          <a:chOff x="0" y="-17910"/>
                          <a:chExt cx="3567451" cy="1557479"/>
                        </a:xfrm>
                      </wpg:grpSpPr>
                      <wps:wsp>
                        <wps:cNvPr id="47" name="Rectangle 47"/>
                        <wps:cNvSpPr/>
                        <wps:spPr>
                          <a:xfrm>
                            <a:off x="3" y="-1791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C3F5D" w14:textId="2E0A66F4" w:rsidR="00D67CF6" w:rsidRPr="00825BD5" w:rsidRDefault="00D67CF6">
                              <w:pPr>
                                <w:jc w:val="center"/>
                                <w:rPr>
                                  <w:rFonts w:ascii="Times New Roman" w:eastAsiaTheme="majorEastAsia" w:hAnsi="Times New Roman" w:cs="Times New Roman"/>
                                  <w:b/>
                                  <w:color w:val="FFFFFF" w:themeColor="background1"/>
                                  <w:sz w:val="24"/>
                                  <w:szCs w:val="28"/>
                                </w:rPr>
                              </w:pPr>
                              <w:r w:rsidRPr="00825BD5">
                                <w:rPr>
                                  <w:rFonts w:ascii="Times New Roman" w:eastAsiaTheme="majorEastAsia" w:hAnsi="Times New Roman" w:cs="Times New Roman"/>
                                  <w:b/>
                                  <w:color w:val="FFFFFF" w:themeColor="background1"/>
                                  <w:sz w:val="24"/>
                                  <w:szCs w:val="28"/>
                                </w:rPr>
                                <w:t>IZAICINĀJUMI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Text Box 48"/>
                        <wps:cNvSpPr txBox="1"/>
                        <wps:spPr>
                          <a:xfrm>
                            <a:off x="0" y="252695"/>
                            <a:ext cx="3567448" cy="1286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944E2" w14:textId="6D7386CE" w:rsidR="00D67CF6" w:rsidRPr="005A4F16" w:rsidRDefault="00D67CF6" w:rsidP="00974071">
                              <w:pPr>
                                <w:pStyle w:val="ListParagraph"/>
                                <w:numPr>
                                  <w:ilvl w:val="0"/>
                                  <w:numId w:val="51"/>
                                </w:numPr>
                                <w:spacing w:after="0" w:line="240" w:lineRule="auto"/>
                                <w:jc w:val="both"/>
                                <w:rPr>
                                  <w:rFonts w:ascii="Times New Roman" w:eastAsia="Times New Roman" w:hAnsi="Times New Roman" w:cs="Times New Roman"/>
                                  <w:color w:val="3E762A" w:themeColor="accent1" w:themeShade="BF"/>
                                  <w:sz w:val="24"/>
                                  <w:szCs w:val="24"/>
                                  <w:lang w:eastAsia="lv-LV"/>
                                </w:rPr>
                              </w:pPr>
                              <w:r w:rsidRPr="005A4F16">
                                <w:rPr>
                                  <w:rFonts w:ascii="Times New Roman" w:eastAsia="Times New Roman" w:hAnsi="Times New Roman" w:cs="Times New Roman"/>
                                  <w:color w:val="3E762A" w:themeColor="accent1" w:themeShade="BF"/>
                                  <w:sz w:val="24"/>
                                  <w:szCs w:val="24"/>
                                  <w:lang w:eastAsia="lv-LV"/>
                                </w:rPr>
                                <w:t>Izpratnes trūkums par savām tiesībām un pienākumiem, kā arī par aizsardzības un atbalsta mehānismiem un juridisku jautājumu agrīnās risināšanas nepieciešamību</w:t>
                              </w:r>
                            </w:p>
                            <w:p w14:paraId="7BD32699" w14:textId="5D3767A6" w:rsidR="00D67CF6" w:rsidRPr="005A4F16" w:rsidRDefault="00D67CF6" w:rsidP="00974071">
                              <w:pPr>
                                <w:pStyle w:val="ListParagraph"/>
                                <w:numPr>
                                  <w:ilvl w:val="0"/>
                                  <w:numId w:val="51"/>
                                </w:numPr>
                                <w:spacing w:after="0" w:line="240" w:lineRule="auto"/>
                                <w:jc w:val="both"/>
                                <w:rPr>
                                  <w:rFonts w:ascii="Times New Roman" w:eastAsia="Times New Roman" w:hAnsi="Times New Roman" w:cs="Times New Roman"/>
                                  <w:color w:val="3E762A" w:themeColor="accent1" w:themeShade="BF"/>
                                  <w:sz w:val="24"/>
                                  <w:szCs w:val="24"/>
                                  <w:lang w:eastAsia="lv-LV"/>
                                </w:rPr>
                              </w:pPr>
                              <w:r w:rsidRPr="005A4F16">
                                <w:rPr>
                                  <w:rFonts w:ascii="Times New Roman" w:eastAsia="Times New Roman" w:hAnsi="Times New Roman" w:cs="Times New Roman"/>
                                  <w:color w:val="3E762A" w:themeColor="accent1" w:themeShade="BF"/>
                                  <w:sz w:val="24"/>
                                  <w:szCs w:val="24"/>
                                  <w:lang w:eastAsia="lv-LV"/>
                                </w:rPr>
                                <w:t xml:space="preserve">Augsts iedzīvotāju skaits, kam ir nepietiekams juridiskais atbalsts </w:t>
                              </w:r>
                            </w:p>
                            <w:p w14:paraId="723BE66E" w14:textId="24F8A060" w:rsidR="00D67CF6" w:rsidRPr="005A4F16" w:rsidRDefault="00D67CF6" w:rsidP="00974071">
                              <w:pPr>
                                <w:pStyle w:val="ListParagraph"/>
                                <w:numPr>
                                  <w:ilvl w:val="0"/>
                                  <w:numId w:val="51"/>
                                </w:numPr>
                                <w:spacing w:after="0" w:line="240" w:lineRule="auto"/>
                                <w:jc w:val="both"/>
                                <w:rPr>
                                  <w:rFonts w:ascii="Times New Roman" w:eastAsia="Times New Roman" w:hAnsi="Times New Roman" w:cs="Times New Roman"/>
                                  <w:color w:val="3E762A" w:themeColor="accent1" w:themeShade="BF"/>
                                  <w:sz w:val="24"/>
                                  <w:szCs w:val="24"/>
                                  <w:lang w:eastAsia="lv-LV"/>
                                </w:rPr>
                              </w:pPr>
                              <w:r w:rsidRPr="005A4F16">
                                <w:rPr>
                                  <w:rFonts w:ascii="Times New Roman" w:eastAsia="Times New Roman" w:hAnsi="Times New Roman" w:cs="Times New Roman"/>
                                  <w:color w:val="3E762A" w:themeColor="accent1" w:themeShade="BF"/>
                                  <w:sz w:val="24"/>
                                  <w:szCs w:val="24"/>
                                  <w:lang w:eastAsia="lv-LV"/>
                                </w:rPr>
                                <w:t xml:space="preserve">Nepietiekama alternatīvo strīdu risināšanas izmantošana </w:t>
                              </w:r>
                            </w:p>
                            <w:p w14:paraId="30C32A11" w14:textId="39C2C349" w:rsidR="00D67CF6" w:rsidRPr="005A4F16" w:rsidRDefault="00D67CF6" w:rsidP="00974071">
                              <w:pPr>
                                <w:pStyle w:val="ListParagraph"/>
                                <w:numPr>
                                  <w:ilvl w:val="0"/>
                                  <w:numId w:val="51"/>
                                </w:numPr>
                                <w:spacing w:after="0" w:line="240" w:lineRule="auto"/>
                                <w:jc w:val="both"/>
                                <w:rPr>
                                  <w:rFonts w:ascii="Times New Roman" w:eastAsia="Times New Roman" w:hAnsi="Times New Roman" w:cs="Times New Roman"/>
                                  <w:color w:val="3E762A" w:themeColor="accent1" w:themeShade="BF"/>
                                  <w:sz w:val="24"/>
                                  <w:szCs w:val="24"/>
                                  <w:lang w:eastAsia="lv-LV"/>
                                </w:rPr>
                              </w:pPr>
                              <w:r w:rsidRPr="005A4F16">
                                <w:rPr>
                                  <w:rFonts w:ascii="Times New Roman" w:eastAsia="Times New Roman" w:hAnsi="Times New Roman" w:cs="Times New Roman"/>
                                  <w:color w:val="3E762A" w:themeColor="accent1" w:themeShade="BF"/>
                                  <w:sz w:val="24"/>
                                  <w:szCs w:val="24"/>
                                  <w:lang w:eastAsia="lv-LV"/>
                                </w:rPr>
                                <w:t>Valsts nodrošinātās juridiskās palīdzības sistēmas, tostarp kvalitātes mehānisma, attīstības nepieciešamība</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34888A78" id="Group 46" o:spid="_x0000_s1051" style="width:413.45pt;height:138.4pt;mso-position-horizontal-relative:char;mso-position-vertical-relative:line" coordorigin=",-179" coordsize="35674,1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">
                <v:rect id="Rectangle 47" o:spid="_x0000_s1052" style="position:absolute;top:-179;width:35674;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" fillcolor="#549e39 [3204]" stroked="f" strokeweight="1pt">
                  <v:textbox>
                    <w:txbxContent>
                      <w:p w14:paraId="488C3F5D" w14:textId="2E0A66F4" w:rsidR="00D67CF6" w:rsidRPr="00825BD5" w:rsidRDefault="00D67CF6">
                        <w:pPr>
                          <w:jc w:val="center"/>
                          <w:rPr>
                            <w:rFonts w:ascii="Times New Roman" w:eastAsiaTheme="majorEastAsia" w:hAnsi="Times New Roman" w:cs="Times New Roman"/>
                            <w:b/>
                            <w:color w:val="FFFFFF" w:themeColor="background1"/>
                            <w:sz w:val="24"/>
                            <w:szCs w:val="28"/>
                          </w:rPr>
                        </w:pPr>
                        <w:r w:rsidRPr="00825BD5">
                          <w:rPr>
                            <w:rFonts w:ascii="Times New Roman" w:eastAsiaTheme="majorEastAsia" w:hAnsi="Times New Roman" w:cs="Times New Roman"/>
                            <w:b/>
                            <w:color w:val="FFFFFF" w:themeColor="background1"/>
                            <w:sz w:val="24"/>
                            <w:szCs w:val="28"/>
                          </w:rPr>
                          <w:t>IZAICINĀJUMI</w:t>
                        </w:r>
                      </w:p>
                    </w:txbxContent>
                  </v:textbox>
                </v:rect>
                <v:shape id="Text Box 48" o:spid="_x0000_s1053"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" filled="f" stroked="f" strokeweight=".5pt">
                  <v:textbox inset=",7.2pt,,0">
                    <w:txbxContent>
                      <w:p w14:paraId="5A6944E2" w14:textId="6D7386CE" w:rsidR="00D67CF6" w:rsidRPr="005A4F16" w:rsidRDefault="00D67CF6" w:rsidP="00974071">
                        <w:pPr>
                          <w:pStyle w:val="ListParagraph"/>
                          <w:numPr>
                            <w:ilvl w:val="0"/>
                            <w:numId w:val="51"/>
                          </w:numPr>
                          <w:spacing w:after="0" w:line="240" w:lineRule="auto"/>
                          <w:jc w:val="both"/>
                          <w:rPr>
                            <w:rFonts w:ascii="Times New Roman" w:eastAsia="Times New Roman" w:hAnsi="Times New Roman" w:cs="Times New Roman"/>
                            <w:color w:val="3E762A" w:themeColor="accent1" w:themeShade="BF"/>
                            <w:sz w:val="24"/>
                            <w:szCs w:val="24"/>
                            <w:lang w:eastAsia="lv-LV"/>
                          </w:rPr>
                        </w:pPr>
                        <w:r w:rsidRPr="005A4F16">
                          <w:rPr>
                            <w:rFonts w:ascii="Times New Roman" w:eastAsia="Times New Roman" w:hAnsi="Times New Roman" w:cs="Times New Roman"/>
                            <w:color w:val="3E762A" w:themeColor="accent1" w:themeShade="BF"/>
                            <w:sz w:val="24"/>
                            <w:szCs w:val="24"/>
                            <w:lang w:eastAsia="lv-LV"/>
                          </w:rPr>
                          <w:t>Izpratnes trūkums par savām tiesībām un pienākumiem, kā arī par aizsardzības un atbalsta mehānismiem un juridisku jautājumu agrīnās risināšanas nepieciešamību</w:t>
                        </w:r>
                      </w:p>
                      <w:p w14:paraId="7BD32699" w14:textId="5D3767A6" w:rsidR="00D67CF6" w:rsidRPr="005A4F16" w:rsidRDefault="00D67CF6" w:rsidP="00974071">
                        <w:pPr>
                          <w:pStyle w:val="ListParagraph"/>
                          <w:numPr>
                            <w:ilvl w:val="0"/>
                            <w:numId w:val="51"/>
                          </w:numPr>
                          <w:spacing w:after="0" w:line="240" w:lineRule="auto"/>
                          <w:jc w:val="both"/>
                          <w:rPr>
                            <w:rFonts w:ascii="Times New Roman" w:eastAsia="Times New Roman" w:hAnsi="Times New Roman" w:cs="Times New Roman"/>
                            <w:color w:val="3E762A" w:themeColor="accent1" w:themeShade="BF"/>
                            <w:sz w:val="24"/>
                            <w:szCs w:val="24"/>
                            <w:lang w:eastAsia="lv-LV"/>
                          </w:rPr>
                        </w:pPr>
                        <w:r w:rsidRPr="005A4F16">
                          <w:rPr>
                            <w:rFonts w:ascii="Times New Roman" w:eastAsia="Times New Roman" w:hAnsi="Times New Roman" w:cs="Times New Roman"/>
                            <w:color w:val="3E762A" w:themeColor="accent1" w:themeShade="BF"/>
                            <w:sz w:val="24"/>
                            <w:szCs w:val="24"/>
                            <w:lang w:eastAsia="lv-LV"/>
                          </w:rPr>
                          <w:t xml:space="preserve">Augsts iedzīvotāju skaits, kam ir nepietiekams juridiskais atbalsts </w:t>
                        </w:r>
                      </w:p>
                      <w:p w14:paraId="723BE66E" w14:textId="24F8A060" w:rsidR="00D67CF6" w:rsidRPr="005A4F16" w:rsidRDefault="00D67CF6" w:rsidP="00974071">
                        <w:pPr>
                          <w:pStyle w:val="ListParagraph"/>
                          <w:numPr>
                            <w:ilvl w:val="0"/>
                            <w:numId w:val="51"/>
                          </w:numPr>
                          <w:spacing w:after="0" w:line="240" w:lineRule="auto"/>
                          <w:jc w:val="both"/>
                          <w:rPr>
                            <w:rFonts w:ascii="Times New Roman" w:eastAsia="Times New Roman" w:hAnsi="Times New Roman" w:cs="Times New Roman"/>
                            <w:color w:val="3E762A" w:themeColor="accent1" w:themeShade="BF"/>
                            <w:sz w:val="24"/>
                            <w:szCs w:val="24"/>
                            <w:lang w:eastAsia="lv-LV"/>
                          </w:rPr>
                        </w:pPr>
                        <w:r w:rsidRPr="005A4F16">
                          <w:rPr>
                            <w:rFonts w:ascii="Times New Roman" w:eastAsia="Times New Roman" w:hAnsi="Times New Roman" w:cs="Times New Roman"/>
                            <w:color w:val="3E762A" w:themeColor="accent1" w:themeShade="BF"/>
                            <w:sz w:val="24"/>
                            <w:szCs w:val="24"/>
                            <w:lang w:eastAsia="lv-LV"/>
                          </w:rPr>
                          <w:t xml:space="preserve">Nepietiekama alternatīvo strīdu risināšanas izmantošana </w:t>
                        </w:r>
                      </w:p>
                      <w:p w14:paraId="30C32A11" w14:textId="39C2C349" w:rsidR="00D67CF6" w:rsidRPr="005A4F16" w:rsidRDefault="00D67CF6" w:rsidP="00974071">
                        <w:pPr>
                          <w:pStyle w:val="ListParagraph"/>
                          <w:numPr>
                            <w:ilvl w:val="0"/>
                            <w:numId w:val="51"/>
                          </w:numPr>
                          <w:spacing w:after="0" w:line="240" w:lineRule="auto"/>
                          <w:jc w:val="both"/>
                          <w:rPr>
                            <w:rFonts w:ascii="Times New Roman" w:eastAsia="Times New Roman" w:hAnsi="Times New Roman" w:cs="Times New Roman"/>
                            <w:color w:val="3E762A" w:themeColor="accent1" w:themeShade="BF"/>
                            <w:sz w:val="24"/>
                            <w:szCs w:val="24"/>
                            <w:lang w:eastAsia="lv-LV"/>
                          </w:rPr>
                        </w:pPr>
                        <w:r w:rsidRPr="005A4F16">
                          <w:rPr>
                            <w:rFonts w:ascii="Times New Roman" w:eastAsia="Times New Roman" w:hAnsi="Times New Roman" w:cs="Times New Roman"/>
                            <w:color w:val="3E762A" w:themeColor="accent1" w:themeShade="BF"/>
                            <w:sz w:val="24"/>
                            <w:szCs w:val="24"/>
                            <w:lang w:eastAsia="lv-LV"/>
                          </w:rPr>
                          <w:t>Valsts nodrošinātās juridiskās palīdzības sistēmas, tostarp kvalitātes mehānisma, attīstības nepieciešamība</w:t>
                        </w:r>
                      </w:p>
                    </w:txbxContent>
                  </v:textbox>
                </v:shape>
                <w10:anchorlock/>
              </v:group>
            </w:pict>
          </mc:Fallback>
        </mc:AlternateContent>
      </w:r>
    </w:p>
    <w:p w14:paraId="67F307C7" w14:textId="77777777" w:rsidR="00D6309F" w:rsidRPr="007157D3" w:rsidRDefault="00D6309F" w:rsidP="00200837">
      <w:pPr>
        <w:spacing w:after="0" w:line="240" w:lineRule="auto"/>
        <w:jc w:val="both"/>
        <w:rPr>
          <w:rFonts w:ascii="Times New Roman" w:hAnsi="Times New Roman" w:cs="Times New Roman"/>
          <w:b/>
          <w:sz w:val="28"/>
          <w:szCs w:val="28"/>
        </w:rPr>
      </w:pPr>
    </w:p>
    <w:p w14:paraId="6B6FC3AB" w14:textId="77777777" w:rsidR="001061AE" w:rsidRPr="007157D3" w:rsidRDefault="001061AE" w:rsidP="00200837">
      <w:pPr>
        <w:spacing w:after="0" w:line="240" w:lineRule="auto"/>
        <w:jc w:val="both"/>
        <w:rPr>
          <w:rFonts w:ascii="Times New Roman" w:hAnsi="Times New Roman" w:cs="Times New Roman"/>
          <w:b/>
          <w:sz w:val="28"/>
          <w:szCs w:val="28"/>
        </w:rPr>
      </w:pPr>
    </w:p>
    <w:p w14:paraId="476E840F" w14:textId="77777777" w:rsidR="00912F9E" w:rsidRPr="002F5278" w:rsidRDefault="00912F9E">
      <w:pPr>
        <w:rPr>
          <w:rFonts w:ascii="Times New Roman" w:hAnsi="Times New Roman" w:cs="Times New Roman"/>
          <w:b/>
          <w:sz w:val="28"/>
          <w:szCs w:val="28"/>
        </w:rPr>
      </w:pPr>
      <w:r w:rsidRPr="002F5278">
        <w:rPr>
          <w:rFonts w:ascii="Times New Roman" w:hAnsi="Times New Roman" w:cs="Times New Roman"/>
          <w:b/>
          <w:sz w:val="28"/>
          <w:szCs w:val="28"/>
        </w:rPr>
        <w:br w:type="page"/>
      </w:r>
    </w:p>
    <w:p w14:paraId="2E7A3F93" w14:textId="4369A868" w:rsidR="005B6F21" w:rsidRPr="00573B49" w:rsidRDefault="00AA663F" w:rsidP="00EC7537">
      <w:pPr>
        <w:pStyle w:val="Heading1"/>
      </w:pPr>
      <w:bookmarkStart w:id="76" w:name="_Toc55316111"/>
      <w:r w:rsidRPr="002F5278">
        <w:lastRenderedPageBreak/>
        <w:t>Darba tirgus</w:t>
      </w:r>
      <w:bookmarkEnd w:id="76"/>
    </w:p>
    <w:p w14:paraId="7AA0D6C4" w14:textId="0709DEF5" w:rsidR="005A190F" w:rsidRPr="00573B49" w:rsidRDefault="00653445" w:rsidP="00DA5144">
      <w:pPr>
        <w:pStyle w:val="Heading2"/>
      </w:pPr>
      <w:bookmarkStart w:id="77" w:name="_Toc55316112"/>
      <w:r>
        <w:t xml:space="preserve"> </w:t>
      </w:r>
      <w:r w:rsidR="00C86B2B" w:rsidRPr="00573B49">
        <w:t>Nodarbinātība un r</w:t>
      </w:r>
      <w:r w:rsidR="005A190F" w:rsidRPr="00573B49">
        <w:t>eģistrētais bezdarbs</w:t>
      </w:r>
      <w:bookmarkEnd w:id="77"/>
    </w:p>
    <w:p w14:paraId="1F78FB77" w14:textId="764009A9" w:rsidR="00FE1751" w:rsidRPr="0015154B" w:rsidRDefault="00FE1751" w:rsidP="00AC38FA">
      <w:pPr>
        <w:pStyle w:val="NormalWeb"/>
        <w:spacing w:before="120" w:beforeAutospacing="0" w:after="0" w:afterAutospacing="0"/>
        <w:ind w:firstLine="720"/>
        <w:jc w:val="both"/>
        <w:rPr>
          <w:rFonts w:ascii="Times New Roman" w:hAnsi="Times New Roman"/>
          <w:sz w:val="24"/>
          <w:szCs w:val="24"/>
        </w:rPr>
      </w:pPr>
      <w:r w:rsidRPr="0025422D">
        <w:rPr>
          <w:rFonts w:ascii="Times New Roman" w:eastAsia="Calibri" w:hAnsi="Times New Roman"/>
          <w:iCs/>
          <w:color w:val="000000"/>
          <w:sz w:val="24"/>
          <w:szCs w:val="24"/>
        </w:rPr>
        <w:t>Latvijā stratēģijas “E</w:t>
      </w:r>
      <w:r w:rsidRPr="00A857F2">
        <w:rPr>
          <w:rFonts w:ascii="Times New Roman" w:eastAsia="Calibri" w:hAnsi="Times New Roman"/>
          <w:iCs/>
          <w:color w:val="000000"/>
          <w:sz w:val="24"/>
          <w:szCs w:val="24"/>
        </w:rPr>
        <w:t xml:space="preserve">iropa 2020” ieviešanai noteiktais </w:t>
      </w:r>
      <w:r w:rsidRPr="00662D1E">
        <w:rPr>
          <w:rFonts w:ascii="Times New Roman" w:eastAsia="Calibri" w:hAnsi="Times New Roman"/>
          <w:b/>
          <w:iCs/>
          <w:color w:val="000000"/>
          <w:sz w:val="24"/>
          <w:szCs w:val="24"/>
        </w:rPr>
        <w:t>nodarbinātības mērķis</w:t>
      </w:r>
      <w:r w:rsidRPr="009703E6">
        <w:rPr>
          <w:rFonts w:ascii="Times New Roman" w:eastAsia="Calibri" w:hAnsi="Times New Roman"/>
          <w:iCs/>
          <w:color w:val="000000"/>
          <w:sz w:val="24"/>
          <w:szCs w:val="24"/>
        </w:rPr>
        <w:t xml:space="preserve"> - </w:t>
      </w:r>
      <w:r w:rsidRPr="0015154B">
        <w:rPr>
          <w:rFonts w:ascii="Times New Roman" w:hAnsi="Times New Roman"/>
          <w:sz w:val="24"/>
          <w:szCs w:val="24"/>
        </w:rPr>
        <w:t>līdz 2020. gadam sasniegt 73% nodarbinātības līmeni (vecuma grupā 20-64 gadi) tika sasniegts jau 2016.gadā. Salīdzinājumā ar Baltijas valstu nodarbinātības līmeni, Latvijā tas ir zemāks, līdz ar to vēl ir potenciāls piesaistīt darba tirgum ekonomiski neaktīvos iedzīvotājus, jo īpaši personas ar invaliditāti un veselības problēmām, pirmspensijas vecuma iedzīvotājus, ilgstoši bez darba esošos, personas ar zemu prasmju un motivācijas līmeni, jauniešus, kas nestrādā un nemācās, personas, kuras neiekļaujas darba tirgū aprūpes pienākumu dēļ, personas, kuras strādā nepilnu laiku, jo nevar atrast pilnas slodzes nodarbinātību, personas, kuras zaudējušas cerības atrast darbu u.c.</w:t>
      </w:r>
    </w:p>
    <w:p w14:paraId="36F82C40" w14:textId="595BB51E" w:rsidR="00C86B2B" w:rsidRPr="0015154B" w:rsidRDefault="00C86B2B" w:rsidP="00AC38FA">
      <w:pPr>
        <w:pStyle w:val="NormalWeb"/>
        <w:spacing w:before="120" w:beforeAutospacing="0" w:after="0" w:afterAutospacing="0"/>
        <w:ind w:firstLine="720"/>
        <w:jc w:val="both"/>
        <w:rPr>
          <w:rFonts w:ascii="Times New Roman" w:hAnsi="Times New Roman"/>
          <w:sz w:val="24"/>
          <w:szCs w:val="24"/>
        </w:rPr>
      </w:pPr>
      <w:r w:rsidRPr="0015154B">
        <w:rPr>
          <w:rFonts w:ascii="Times New Roman" w:hAnsi="Times New Roman"/>
          <w:sz w:val="24"/>
          <w:szCs w:val="24"/>
        </w:rPr>
        <w:t>2019.gadā darba tirgus situācija Latvijā turpināja uzlaboties. Atbilstoši darbaspēka  apsekojuma rezultātiem nodarbinātības līmenis vecuma grupā 20-64 sasniedza 77,4% (</w:t>
      </w:r>
      <w:r w:rsidRPr="00534F50">
        <w:rPr>
          <w:rFonts w:ascii="Times New Roman" w:hAnsi="Times New Roman"/>
          <w:sz w:val="24"/>
          <w:szCs w:val="24"/>
          <w:highlight w:val="yellow"/>
        </w:rPr>
        <w:t xml:space="preserve">skat. </w:t>
      </w:r>
      <w:r w:rsidR="00646C45" w:rsidRPr="00534F50">
        <w:rPr>
          <w:rFonts w:ascii="Times New Roman" w:hAnsi="Times New Roman"/>
          <w:sz w:val="24"/>
          <w:szCs w:val="24"/>
          <w:highlight w:val="yellow"/>
        </w:rPr>
        <w:t>1</w:t>
      </w:r>
      <w:r w:rsidR="00534F50" w:rsidRPr="00534F50">
        <w:rPr>
          <w:rFonts w:ascii="Times New Roman" w:hAnsi="Times New Roman"/>
          <w:sz w:val="24"/>
          <w:szCs w:val="24"/>
          <w:highlight w:val="yellow"/>
        </w:rPr>
        <w:t>8</w:t>
      </w:r>
      <w:r w:rsidR="00646C45" w:rsidRPr="00534F50">
        <w:rPr>
          <w:rFonts w:ascii="Times New Roman" w:hAnsi="Times New Roman"/>
          <w:sz w:val="24"/>
          <w:szCs w:val="24"/>
          <w:highlight w:val="yellow"/>
        </w:rPr>
        <w:t>.</w:t>
      </w:r>
      <w:r w:rsidRPr="00534F50">
        <w:rPr>
          <w:rFonts w:ascii="Times New Roman" w:hAnsi="Times New Roman"/>
          <w:sz w:val="24"/>
          <w:szCs w:val="24"/>
          <w:highlight w:val="yellow"/>
        </w:rPr>
        <w:t>attēlu</w:t>
      </w:r>
      <w:r w:rsidRPr="0015154B">
        <w:rPr>
          <w:rFonts w:ascii="Times New Roman" w:hAnsi="Times New Roman"/>
          <w:sz w:val="24"/>
          <w:szCs w:val="24"/>
        </w:rPr>
        <w:t xml:space="preserve">), turklāt tas bija augstāks par ES  vidējo rādītāju, kas 2019.gadā 27 dalībvalstu vidū bija 73,1%. </w:t>
      </w:r>
    </w:p>
    <w:p w14:paraId="2A6A3349" w14:textId="77777777" w:rsidR="000D44B9" w:rsidRPr="0015154B" w:rsidRDefault="000D44B9" w:rsidP="000D44B9">
      <w:pPr>
        <w:pStyle w:val="NormalWeb"/>
        <w:spacing w:before="0" w:beforeAutospacing="0" w:after="0" w:afterAutospacing="0"/>
        <w:rPr>
          <w:rFonts w:ascii="Times New Roman" w:hAnsi="Times New Roman"/>
          <w:sz w:val="24"/>
          <w:szCs w:val="24"/>
        </w:rPr>
      </w:pPr>
    </w:p>
    <w:p w14:paraId="0C2FB04D" w14:textId="6CD79171" w:rsidR="000D44B9" w:rsidRPr="0015154B" w:rsidRDefault="00646C45" w:rsidP="000D44B9">
      <w:pPr>
        <w:pStyle w:val="NormalWeb"/>
        <w:spacing w:before="0" w:beforeAutospacing="0" w:after="0" w:afterAutospacing="0"/>
        <w:rPr>
          <w:rFonts w:ascii="Times New Roman" w:hAnsi="Times New Roman"/>
          <w:sz w:val="24"/>
          <w:szCs w:val="24"/>
        </w:rPr>
      </w:pPr>
      <w:r w:rsidRPr="0015154B">
        <w:rPr>
          <w:rFonts w:ascii="Times New Roman" w:hAnsi="Times New Roman"/>
          <w:sz w:val="24"/>
          <w:szCs w:val="24"/>
        </w:rPr>
        <w:t>1</w:t>
      </w:r>
      <w:r w:rsidR="00534F50">
        <w:rPr>
          <w:rFonts w:ascii="Times New Roman" w:hAnsi="Times New Roman"/>
          <w:sz w:val="24"/>
          <w:szCs w:val="24"/>
        </w:rPr>
        <w:t>8</w:t>
      </w:r>
      <w:r w:rsidRPr="0015154B">
        <w:rPr>
          <w:rFonts w:ascii="Times New Roman" w:hAnsi="Times New Roman"/>
          <w:sz w:val="24"/>
          <w:szCs w:val="24"/>
        </w:rPr>
        <w:t>.</w:t>
      </w:r>
      <w:r w:rsidR="00C86B2B" w:rsidRPr="0015154B">
        <w:rPr>
          <w:rFonts w:ascii="Times New Roman" w:hAnsi="Times New Roman"/>
          <w:sz w:val="24"/>
          <w:szCs w:val="24"/>
        </w:rPr>
        <w:t>attēls</w:t>
      </w:r>
    </w:p>
    <w:p w14:paraId="3707DC67" w14:textId="02161A5D" w:rsidR="00C86B2B" w:rsidRPr="0015154B" w:rsidRDefault="00C86B2B" w:rsidP="000D44B9">
      <w:pPr>
        <w:pStyle w:val="NormalWeb"/>
        <w:spacing w:before="0" w:beforeAutospacing="0" w:after="0" w:afterAutospacing="0"/>
        <w:jc w:val="center"/>
        <w:rPr>
          <w:rFonts w:ascii="Times New Roman" w:hAnsi="Times New Roman"/>
          <w:b/>
          <w:color w:val="002060"/>
          <w:sz w:val="24"/>
          <w:szCs w:val="24"/>
        </w:rPr>
      </w:pPr>
      <w:r w:rsidRPr="0015154B">
        <w:rPr>
          <w:rFonts w:ascii="Times New Roman" w:hAnsi="Times New Roman"/>
          <w:b/>
          <w:color w:val="002060"/>
          <w:sz w:val="24"/>
          <w:szCs w:val="24"/>
        </w:rPr>
        <w:t>Nodarbināto iedzīvotāju skaits un īpatsvars</w:t>
      </w:r>
    </w:p>
    <w:p w14:paraId="2F804CA0" w14:textId="21CD69EB" w:rsidR="000D44B9" w:rsidRPr="0015154B" w:rsidRDefault="00C86B2B" w:rsidP="000D44B9">
      <w:pPr>
        <w:pStyle w:val="NormalWeb"/>
        <w:spacing w:before="0" w:beforeAutospacing="0" w:after="0" w:afterAutospacing="0"/>
        <w:jc w:val="center"/>
        <w:rPr>
          <w:rFonts w:ascii="Times New Roman" w:hAnsi="Times New Roman"/>
          <w:b/>
          <w:color w:val="002060"/>
          <w:sz w:val="24"/>
          <w:szCs w:val="24"/>
        </w:rPr>
      </w:pPr>
      <w:r w:rsidRPr="0015154B">
        <w:rPr>
          <w:rFonts w:ascii="Times New Roman" w:hAnsi="Times New Roman"/>
          <w:b/>
          <w:color w:val="002060"/>
          <w:sz w:val="24"/>
          <w:szCs w:val="24"/>
        </w:rPr>
        <w:t>iedzīvotāju kopskaitā vecuma grupā 20–64 gadi</w:t>
      </w:r>
    </w:p>
    <w:p w14:paraId="439F3BDA" w14:textId="33E9E844" w:rsidR="00C86B2B" w:rsidRPr="007157D3" w:rsidRDefault="00C86B2B" w:rsidP="00C86B2B">
      <w:pPr>
        <w:pStyle w:val="NormalWeb"/>
        <w:spacing w:before="0" w:beforeAutospacing="0" w:after="0" w:afterAutospacing="0"/>
        <w:jc w:val="center"/>
        <w:rPr>
          <w:rFonts w:ascii="Times New Roman" w:hAnsi="Times New Roman"/>
          <w:sz w:val="24"/>
          <w:szCs w:val="24"/>
        </w:rPr>
      </w:pPr>
      <w:r w:rsidRPr="00A74C4A">
        <w:rPr>
          <w:rFonts w:ascii="Times New Roman" w:hAnsi="Times New Roman"/>
          <w:noProof/>
          <w:sz w:val="24"/>
          <w:szCs w:val="24"/>
        </w:rPr>
        <w:drawing>
          <wp:inline distT="0" distB="0" distL="0" distR="0" wp14:anchorId="0C2BA0E7" wp14:editId="2FD77EBC">
            <wp:extent cx="5224780" cy="24993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24780" cy="2499360"/>
                    </a:xfrm>
                    <a:prstGeom prst="rect">
                      <a:avLst/>
                    </a:prstGeom>
                    <a:noFill/>
                    <a:ln>
                      <a:noFill/>
                    </a:ln>
                  </pic:spPr>
                </pic:pic>
              </a:graphicData>
            </a:graphic>
          </wp:inline>
        </w:drawing>
      </w:r>
    </w:p>
    <w:p w14:paraId="4EC7EB44" w14:textId="538AD02C" w:rsidR="00C86B2B" w:rsidRPr="00573B49" w:rsidRDefault="00AD7D67" w:rsidP="00C86B2B">
      <w:pPr>
        <w:ind w:firstLine="709"/>
        <w:rPr>
          <w:rFonts w:ascii="Times New Roman" w:hAnsi="Times New Roman" w:cs="Times New Roman"/>
          <w:sz w:val="20"/>
          <w:szCs w:val="20"/>
        </w:rPr>
      </w:pPr>
      <w:r w:rsidRPr="007157D3">
        <w:rPr>
          <w:rFonts w:ascii="Times New Roman" w:hAnsi="Times New Roman" w:cs="Times New Roman"/>
          <w:sz w:val="20"/>
          <w:szCs w:val="20"/>
        </w:rPr>
        <w:t>Datu a</w:t>
      </w:r>
      <w:r w:rsidR="00C86B2B" w:rsidRPr="007157D3">
        <w:rPr>
          <w:rFonts w:ascii="Times New Roman" w:hAnsi="Times New Roman" w:cs="Times New Roman"/>
          <w:sz w:val="20"/>
          <w:szCs w:val="20"/>
        </w:rPr>
        <w:t>vots: E</w:t>
      </w:r>
      <w:r w:rsidR="00E07E75">
        <w:rPr>
          <w:rFonts w:ascii="Times New Roman" w:hAnsi="Times New Roman" w:cs="Times New Roman"/>
          <w:sz w:val="20"/>
          <w:szCs w:val="20"/>
        </w:rPr>
        <w:t>i</w:t>
      </w:r>
      <w:r w:rsidR="00C86B2B" w:rsidRPr="007157D3">
        <w:rPr>
          <w:rFonts w:ascii="Times New Roman" w:hAnsi="Times New Roman" w:cs="Times New Roman"/>
          <w:sz w:val="20"/>
          <w:szCs w:val="20"/>
        </w:rPr>
        <w:t>rostat</w:t>
      </w:r>
      <w:r w:rsidR="002E0D87">
        <w:rPr>
          <w:rFonts w:ascii="Times New Roman" w:hAnsi="Times New Roman" w:cs="Times New Roman"/>
          <w:sz w:val="20"/>
          <w:szCs w:val="20"/>
        </w:rPr>
        <w:t xml:space="preserve"> datu bāze, datu kods </w:t>
      </w:r>
      <w:r w:rsidR="002E0D87" w:rsidRPr="002E0D87">
        <w:rPr>
          <w:rFonts w:ascii="Times New Roman" w:hAnsi="Times New Roman" w:cs="Times New Roman"/>
          <w:sz w:val="20"/>
          <w:szCs w:val="20"/>
        </w:rPr>
        <w:t>LFSI_EMP_A</w:t>
      </w:r>
    </w:p>
    <w:p w14:paraId="66997E12" w14:textId="1C917894" w:rsidR="00C86B2B" w:rsidRPr="009703E6" w:rsidRDefault="00D63A78" w:rsidP="00AC38FA">
      <w:pPr>
        <w:pStyle w:val="NormalWeb"/>
        <w:spacing w:before="120" w:beforeAutospacing="0" w:after="0" w:afterAutospacing="0"/>
        <w:ind w:firstLine="720"/>
        <w:jc w:val="both"/>
        <w:rPr>
          <w:rFonts w:ascii="Times New Roman" w:hAnsi="Times New Roman"/>
          <w:sz w:val="24"/>
          <w:szCs w:val="24"/>
        </w:rPr>
      </w:pPr>
      <w:r w:rsidRPr="00573B49">
        <w:rPr>
          <w:rFonts w:ascii="Times New Roman" w:hAnsi="Times New Roman"/>
          <w:sz w:val="24"/>
          <w:szCs w:val="24"/>
        </w:rPr>
        <w:t xml:space="preserve">Saskaņā ar </w:t>
      </w:r>
      <w:r w:rsidR="00C86B2B" w:rsidRPr="0025422D">
        <w:rPr>
          <w:rFonts w:ascii="Times New Roman" w:hAnsi="Times New Roman"/>
          <w:sz w:val="24"/>
          <w:szCs w:val="24"/>
        </w:rPr>
        <w:t xml:space="preserve">CSP </w:t>
      </w:r>
      <w:r w:rsidRPr="00A857F2">
        <w:rPr>
          <w:rFonts w:ascii="Times New Roman" w:hAnsi="Times New Roman"/>
          <w:sz w:val="24"/>
          <w:szCs w:val="24"/>
        </w:rPr>
        <w:t>datiem</w:t>
      </w:r>
      <w:r w:rsidR="00C86B2B" w:rsidRPr="00662D1E">
        <w:rPr>
          <w:rFonts w:ascii="Times New Roman" w:hAnsi="Times New Roman"/>
          <w:sz w:val="24"/>
          <w:szCs w:val="24"/>
        </w:rPr>
        <w:t xml:space="preserve"> 2020.gada 2.ceturksnī Latvijā bija nodarbināti 892,1 tūkstotis jeb 64,1% iedzīvotāju vecumā no 1</w:t>
      </w:r>
      <w:r w:rsidR="00C86B2B" w:rsidRPr="009703E6">
        <w:rPr>
          <w:rFonts w:ascii="Times New Roman" w:hAnsi="Times New Roman"/>
          <w:sz w:val="24"/>
          <w:szCs w:val="24"/>
        </w:rPr>
        <w:t xml:space="preserve">5 līdz 74 gadiem. Jāpiebilst, ka nodarbinātības līmenis Latvijā 2.ceturksnī bija tāds pats kā Lietuvā (64,1 %), bet zemāks nekā Igaunijā (65,4 %). </w:t>
      </w:r>
    </w:p>
    <w:p w14:paraId="298667BC" w14:textId="0171446D" w:rsidR="00C86B2B" w:rsidRPr="0015154B" w:rsidRDefault="00A44473" w:rsidP="00AC38FA">
      <w:pPr>
        <w:pStyle w:val="NormalWeb"/>
        <w:spacing w:before="120" w:beforeAutospacing="0" w:after="0" w:afterAutospacing="0"/>
        <w:ind w:firstLine="709"/>
        <w:jc w:val="both"/>
        <w:rPr>
          <w:rFonts w:ascii="Times New Roman" w:hAnsi="Times New Roman"/>
          <w:sz w:val="24"/>
          <w:szCs w:val="24"/>
        </w:rPr>
      </w:pPr>
      <w:r w:rsidRPr="0015154B">
        <w:rPr>
          <w:rFonts w:ascii="Times New Roman" w:hAnsi="Times New Roman"/>
          <w:sz w:val="24"/>
          <w:szCs w:val="24"/>
        </w:rPr>
        <w:t>B</w:t>
      </w:r>
      <w:r w:rsidR="00C86B2B" w:rsidRPr="0015154B">
        <w:rPr>
          <w:rFonts w:ascii="Times New Roman" w:hAnsi="Times New Roman"/>
          <w:sz w:val="24"/>
          <w:szCs w:val="24"/>
        </w:rPr>
        <w:t>ezdarba līmenis turpināja samazināties</w:t>
      </w:r>
      <w:r w:rsidRPr="0015154B">
        <w:rPr>
          <w:rFonts w:ascii="Times New Roman" w:hAnsi="Times New Roman"/>
          <w:sz w:val="24"/>
          <w:szCs w:val="24"/>
        </w:rPr>
        <w:t>, 2019.gadā sasniedzot</w:t>
      </w:r>
      <w:r w:rsidR="00C86B2B" w:rsidRPr="0015154B">
        <w:rPr>
          <w:rFonts w:ascii="Times New Roman" w:hAnsi="Times New Roman"/>
          <w:sz w:val="24"/>
          <w:szCs w:val="24"/>
        </w:rPr>
        <w:t xml:space="preserve"> 6,3%</w:t>
      </w:r>
      <w:r w:rsidR="00D63A78" w:rsidRPr="0015154B">
        <w:rPr>
          <w:rFonts w:ascii="Times New Roman" w:hAnsi="Times New Roman"/>
          <w:sz w:val="24"/>
          <w:szCs w:val="24"/>
        </w:rPr>
        <w:t>, un p</w:t>
      </w:r>
      <w:r w:rsidR="00C86B2B" w:rsidRPr="0015154B">
        <w:rPr>
          <w:rFonts w:ascii="Times New Roman" w:hAnsi="Times New Roman"/>
          <w:sz w:val="24"/>
          <w:szCs w:val="24"/>
        </w:rPr>
        <w:t>irmo reizi kopš 2007.gada bija zemāks par ES vidējo (6,7%). Savukārt atbilstoši CSP darbaspēka apsekojuma rezultātiem 2020.gada jūlijā faktiskā bezdarba līmenis Latvijā bija 8,9%. Pēdējo 5 mēnešu laikā kopš ārkārtējās situācijas izsludināšanas</w:t>
      </w:r>
      <w:r w:rsidRPr="0015154B">
        <w:rPr>
          <w:rFonts w:ascii="Times New Roman" w:hAnsi="Times New Roman"/>
          <w:sz w:val="24"/>
          <w:szCs w:val="24"/>
        </w:rPr>
        <w:t>,</w:t>
      </w:r>
      <w:r w:rsidR="00C86B2B" w:rsidRPr="0015154B">
        <w:rPr>
          <w:rFonts w:ascii="Times New Roman" w:hAnsi="Times New Roman"/>
          <w:sz w:val="24"/>
          <w:szCs w:val="24"/>
        </w:rPr>
        <w:t xml:space="preserve"> salīdzinājumā ar 2020.gada februāra faktiskā mēneša bezdarba datiem, bezdarbnieku skaits pieauga par 15 tūkstošiem.</w:t>
      </w:r>
    </w:p>
    <w:p w14:paraId="2446600E" w14:textId="59FB5A0D" w:rsidR="00C86B2B" w:rsidRPr="0015154B" w:rsidRDefault="00C86B2B" w:rsidP="00AC38FA">
      <w:pPr>
        <w:spacing w:before="120" w:after="0" w:line="240" w:lineRule="auto"/>
        <w:ind w:firstLine="709"/>
        <w:jc w:val="both"/>
        <w:rPr>
          <w:rFonts w:ascii="Times New Roman" w:hAnsi="Times New Roman" w:cs="Times New Roman"/>
          <w:sz w:val="24"/>
          <w:szCs w:val="24"/>
        </w:rPr>
      </w:pPr>
      <w:r w:rsidRPr="0015154B">
        <w:rPr>
          <w:rFonts w:ascii="Times New Roman" w:hAnsi="Times New Roman"/>
          <w:color w:val="000000"/>
          <w:sz w:val="24"/>
          <w:szCs w:val="24"/>
        </w:rPr>
        <w:t>Reģistrētā bezdarba līmeņa samazināšanos aizvadītajos gados būtiski ietekmēja straujā ekonomiskā izaugsme, kā arī demogrāfiskās tendences (</w:t>
      </w:r>
      <w:r w:rsidRPr="0015154B">
        <w:rPr>
          <w:rFonts w:ascii="Times New Roman" w:hAnsi="Times New Roman"/>
          <w:i/>
          <w:color w:val="000000"/>
          <w:sz w:val="24"/>
          <w:szCs w:val="24"/>
        </w:rPr>
        <w:t>skat. 1.nodaļas sadaļu “Nodarbinātība un bezdarbs”</w:t>
      </w:r>
      <w:r w:rsidRPr="0015154B">
        <w:rPr>
          <w:rFonts w:ascii="Times New Roman" w:hAnsi="Times New Roman"/>
          <w:color w:val="000000"/>
          <w:sz w:val="24"/>
          <w:szCs w:val="24"/>
        </w:rPr>
        <w:t xml:space="preserve">). </w:t>
      </w:r>
      <w:r w:rsidRPr="0015154B">
        <w:rPr>
          <w:rFonts w:ascii="Times New Roman" w:hAnsi="Times New Roman" w:cs="Times New Roman"/>
          <w:color w:val="000000"/>
          <w:sz w:val="24"/>
          <w:szCs w:val="24"/>
        </w:rPr>
        <w:t xml:space="preserve">Vēl pirms Covid-19 radītās ietekmes uz nodarbinātību NVA bezdarba situācijas statistika 2019.gada beigās liecināja, ka, salīdzinot ar 2018.gada beigām, bija vērojamas pozitīvas bezdarba situācijas samazināšanās tendences. Proti, turpinājās samazināties gan reģistrētā bezdarba līmenis, gan bezdarbnieku skaits. Samazinājās ilgstošo bezdarbnieku  </w:t>
      </w:r>
      <w:r w:rsidRPr="0015154B">
        <w:rPr>
          <w:rFonts w:ascii="Times New Roman" w:hAnsi="Times New Roman" w:cs="Times New Roman"/>
          <w:color w:val="000000"/>
          <w:sz w:val="24"/>
          <w:szCs w:val="24"/>
        </w:rPr>
        <w:lastRenderedPageBreak/>
        <w:t xml:space="preserve">īpatsvars reģistrēto bezdarbnieku vidū, kā arī vidējā bezdarba ilgums. Tai pašā laikā pieauga brīvo darba vietu skaits, kā arī bija vērojama stabila darbā iekārtošanās tendence </w:t>
      </w:r>
      <w:r w:rsidRPr="0015154B">
        <w:rPr>
          <w:rFonts w:ascii="Times New Roman" w:hAnsi="Times New Roman" w:cs="Times New Roman"/>
          <w:sz w:val="24"/>
          <w:szCs w:val="24"/>
        </w:rPr>
        <w:t>(skat.</w:t>
      </w:r>
      <w:r w:rsidR="00D63A78" w:rsidRPr="0015154B">
        <w:rPr>
          <w:rFonts w:ascii="Times New Roman" w:hAnsi="Times New Roman" w:cs="Times New Roman"/>
          <w:sz w:val="24"/>
          <w:szCs w:val="24"/>
        </w:rPr>
        <w:t xml:space="preserve"> </w:t>
      </w:r>
      <w:r w:rsidR="00534F50">
        <w:rPr>
          <w:rFonts w:ascii="Times New Roman" w:hAnsi="Times New Roman" w:cs="Times New Roman"/>
          <w:sz w:val="24"/>
          <w:szCs w:val="24"/>
          <w:highlight w:val="yellow"/>
        </w:rPr>
        <w:t>21</w:t>
      </w:r>
      <w:r w:rsidR="00D63A78" w:rsidRPr="001101F7">
        <w:rPr>
          <w:rFonts w:ascii="Times New Roman" w:hAnsi="Times New Roman" w:cs="Times New Roman"/>
          <w:sz w:val="24"/>
          <w:szCs w:val="24"/>
          <w:highlight w:val="yellow"/>
        </w:rPr>
        <w:t>.</w:t>
      </w:r>
      <w:r w:rsidRPr="001101F7">
        <w:rPr>
          <w:rFonts w:ascii="Times New Roman" w:hAnsi="Times New Roman" w:cs="Times New Roman"/>
          <w:sz w:val="24"/>
          <w:szCs w:val="24"/>
          <w:highlight w:val="yellow"/>
        </w:rPr>
        <w:t>tabulu</w:t>
      </w:r>
      <w:r w:rsidR="00D63A78" w:rsidRPr="0015154B">
        <w:rPr>
          <w:rFonts w:ascii="Times New Roman" w:hAnsi="Times New Roman" w:cs="Times New Roman"/>
          <w:sz w:val="24"/>
          <w:szCs w:val="24"/>
        </w:rPr>
        <w:t>)</w:t>
      </w:r>
      <w:r w:rsidRPr="0015154B">
        <w:t>.</w:t>
      </w:r>
      <w:r w:rsidRPr="0015154B">
        <w:rPr>
          <w:rFonts w:ascii="Times New Roman" w:hAnsi="Times New Roman" w:cs="Times New Roman"/>
          <w:sz w:val="24"/>
          <w:szCs w:val="24"/>
        </w:rPr>
        <w:t xml:space="preserve"> </w:t>
      </w:r>
    </w:p>
    <w:p w14:paraId="3ADFBAE0" w14:textId="6A02DA2E" w:rsidR="00C86B2B" w:rsidRPr="0015154B" w:rsidRDefault="00C86B2B" w:rsidP="00AC38FA">
      <w:pPr>
        <w:spacing w:before="120" w:after="0" w:line="240" w:lineRule="auto"/>
        <w:ind w:firstLine="709"/>
        <w:jc w:val="both"/>
        <w:rPr>
          <w:rFonts w:ascii="Times New Roman" w:hAnsi="Times New Roman" w:cs="Times New Roman"/>
          <w:color w:val="000000"/>
          <w:sz w:val="24"/>
          <w:szCs w:val="24"/>
        </w:rPr>
      </w:pPr>
      <w:r w:rsidRPr="0015154B">
        <w:rPr>
          <w:rFonts w:ascii="Times New Roman" w:hAnsi="Times New Roman" w:cs="Times New Roman"/>
          <w:color w:val="000000"/>
          <w:sz w:val="24"/>
          <w:szCs w:val="24"/>
        </w:rPr>
        <w:t xml:space="preserve">Turpretim 2020.gada jūnija beigās NVA uzskaitē bija 78 266 bezdarbnieki. Kopš 2020.gada februāra reģistrētā bezdarba īpatsvara līmenis palielinājās par 2,3% punktiem, bezdarbnieku skaitam pieaugot par 20 tūkst. </w:t>
      </w:r>
      <w:r w:rsidR="002B164B" w:rsidRPr="0015154B">
        <w:rPr>
          <w:rFonts w:ascii="Times New Roman" w:hAnsi="Times New Roman" w:cs="Times New Roman"/>
          <w:color w:val="000000"/>
          <w:sz w:val="24"/>
          <w:szCs w:val="24"/>
        </w:rPr>
        <w:t>Turklāt j</w:t>
      </w:r>
      <w:r w:rsidRPr="0015154B">
        <w:rPr>
          <w:rFonts w:ascii="Times New Roman" w:hAnsi="Times New Roman" w:cs="Times New Roman"/>
          <w:color w:val="000000"/>
          <w:sz w:val="24"/>
          <w:szCs w:val="24"/>
        </w:rPr>
        <w:t xml:space="preserve">āņem vērā, ka vasara ir laiks, kad tradicionāli palielinās nodarbinātības aktivitāte sezonalitātes ietekmē, krītot bezdarba rādītājiem. </w:t>
      </w:r>
    </w:p>
    <w:p w14:paraId="0A7907A2" w14:textId="77777777" w:rsidR="002B164B" w:rsidRPr="0015154B" w:rsidRDefault="002B164B" w:rsidP="00A44473">
      <w:pPr>
        <w:spacing w:after="0" w:line="240" w:lineRule="auto"/>
        <w:ind w:firstLine="709"/>
        <w:jc w:val="both"/>
        <w:rPr>
          <w:rFonts w:ascii="Times New Roman" w:hAnsi="Times New Roman" w:cs="Times New Roman"/>
          <w:color w:val="000000"/>
          <w:sz w:val="24"/>
          <w:szCs w:val="24"/>
        </w:rPr>
      </w:pPr>
    </w:p>
    <w:p w14:paraId="3410E949" w14:textId="521B5745" w:rsidR="00C86B2B" w:rsidRPr="0015154B" w:rsidRDefault="00534F50" w:rsidP="00403817">
      <w:pPr>
        <w:rPr>
          <w:rFonts w:ascii="Times New Roman" w:hAnsi="Times New Roman" w:cs="Times New Roman"/>
          <w:sz w:val="24"/>
          <w:szCs w:val="24"/>
        </w:rPr>
      </w:pPr>
      <w:r w:rsidRPr="00534F50">
        <w:rPr>
          <w:rFonts w:ascii="Times New Roman" w:hAnsi="Times New Roman" w:cs="Times New Roman"/>
          <w:sz w:val="24"/>
          <w:szCs w:val="24"/>
        </w:rPr>
        <w:t>21</w:t>
      </w:r>
      <w:r w:rsidR="00C86B2B" w:rsidRPr="00534F50">
        <w:rPr>
          <w:rFonts w:ascii="Times New Roman" w:hAnsi="Times New Roman" w:cs="Times New Roman"/>
          <w:sz w:val="24"/>
          <w:szCs w:val="24"/>
        </w:rPr>
        <w:t>.tabula</w:t>
      </w:r>
    </w:p>
    <w:p w14:paraId="07D25B0F" w14:textId="77777777" w:rsidR="00C86B2B" w:rsidRPr="0015154B" w:rsidRDefault="00C86B2B" w:rsidP="00C86B2B">
      <w:pPr>
        <w:pStyle w:val="NormalWeb"/>
        <w:spacing w:before="0" w:beforeAutospacing="0" w:after="0" w:afterAutospacing="0"/>
        <w:jc w:val="center"/>
        <w:rPr>
          <w:rFonts w:ascii="Times New Roman" w:hAnsi="Times New Roman"/>
          <w:b/>
          <w:color w:val="002060"/>
          <w:sz w:val="24"/>
          <w:szCs w:val="24"/>
        </w:rPr>
      </w:pPr>
      <w:r w:rsidRPr="0015154B">
        <w:rPr>
          <w:rFonts w:ascii="Times New Roman" w:hAnsi="Times New Roman"/>
          <w:b/>
          <w:color w:val="002060"/>
          <w:sz w:val="24"/>
          <w:szCs w:val="24"/>
        </w:rPr>
        <w:t>Galvenie bezdarba situāciju un darbu ar bezdarbniekiem raksturojošie rādītāji (perioda beigās)</w:t>
      </w:r>
    </w:p>
    <w:tbl>
      <w:tblPr>
        <w:tblStyle w:val="GridTable6Colorful-Accent2"/>
        <w:tblW w:w="9493" w:type="dxa"/>
        <w:jc w:val="center"/>
        <w:tblLayout w:type="fixed"/>
        <w:tblLook w:val="04A0" w:firstRow="1" w:lastRow="0" w:firstColumn="1" w:lastColumn="0" w:noHBand="0" w:noVBand="1"/>
      </w:tblPr>
      <w:tblGrid>
        <w:gridCol w:w="2268"/>
        <w:gridCol w:w="993"/>
        <w:gridCol w:w="992"/>
        <w:gridCol w:w="992"/>
        <w:gridCol w:w="992"/>
        <w:gridCol w:w="993"/>
        <w:gridCol w:w="987"/>
        <w:gridCol w:w="1276"/>
      </w:tblGrid>
      <w:tr w:rsidR="00AF6D84" w:rsidRPr="0015154B" w14:paraId="154AFA0A" w14:textId="77777777" w:rsidTr="00280B67">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044458" w:themeColor="accent6" w:themeShade="80"/>
            </w:tcBorders>
            <w:shd w:val="clear" w:color="auto" w:fill="D1E7A8" w:themeFill="accent2" w:themeFillTint="66"/>
          </w:tcPr>
          <w:p w14:paraId="2BFBF124" w14:textId="77777777" w:rsidR="00C86B2B" w:rsidRPr="0015154B" w:rsidRDefault="00C86B2B" w:rsidP="00C86B2B">
            <w:pPr>
              <w:rPr>
                <w:rFonts w:ascii="Times New Roman" w:eastAsiaTheme="minorHAnsi" w:hAnsi="Times New Roman"/>
                <w:b w:val="0"/>
                <w:bCs w:val="0"/>
                <w:color w:val="002060"/>
                <w:lang w:eastAsia="en-US"/>
              </w:rPr>
            </w:pPr>
            <w:bookmarkStart w:id="78" w:name="_Hlk520191229"/>
            <w:bookmarkStart w:id="79" w:name="_Toc38717924"/>
            <w:bookmarkStart w:id="80" w:name="_Hlk514233462"/>
          </w:p>
        </w:tc>
        <w:tc>
          <w:tcPr>
            <w:tcW w:w="993" w:type="dxa"/>
            <w:tcBorders>
              <w:bottom w:val="single" w:sz="4" w:space="0" w:color="044458" w:themeColor="accent6" w:themeShade="80"/>
            </w:tcBorders>
            <w:shd w:val="clear" w:color="auto" w:fill="D1E7A8" w:themeFill="accent2" w:themeFillTint="66"/>
          </w:tcPr>
          <w:p w14:paraId="7B5ECFBC" w14:textId="77777777" w:rsidR="00C86B2B" w:rsidRPr="0015154B" w:rsidRDefault="00C86B2B" w:rsidP="00C86B2B">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2060"/>
              </w:rPr>
            </w:pPr>
            <w:r w:rsidRPr="0015154B">
              <w:rPr>
                <w:rFonts w:ascii="Times New Roman" w:hAnsi="Times New Roman"/>
                <w:b w:val="0"/>
                <w:bCs w:val="0"/>
                <w:color w:val="002060"/>
              </w:rPr>
              <w:t>2014</w:t>
            </w:r>
          </w:p>
        </w:tc>
        <w:tc>
          <w:tcPr>
            <w:tcW w:w="992" w:type="dxa"/>
            <w:tcBorders>
              <w:bottom w:val="single" w:sz="4" w:space="0" w:color="044458" w:themeColor="accent6" w:themeShade="80"/>
            </w:tcBorders>
            <w:shd w:val="clear" w:color="auto" w:fill="D1E7A8" w:themeFill="accent2" w:themeFillTint="66"/>
          </w:tcPr>
          <w:p w14:paraId="7F546172" w14:textId="43A13447" w:rsidR="00C86B2B" w:rsidRPr="0015154B" w:rsidRDefault="00C86B2B" w:rsidP="00C86B2B">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2060"/>
              </w:rPr>
            </w:pPr>
            <w:r w:rsidRPr="0015154B">
              <w:rPr>
                <w:rFonts w:ascii="Times New Roman" w:hAnsi="Times New Roman"/>
                <w:b w:val="0"/>
                <w:bCs w:val="0"/>
                <w:color w:val="002060"/>
              </w:rPr>
              <w:t>2015</w:t>
            </w:r>
          </w:p>
        </w:tc>
        <w:tc>
          <w:tcPr>
            <w:tcW w:w="992" w:type="dxa"/>
            <w:tcBorders>
              <w:bottom w:val="single" w:sz="4" w:space="0" w:color="044458" w:themeColor="accent6" w:themeShade="80"/>
            </w:tcBorders>
            <w:shd w:val="clear" w:color="auto" w:fill="D1E7A8" w:themeFill="accent2" w:themeFillTint="66"/>
          </w:tcPr>
          <w:p w14:paraId="632B3FE2" w14:textId="77777777" w:rsidR="00C86B2B" w:rsidRPr="0015154B" w:rsidRDefault="00C86B2B" w:rsidP="00C86B2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2016</w:t>
            </w:r>
          </w:p>
        </w:tc>
        <w:tc>
          <w:tcPr>
            <w:tcW w:w="992" w:type="dxa"/>
            <w:tcBorders>
              <w:bottom w:val="single" w:sz="4" w:space="0" w:color="044458" w:themeColor="accent6" w:themeShade="80"/>
            </w:tcBorders>
            <w:shd w:val="clear" w:color="auto" w:fill="D1E7A8" w:themeFill="accent2" w:themeFillTint="66"/>
          </w:tcPr>
          <w:p w14:paraId="0D3EA97B" w14:textId="77777777" w:rsidR="00C86B2B" w:rsidRPr="0015154B" w:rsidRDefault="00C86B2B" w:rsidP="00C86B2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2017</w:t>
            </w:r>
          </w:p>
        </w:tc>
        <w:tc>
          <w:tcPr>
            <w:tcW w:w="993" w:type="dxa"/>
            <w:tcBorders>
              <w:bottom w:val="single" w:sz="4" w:space="0" w:color="044458" w:themeColor="accent6" w:themeShade="80"/>
            </w:tcBorders>
            <w:shd w:val="clear" w:color="auto" w:fill="D1E7A8" w:themeFill="accent2" w:themeFillTint="66"/>
          </w:tcPr>
          <w:p w14:paraId="37F88822" w14:textId="77777777" w:rsidR="00C86B2B" w:rsidRPr="0015154B" w:rsidRDefault="00C86B2B" w:rsidP="00C86B2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2018</w:t>
            </w:r>
          </w:p>
        </w:tc>
        <w:tc>
          <w:tcPr>
            <w:tcW w:w="987" w:type="dxa"/>
            <w:tcBorders>
              <w:bottom w:val="single" w:sz="4" w:space="0" w:color="044458" w:themeColor="accent6" w:themeShade="80"/>
            </w:tcBorders>
            <w:shd w:val="clear" w:color="auto" w:fill="D1E7A8" w:themeFill="accent2" w:themeFillTint="66"/>
          </w:tcPr>
          <w:p w14:paraId="548B5FE2" w14:textId="77777777" w:rsidR="00C86B2B" w:rsidRPr="0015154B" w:rsidRDefault="00C86B2B" w:rsidP="00C86B2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2019</w:t>
            </w:r>
          </w:p>
        </w:tc>
        <w:tc>
          <w:tcPr>
            <w:tcW w:w="1276" w:type="dxa"/>
            <w:tcBorders>
              <w:bottom w:val="single" w:sz="4" w:space="0" w:color="044458" w:themeColor="accent6" w:themeShade="80"/>
            </w:tcBorders>
            <w:shd w:val="clear" w:color="auto" w:fill="D1E7A8" w:themeFill="accent2" w:themeFillTint="66"/>
          </w:tcPr>
          <w:p w14:paraId="01EA51A6" w14:textId="77777777" w:rsidR="00C86B2B" w:rsidRPr="0015154B" w:rsidRDefault="00C86B2B" w:rsidP="00C86B2B">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30.06.2020.</w:t>
            </w:r>
          </w:p>
        </w:tc>
      </w:tr>
      <w:bookmarkEnd w:id="78"/>
      <w:tr w:rsidR="00C86B2B" w:rsidRPr="0015154B" w14:paraId="217C7340" w14:textId="77777777" w:rsidTr="00280B67">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044458" w:themeColor="accent6" w:themeShade="80"/>
            </w:tcBorders>
          </w:tcPr>
          <w:p w14:paraId="786715F7"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 xml:space="preserve">Reģistrēto bezdarbnieku skaits </w:t>
            </w:r>
          </w:p>
        </w:tc>
        <w:tc>
          <w:tcPr>
            <w:tcW w:w="993" w:type="dxa"/>
            <w:tcBorders>
              <w:top w:val="single" w:sz="4" w:space="0" w:color="044458" w:themeColor="accent6" w:themeShade="80"/>
            </w:tcBorders>
            <w:vAlign w:val="center"/>
          </w:tcPr>
          <w:p w14:paraId="25C2AEC0"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82 027</w:t>
            </w:r>
          </w:p>
        </w:tc>
        <w:tc>
          <w:tcPr>
            <w:tcW w:w="992" w:type="dxa"/>
            <w:tcBorders>
              <w:top w:val="single" w:sz="4" w:space="0" w:color="044458" w:themeColor="accent6" w:themeShade="80"/>
            </w:tcBorders>
            <w:vAlign w:val="center"/>
          </w:tcPr>
          <w:p w14:paraId="38B6C5B4"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color w:val="auto"/>
              </w:rPr>
            </w:pPr>
            <w:r w:rsidRPr="0015154B">
              <w:rPr>
                <w:rFonts w:ascii="Times New Roman" w:hAnsi="Times New Roman"/>
                <w:color w:val="auto"/>
              </w:rPr>
              <w:t>81 780</w:t>
            </w:r>
          </w:p>
        </w:tc>
        <w:tc>
          <w:tcPr>
            <w:tcW w:w="992" w:type="dxa"/>
            <w:tcBorders>
              <w:top w:val="single" w:sz="4" w:space="0" w:color="044458" w:themeColor="accent6" w:themeShade="80"/>
            </w:tcBorders>
            <w:vAlign w:val="center"/>
          </w:tcPr>
          <w:p w14:paraId="56CB6EF1"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78 357</w:t>
            </w:r>
          </w:p>
        </w:tc>
        <w:tc>
          <w:tcPr>
            <w:tcW w:w="992" w:type="dxa"/>
            <w:tcBorders>
              <w:top w:val="single" w:sz="4" w:space="0" w:color="044458" w:themeColor="accent6" w:themeShade="80"/>
            </w:tcBorders>
            <w:vAlign w:val="center"/>
          </w:tcPr>
          <w:p w14:paraId="556C0A9C"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63 121</w:t>
            </w:r>
          </w:p>
        </w:tc>
        <w:tc>
          <w:tcPr>
            <w:tcW w:w="993" w:type="dxa"/>
            <w:tcBorders>
              <w:top w:val="single" w:sz="4" w:space="0" w:color="044458" w:themeColor="accent6" w:themeShade="80"/>
            </w:tcBorders>
            <w:vAlign w:val="center"/>
          </w:tcPr>
          <w:p w14:paraId="2CDFF490"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59 588</w:t>
            </w:r>
          </w:p>
        </w:tc>
        <w:tc>
          <w:tcPr>
            <w:tcW w:w="987" w:type="dxa"/>
            <w:tcBorders>
              <w:top w:val="single" w:sz="4" w:space="0" w:color="044458" w:themeColor="accent6" w:themeShade="80"/>
            </w:tcBorders>
            <w:vAlign w:val="center"/>
          </w:tcPr>
          <w:p w14:paraId="26B615C0"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 xml:space="preserve">57 808 </w:t>
            </w:r>
          </w:p>
        </w:tc>
        <w:tc>
          <w:tcPr>
            <w:tcW w:w="1276" w:type="dxa"/>
            <w:tcBorders>
              <w:top w:val="single" w:sz="4" w:space="0" w:color="044458" w:themeColor="accent6" w:themeShade="80"/>
            </w:tcBorders>
            <w:vAlign w:val="center"/>
          </w:tcPr>
          <w:p w14:paraId="326D2DA2"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78 266</w:t>
            </w:r>
          </w:p>
        </w:tc>
      </w:tr>
      <w:tr w:rsidR="00C86B2B" w:rsidRPr="0015154B" w14:paraId="4CB0E708" w14:textId="77777777" w:rsidTr="00280B67">
        <w:trPr>
          <w:trHeight w:val="282"/>
          <w:jc w:val="center"/>
        </w:trPr>
        <w:tc>
          <w:tcPr>
            <w:cnfStyle w:val="001000000000" w:firstRow="0" w:lastRow="0" w:firstColumn="1" w:lastColumn="0" w:oddVBand="0" w:evenVBand="0" w:oddHBand="0" w:evenHBand="0" w:firstRowFirstColumn="0" w:firstRowLastColumn="0" w:lastRowFirstColumn="0" w:lastRowLastColumn="0"/>
            <w:tcW w:w="2268" w:type="dxa"/>
          </w:tcPr>
          <w:p w14:paraId="3E5E1818"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Reģistrētā bezdarba līmenis</w:t>
            </w:r>
          </w:p>
        </w:tc>
        <w:tc>
          <w:tcPr>
            <w:tcW w:w="993" w:type="dxa"/>
            <w:vAlign w:val="center"/>
          </w:tcPr>
          <w:p w14:paraId="3ACF3340"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8,5%</w:t>
            </w:r>
          </w:p>
        </w:tc>
        <w:tc>
          <w:tcPr>
            <w:tcW w:w="992" w:type="dxa"/>
            <w:vAlign w:val="center"/>
          </w:tcPr>
          <w:p w14:paraId="39EDF29F"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8,7%</w:t>
            </w:r>
          </w:p>
        </w:tc>
        <w:tc>
          <w:tcPr>
            <w:tcW w:w="992" w:type="dxa"/>
            <w:vAlign w:val="center"/>
          </w:tcPr>
          <w:p w14:paraId="78818577"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8,4%</w:t>
            </w:r>
          </w:p>
        </w:tc>
        <w:tc>
          <w:tcPr>
            <w:tcW w:w="992" w:type="dxa"/>
            <w:vAlign w:val="center"/>
          </w:tcPr>
          <w:p w14:paraId="1BEA1FEB"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6,8%</w:t>
            </w:r>
          </w:p>
        </w:tc>
        <w:tc>
          <w:tcPr>
            <w:tcW w:w="993" w:type="dxa"/>
            <w:vAlign w:val="center"/>
          </w:tcPr>
          <w:p w14:paraId="7FD72D3E"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6,4%</w:t>
            </w:r>
          </w:p>
        </w:tc>
        <w:tc>
          <w:tcPr>
            <w:tcW w:w="987" w:type="dxa"/>
            <w:vAlign w:val="center"/>
          </w:tcPr>
          <w:p w14:paraId="7CEFB089"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6,2%</w:t>
            </w:r>
          </w:p>
        </w:tc>
        <w:tc>
          <w:tcPr>
            <w:tcW w:w="1276" w:type="dxa"/>
            <w:vAlign w:val="center"/>
          </w:tcPr>
          <w:p w14:paraId="12547248"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8,6%</w:t>
            </w:r>
          </w:p>
        </w:tc>
      </w:tr>
      <w:tr w:rsidR="00C86B2B" w:rsidRPr="0015154B" w14:paraId="5142F237" w14:textId="77777777" w:rsidTr="00280B67">
        <w:trPr>
          <w:cnfStyle w:val="000000100000" w:firstRow="0" w:lastRow="0" w:firstColumn="0" w:lastColumn="0" w:oddVBand="0" w:evenVBand="0" w:oddHBand="1" w:evenHBand="0" w:firstRowFirstColumn="0" w:firstRowLastColumn="0" w:lastRowFirstColumn="0" w:lastRowLastColumn="0"/>
          <w:trHeight w:val="847"/>
          <w:jc w:val="center"/>
        </w:trPr>
        <w:tc>
          <w:tcPr>
            <w:cnfStyle w:val="001000000000" w:firstRow="0" w:lastRow="0" w:firstColumn="1" w:lastColumn="0" w:oddVBand="0" w:evenVBand="0" w:oddHBand="0" w:evenHBand="0" w:firstRowFirstColumn="0" w:firstRowLastColumn="0" w:lastRowFirstColumn="0" w:lastRowLastColumn="0"/>
            <w:tcW w:w="2268" w:type="dxa"/>
          </w:tcPr>
          <w:p w14:paraId="399C048F"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Cilvēku, kas gada laikā saņēmuši reģistrētā bezdarbnieka statusu, skaits (plūsma reģistrētajā bezdarbā)</w:t>
            </w:r>
          </w:p>
        </w:tc>
        <w:tc>
          <w:tcPr>
            <w:tcW w:w="993" w:type="dxa"/>
            <w:vAlign w:val="center"/>
          </w:tcPr>
          <w:p w14:paraId="3167B5F2"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100 902</w:t>
            </w:r>
          </w:p>
        </w:tc>
        <w:tc>
          <w:tcPr>
            <w:tcW w:w="992" w:type="dxa"/>
            <w:vAlign w:val="center"/>
          </w:tcPr>
          <w:p w14:paraId="72BBD024"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104 557</w:t>
            </w:r>
          </w:p>
        </w:tc>
        <w:tc>
          <w:tcPr>
            <w:tcW w:w="992" w:type="dxa"/>
            <w:vAlign w:val="center"/>
          </w:tcPr>
          <w:p w14:paraId="2A2CDD01"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102 298</w:t>
            </w:r>
          </w:p>
        </w:tc>
        <w:tc>
          <w:tcPr>
            <w:tcW w:w="992" w:type="dxa"/>
            <w:vAlign w:val="center"/>
          </w:tcPr>
          <w:p w14:paraId="162746CF"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87 335</w:t>
            </w:r>
          </w:p>
        </w:tc>
        <w:tc>
          <w:tcPr>
            <w:tcW w:w="993" w:type="dxa"/>
            <w:vAlign w:val="center"/>
          </w:tcPr>
          <w:p w14:paraId="7BD425B3"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87 132</w:t>
            </w:r>
          </w:p>
        </w:tc>
        <w:tc>
          <w:tcPr>
            <w:tcW w:w="987" w:type="dxa"/>
            <w:vAlign w:val="center"/>
          </w:tcPr>
          <w:p w14:paraId="14B72E34"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87 907</w:t>
            </w:r>
          </w:p>
        </w:tc>
        <w:tc>
          <w:tcPr>
            <w:tcW w:w="1276" w:type="dxa"/>
            <w:vAlign w:val="center"/>
          </w:tcPr>
          <w:p w14:paraId="52744334"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57 146</w:t>
            </w:r>
          </w:p>
        </w:tc>
      </w:tr>
      <w:tr w:rsidR="00C86B2B" w:rsidRPr="0015154B" w14:paraId="091B90B4" w14:textId="77777777" w:rsidTr="00280B67">
        <w:trPr>
          <w:trHeight w:val="866"/>
          <w:jc w:val="center"/>
        </w:trPr>
        <w:tc>
          <w:tcPr>
            <w:cnfStyle w:val="001000000000" w:firstRow="0" w:lastRow="0" w:firstColumn="1" w:lastColumn="0" w:oddVBand="0" w:evenVBand="0" w:oddHBand="0" w:evenHBand="0" w:firstRowFirstColumn="0" w:firstRowLastColumn="0" w:lastRowFirstColumn="0" w:lastRowLastColumn="0"/>
            <w:tcW w:w="2268" w:type="dxa"/>
          </w:tcPr>
          <w:p w14:paraId="1052F708"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Kopējais apkalpoto klientu skaits (uzskaitē gada sākumā + saņēmuši bezdarbnieka statusu)</w:t>
            </w:r>
          </w:p>
        </w:tc>
        <w:tc>
          <w:tcPr>
            <w:tcW w:w="993" w:type="dxa"/>
            <w:vAlign w:val="center"/>
          </w:tcPr>
          <w:p w14:paraId="59DBB995"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194 223</w:t>
            </w:r>
          </w:p>
        </w:tc>
        <w:tc>
          <w:tcPr>
            <w:tcW w:w="992" w:type="dxa"/>
            <w:vAlign w:val="center"/>
          </w:tcPr>
          <w:p w14:paraId="5D6B7480"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186 584</w:t>
            </w:r>
          </w:p>
        </w:tc>
        <w:tc>
          <w:tcPr>
            <w:tcW w:w="992" w:type="dxa"/>
            <w:vAlign w:val="center"/>
          </w:tcPr>
          <w:p w14:paraId="7E613780"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184 078</w:t>
            </w:r>
          </w:p>
        </w:tc>
        <w:tc>
          <w:tcPr>
            <w:tcW w:w="992" w:type="dxa"/>
            <w:vAlign w:val="center"/>
          </w:tcPr>
          <w:p w14:paraId="729B2401" w14:textId="77777777" w:rsidR="00C86B2B" w:rsidRPr="0015154B" w:rsidRDefault="00C86B2B" w:rsidP="00C86B2B">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165 692</w:t>
            </w:r>
          </w:p>
        </w:tc>
        <w:tc>
          <w:tcPr>
            <w:tcW w:w="993" w:type="dxa"/>
            <w:vAlign w:val="center"/>
          </w:tcPr>
          <w:p w14:paraId="44C139F7"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150 253</w:t>
            </w:r>
          </w:p>
        </w:tc>
        <w:tc>
          <w:tcPr>
            <w:tcW w:w="987" w:type="dxa"/>
            <w:vAlign w:val="center"/>
          </w:tcPr>
          <w:p w14:paraId="43D99F75"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 xml:space="preserve">147 495 </w:t>
            </w:r>
          </w:p>
        </w:tc>
        <w:tc>
          <w:tcPr>
            <w:tcW w:w="1276" w:type="dxa"/>
            <w:vAlign w:val="center"/>
          </w:tcPr>
          <w:p w14:paraId="0EC72678"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 xml:space="preserve">114 954 </w:t>
            </w:r>
          </w:p>
        </w:tc>
      </w:tr>
      <w:tr w:rsidR="00C86B2B" w:rsidRPr="0015154B" w14:paraId="1A2457B6" w14:textId="77777777" w:rsidTr="00280B67">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2268" w:type="dxa"/>
          </w:tcPr>
          <w:p w14:paraId="018B0B55"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Vidējais bezdarba ilgums (dienās) gada laikā</w:t>
            </w:r>
          </w:p>
        </w:tc>
        <w:tc>
          <w:tcPr>
            <w:tcW w:w="993" w:type="dxa"/>
            <w:vAlign w:val="center"/>
          </w:tcPr>
          <w:p w14:paraId="4E3E695C"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221</w:t>
            </w:r>
          </w:p>
        </w:tc>
        <w:tc>
          <w:tcPr>
            <w:tcW w:w="992" w:type="dxa"/>
            <w:vAlign w:val="center"/>
          </w:tcPr>
          <w:p w14:paraId="4B5CD214"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199</w:t>
            </w:r>
          </w:p>
        </w:tc>
        <w:tc>
          <w:tcPr>
            <w:tcW w:w="992" w:type="dxa"/>
            <w:vAlign w:val="center"/>
          </w:tcPr>
          <w:p w14:paraId="42F41E89"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197</w:t>
            </w:r>
          </w:p>
        </w:tc>
        <w:tc>
          <w:tcPr>
            <w:tcW w:w="992" w:type="dxa"/>
            <w:vAlign w:val="center"/>
          </w:tcPr>
          <w:p w14:paraId="2A443C5F"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194</w:t>
            </w:r>
          </w:p>
        </w:tc>
        <w:tc>
          <w:tcPr>
            <w:tcW w:w="993" w:type="dxa"/>
            <w:vAlign w:val="center"/>
          </w:tcPr>
          <w:p w14:paraId="16CCD0BF"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173</w:t>
            </w:r>
          </w:p>
        </w:tc>
        <w:tc>
          <w:tcPr>
            <w:tcW w:w="987" w:type="dxa"/>
            <w:vAlign w:val="center"/>
          </w:tcPr>
          <w:p w14:paraId="4A70E6C2"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163</w:t>
            </w:r>
          </w:p>
        </w:tc>
        <w:tc>
          <w:tcPr>
            <w:tcW w:w="1276" w:type="dxa"/>
            <w:vAlign w:val="center"/>
          </w:tcPr>
          <w:p w14:paraId="6851833B"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139</w:t>
            </w:r>
          </w:p>
        </w:tc>
      </w:tr>
      <w:tr w:rsidR="00C86B2B" w:rsidRPr="0015154B" w14:paraId="38347918" w14:textId="77777777" w:rsidTr="00280B67">
        <w:trPr>
          <w:trHeight w:val="282"/>
          <w:jc w:val="center"/>
        </w:trPr>
        <w:tc>
          <w:tcPr>
            <w:cnfStyle w:val="001000000000" w:firstRow="0" w:lastRow="0" w:firstColumn="1" w:lastColumn="0" w:oddVBand="0" w:evenVBand="0" w:oddHBand="0" w:evenHBand="0" w:firstRowFirstColumn="0" w:firstRowLastColumn="0" w:lastRowFirstColumn="0" w:lastRowLastColumn="0"/>
            <w:tcW w:w="2268" w:type="dxa"/>
          </w:tcPr>
          <w:p w14:paraId="7F459C75"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Gada laikā reģistrēto vakanču skaits</w:t>
            </w:r>
          </w:p>
        </w:tc>
        <w:tc>
          <w:tcPr>
            <w:tcW w:w="993" w:type="dxa"/>
            <w:vAlign w:val="center"/>
          </w:tcPr>
          <w:p w14:paraId="2C902F50"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43 139</w:t>
            </w:r>
          </w:p>
        </w:tc>
        <w:tc>
          <w:tcPr>
            <w:tcW w:w="992" w:type="dxa"/>
            <w:vAlign w:val="center"/>
          </w:tcPr>
          <w:p w14:paraId="3273DED0"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51 343</w:t>
            </w:r>
          </w:p>
        </w:tc>
        <w:tc>
          <w:tcPr>
            <w:tcW w:w="992" w:type="dxa"/>
            <w:vAlign w:val="center"/>
          </w:tcPr>
          <w:p w14:paraId="2237A7BB"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56 328</w:t>
            </w:r>
          </w:p>
        </w:tc>
        <w:tc>
          <w:tcPr>
            <w:tcW w:w="992" w:type="dxa"/>
            <w:vAlign w:val="center"/>
          </w:tcPr>
          <w:p w14:paraId="4C2A866D"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71 342</w:t>
            </w:r>
          </w:p>
        </w:tc>
        <w:tc>
          <w:tcPr>
            <w:tcW w:w="993" w:type="dxa"/>
            <w:vAlign w:val="center"/>
          </w:tcPr>
          <w:p w14:paraId="1673E71B"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88 492</w:t>
            </w:r>
          </w:p>
        </w:tc>
        <w:tc>
          <w:tcPr>
            <w:tcW w:w="987" w:type="dxa"/>
            <w:vAlign w:val="center"/>
          </w:tcPr>
          <w:p w14:paraId="7775B2AC"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106 397</w:t>
            </w:r>
          </w:p>
        </w:tc>
        <w:tc>
          <w:tcPr>
            <w:tcW w:w="1276" w:type="dxa"/>
            <w:vAlign w:val="center"/>
          </w:tcPr>
          <w:p w14:paraId="795475B4"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41 758</w:t>
            </w:r>
          </w:p>
        </w:tc>
      </w:tr>
      <w:tr w:rsidR="00C86B2B" w:rsidRPr="0015154B" w14:paraId="258DAD64" w14:textId="77777777" w:rsidTr="00280B67">
        <w:trPr>
          <w:cnfStyle w:val="000000100000" w:firstRow="0" w:lastRow="0" w:firstColumn="0" w:lastColumn="0" w:oddVBand="0" w:evenVBand="0" w:oddHBand="1" w:evenHBand="0" w:firstRowFirstColumn="0" w:firstRowLastColumn="0" w:lastRowFirstColumn="0" w:lastRowLastColumn="0"/>
          <w:trHeight w:val="583"/>
          <w:jc w:val="center"/>
        </w:trPr>
        <w:tc>
          <w:tcPr>
            <w:cnfStyle w:val="001000000000" w:firstRow="0" w:lastRow="0" w:firstColumn="1" w:lastColumn="0" w:oddVBand="0" w:evenVBand="0" w:oddHBand="0" w:evenHBand="0" w:firstRowFirstColumn="0" w:firstRowLastColumn="0" w:lastRowFirstColumn="0" w:lastRowLastColumn="0"/>
            <w:tcW w:w="2268" w:type="dxa"/>
          </w:tcPr>
          <w:p w14:paraId="50166D8D"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Darbā iekārtojušos cilvēku skaits (gada laikā)</w:t>
            </w:r>
          </w:p>
        </w:tc>
        <w:tc>
          <w:tcPr>
            <w:tcW w:w="993" w:type="dxa"/>
            <w:vAlign w:val="center"/>
          </w:tcPr>
          <w:p w14:paraId="0775A047"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73 115</w:t>
            </w:r>
          </w:p>
        </w:tc>
        <w:tc>
          <w:tcPr>
            <w:tcW w:w="992" w:type="dxa"/>
            <w:vAlign w:val="center"/>
          </w:tcPr>
          <w:p w14:paraId="46928667"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69 266</w:t>
            </w:r>
          </w:p>
        </w:tc>
        <w:tc>
          <w:tcPr>
            <w:tcW w:w="992" w:type="dxa"/>
            <w:vAlign w:val="center"/>
          </w:tcPr>
          <w:p w14:paraId="7E3B099C"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72 286</w:t>
            </w:r>
          </w:p>
        </w:tc>
        <w:tc>
          <w:tcPr>
            <w:tcW w:w="992" w:type="dxa"/>
            <w:vAlign w:val="center"/>
          </w:tcPr>
          <w:p w14:paraId="39ECB0F7"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67 085</w:t>
            </w:r>
          </w:p>
        </w:tc>
        <w:tc>
          <w:tcPr>
            <w:tcW w:w="993" w:type="dxa"/>
            <w:vAlign w:val="center"/>
          </w:tcPr>
          <w:p w14:paraId="484DC0FB"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63 633</w:t>
            </w:r>
          </w:p>
        </w:tc>
        <w:tc>
          <w:tcPr>
            <w:tcW w:w="987" w:type="dxa"/>
            <w:vAlign w:val="center"/>
          </w:tcPr>
          <w:p w14:paraId="69F1416F"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63 734</w:t>
            </w:r>
          </w:p>
        </w:tc>
        <w:tc>
          <w:tcPr>
            <w:tcW w:w="1276" w:type="dxa"/>
            <w:vAlign w:val="center"/>
          </w:tcPr>
          <w:p w14:paraId="676840E0"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26 005</w:t>
            </w:r>
          </w:p>
        </w:tc>
      </w:tr>
      <w:tr w:rsidR="00C86B2B" w:rsidRPr="0015154B" w14:paraId="3576C052" w14:textId="77777777" w:rsidTr="00280B67">
        <w:trPr>
          <w:trHeight w:val="282"/>
          <w:jc w:val="center"/>
        </w:trPr>
        <w:tc>
          <w:tcPr>
            <w:cnfStyle w:val="001000000000" w:firstRow="0" w:lastRow="0" w:firstColumn="1" w:lastColumn="0" w:oddVBand="0" w:evenVBand="0" w:oddHBand="0" w:evenHBand="0" w:firstRowFirstColumn="0" w:firstRowLastColumn="0" w:lastRowFirstColumn="0" w:lastRowLastColumn="0"/>
            <w:tcW w:w="2268" w:type="dxa"/>
          </w:tcPr>
          <w:p w14:paraId="47418AE7"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Ilgstošā bezdarba īpatsvars</w:t>
            </w:r>
          </w:p>
        </w:tc>
        <w:tc>
          <w:tcPr>
            <w:tcW w:w="993" w:type="dxa"/>
            <w:vAlign w:val="center"/>
          </w:tcPr>
          <w:p w14:paraId="387A94E3"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33,0%</w:t>
            </w:r>
          </w:p>
        </w:tc>
        <w:tc>
          <w:tcPr>
            <w:tcW w:w="992" w:type="dxa"/>
            <w:vAlign w:val="center"/>
          </w:tcPr>
          <w:p w14:paraId="51AEA18E"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29,7%</w:t>
            </w:r>
          </w:p>
        </w:tc>
        <w:tc>
          <w:tcPr>
            <w:tcW w:w="992" w:type="dxa"/>
            <w:vAlign w:val="center"/>
          </w:tcPr>
          <w:p w14:paraId="33789D4D"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28,7%</w:t>
            </w:r>
          </w:p>
        </w:tc>
        <w:tc>
          <w:tcPr>
            <w:tcW w:w="992" w:type="dxa"/>
            <w:vAlign w:val="center"/>
          </w:tcPr>
          <w:p w14:paraId="35376F36"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28,7%</w:t>
            </w:r>
          </w:p>
        </w:tc>
        <w:tc>
          <w:tcPr>
            <w:tcW w:w="993" w:type="dxa"/>
            <w:vAlign w:val="center"/>
          </w:tcPr>
          <w:p w14:paraId="2AB23519"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25,1%</w:t>
            </w:r>
          </w:p>
        </w:tc>
        <w:tc>
          <w:tcPr>
            <w:tcW w:w="987" w:type="dxa"/>
            <w:vAlign w:val="center"/>
          </w:tcPr>
          <w:p w14:paraId="11ABC8B1"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21,0%</w:t>
            </w:r>
          </w:p>
        </w:tc>
        <w:tc>
          <w:tcPr>
            <w:tcW w:w="1276" w:type="dxa"/>
            <w:vAlign w:val="center"/>
          </w:tcPr>
          <w:p w14:paraId="063EE228"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17,8%</w:t>
            </w:r>
          </w:p>
        </w:tc>
      </w:tr>
      <w:tr w:rsidR="00C86B2B" w:rsidRPr="0015154B" w14:paraId="368A3EBB" w14:textId="77777777" w:rsidTr="00280B67">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2268" w:type="dxa"/>
          </w:tcPr>
          <w:p w14:paraId="27BCCE93"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Atbalstu saņēmušo cilvēku skaits (unikālās personas visos pasākumos)</w:t>
            </w:r>
          </w:p>
        </w:tc>
        <w:tc>
          <w:tcPr>
            <w:tcW w:w="993" w:type="dxa"/>
            <w:vAlign w:val="center"/>
          </w:tcPr>
          <w:p w14:paraId="114DAD81"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115 457</w:t>
            </w:r>
          </w:p>
        </w:tc>
        <w:tc>
          <w:tcPr>
            <w:tcW w:w="992" w:type="dxa"/>
            <w:vAlign w:val="center"/>
          </w:tcPr>
          <w:p w14:paraId="6C05E801"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99 161</w:t>
            </w:r>
          </w:p>
        </w:tc>
        <w:tc>
          <w:tcPr>
            <w:tcW w:w="992" w:type="dxa"/>
            <w:vAlign w:val="center"/>
          </w:tcPr>
          <w:p w14:paraId="39A26CC5"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113 186</w:t>
            </w:r>
          </w:p>
        </w:tc>
        <w:tc>
          <w:tcPr>
            <w:tcW w:w="992" w:type="dxa"/>
            <w:vAlign w:val="center"/>
          </w:tcPr>
          <w:p w14:paraId="27338587"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105 929</w:t>
            </w:r>
          </w:p>
        </w:tc>
        <w:tc>
          <w:tcPr>
            <w:tcW w:w="993" w:type="dxa"/>
            <w:vAlign w:val="center"/>
          </w:tcPr>
          <w:p w14:paraId="7E965C36"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91 757</w:t>
            </w:r>
          </w:p>
        </w:tc>
        <w:tc>
          <w:tcPr>
            <w:tcW w:w="987" w:type="dxa"/>
            <w:vAlign w:val="center"/>
          </w:tcPr>
          <w:p w14:paraId="695C9174"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 xml:space="preserve">74 606 </w:t>
            </w:r>
          </w:p>
        </w:tc>
        <w:tc>
          <w:tcPr>
            <w:tcW w:w="1276" w:type="dxa"/>
            <w:vAlign w:val="center"/>
          </w:tcPr>
          <w:p w14:paraId="1F450980"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26 675</w:t>
            </w:r>
          </w:p>
        </w:tc>
      </w:tr>
      <w:tr w:rsidR="00C86B2B" w:rsidRPr="0015154B" w14:paraId="464B7FE9" w14:textId="77777777" w:rsidTr="00280B67">
        <w:trPr>
          <w:trHeight w:val="564"/>
          <w:jc w:val="center"/>
        </w:trPr>
        <w:tc>
          <w:tcPr>
            <w:cnfStyle w:val="001000000000" w:firstRow="0" w:lastRow="0" w:firstColumn="1" w:lastColumn="0" w:oddVBand="0" w:evenVBand="0" w:oddHBand="0" w:evenHBand="0" w:firstRowFirstColumn="0" w:firstRowLastColumn="0" w:lastRowFirstColumn="0" w:lastRowLastColumn="0"/>
            <w:tcW w:w="2268" w:type="dxa"/>
          </w:tcPr>
          <w:p w14:paraId="70954D7E" w14:textId="77777777" w:rsidR="00C86B2B" w:rsidRPr="0015154B" w:rsidRDefault="00C86B2B" w:rsidP="00C86B2B">
            <w:pPr>
              <w:rPr>
                <w:rFonts w:ascii="Times New Roman" w:eastAsiaTheme="minorHAnsi" w:hAnsi="Times New Roman"/>
                <w:b w:val="0"/>
                <w:bCs w:val="0"/>
                <w:color w:val="002060"/>
                <w:lang w:eastAsia="en-US"/>
              </w:rPr>
            </w:pPr>
            <w:bookmarkStart w:id="81" w:name="_Hlk520191216"/>
            <w:r w:rsidRPr="0015154B">
              <w:rPr>
                <w:rFonts w:ascii="Times New Roman" w:eastAsiaTheme="minorHAnsi" w:hAnsi="Times New Roman"/>
                <w:b w:val="0"/>
                <w:bCs w:val="0"/>
                <w:color w:val="002060"/>
                <w:lang w:eastAsia="en-US"/>
              </w:rPr>
              <w:t xml:space="preserve">*Subsidētajā nodarbinātībā iesaistīto bezdarbnieku skaits (unikālie) </w:t>
            </w:r>
          </w:p>
        </w:tc>
        <w:tc>
          <w:tcPr>
            <w:tcW w:w="993" w:type="dxa"/>
            <w:vAlign w:val="center"/>
          </w:tcPr>
          <w:p w14:paraId="2ACAD881"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2 613</w:t>
            </w:r>
          </w:p>
        </w:tc>
        <w:tc>
          <w:tcPr>
            <w:tcW w:w="992" w:type="dxa"/>
            <w:vAlign w:val="center"/>
          </w:tcPr>
          <w:p w14:paraId="42E09EE9"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2 395</w:t>
            </w:r>
          </w:p>
        </w:tc>
        <w:tc>
          <w:tcPr>
            <w:tcW w:w="992" w:type="dxa"/>
            <w:vAlign w:val="center"/>
          </w:tcPr>
          <w:p w14:paraId="3E3D2683"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2 734</w:t>
            </w:r>
          </w:p>
        </w:tc>
        <w:tc>
          <w:tcPr>
            <w:tcW w:w="992" w:type="dxa"/>
            <w:vAlign w:val="center"/>
          </w:tcPr>
          <w:p w14:paraId="4AFB4F93"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2 619</w:t>
            </w:r>
          </w:p>
        </w:tc>
        <w:tc>
          <w:tcPr>
            <w:tcW w:w="993" w:type="dxa"/>
            <w:vAlign w:val="center"/>
          </w:tcPr>
          <w:p w14:paraId="26288808"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1 457</w:t>
            </w:r>
          </w:p>
        </w:tc>
        <w:tc>
          <w:tcPr>
            <w:tcW w:w="987" w:type="dxa"/>
            <w:vAlign w:val="center"/>
          </w:tcPr>
          <w:p w14:paraId="7BF75546"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1 229</w:t>
            </w:r>
          </w:p>
        </w:tc>
        <w:tc>
          <w:tcPr>
            <w:tcW w:w="1276" w:type="dxa"/>
            <w:vAlign w:val="center"/>
          </w:tcPr>
          <w:p w14:paraId="5A8F4B60" w14:textId="77777777" w:rsidR="00C86B2B" w:rsidRPr="0015154B" w:rsidRDefault="00C86B2B" w:rsidP="00C86B2B">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712</w:t>
            </w:r>
          </w:p>
        </w:tc>
      </w:tr>
      <w:tr w:rsidR="00C86B2B" w:rsidRPr="0015154B" w14:paraId="0A40F707" w14:textId="77777777" w:rsidTr="00280B67">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2268" w:type="dxa"/>
          </w:tcPr>
          <w:p w14:paraId="5976E5E9" w14:textId="77777777" w:rsidR="00C86B2B" w:rsidRPr="0015154B" w:rsidRDefault="00C86B2B" w:rsidP="00C86B2B">
            <w:pPr>
              <w:rPr>
                <w:rFonts w:ascii="Times New Roman" w:eastAsiaTheme="minorHAnsi" w:hAnsi="Times New Roman"/>
                <w:b w:val="0"/>
                <w:bCs w:val="0"/>
                <w:color w:val="002060"/>
                <w:lang w:eastAsia="en-US"/>
              </w:rPr>
            </w:pPr>
            <w:r w:rsidRPr="0015154B">
              <w:rPr>
                <w:rFonts w:ascii="Times New Roman" w:eastAsiaTheme="minorHAnsi" w:hAnsi="Times New Roman"/>
                <w:b w:val="0"/>
                <w:bCs w:val="0"/>
                <w:color w:val="002060"/>
                <w:lang w:eastAsia="en-US"/>
              </w:rPr>
              <w:t>**Apmācību pasākumos iesaistīto skaits (unikālie)</w:t>
            </w:r>
          </w:p>
        </w:tc>
        <w:tc>
          <w:tcPr>
            <w:tcW w:w="993" w:type="dxa"/>
            <w:vAlign w:val="center"/>
          </w:tcPr>
          <w:p w14:paraId="415EF46F"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20 548</w:t>
            </w:r>
          </w:p>
        </w:tc>
        <w:tc>
          <w:tcPr>
            <w:tcW w:w="992" w:type="dxa"/>
            <w:vAlign w:val="center"/>
          </w:tcPr>
          <w:p w14:paraId="72D42987"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154B">
              <w:rPr>
                <w:rFonts w:ascii="Times New Roman" w:hAnsi="Times New Roman"/>
                <w:color w:val="auto"/>
              </w:rPr>
              <w:t>15 839</w:t>
            </w:r>
          </w:p>
        </w:tc>
        <w:tc>
          <w:tcPr>
            <w:tcW w:w="992" w:type="dxa"/>
            <w:vAlign w:val="center"/>
          </w:tcPr>
          <w:p w14:paraId="504A0CC3"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20 545</w:t>
            </w:r>
          </w:p>
        </w:tc>
        <w:tc>
          <w:tcPr>
            <w:tcW w:w="992" w:type="dxa"/>
            <w:vAlign w:val="center"/>
          </w:tcPr>
          <w:p w14:paraId="43D88442"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17 937</w:t>
            </w:r>
          </w:p>
        </w:tc>
        <w:tc>
          <w:tcPr>
            <w:tcW w:w="993" w:type="dxa"/>
            <w:vAlign w:val="center"/>
          </w:tcPr>
          <w:p w14:paraId="6456B5A3"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16 559</w:t>
            </w:r>
          </w:p>
        </w:tc>
        <w:tc>
          <w:tcPr>
            <w:tcW w:w="987" w:type="dxa"/>
            <w:vAlign w:val="center"/>
          </w:tcPr>
          <w:p w14:paraId="6D830A00"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14 938</w:t>
            </w:r>
          </w:p>
        </w:tc>
        <w:tc>
          <w:tcPr>
            <w:tcW w:w="1276" w:type="dxa"/>
            <w:vAlign w:val="center"/>
          </w:tcPr>
          <w:p w14:paraId="57238F65" w14:textId="77777777" w:rsidR="00C86B2B" w:rsidRPr="0015154B" w:rsidRDefault="00C86B2B" w:rsidP="00C86B2B">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auto"/>
                <w:lang w:eastAsia="en-US"/>
              </w:rPr>
            </w:pPr>
            <w:r w:rsidRPr="0015154B">
              <w:rPr>
                <w:rFonts w:ascii="Times New Roman" w:eastAsiaTheme="minorHAnsi" w:hAnsi="Times New Roman"/>
                <w:color w:val="auto"/>
                <w:lang w:eastAsia="en-US"/>
              </w:rPr>
              <w:t>4 136</w:t>
            </w:r>
          </w:p>
        </w:tc>
      </w:tr>
      <w:tr w:rsidR="00C86B2B" w:rsidRPr="0015154B" w14:paraId="5B7B7D9B" w14:textId="77777777" w:rsidTr="00280B67">
        <w:trPr>
          <w:trHeight w:val="564"/>
          <w:jc w:val="center"/>
        </w:trPr>
        <w:tc>
          <w:tcPr>
            <w:cnfStyle w:val="001000000000" w:firstRow="0" w:lastRow="0" w:firstColumn="1" w:lastColumn="0" w:oddVBand="0" w:evenVBand="0" w:oddHBand="0" w:evenHBand="0" w:firstRowFirstColumn="0" w:firstRowLastColumn="0" w:lastRowFirstColumn="0" w:lastRowLastColumn="0"/>
            <w:tcW w:w="9493" w:type="dxa"/>
            <w:gridSpan w:val="8"/>
          </w:tcPr>
          <w:p w14:paraId="79517924" w14:textId="77777777" w:rsidR="00C86B2B" w:rsidRPr="001101F7" w:rsidRDefault="00C86B2B" w:rsidP="00C86B2B">
            <w:pPr>
              <w:pStyle w:val="HeadingText"/>
              <w:spacing w:line="240" w:lineRule="auto"/>
              <w:rPr>
                <w:rFonts w:ascii="Times New Roman" w:eastAsiaTheme="minorHAnsi" w:hAnsi="Times New Roman" w:cs="Times New Roman"/>
                <w:bCs/>
                <w:color w:val="002060"/>
                <w:lang w:val="lv-LV"/>
              </w:rPr>
            </w:pPr>
            <w:r w:rsidRPr="001101F7">
              <w:rPr>
                <w:rFonts w:ascii="Times New Roman" w:eastAsiaTheme="minorHAnsi" w:hAnsi="Times New Roman" w:cs="Times New Roman"/>
                <w:bCs/>
                <w:color w:val="002060"/>
                <w:lang w:val="lv-LV"/>
              </w:rPr>
              <w:t>* Subsidētajā nodarbinātībā iekļauti Darbam nepieciešamo iemaņu attīstība nevalstiskajā sektorā un Pasākums noteiktām personu grupām projekts</w:t>
            </w:r>
          </w:p>
          <w:p w14:paraId="45A163B9" w14:textId="77777777" w:rsidR="00C86B2B" w:rsidRPr="001101F7" w:rsidRDefault="00C86B2B" w:rsidP="00C86B2B">
            <w:pPr>
              <w:pStyle w:val="HeadingText"/>
              <w:spacing w:line="240" w:lineRule="auto"/>
              <w:rPr>
                <w:rFonts w:ascii="Times New Roman" w:eastAsiaTheme="minorHAnsi" w:hAnsi="Times New Roman" w:cs="Times New Roman"/>
                <w:bCs/>
                <w:color w:val="002060"/>
                <w:lang w:val="lv-LV"/>
              </w:rPr>
            </w:pPr>
            <w:r w:rsidRPr="001101F7">
              <w:rPr>
                <w:rFonts w:ascii="Times New Roman" w:eastAsiaTheme="minorHAnsi" w:hAnsi="Times New Roman" w:cs="Times New Roman"/>
                <w:bCs/>
                <w:color w:val="002060"/>
                <w:lang w:val="lv-LV"/>
              </w:rPr>
              <w:t>**Profesionālā un neformālā apmācība</w:t>
            </w:r>
          </w:p>
        </w:tc>
      </w:tr>
    </w:tbl>
    <w:p w14:paraId="2B8E9580" w14:textId="77777777" w:rsidR="00C86B2B" w:rsidRPr="001101F7" w:rsidRDefault="00C86B2B" w:rsidP="003077EC">
      <w:pPr>
        <w:pStyle w:val="HeadingText"/>
        <w:spacing w:after="0" w:line="240" w:lineRule="auto"/>
        <w:rPr>
          <w:rFonts w:ascii="Times New Roman" w:eastAsiaTheme="minorHAnsi" w:hAnsi="Times New Roman" w:cs="Times New Roman"/>
          <w:b w:val="0"/>
          <w:lang w:val="lv-LV"/>
        </w:rPr>
      </w:pPr>
      <w:bookmarkStart w:id="82" w:name="_Hlk514233516"/>
      <w:bookmarkEnd w:id="79"/>
      <w:bookmarkEnd w:id="80"/>
      <w:bookmarkEnd w:id="81"/>
      <w:r w:rsidRPr="001101F7">
        <w:rPr>
          <w:rFonts w:ascii="Times New Roman" w:eastAsiaTheme="minorHAnsi" w:hAnsi="Times New Roman" w:cs="Times New Roman"/>
          <w:b w:val="0"/>
          <w:lang w:val="lv-LV"/>
        </w:rPr>
        <w:t>Datu avots: NVA</w:t>
      </w:r>
    </w:p>
    <w:bookmarkEnd w:id="82"/>
    <w:p w14:paraId="7677235F" w14:textId="77777777" w:rsidR="003077EC" w:rsidRPr="007157D3" w:rsidRDefault="003077EC" w:rsidP="003077EC">
      <w:pPr>
        <w:spacing w:after="0" w:line="240" w:lineRule="auto"/>
        <w:ind w:firstLine="709"/>
        <w:jc w:val="both"/>
        <w:rPr>
          <w:rFonts w:ascii="Times New Roman" w:hAnsi="Times New Roman" w:cs="Times New Roman"/>
          <w:color w:val="000000"/>
          <w:sz w:val="24"/>
          <w:szCs w:val="24"/>
        </w:rPr>
      </w:pPr>
    </w:p>
    <w:p w14:paraId="57D84C2D" w14:textId="40F3CD76" w:rsidR="00C86B2B" w:rsidRPr="00A857F2" w:rsidRDefault="00C86B2B" w:rsidP="003077EC">
      <w:pPr>
        <w:spacing w:after="0" w:line="240" w:lineRule="auto"/>
        <w:ind w:firstLine="709"/>
        <w:jc w:val="both"/>
        <w:rPr>
          <w:rFonts w:ascii="Times New Roman" w:hAnsi="Times New Roman" w:cs="Times New Roman"/>
          <w:color w:val="000000"/>
          <w:sz w:val="24"/>
          <w:szCs w:val="24"/>
        </w:rPr>
      </w:pPr>
      <w:r w:rsidRPr="007157D3">
        <w:rPr>
          <w:rFonts w:ascii="Times New Roman" w:hAnsi="Times New Roman" w:cs="Times New Roman"/>
          <w:color w:val="000000"/>
          <w:sz w:val="24"/>
          <w:szCs w:val="24"/>
        </w:rPr>
        <w:t>Zemākais bezdarba līmenis 2020.gada jūnijā reģistrēts Rīgas reģionā 6,9%, turpretim augstākais bezdarba līmenis bija Latgales reģionā – 16%</w:t>
      </w:r>
      <w:r w:rsidR="002B164B" w:rsidRPr="002F5278">
        <w:rPr>
          <w:rFonts w:ascii="Times New Roman" w:hAnsi="Times New Roman" w:cs="Times New Roman"/>
          <w:color w:val="000000"/>
          <w:sz w:val="24"/>
          <w:szCs w:val="24"/>
        </w:rPr>
        <w:t xml:space="preserve"> (</w:t>
      </w:r>
      <w:r w:rsidR="002B164B" w:rsidRPr="00534F50">
        <w:rPr>
          <w:rFonts w:ascii="Times New Roman" w:hAnsi="Times New Roman" w:cs="Times New Roman"/>
          <w:color w:val="000000"/>
          <w:sz w:val="24"/>
          <w:szCs w:val="24"/>
          <w:highlight w:val="yellow"/>
        </w:rPr>
        <w:t>skat</w:t>
      </w:r>
      <w:r w:rsidR="00D63A78" w:rsidRPr="00534F50">
        <w:rPr>
          <w:rFonts w:ascii="Times New Roman" w:hAnsi="Times New Roman" w:cs="Times New Roman"/>
          <w:color w:val="000000"/>
          <w:sz w:val="24"/>
          <w:szCs w:val="24"/>
          <w:highlight w:val="yellow"/>
        </w:rPr>
        <w:t>. 1</w:t>
      </w:r>
      <w:r w:rsidR="00534F50">
        <w:rPr>
          <w:rFonts w:ascii="Times New Roman" w:hAnsi="Times New Roman" w:cs="Times New Roman"/>
          <w:color w:val="000000"/>
          <w:sz w:val="24"/>
          <w:szCs w:val="24"/>
          <w:highlight w:val="yellow"/>
        </w:rPr>
        <w:t>9</w:t>
      </w:r>
      <w:r w:rsidR="002B164B" w:rsidRPr="00534F50">
        <w:rPr>
          <w:rFonts w:ascii="Times New Roman" w:hAnsi="Times New Roman" w:cs="Times New Roman"/>
          <w:color w:val="000000"/>
          <w:sz w:val="24"/>
          <w:szCs w:val="24"/>
          <w:highlight w:val="yellow"/>
        </w:rPr>
        <w:t>.attēlu</w:t>
      </w:r>
      <w:r w:rsidR="002B164B" w:rsidRPr="00573B49">
        <w:rPr>
          <w:rFonts w:ascii="Times New Roman" w:hAnsi="Times New Roman" w:cs="Times New Roman"/>
          <w:color w:val="000000"/>
          <w:sz w:val="24"/>
          <w:szCs w:val="24"/>
        </w:rPr>
        <w:t xml:space="preserve">) </w:t>
      </w:r>
      <w:r w:rsidR="002B164B" w:rsidRPr="00573B49">
        <w:rPr>
          <w:rFonts w:ascii="Times New Roman" w:hAnsi="Times New Roman" w:cs="Times New Roman"/>
          <w:sz w:val="24"/>
          <w:szCs w:val="24"/>
        </w:rPr>
        <w:t>Salīdzinot ar 2020.gada 1.ceturksni</w:t>
      </w:r>
      <w:r w:rsidR="002B164B" w:rsidRPr="0025422D">
        <w:rPr>
          <w:rFonts w:ascii="Times New Roman" w:hAnsi="Times New Roman" w:cs="Times New Roman"/>
          <w:sz w:val="24"/>
          <w:szCs w:val="24"/>
        </w:rPr>
        <w:t>, bezdarbnieka statusu ieguvušo skaita pieaugums bija vērojams visos reģionos.</w:t>
      </w:r>
    </w:p>
    <w:p w14:paraId="6350F09E" w14:textId="77777777" w:rsidR="002B164B" w:rsidRPr="00662D1E" w:rsidRDefault="002B164B" w:rsidP="003077EC">
      <w:pPr>
        <w:spacing w:after="0" w:line="240" w:lineRule="auto"/>
        <w:rPr>
          <w:rFonts w:ascii="Times New Roman" w:hAnsi="Times New Roman" w:cs="Times New Roman"/>
          <w:color w:val="000000" w:themeColor="text1"/>
          <w:sz w:val="24"/>
          <w:szCs w:val="24"/>
        </w:rPr>
      </w:pPr>
    </w:p>
    <w:p w14:paraId="0DD90D53" w14:textId="6E06507E" w:rsidR="002B164B" w:rsidRPr="0015154B" w:rsidRDefault="00D63A78" w:rsidP="003077EC">
      <w:pPr>
        <w:spacing w:after="0" w:line="240" w:lineRule="auto"/>
        <w:rPr>
          <w:rFonts w:ascii="Times New Roman" w:hAnsi="Times New Roman" w:cs="Times New Roman"/>
          <w:color w:val="000000" w:themeColor="text1"/>
          <w:sz w:val="24"/>
          <w:szCs w:val="24"/>
        </w:rPr>
      </w:pPr>
      <w:r w:rsidRPr="00662D1E">
        <w:rPr>
          <w:rFonts w:ascii="Times New Roman" w:hAnsi="Times New Roman" w:cs="Times New Roman"/>
          <w:color w:val="000000" w:themeColor="text1"/>
          <w:sz w:val="24"/>
          <w:szCs w:val="24"/>
        </w:rPr>
        <w:lastRenderedPageBreak/>
        <w:t>1</w:t>
      </w:r>
      <w:r w:rsidR="00534F50">
        <w:rPr>
          <w:rFonts w:ascii="Times New Roman" w:hAnsi="Times New Roman" w:cs="Times New Roman"/>
          <w:color w:val="000000" w:themeColor="text1"/>
          <w:sz w:val="24"/>
          <w:szCs w:val="24"/>
        </w:rPr>
        <w:t>9</w:t>
      </w:r>
      <w:r w:rsidRPr="00662D1E">
        <w:rPr>
          <w:rFonts w:ascii="Times New Roman" w:hAnsi="Times New Roman" w:cs="Times New Roman"/>
          <w:color w:val="000000" w:themeColor="text1"/>
          <w:sz w:val="24"/>
          <w:szCs w:val="24"/>
        </w:rPr>
        <w:t>.</w:t>
      </w:r>
      <w:r w:rsidR="002B164B" w:rsidRPr="009703E6">
        <w:rPr>
          <w:rFonts w:ascii="Times New Roman" w:hAnsi="Times New Roman" w:cs="Times New Roman"/>
          <w:color w:val="000000" w:themeColor="text1"/>
          <w:sz w:val="24"/>
          <w:szCs w:val="24"/>
        </w:rPr>
        <w:t>a</w:t>
      </w:r>
      <w:r w:rsidR="00C86B2B" w:rsidRPr="0015154B">
        <w:rPr>
          <w:rFonts w:ascii="Times New Roman" w:hAnsi="Times New Roman" w:cs="Times New Roman"/>
          <w:color w:val="000000" w:themeColor="text1"/>
          <w:sz w:val="24"/>
          <w:szCs w:val="24"/>
        </w:rPr>
        <w:t>ttēls</w:t>
      </w:r>
    </w:p>
    <w:p w14:paraId="35F42FA5" w14:textId="12FCF894" w:rsidR="00C86B2B" w:rsidRPr="001101F7" w:rsidRDefault="00C86B2B" w:rsidP="003077EC">
      <w:pPr>
        <w:spacing w:after="0" w:line="240" w:lineRule="auto"/>
        <w:jc w:val="center"/>
        <w:rPr>
          <w:rFonts w:ascii="Times New Roman" w:eastAsia="MS Mincho" w:hAnsi="Times New Roman" w:cs="Times New Roman"/>
          <w:b/>
          <w:color w:val="002060"/>
          <w:sz w:val="24"/>
          <w:szCs w:val="24"/>
          <w:lang w:eastAsia="ja-JP" w:bidi="lo-LA"/>
        </w:rPr>
      </w:pPr>
      <w:r w:rsidRPr="001101F7">
        <w:rPr>
          <w:rFonts w:ascii="Times New Roman" w:eastAsia="MS Mincho" w:hAnsi="Times New Roman" w:cs="Times New Roman"/>
          <w:b/>
          <w:color w:val="002060"/>
          <w:sz w:val="24"/>
          <w:szCs w:val="24"/>
          <w:lang w:eastAsia="ja-JP" w:bidi="lo-LA"/>
        </w:rPr>
        <w:t>Reģistrētā bezdarba līmenis Latvijas reģionos (uz 30.06.2020.)</w:t>
      </w:r>
    </w:p>
    <w:p w14:paraId="73D4A9C6" w14:textId="77777777" w:rsidR="00C86B2B" w:rsidRPr="007157D3" w:rsidRDefault="00C86B2B" w:rsidP="00C86B2B">
      <w:pPr>
        <w:spacing w:after="0" w:line="240" w:lineRule="auto"/>
        <w:jc w:val="center"/>
      </w:pPr>
      <w:r w:rsidRPr="001101F7">
        <w:rPr>
          <w:noProof/>
        </w:rPr>
        <w:drawing>
          <wp:inline distT="0" distB="0" distL="0" distR="0" wp14:anchorId="25D8342D" wp14:editId="7925C517">
            <wp:extent cx="4059419" cy="2397158"/>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0841" t="25646" r="18328" b="10456"/>
                    <a:stretch/>
                  </pic:blipFill>
                  <pic:spPr bwMode="auto">
                    <a:xfrm>
                      <a:off x="0" y="0"/>
                      <a:ext cx="4077465" cy="2407815"/>
                    </a:xfrm>
                    <a:prstGeom prst="rect">
                      <a:avLst/>
                    </a:prstGeom>
                    <a:ln w="12700">
                      <a:noFill/>
                    </a:ln>
                    <a:extLst>
                      <a:ext uri="{53640926-AAD7-44D8-BBD7-CCE9431645EC}">
                        <a14:shadowObscured xmlns:a14="http://schemas.microsoft.com/office/drawing/2010/main"/>
                      </a:ext>
                    </a:extLst>
                  </pic:spPr>
                </pic:pic>
              </a:graphicData>
            </a:graphic>
          </wp:inline>
        </w:drawing>
      </w:r>
    </w:p>
    <w:p w14:paraId="40821328" w14:textId="414CA9D9" w:rsidR="00C86B2B" w:rsidRPr="007157D3" w:rsidRDefault="00C86B2B" w:rsidP="00C86B2B">
      <w:pPr>
        <w:spacing w:after="0" w:line="240" w:lineRule="auto"/>
        <w:ind w:firstLine="1134"/>
        <w:jc w:val="both"/>
        <w:rPr>
          <w:rFonts w:ascii="Times New Roman" w:hAnsi="Times New Roman" w:cs="Times New Roman"/>
          <w:sz w:val="20"/>
          <w:szCs w:val="20"/>
        </w:rPr>
      </w:pPr>
      <w:r w:rsidRPr="007157D3">
        <w:rPr>
          <w:rFonts w:ascii="Times New Roman" w:hAnsi="Times New Roman" w:cs="Times New Roman"/>
          <w:sz w:val="20"/>
          <w:szCs w:val="20"/>
        </w:rPr>
        <w:t>Datu avots: NVA</w:t>
      </w:r>
    </w:p>
    <w:p w14:paraId="779A92FD" w14:textId="77777777" w:rsidR="002B164B" w:rsidRPr="002F5278" w:rsidRDefault="002B164B" w:rsidP="002B164B">
      <w:pPr>
        <w:jc w:val="both"/>
        <w:rPr>
          <w:rFonts w:ascii="Times New Roman" w:hAnsi="Times New Roman" w:cs="Times New Roman"/>
          <w:color w:val="000000"/>
          <w:sz w:val="24"/>
          <w:szCs w:val="24"/>
        </w:rPr>
      </w:pPr>
    </w:p>
    <w:p w14:paraId="166B055C" w14:textId="15EE2821" w:rsidR="00C86B2B" w:rsidRPr="0015154B" w:rsidRDefault="002B164B" w:rsidP="00AC38FA">
      <w:pPr>
        <w:spacing w:before="120" w:after="0" w:line="240" w:lineRule="auto"/>
        <w:ind w:firstLine="709"/>
        <w:jc w:val="both"/>
        <w:rPr>
          <w:rFonts w:ascii="Times New Roman" w:hAnsi="Times New Roman" w:cs="Times New Roman"/>
          <w:color w:val="000000"/>
          <w:sz w:val="24"/>
          <w:szCs w:val="24"/>
        </w:rPr>
      </w:pPr>
      <w:r w:rsidRPr="00573B49">
        <w:rPr>
          <w:rFonts w:ascii="Times New Roman" w:hAnsi="Times New Roman" w:cs="Times New Roman"/>
          <w:sz w:val="24"/>
          <w:szCs w:val="24"/>
        </w:rPr>
        <w:t>R</w:t>
      </w:r>
      <w:r w:rsidR="00C86B2B" w:rsidRPr="00573B49">
        <w:rPr>
          <w:rFonts w:ascii="Times New Roman" w:hAnsi="Times New Roman" w:cs="Times New Roman"/>
          <w:sz w:val="24"/>
          <w:szCs w:val="24"/>
        </w:rPr>
        <w:t xml:space="preserve">eģistrēto bezdarbnieku </w:t>
      </w:r>
      <w:r w:rsidRPr="00573B49">
        <w:rPr>
          <w:rFonts w:ascii="Times New Roman" w:hAnsi="Times New Roman" w:cs="Times New Roman"/>
          <w:sz w:val="24"/>
          <w:szCs w:val="24"/>
        </w:rPr>
        <w:t xml:space="preserve">skaita </w:t>
      </w:r>
      <w:r w:rsidR="00C86B2B" w:rsidRPr="0025422D">
        <w:rPr>
          <w:rFonts w:ascii="Times New Roman" w:hAnsi="Times New Roman" w:cs="Times New Roman"/>
          <w:sz w:val="24"/>
          <w:szCs w:val="24"/>
        </w:rPr>
        <w:t>pieaugum</w:t>
      </w:r>
      <w:r w:rsidRPr="00A857F2">
        <w:rPr>
          <w:rFonts w:ascii="Times New Roman" w:hAnsi="Times New Roman" w:cs="Times New Roman"/>
          <w:sz w:val="24"/>
          <w:szCs w:val="24"/>
        </w:rPr>
        <w:t>u</w:t>
      </w:r>
      <w:r w:rsidR="00C86B2B" w:rsidRPr="00662D1E">
        <w:rPr>
          <w:rFonts w:ascii="Times New Roman" w:hAnsi="Times New Roman" w:cs="Times New Roman"/>
          <w:sz w:val="24"/>
          <w:szCs w:val="24"/>
        </w:rPr>
        <w:t xml:space="preserve"> </w:t>
      </w:r>
      <w:r w:rsidRPr="009703E6">
        <w:rPr>
          <w:rFonts w:ascii="Times New Roman" w:hAnsi="Times New Roman" w:cs="Times New Roman"/>
          <w:sz w:val="24"/>
          <w:szCs w:val="24"/>
        </w:rPr>
        <w:t xml:space="preserve">būtiski </w:t>
      </w:r>
      <w:r w:rsidR="00C86B2B" w:rsidRPr="0015154B">
        <w:rPr>
          <w:rFonts w:ascii="Times New Roman" w:hAnsi="Times New Roman" w:cs="Times New Roman"/>
          <w:sz w:val="24"/>
          <w:szCs w:val="24"/>
        </w:rPr>
        <w:t xml:space="preserve">ietekmēja kolektīvā atlaišana, </w:t>
      </w:r>
      <w:r w:rsidRPr="0015154B">
        <w:rPr>
          <w:rFonts w:ascii="Times New Roman" w:hAnsi="Times New Roman" w:cs="Times New Roman"/>
          <w:sz w:val="24"/>
          <w:szCs w:val="24"/>
        </w:rPr>
        <w:t>īpaši šādās</w:t>
      </w:r>
      <w:r w:rsidR="00C86B2B" w:rsidRPr="0015154B">
        <w:rPr>
          <w:rFonts w:ascii="Times New Roman" w:hAnsi="Times New Roman" w:cs="Times New Roman"/>
          <w:sz w:val="24"/>
          <w:szCs w:val="24"/>
        </w:rPr>
        <w:t xml:space="preserve"> nozarēs: </w:t>
      </w:r>
      <w:r w:rsidR="00841EF3" w:rsidRPr="0015154B">
        <w:rPr>
          <w:rFonts w:ascii="Times New Roman" w:hAnsi="Times New Roman" w:cs="Times New Roman"/>
          <w:sz w:val="24"/>
          <w:szCs w:val="24"/>
        </w:rPr>
        <w:t>t</w:t>
      </w:r>
      <w:r w:rsidR="00C86B2B" w:rsidRPr="0015154B">
        <w:rPr>
          <w:rFonts w:ascii="Times New Roman" w:hAnsi="Times New Roman" w:cs="Times New Roman"/>
          <w:sz w:val="24"/>
          <w:szCs w:val="24"/>
        </w:rPr>
        <w:t>ransports un uzglabāšana</w:t>
      </w:r>
      <w:r w:rsidR="00841EF3" w:rsidRPr="0015154B">
        <w:rPr>
          <w:rFonts w:ascii="Times New Roman" w:hAnsi="Times New Roman" w:cs="Times New Roman"/>
          <w:sz w:val="24"/>
          <w:szCs w:val="24"/>
        </w:rPr>
        <w:t>,</w:t>
      </w:r>
      <w:r w:rsidR="00C86B2B" w:rsidRPr="0015154B">
        <w:rPr>
          <w:rFonts w:ascii="Times New Roman" w:hAnsi="Times New Roman" w:cs="Times New Roman"/>
          <w:sz w:val="24"/>
          <w:szCs w:val="24"/>
        </w:rPr>
        <w:t xml:space="preserve"> </w:t>
      </w:r>
      <w:r w:rsidR="00841EF3" w:rsidRPr="0015154B">
        <w:rPr>
          <w:rFonts w:ascii="Times New Roman" w:hAnsi="Times New Roman" w:cs="Times New Roman"/>
          <w:sz w:val="24"/>
          <w:szCs w:val="24"/>
        </w:rPr>
        <w:t>a</w:t>
      </w:r>
      <w:r w:rsidR="00C86B2B" w:rsidRPr="0015154B">
        <w:rPr>
          <w:rFonts w:ascii="Times New Roman" w:hAnsi="Times New Roman" w:cs="Times New Roman"/>
          <w:sz w:val="24"/>
          <w:szCs w:val="24"/>
        </w:rPr>
        <w:t>dministratīvo un apkalpojošo dienestu darbība</w:t>
      </w:r>
      <w:r w:rsidR="00841EF3" w:rsidRPr="0015154B">
        <w:rPr>
          <w:rFonts w:ascii="Times New Roman" w:hAnsi="Times New Roman" w:cs="Times New Roman"/>
          <w:sz w:val="24"/>
          <w:szCs w:val="24"/>
        </w:rPr>
        <w:t>,</w:t>
      </w:r>
      <w:r w:rsidR="00C86B2B" w:rsidRPr="0015154B">
        <w:rPr>
          <w:rFonts w:ascii="Times New Roman" w:hAnsi="Times New Roman" w:cs="Times New Roman"/>
          <w:sz w:val="24"/>
          <w:szCs w:val="24"/>
        </w:rPr>
        <w:t xml:space="preserve"> </w:t>
      </w:r>
      <w:r w:rsidR="00841EF3" w:rsidRPr="0015154B">
        <w:rPr>
          <w:rFonts w:ascii="Times New Roman" w:hAnsi="Times New Roman" w:cs="Times New Roman"/>
          <w:sz w:val="24"/>
          <w:szCs w:val="24"/>
        </w:rPr>
        <w:t>i</w:t>
      </w:r>
      <w:r w:rsidR="00C86B2B" w:rsidRPr="0015154B">
        <w:rPr>
          <w:rFonts w:ascii="Times New Roman" w:hAnsi="Times New Roman" w:cs="Times New Roman"/>
          <w:sz w:val="24"/>
          <w:szCs w:val="24"/>
        </w:rPr>
        <w:t>zmitināšana un ēdināšanas pakalpojumi</w:t>
      </w:r>
      <w:r w:rsidR="00841EF3" w:rsidRPr="0015154B">
        <w:rPr>
          <w:rFonts w:ascii="Times New Roman" w:hAnsi="Times New Roman" w:cs="Times New Roman"/>
          <w:sz w:val="24"/>
          <w:szCs w:val="24"/>
        </w:rPr>
        <w:t>, v</w:t>
      </w:r>
      <w:r w:rsidR="00C86B2B" w:rsidRPr="0015154B">
        <w:rPr>
          <w:rFonts w:ascii="Times New Roman" w:hAnsi="Times New Roman" w:cs="Times New Roman"/>
          <w:sz w:val="24"/>
          <w:szCs w:val="24"/>
        </w:rPr>
        <w:t>airumtirdzniecība un mazumtirdzniecība</w:t>
      </w:r>
      <w:r w:rsidR="00841EF3" w:rsidRPr="0015154B">
        <w:rPr>
          <w:rFonts w:ascii="Times New Roman" w:hAnsi="Times New Roman" w:cs="Times New Roman"/>
          <w:sz w:val="24"/>
          <w:szCs w:val="24"/>
        </w:rPr>
        <w:t>.</w:t>
      </w:r>
    </w:p>
    <w:p w14:paraId="22B96A86" w14:textId="32BF1950" w:rsidR="00C86B2B" w:rsidRPr="0015154B" w:rsidRDefault="00C86B2B" w:rsidP="00AC38FA">
      <w:pPr>
        <w:spacing w:before="120" w:after="0" w:line="240" w:lineRule="auto"/>
        <w:ind w:firstLine="709"/>
        <w:jc w:val="both"/>
        <w:rPr>
          <w:rFonts w:ascii="Times New Roman" w:hAnsi="Times New Roman" w:cs="Times New Roman"/>
          <w:color w:val="000000"/>
          <w:sz w:val="24"/>
          <w:szCs w:val="24"/>
        </w:rPr>
      </w:pPr>
      <w:r w:rsidRPr="0015154B">
        <w:rPr>
          <w:rFonts w:ascii="Times New Roman" w:hAnsi="Times New Roman" w:cs="Times New Roman"/>
          <w:sz w:val="24"/>
          <w:szCs w:val="24"/>
        </w:rPr>
        <w:t>No reģistrēto bezdarbnieku kopskaita (78 266) 2020.gada jūnija beigās 55,2% (43 192) bija sievietes un 44,8% (35 074) vīrieši. 2020. gada jūnija beigās vairāk nekā puse reģistrēto bezdarbnieku bija ar bezdarba ilgumu līdz 6 mēnešiem – 44 848 jeb 57,3%, savukārt r</w:t>
      </w:r>
      <w:r w:rsidRPr="0015154B">
        <w:rPr>
          <w:rFonts w:ascii="Times New Roman" w:hAnsi="Times New Roman" w:cs="Times New Roman"/>
          <w:color w:val="000000"/>
          <w:sz w:val="24"/>
          <w:szCs w:val="24"/>
        </w:rPr>
        <w:t xml:space="preserve">eģistrēto bezdarbnieku kopskaitā 2020.gada jūnija beigās lielāko īpatsvaru (34,6%) veidoja bezdarbnieki ar profesionālo izglītību, </w:t>
      </w:r>
      <w:r w:rsidRPr="0015154B">
        <w:rPr>
          <w:rFonts w:ascii="Times New Roman" w:hAnsi="Times New Roman" w:cs="Times New Roman"/>
          <w:sz w:val="24"/>
          <w:szCs w:val="24"/>
        </w:rPr>
        <w:t xml:space="preserve">no kuriem puse (51,1%) bija vecumā 50 gadi un vairāk, kas vienlaikus norāda uz nepieciešamību esošo izglītību pilnveidot vai apgūt no jauna, lai tā būtu atbilstoša mūsdienu darba tirgus prasībām. </w:t>
      </w:r>
      <w:r w:rsidR="002B164B" w:rsidRPr="0015154B">
        <w:rPr>
          <w:rFonts w:ascii="Times New Roman" w:hAnsi="Times New Roman" w:cs="Times New Roman"/>
          <w:sz w:val="24"/>
          <w:szCs w:val="24"/>
        </w:rPr>
        <w:t>Atšķirībā no</w:t>
      </w:r>
      <w:r w:rsidRPr="0015154B">
        <w:rPr>
          <w:rFonts w:ascii="Times New Roman" w:hAnsi="Times New Roman" w:cs="Times New Roman"/>
          <w:sz w:val="24"/>
          <w:szCs w:val="24"/>
        </w:rPr>
        <w:t xml:space="preserve"> iepriekšējiem gadiem, kad līdz ar bezdarbnieku skaita samazināšanos samazinājās arī to skaits katrā no izglītības līmeņu grupām, uz 2020.gada jūnija beigām bezdarbnieku skaits pieauga visās izglītības grupās, ko var vistiešākajā mērā skaidrot ar Covid-19 negatīvo ietekmi. Visaugstākais pieaugums, salīdzinot ar 2019.gada vasaru, vērojams bezdarbniekiem ar iegūtu profesionālo izglītību (</w:t>
      </w:r>
      <w:r w:rsidR="002B164B" w:rsidRPr="0015154B">
        <w:rPr>
          <w:rFonts w:ascii="Times New Roman" w:hAnsi="Times New Roman" w:cs="Times New Roman"/>
          <w:sz w:val="24"/>
          <w:szCs w:val="24"/>
        </w:rPr>
        <w:t>+</w:t>
      </w:r>
      <w:r w:rsidRPr="0015154B">
        <w:rPr>
          <w:rFonts w:ascii="Times New Roman" w:hAnsi="Times New Roman" w:cs="Times New Roman"/>
          <w:sz w:val="24"/>
          <w:szCs w:val="24"/>
        </w:rPr>
        <w:t xml:space="preserve"> 6986), vispārējo izglītību (+6559), augstāko izglītību (+5682).</w:t>
      </w:r>
    </w:p>
    <w:p w14:paraId="2C9193FA" w14:textId="3A58AF92" w:rsidR="00C86B2B" w:rsidRDefault="00C86B2B" w:rsidP="00AC38FA">
      <w:pPr>
        <w:spacing w:before="120" w:after="0" w:line="240" w:lineRule="auto"/>
        <w:ind w:firstLine="709"/>
        <w:jc w:val="both"/>
        <w:rPr>
          <w:rFonts w:ascii="Times New Roman" w:hAnsi="Times New Roman" w:cs="Times New Roman"/>
          <w:color w:val="000000"/>
          <w:sz w:val="24"/>
          <w:szCs w:val="24"/>
        </w:rPr>
      </w:pPr>
      <w:bookmarkStart w:id="83" w:name="_Hlk50631332"/>
      <w:r w:rsidRPr="0015154B">
        <w:rPr>
          <w:rFonts w:ascii="Times New Roman" w:hAnsi="Times New Roman" w:cs="Times New Roman"/>
          <w:color w:val="000000"/>
          <w:sz w:val="24"/>
          <w:szCs w:val="24"/>
        </w:rPr>
        <w:t xml:space="preserve">2020. gada jūnija beigās </w:t>
      </w:r>
      <w:r w:rsidR="00A935A3" w:rsidRPr="0015154B">
        <w:rPr>
          <w:rFonts w:ascii="Times New Roman" w:hAnsi="Times New Roman" w:cs="Times New Roman"/>
          <w:color w:val="000000"/>
          <w:sz w:val="24"/>
          <w:szCs w:val="24"/>
        </w:rPr>
        <w:t>lielāko īpatsvaru reģistrēto</w:t>
      </w:r>
      <w:r w:rsidRPr="0015154B">
        <w:rPr>
          <w:rFonts w:ascii="Times New Roman" w:hAnsi="Times New Roman" w:cs="Times New Roman"/>
          <w:color w:val="000000"/>
          <w:sz w:val="24"/>
          <w:szCs w:val="24"/>
        </w:rPr>
        <w:t xml:space="preserve"> bezdarbnieku kopskait</w:t>
      </w:r>
      <w:r w:rsidR="00A935A3" w:rsidRPr="0015154B">
        <w:rPr>
          <w:rFonts w:ascii="Times New Roman" w:hAnsi="Times New Roman" w:cs="Times New Roman"/>
          <w:color w:val="000000"/>
          <w:sz w:val="24"/>
          <w:szCs w:val="24"/>
        </w:rPr>
        <w:t>ā veido</w:t>
      </w:r>
      <w:r w:rsidRPr="0015154B">
        <w:rPr>
          <w:rFonts w:ascii="Times New Roman" w:hAnsi="Times New Roman" w:cs="Times New Roman"/>
          <w:color w:val="000000"/>
          <w:sz w:val="24"/>
          <w:szCs w:val="24"/>
        </w:rPr>
        <w:t xml:space="preserve"> bezdarbnieki vecumā 50 gadi un vairāk – 37,3%, ilgstošie bezdarbnieki</w:t>
      </w:r>
      <w:r w:rsidR="00A935A3" w:rsidRPr="0015154B">
        <w:rPr>
          <w:rFonts w:ascii="Times New Roman" w:hAnsi="Times New Roman" w:cs="Times New Roman"/>
          <w:color w:val="000000"/>
          <w:sz w:val="24"/>
          <w:szCs w:val="24"/>
        </w:rPr>
        <w:t xml:space="preserve"> </w:t>
      </w:r>
      <w:r w:rsidRPr="0015154B">
        <w:rPr>
          <w:rFonts w:ascii="Times New Roman" w:hAnsi="Times New Roman" w:cs="Times New Roman"/>
          <w:color w:val="000000"/>
          <w:sz w:val="24"/>
          <w:szCs w:val="24"/>
        </w:rPr>
        <w:t>– 17,8% un bezdarbnieki ar invaliditāti –11,3%. Savukārt jauniešu bezdarbnieku vecumā no 15-24 gadi īpatsvar</w:t>
      </w:r>
      <w:r w:rsidR="00A935A3" w:rsidRPr="0015154B">
        <w:rPr>
          <w:rFonts w:ascii="Times New Roman" w:hAnsi="Times New Roman" w:cs="Times New Roman"/>
          <w:color w:val="000000"/>
          <w:sz w:val="24"/>
          <w:szCs w:val="24"/>
        </w:rPr>
        <w:t>s</w:t>
      </w:r>
      <w:r w:rsidRPr="0015154B">
        <w:rPr>
          <w:rFonts w:ascii="Times New Roman" w:hAnsi="Times New Roman" w:cs="Times New Roman"/>
          <w:color w:val="000000"/>
          <w:sz w:val="24"/>
          <w:szCs w:val="24"/>
        </w:rPr>
        <w:t xml:space="preserve"> bija viszemākais </w:t>
      </w:r>
      <w:r w:rsidR="00A935A3" w:rsidRPr="0015154B">
        <w:rPr>
          <w:rFonts w:ascii="Times New Roman" w:hAnsi="Times New Roman" w:cs="Times New Roman"/>
          <w:color w:val="000000"/>
          <w:sz w:val="24"/>
          <w:szCs w:val="24"/>
        </w:rPr>
        <w:t>salīdzinot ar citām</w:t>
      </w:r>
      <w:r w:rsidRPr="0015154B">
        <w:rPr>
          <w:rFonts w:ascii="Times New Roman" w:hAnsi="Times New Roman" w:cs="Times New Roman"/>
          <w:color w:val="000000"/>
          <w:sz w:val="24"/>
          <w:szCs w:val="24"/>
        </w:rPr>
        <w:t xml:space="preserve"> mērķa grupām – 7,1%. </w:t>
      </w:r>
    </w:p>
    <w:p w14:paraId="77544181" w14:textId="77777777" w:rsidR="001101F7" w:rsidRPr="0015154B" w:rsidRDefault="001101F7" w:rsidP="00AC38FA">
      <w:pPr>
        <w:spacing w:before="120" w:after="0" w:line="240" w:lineRule="auto"/>
        <w:ind w:firstLine="709"/>
        <w:jc w:val="both"/>
        <w:rPr>
          <w:rFonts w:ascii="Times New Roman" w:hAnsi="Times New Roman" w:cs="Times New Roman"/>
          <w:color w:val="000000"/>
          <w:sz w:val="24"/>
          <w:szCs w:val="24"/>
        </w:rPr>
      </w:pPr>
    </w:p>
    <w:p w14:paraId="60E73641" w14:textId="21194CE8" w:rsidR="005478EA" w:rsidRPr="0015154B" w:rsidRDefault="00C86B2B" w:rsidP="001101F7">
      <w:pPr>
        <w:pStyle w:val="Heading3"/>
        <w:rPr>
          <w:rFonts w:eastAsia="Calibri"/>
        </w:rPr>
      </w:pPr>
      <w:bookmarkStart w:id="84" w:name="_Toc55316113"/>
      <w:r w:rsidRPr="0015154B">
        <w:rPr>
          <w:rFonts w:eastAsia="Calibri"/>
        </w:rPr>
        <w:t>Gados vecāku personu iekļaušana</w:t>
      </w:r>
      <w:bookmarkEnd w:id="84"/>
      <w:r w:rsidRPr="0015154B">
        <w:rPr>
          <w:rFonts w:eastAsia="Calibri"/>
        </w:rPr>
        <w:t xml:space="preserve"> </w:t>
      </w:r>
    </w:p>
    <w:p w14:paraId="17587629" w14:textId="1C4CC80A" w:rsidR="00C86B2B" w:rsidRPr="0015154B" w:rsidRDefault="00C86B2B" w:rsidP="00AC38FA">
      <w:pPr>
        <w:spacing w:before="120" w:after="0" w:line="240" w:lineRule="auto"/>
        <w:ind w:firstLine="720"/>
        <w:jc w:val="both"/>
        <w:rPr>
          <w:rFonts w:ascii="Times New Roman" w:hAnsi="Times New Roman" w:cs="Times New Roman"/>
          <w:sz w:val="24"/>
          <w:szCs w:val="24"/>
        </w:rPr>
      </w:pPr>
      <w:r w:rsidRPr="0015154B">
        <w:rPr>
          <w:rFonts w:ascii="Times New Roman" w:eastAsia="Calibri" w:hAnsi="Times New Roman"/>
          <w:iCs/>
          <w:color w:val="000000"/>
          <w:sz w:val="24"/>
          <w:szCs w:val="24"/>
        </w:rPr>
        <w:t xml:space="preserve">40% no darbaspēka ir vecumā, kas pārsniedz 50 gadus. </w:t>
      </w:r>
      <w:r w:rsidR="0033352D" w:rsidRPr="0015154B">
        <w:rPr>
          <w:rFonts w:ascii="Times New Roman" w:eastAsia="Calibri" w:hAnsi="Times New Roman"/>
          <w:iCs/>
          <w:color w:val="000000"/>
          <w:sz w:val="24"/>
          <w:szCs w:val="24"/>
        </w:rPr>
        <w:t>Līdz ar p</w:t>
      </w:r>
      <w:r w:rsidRPr="0015154B">
        <w:rPr>
          <w:rFonts w:ascii="Times New Roman" w:eastAsia="Calibri" w:hAnsi="Times New Roman"/>
          <w:iCs/>
          <w:color w:val="000000"/>
          <w:sz w:val="24"/>
          <w:szCs w:val="24"/>
        </w:rPr>
        <w:t>ensionēšanās vecum</w:t>
      </w:r>
      <w:r w:rsidR="0033352D" w:rsidRPr="0015154B">
        <w:rPr>
          <w:rFonts w:ascii="Times New Roman" w:eastAsia="Calibri" w:hAnsi="Times New Roman"/>
          <w:iCs/>
          <w:color w:val="000000"/>
          <w:sz w:val="24"/>
          <w:szCs w:val="24"/>
        </w:rPr>
        <w:t>a</w:t>
      </w:r>
      <w:r w:rsidRPr="0015154B">
        <w:rPr>
          <w:rFonts w:ascii="Times New Roman" w:eastAsia="Calibri" w:hAnsi="Times New Roman"/>
          <w:iCs/>
          <w:color w:val="000000"/>
          <w:sz w:val="24"/>
          <w:szCs w:val="24"/>
        </w:rPr>
        <w:t xml:space="preserve"> pakāpenisk</w:t>
      </w:r>
      <w:r w:rsidR="0033352D" w:rsidRPr="0015154B">
        <w:rPr>
          <w:rFonts w:ascii="Times New Roman" w:eastAsia="Calibri" w:hAnsi="Times New Roman"/>
          <w:iCs/>
          <w:color w:val="000000"/>
          <w:sz w:val="24"/>
          <w:szCs w:val="24"/>
        </w:rPr>
        <w:t xml:space="preserve">u paaugstināšanu </w:t>
      </w:r>
      <w:r w:rsidRPr="0015154B">
        <w:rPr>
          <w:rFonts w:ascii="Times New Roman" w:eastAsia="Calibri" w:hAnsi="Times New Roman"/>
          <w:iCs/>
          <w:color w:val="000000"/>
          <w:sz w:val="24"/>
          <w:szCs w:val="24"/>
        </w:rPr>
        <w:t>darba tirgū jāatrodas ilgāk</w:t>
      </w:r>
      <w:r w:rsidR="0033352D" w:rsidRPr="0015154B">
        <w:rPr>
          <w:rFonts w:ascii="Times New Roman" w:eastAsia="Calibri" w:hAnsi="Times New Roman"/>
          <w:iCs/>
          <w:color w:val="000000"/>
          <w:sz w:val="24"/>
          <w:szCs w:val="24"/>
        </w:rPr>
        <w:t>, līdz ar to</w:t>
      </w:r>
      <w:r w:rsidRPr="0015154B">
        <w:rPr>
          <w:rFonts w:ascii="Times New Roman" w:eastAsia="Calibri" w:hAnsi="Times New Roman"/>
          <w:iCs/>
          <w:color w:val="000000"/>
          <w:sz w:val="24"/>
          <w:szCs w:val="24"/>
        </w:rPr>
        <w:t xml:space="preserve"> strādājošie arī ilgākus gadus ir pakļauti dažādiem nelabvēlīgiem darba vides faktoriem, kas ietekmē veselību un darbaspējas. </w:t>
      </w:r>
      <w:r w:rsidRPr="0015154B">
        <w:rPr>
          <w:rFonts w:ascii="Times New Roman" w:hAnsi="Times New Roman" w:cs="Times New Roman"/>
          <w:sz w:val="24"/>
          <w:szCs w:val="24"/>
        </w:rPr>
        <w:t>Visaugstākais nodarbināto iedzīvotāju īpatsvars 2019.gadā sadalījumā pa vecuma grupām bija iedzīvotājiem 35-44 gadu vecumā (23,6%), iedzīvotājiem 45-54 gadu vecumā (23,4%) un 25-34 gadu vecumā (22,9%)</w:t>
      </w:r>
      <w:r w:rsidR="0033352D" w:rsidRPr="0015154B">
        <w:rPr>
          <w:rFonts w:ascii="Times New Roman" w:hAnsi="Times New Roman" w:cs="Times New Roman"/>
          <w:sz w:val="24"/>
          <w:szCs w:val="24"/>
        </w:rPr>
        <w:t>.</w:t>
      </w:r>
      <w:r w:rsidRPr="0015154B">
        <w:rPr>
          <w:rFonts w:ascii="Times New Roman" w:hAnsi="Times New Roman" w:cs="Times New Roman"/>
          <w:sz w:val="24"/>
          <w:szCs w:val="24"/>
        </w:rPr>
        <w:t xml:space="preserve"> </w:t>
      </w:r>
      <w:r w:rsidR="0033352D" w:rsidRPr="0015154B">
        <w:rPr>
          <w:rFonts w:ascii="Times New Roman" w:hAnsi="Times New Roman" w:cs="Times New Roman"/>
          <w:sz w:val="24"/>
          <w:szCs w:val="24"/>
        </w:rPr>
        <w:t>S</w:t>
      </w:r>
      <w:r w:rsidRPr="0015154B">
        <w:rPr>
          <w:rFonts w:ascii="Times New Roman" w:hAnsi="Times New Roman" w:cs="Times New Roman"/>
          <w:sz w:val="24"/>
          <w:szCs w:val="24"/>
        </w:rPr>
        <w:t>avukārt pirmspensijas</w:t>
      </w:r>
      <w:r w:rsidR="0033352D" w:rsidRPr="0015154B">
        <w:rPr>
          <w:rFonts w:ascii="Times New Roman" w:hAnsi="Times New Roman" w:cs="Times New Roman"/>
          <w:sz w:val="24"/>
          <w:szCs w:val="24"/>
        </w:rPr>
        <w:t xml:space="preserve"> vecuma</w:t>
      </w:r>
      <w:r w:rsidRPr="0015154B">
        <w:rPr>
          <w:rFonts w:ascii="Times New Roman" w:hAnsi="Times New Roman" w:cs="Times New Roman"/>
          <w:sz w:val="24"/>
          <w:szCs w:val="24"/>
        </w:rPr>
        <w:t xml:space="preserve"> iedzīvotāj</w:t>
      </w:r>
      <w:r w:rsidR="0033352D" w:rsidRPr="0015154B">
        <w:rPr>
          <w:rFonts w:ascii="Times New Roman" w:hAnsi="Times New Roman" w:cs="Times New Roman"/>
          <w:sz w:val="24"/>
          <w:szCs w:val="24"/>
        </w:rPr>
        <w:t>u (55-64 gadi) nodarbinātības līmenis</w:t>
      </w:r>
      <w:r w:rsidRPr="0015154B">
        <w:rPr>
          <w:rFonts w:ascii="Times New Roman" w:hAnsi="Times New Roman" w:cs="Times New Roman"/>
          <w:sz w:val="24"/>
          <w:szCs w:val="24"/>
        </w:rPr>
        <w:t xml:space="preserve"> </w:t>
      </w:r>
      <w:r w:rsidR="0033352D" w:rsidRPr="0015154B">
        <w:rPr>
          <w:rFonts w:ascii="Times New Roman" w:hAnsi="Times New Roman" w:cs="Times New Roman"/>
          <w:sz w:val="24"/>
          <w:szCs w:val="24"/>
        </w:rPr>
        <w:t>sasniedza</w:t>
      </w:r>
      <w:r w:rsidRPr="0015154B">
        <w:rPr>
          <w:rFonts w:ascii="Times New Roman" w:hAnsi="Times New Roman" w:cs="Times New Roman"/>
          <w:sz w:val="24"/>
          <w:szCs w:val="24"/>
        </w:rPr>
        <w:t xml:space="preserve"> 19,8%, tam gadu no gada pakāpeniski palielinoties</w:t>
      </w:r>
      <w:r w:rsidR="004E61D0" w:rsidRPr="0015154B">
        <w:rPr>
          <w:rFonts w:ascii="Times New Roman" w:hAnsi="Times New Roman" w:cs="Times New Roman"/>
          <w:sz w:val="24"/>
          <w:szCs w:val="24"/>
        </w:rPr>
        <w:t xml:space="preserve"> </w:t>
      </w:r>
      <w:r w:rsidRPr="0015154B">
        <w:rPr>
          <w:rFonts w:ascii="Times New Roman" w:hAnsi="Times New Roman" w:cs="Times New Roman"/>
          <w:sz w:val="24"/>
          <w:szCs w:val="24"/>
        </w:rPr>
        <w:t>(</w:t>
      </w:r>
      <w:r w:rsidRPr="00534F50">
        <w:rPr>
          <w:rFonts w:ascii="Times New Roman" w:hAnsi="Times New Roman" w:cs="Times New Roman"/>
          <w:sz w:val="24"/>
          <w:szCs w:val="24"/>
          <w:highlight w:val="yellow"/>
        </w:rPr>
        <w:t xml:space="preserve">skat. </w:t>
      </w:r>
      <w:r w:rsidR="00534F50">
        <w:rPr>
          <w:rFonts w:ascii="Times New Roman" w:hAnsi="Times New Roman" w:cs="Times New Roman"/>
          <w:sz w:val="24"/>
          <w:szCs w:val="24"/>
          <w:highlight w:val="yellow"/>
        </w:rPr>
        <w:t>20</w:t>
      </w:r>
      <w:r w:rsidR="00D63A78" w:rsidRPr="00534F50">
        <w:rPr>
          <w:rFonts w:ascii="Times New Roman" w:hAnsi="Times New Roman" w:cs="Times New Roman"/>
          <w:sz w:val="24"/>
          <w:szCs w:val="24"/>
          <w:highlight w:val="yellow"/>
        </w:rPr>
        <w:t>.</w:t>
      </w:r>
      <w:r w:rsidRPr="00534F50">
        <w:rPr>
          <w:rFonts w:ascii="Times New Roman" w:hAnsi="Times New Roman" w:cs="Times New Roman"/>
          <w:sz w:val="24"/>
          <w:szCs w:val="24"/>
          <w:highlight w:val="yellow"/>
        </w:rPr>
        <w:t>attēlu</w:t>
      </w:r>
      <w:r w:rsidRPr="0015154B">
        <w:rPr>
          <w:rFonts w:ascii="Times New Roman" w:hAnsi="Times New Roman" w:cs="Times New Roman"/>
          <w:sz w:val="24"/>
          <w:szCs w:val="24"/>
        </w:rPr>
        <w:t xml:space="preserve">). Šī tendence ir skaidrojama gan </w:t>
      </w:r>
      <w:r w:rsidR="0033352D" w:rsidRPr="0015154B">
        <w:rPr>
          <w:rFonts w:ascii="Times New Roman" w:hAnsi="Times New Roman" w:cs="Times New Roman"/>
          <w:sz w:val="24"/>
          <w:szCs w:val="24"/>
        </w:rPr>
        <w:t>ar</w:t>
      </w:r>
      <w:r w:rsidRPr="0015154B">
        <w:rPr>
          <w:rFonts w:ascii="Times New Roman" w:hAnsi="Times New Roman" w:cs="Times New Roman"/>
          <w:sz w:val="24"/>
          <w:szCs w:val="24"/>
        </w:rPr>
        <w:t xml:space="preserve"> vispārēj</w:t>
      </w:r>
      <w:r w:rsidR="0033352D" w:rsidRPr="0015154B">
        <w:rPr>
          <w:rFonts w:ascii="Times New Roman" w:hAnsi="Times New Roman" w:cs="Times New Roman"/>
          <w:sz w:val="24"/>
          <w:szCs w:val="24"/>
        </w:rPr>
        <w:t>o</w:t>
      </w:r>
      <w:r w:rsidRPr="0015154B">
        <w:rPr>
          <w:rFonts w:ascii="Times New Roman" w:hAnsi="Times New Roman" w:cs="Times New Roman"/>
          <w:sz w:val="24"/>
          <w:szCs w:val="24"/>
        </w:rPr>
        <w:t xml:space="preserve"> vakanču </w:t>
      </w:r>
      <w:r w:rsidR="0033352D" w:rsidRPr="0015154B">
        <w:rPr>
          <w:rFonts w:ascii="Times New Roman" w:hAnsi="Times New Roman" w:cs="Times New Roman"/>
          <w:sz w:val="24"/>
          <w:szCs w:val="24"/>
        </w:rPr>
        <w:t xml:space="preserve">skaita </w:t>
      </w:r>
      <w:r w:rsidRPr="0015154B">
        <w:rPr>
          <w:rFonts w:ascii="Times New Roman" w:hAnsi="Times New Roman" w:cs="Times New Roman"/>
          <w:sz w:val="24"/>
          <w:szCs w:val="24"/>
        </w:rPr>
        <w:t>pieaugum</w:t>
      </w:r>
      <w:r w:rsidR="0033352D" w:rsidRPr="0015154B">
        <w:rPr>
          <w:rFonts w:ascii="Times New Roman" w:hAnsi="Times New Roman" w:cs="Times New Roman"/>
          <w:sz w:val="24"/>
          <w:szCs w:val="24"/>
        </w:rPr>
        <w:t>u</w:t>
      </w:r>
      <w:r w:rsidRPr="0015154B">
        <w:rPr>
          <w:rFonts w:ascii="Times New Roman" w:hAnsi="Times New Roman" w:cs="Times New Roman"/>
          <w:sz w:val="24"/>
          <w:szCs w:val="24"/>
        </w:rPr>
        <w:t xml:space="preserve">, gan </w:t>
      </w:r>
      <w:r w:rsidR="0033352D" w:rsidRPr="0015154B">
        <w:rPr>
          <w:rFonts w:ascii="Times New Roman" w:hAnsi="Times New Roman" w:cs="Times New Roman"/>
          <w:sz w:val="24"/>
          <w:szCs w:val="24"/>
        </w:rPr>
        <w:t xml:space="preserve">ar </w:t>
      </w:r>
      <w:r w:rsidRPr="0015154B">
        <w:rPr>
          <w:rFonts w:ascii="Times New Roman" w:hAnsi="Times New Roman" w:cs="Times New Roman"/>
          <w:sz w:val="24"/>
          <w:szCs w:val="24"/>
        </w:rPr>
        <w:t xml:space="preserve">demogrāfisko pārmaiņu </w:t>
      </w:r>
      <w:r w:rsidR="0033352D" w:rsidRPr="0015154B">
        <w:rPr>
          <w:rFonts w:ascii="Times New Roman" w:hAnsi="Times New Roman" w:cs="Times New Roman"/>
          <w:sz w:val="24"/>
          <w:szCs w:val="24"/>
        </w:rPr>
        <w:t>ietekmi</w:t>
      </w:r>
      <w:r w:rsidRPr="0015154B">
        <w:rPr>
          <w:rFonts w:ascii="Times New Roman" w:hAnsi="Times New Roman" w:cs="Times New Roman"/>
          <w:sz w:val="24"/>
          <w:szCs w:val="24"/>
        </w:rPr>
        <w:t xml:space="preserve">, gan </w:t>
      </w:r>
      <w:r w:rsidR="0033352D" w:rsidRPr="0015154B">
        <w:rPr>
          <w:rFonts w:ascii="Times New Roman" w:hAnsi="Times New Roman" w:cs="Times New Roman"/>
          <w:sz w:val="24"/>
          <w:szCs w:val="24"/>
        </w:rPr>
        <w:t>ar</w:t>
      </w:r>
      <w:r w:rsidRPr="0015154B">
        <w:rPr>
          <w:rFonts w:ascii="Times New Roman" w:hAnsi="Times New Roman" w:cs="Times New Roman"/>
          <w:sz w:val="24"/>
          <w:szCs w:val="24"/>
        </w:rPr>
        <w:t xml:space="preserve"> darba tirgum nepieciešamo prasmju pieaugum</w:t>
      </w:r>
      <w:r w:rsidR="0033352D" w:rsidRPr="0015154B">
        <w:rPr>
          <w:rFonts w:ascii="Times New Roman" w:hAnsi="Times New Roman" w:cs="Times New Roman"/>
          <w:sz w:val="24"/>
          <w:szCs w:val="24"/>
        </w:rPr>
        <w:t>u</w:t>
      </w:r>
      <w:r w:rsidRPr="0015154B">
        <w:rPr>
          <w:rFonts w:ascii="Times New Roman" w:hAnsi="Times New Roman" w:cs="Times New Roman"/>
          <w:sz w:val="24"/>
          <w:szCs w:val="24"/>
        </w:rPr>
        <w:t xml:space="preserve"> vecākā gada gājuma iedzīvotāju vidū. </w:t>
      </w:r>
    </w:p>
    <w:p w14:paraId="514775D5" w14:textId="77777777" w:rsidR="004E61D0" w:rsidRPr="0015154B" w:rsidRDefault="004E61D0" w:rsidP="004E61D0">
      <w:pPr>
        <w:spacing w:line="240" w:lineRule="auto"/>
        <w:rPr>
          <w:rFonts w:ascii="Times New Roman" w:hAnsi="Times New Roman" w:cs="Times New Roman"/>
          <w:sz w:val="24"/>
          <w:szCs w:val="24"/>
          <w:highlight w:val="yellow"/>
        </w:rPr>
      </w:pPr>
    </w:p>
    <w:p w14:paraId="0A01CB6F" w14:textId="402AB841" w:rsidR="004E61D0" w:rsidRPr="0015154B" w:rsidRDefault="00534F50" w:rsidP="004E61D0">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20</w:t>
      </w:r>
      <w:r w:rsidR="00D63A78" w:rsidRPr="0015154B">
        <w:rPr>
          <w:rFonts w:ascii="Times New Roman" w:hAnsi="Times New Roman" w:cs="Times New Roman"/>
          <w:sz w:val="24"/>
          <w:szCs w:val="24"/>
        </w:rPr>
        <w:t>.</w:t>
      </w:r>
      <w:r w:rsidR="004E61D0" w:rsidRPr="0015154B">
        <w:rPr>
          <w:rFonts w:ascii="Times New Roman" w:hAnsi="Times New Roman" w:cs="Times New Roman"/>
          <w:sz w:val="24"/>
          <w:szCs w:val="24"/>
        </w:rPr>
        <w:t>a</w:t>
      </w:r>
      <w:r w:rsidR="00C86B2B" w:rsidRPr="0015154B">
        <w:rPr>
          <w:rFonts w:ascii="Times New Roman" w:hAnsi="Times New Roman" w:cs="Times New Roman"/>
          <w:sz w:val="24"/>
          <w:szCs w:val="24"/>
        </w:rPr>
        <w:t>ttēls</w:t>
      </w:r>
    </w:p>
    <w:p w14:paraId="6DB82819" w14:textId="0A160671" w:rsidR="00C86B2B" w:rsidRPr="001101F7" w:rsidRDefault="00C86B2B" w:rsidP="004E61D0">
      <w:pPr>
        <w:spacing w:line="240" w:lineRule="auto"/>
        <w:jc w:val="center"/>
        <w:rPr>
          <w:rFonts w:ascii="Times New Roman" w:hAnsi="Times New Roman" w:cs="Times New Roman"/>
          <w:b/>
          <w:color w:val="002060"/>
          <w:sz w:val="24"/>
          <w:szCs w:val="24"/>
        </w:rPr>
      </w:pPr>
      <w:r w:rsidRPr="001101F7">
        <w:rPr>
          <w:rFonts w:ascii="Times New Roman" w:hAnsi="Times New Roman" w:cs="Times New Roman"/>
          <w:b/>
          <w:color w:val="002060"/>
          <w:sz w:val="24"/>
          <w:szCs w:val="24"/>
        </w:rPr>
        <w:t>Nodarbināto iedzīvotāju īpatsvars iedzīvotāju kopskaitā (55-64 gadi, %)</w:t>
      </w:r>
    </w:p>
    <w:p w14:paraId="4CE747F5" w14:textId="77777777" w:rsidR="00C86B2B" w:rsidRPr="007157D3" w:rsidRDefault="00C86B2B" w:rsidP="00C86B2B">
      <w:pPr>
        <w:spacing w:after="0" w:line="240" w:lineRule="auto"/>
        <w:jc w:val="center"/>
        <w:rPr>
          <w:rFonts w:ascii="Times New Roman" w:hAnsi="Times New Roman" w:cs="Times New Roman"/>
          <w:sz w:val="24"/>
          <w:szCs w:val="24"/>
        </w:rPr>
      </w:pPr>
      <w:r w:rsidRPr="001101F7">
        <w:rPr>
          <w:rFonts w:ascii="Times New Roman" w:hAnsi="Times New Roman" w:cs="Times New Roman"/>
          <w:noProof/>
          <w:sz w:val="24"/>
          <w:szCs w:val="24"/>
        </w:rPr>
        <w:drawing>
          <wp:inline distT="0" distB="0" distL="0" distR="0" wp14:anchorId="75555AC1" wp14:editId="3B24AF7D">
            <wp:extent cx="5066030" cy="2390140"/>
            <wp:effectExtent l="19050" t="19050" r="2032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66030" cy="2390140"/>
                    </a:xfrm>
                    <a:prstGeom prst="rect">
                      <a:avLst/>
                    </a:prstGeom>
                    <a:noFill/>
                    <a:ln>
                      <a:solidFill>
                        <a:schemeClr val="bg1"/>
                      </a:solidFill>
                    </a:ln>
                  </pic:spPr>
                </pic:pic>
              </a:graphicData>
            </a:graphic>
          </wp:inline>
        </w:drawing>
      </w:r>
    </w:p>
    <w:p w14:paraId="5FC06C07" w14:textId="68F4CC23" w:rsidR="00C86B2B" w:rsidRPr="00573B49" w:rsidRDefault="00AD7D67" w:rsidP="00430EBE">
      <w:pPr>
        <w:spacing w:after="0" w:line="240" w:lineRule="auto"/>
        <w:jc w:val="both"/>
        <w:rPr>
          <w:rFonts w:ascii="Times New Roman" w:hAnsi="Times New Roman" w:cs="Times New Roman"/>
          <w:sz w:val="20"/>
          <w:szCs w:val="20"/>
        </w:rPr>
      </w:pPr>
      <w:r w:rsidRPr="007157D3">
        <w:rPr>
          <w:rFonts w:ascii="Times New Roman" w:hAnsi="Times New Roman" w:cs="Times New Roman"/>
          <w:sz w:val="20"/>
          <w:szCs w:val="20"/>
        </w:rPr>
        <w:t>Datu a</w:t>
      </w:r>
      <w:r w:rsidR="00C86B2B" w:rsidRPr="007157D3">
        <w:rPr>
          <w:rFonts w:ascii="Times New Roman" w:hAnsi="Times New Roman" w:cs="Times New Roman"/>
          <w:sz w:val="20"/>
          <w:szCs w:val="20"/>
        </w:rPr>
        <w:t>vots</w:t>
      </w:r>
      <w:r w:rsidR="00C86B2B" w:rsidRPr="00430EBE">
        <w:rPr>
          <w:rFonts w:ascii="Times New Roman" w:hAnsi="Times New Roman" w:cs="Times New Roman"/>
          <w:sz w:val="20"/>
          <w:szCs w:val="20"/>
        </w:rPr>
        <w:t>: CSP</w:t>
      </w:r>
      <w:r w:rsidR="00430EBE" w:rsidRPr="00430EBE">
        <w:rPr>
          <w:rFonts w:ascii="Times New Roman" w:hAnsi="Times New Roman" w:cs="Times New Roman"/>
          <w:sz w:val="20"/>
          <w:szCs w:val="20"/>
        </w:rPr>
        <w:t xml:space="preserve"> datu bāze</w:t>
      </w:r>
      <w:r w:rsidRPr="00430EBE">
        <w:rPr>
          <w:rFonts w:ascii="Times New Roman" w:hAnsi="Times New Roman" w:cs="Times New Roman"/>
          <w:sz w:val="20"/>
          <w:szCs w:val="20"/>
        </w:rPr>
        <w:t>, datu tabula</w:t>
      </w:r>
      <w:r w:rsidR="00430EBE" w:rsidRPr="00430EBE">
        <w:rPr>
          <w:rFonts w:ascii="Times New Roman" w:hAnsi="Times New Roman" w:cs="Times New Roman"/>
          <w:sz w:val="20"/>
          <w:szCs w:val="20"/>
        </w:rPr>
        <w:t xml:space="preserve"> NBG070</w:t>
      </w:r>
    </w:p>
    <w:p w14:paraId="73FD2334" w14:textId="77777777" w:rsidR="00C86B2B" w:rsidRPr="00573B49" w:rsidRDefault="00C86B2B" w:rsidP="00C86B2B">
      <w:pPr>
        <w:spacing w:after="0" w:line="240" w:lineRule="auto"/>
        <w:jc w:val="both"/>
        <w:rPr>
          <w:rFonts w:ascii="Times New Roman" w:hAnsi="Times New Roman" w:cs="Times New Roman"/>
          <w:sz w:val="24"/>
          <w:szCs w:val="24"/>
        </w:rPr>
      </w:pPr>
    </w:p>
    <w:p w14:paraId="513C79DA" w14:textId="66D30E5F" w:rsidR="00C86B2B" w:rsidRPr="00662D1E" w:rsidRDefault="00C86B2B" w:rsidP="00AC38FA">
      <w:pPr>
        <w:spacing w:before="120" w:after="0" w:line="240" w:lineRule="auto"/>
        <w:ind w:firstLine="709"/>
        <w:jc w:val="both"/>
        <w:rPr>
          <w:rFonts w:ascii="Times New Roman" w:hAnsi="Times New Roman" w:cs="Times New Roman"/>
          <w:color w:val="000000"/>
          <w:sz w:val="24"/>
          <w:szCs w:val="24"/>
        </w:rPr>
      </w:pPr>
      <w:r w:rsidRPr="0025422D">
        <w:rPr>
          <w:rFonts w:ascii="Times New Roman" w:hAnsi="Times New Roman" w:cs="Times New Roman"/>
          <w:color w:val="000000"/>
          <w:sz w:val="24"/>
          <w:szCs w:val="24"/>
        </w:rPr>
        <w:t>NVA 2020.gada jūnija beigā</w:t>
      </w:r>
      <w:r w:rsidRPr="00A857F2">
        <w:rPr>
          <w:rFonts w:ascii="Times New Roman" w:hAnsi="Times New Roman" w:cs="Times New Roman"/>
          <w:color w:val="000000"/>
          <w:sz w:val="24"/>
          <w:szCs w:val="24"/>
        </w:rPr>
        <w:t>s reģistrēti 29 156 bezdarbnieki vecumā 50 gadi un vairāk, kas ir 37,3% no kopējā reģistrētā bezdarbnieku skaita valstī. 28,2% no šīs mērķa grupas bezdarbniekiem bija ilgstošie bezdarbnieki, bet 19,4% - bezdarbnieki ar invaliditāti. Kopumā šīs mērķa grupas</w:t>
      </w:r>
      <w:r w:rsidRPr="00662D1E">
        <w:rPr>
          <w:rFonts w:ascii="Times New Roman" w:hAnsi="Times New Roman" w:cs="Times New Roman"/>
          <w:color w:val="000000"/>
          <w:sz w:val="24"/>
          <w:szCs w:val="24"/>
        </w:rPr>
        <w:t xml:space="preserve"> skaits absolūtos skaitļos gada laikā pieaudzis par 6251 personu. </w:t>
      </w:r>
    </w:p>
    <w:p w14:paraId="181B72B2" w14:textId="08BF6037" w:rsidR="00C86B2B" w:rsidRPr="0015154B" w:rsidRDefault="00C86B2B" w:rsidP="00AC38FA">
      <w:pPr>
        <w:spacing w:before="120" w:after="0" w:line="240" w:lineRule="auto"/>
        <w:ind w:firstLine="709"/>
        <w:jc w:val="both"/>
        <w:rPr>
          <w:rFonts w:ascii="Times New Roman" w:hAnsi="Times New Roman" w:cs="Times New Roman"/>
          <w:color w:val="000000"/>
          <w:sz w:val="24"/>
          <w:szCs w:val="24"/>
        </w:rPr>
      </w:pPr>
      <w:r w:rsidRPr="009703E6">
        <w:rPr>
          <w:rFonts w:ascii="Times New Roman" w:hAnsi="Times New Roman" w:cs="Times New Roman"/>
          <w:color w:val="000000"/>
          <w:sz w:val="24"/>
          <w:szCs w:val="24"/>
        </w:rPr>
        <w:t>2019.gadā turpinājās NVA ESF projekts ”Atbalsts ilgākam darba mūžam”, kas paredzēja praktisku pasākumu īstenošanu uzņēmumiem darbinieku vecumā virs 50 gadiem nodarbināšanā, mazinot bezdarba</w:t>
      </w:r>
      <w:r w:rsidRPr="0015154B">
        <w:rPr>
          <w:rFonts w:ascii="Times New Roman" w:hAnsi="Times New Roman" w:cs="Times New Roman"/>
          <w:color w:val="000000"/>
          <w:sz w:val="24"/>
          <w:szCs w:val="24"/>
        </w:rPr>
        <w:t xml:space="preserve"> riskus darba vietā. Covid-19 pandēmijas rezultātā valstī izsludinātās ārkārtējās situācijas ietekmē būtiski pieauga bezdarba līmenis, kritās uzņēmumu apgrozījums, kas radīja nepieciešamību izvērtēt investīciju piesaistes plānojumu, jo projekts bija vērsts uz darba devēju atbalstu stabilākā ekonomiskajā situācijā sekmīgai darba vides un cilvēkresursu potenciāla izvērtējumu veikšanai. Šis un arī cits projektā paredzētais atbalsts bija ļoti ierobežots, lielākoties tāpēc, ka pēc atbalsta sniegšanas nebija iespējams garantēt ieguldījumu ilgtspēju, jo nozaru un uzņēmumu līmenī notika saimnieciskās darbības un izmaksu efektivizēšana un optimizēšana, kas ietekmēja arī personāla resursu optimizēšanu, darbinieku atbrīvošanu. Pamatojoties uz iepriekš minēto, tika pieņemts lēmums 2020.gada 31.augustā noslēgt ESF projekta “Atbalsts ilgākam darba mūžam” īstenošanu.</w:t>
      </w:r>
    </w:p>
    <w:p w14:paraId="700BC99D" w14:textId="41EB6929" w:rsidR="00C86B2B" w:rsidRDefault="00C86B2B" w:rsidP="00AC38FA">
      <w:pPr>
        <w:spacing w:before="120" w:after="0" w:line="240" w:lineRule="auto"/>
        <w:ind w:firstLine="720"/>
        <w:jc w:val="both"/>
        <w:rPr>
          <w:rFonts w:ascii="Times New Roman" w:eastAsia="Calibri" w:hAnsi="Times New Roman"/>
          <w:iCs/>
          <w:color w:val="000000"/>
          <w:sz w:val="24"/>
          <w:szCs w:val="24"/>
        </w:rPr>
      </w:pPr>
      <w:r w:rsidRPr="0015154B">
        <w:rPr>
          <w:rFonts w:ascii="Times New Roman" w:hAnsi="Times New Roman" w:cs="Times New Roman"/>
          <w:iCs/>
          <w:color w:val="000000"/>
          <w:sz w:val="24"/>
          <w:szCs w:val="24"/>
        </w:rPr>
        <w:t xml:space="preserve">Lai uzlabotu aktīvās novecošanās situāciju (iedzīvotāju vecuma grupā 50+) kopumā, </w:t>
      </w:r>
      <w:r w:rsidRPr="0015154B">
        <w:rPr>
          <w:rFonts w:ascii="Times New Roman" w:hAnsi="Times New Roman" w:cs="Times New Roman"/>
          <w:color w:val="000000"/>
          <w:sz w:val="24"/>
          <w:szCs w:val="24"/>
        </w:rPr>
        <w:t>veicinātu pēc iespējas ilgāku līdzdalību darba tirgū un mazinātu bezdarba iestāšanās riskus, būtiskākie darbības virzieni ir</w:t>
      </w:r>
      <w:r w:rsidRPr="0015154B">
        <w:rPr>
          <w:rFonts w:ascii="Times New Roman" w:hAnsi="Times New Roman" w:cs="Times New Roman"/>
          <w:iCs/>
          <w:color w:val="000000"/>
          <w:sz w:val="24"/>
          <w:szCs w:val="24"/>
        </w:rPr>
        <w:t xml:space="preserve"> veselības pieejamības, pieaugušo iedzīvotāju prasmju pilnveides, nabadzības risku mazināšanas un kvalitatīvu darba vietu nodrošināšana</w:t>
      </w:r>
      <w:r w:rsidRPr="0015154B">
        <w:rPr>
          <w:rFonts w:ascii="Times New Roman" w:hAnsi="Times New Roman" w:cs="Times New Roman"/>
          <w:color w:val="000000"/>
          <w:sz w:val="24"/>
          <w:szCs w:val="24"/>
        </w:rPr>
        <w:t xml:space="preserve">. </w:t>
      </w:r>
      <w:r w:rsidRPr="0015154B">
        <w:rPr>
          <w:rFonts w:ascii="Times New Roman" w:hAnsi="Times New Roman" w:cs="Times New Roman"/>
          <w:sz w:val="24"/>
          <w:szCs w:val="24"/>
        </w:rPr>
        <w:t xml:space="preserve">Nepieciešams turpināt īstenot aktīvās novecošanās nodarbinātības pasākumus šai mērķa grupai, t.sk ar mērķi mazināt stereotipus no darba devēju puses, tādējādi sekmējot vēl aktīvāku šo personu iekļaušanos darba tirgū.  </w:t>
      </w:r>
      <w:r w:rsidRPr="0015154B">
        <w:rPr>
          <w:rFonts w:ascii="Times New Roman" w:eastAsia="Calibri" w:hAnsi="Times New Roman"/>
          <w:iCs/>
          <w:color w:val="000000"/>
          <w:sz w:val="24"/>
          <w:szCs w:val="24"/>
        </w:rPr>
        <w:t>Turpmākajos gados jāturpina drošas darba vides un veselīgāka darba mūža veicināšanas pasākumi, kas vērsti uz darbaspēju saglabāšanu un ilgāku noturēšanos darba tirgū. Līdz ar to arī turpmāk nepieciešams mērķēts atbalsts nodarbinātajiem viņu darba vietās, lai, ņemot vērā nodarbinātā individuālo situāciju, veiktu darba vides pielāgojumus un sniegtu veselības uzlabošanas pasākumus, kas neļautu izkrist no darba tirgus un nenonākt bezdarba situācijā ar veselības problēmām, tāpēc jāpaplašina preventīvie pasākumi darba vides nelabvēlīgo seku mazināšanai.</w:t>
      </w:r>
    </w:p>
    <w:p w14:paraId="6741F88A" w14:textId="77777777" w:rsidR="001101F7" w:rsidRPr="0015154B" w:rsidRDefault="001101F7" w:rsidP="00AC38FA">
      <w:pPr>
        <w:spacing w:before="120" w:after="0" w:line="240" w:lineRule="auto"/>
        <w:ind w:firstLine="720"/>
        <w:jc w:val="both"/>
        <w:rPr>
          <w:rFonts w:ascii="Times New Roman" w:hAnsi="Times New Roman" w:cs="Times New Roman"/>
          <w:sz w:val="24"/>
          <w:szCs w:val="24"/>
        </w:rPr>
      </w:pPr>
    </w:p>
    <w:p w14:paraId="1642EECE" w14:textId="20D01700" w:rsidR="005478EA" w:rsidRPr="0015154B" w:rsidRDefault="00C86B2B" w:rsidP="001101F7">
      <w:pPr>
        <w:pStyle w:val="Heading3"/>
      </w:pPr>
      <w:bookmarkStart w:id="85" w:name="_Toc55316114"/>
      <w:r w:rsidRPr="0015154B">
        <w:t>Ilgstošais bezdarbs</w:t>
      </w:r>
      <w:bookmarkEnd w:id="85"/>
    </w:p>
    <w:p w14:paraId="0441F1FC" w14:textId="463FEC51" w:rsidR="00C86B2B" w:rsidRPr="00573B49" w:rsidRDefault="00C86B2B" w:rsidP="00AC38FA">
      <w:pPr>
        <w:spacing w:before="120" w:after="0" w:line="240" w:lineRule="auto"/>
        <w:ind w:firstLine="720"/>
        <w:jc w:val="both"/>
        <w:rPr>
          <w:rFonts w:ascii="Times New Roman" w:hAnsi="Times New Roman" w:cs="Times New Roman"/>
          <w:color w:val="000000"/>
          <w:sz w:val="24"/>
          <w:szCs w:val="24"/>
        </w:rPr>
      </w:pPr>
      <w:r w:rsidRPr="0015154B">
        <w:rPr>
          <w:rFonts w:ascii="Times New Roman" w:hAnsi="Times New Roman" w:cs="Times New Roman"/>
          <w:color w:val="000000"/>
          <w:sz w:val="24"/>
          <w:szCs w:val="24"/>
        </w:rPr>
        <w:lastRenderedPageBreak/>
        <w:t>Atbilstoši CSP datiem kopš 2010.gada turpinās ilgstošo bezdarbnieku īpatsvar</w:t>
      </w:r>
      <w:r w:rsidR="009A6FF6">
        <w:rPr>
          <w:rFonts w:ascii="Times New Roman" w:hAnsi="Times New Roman" w:cs="Times New Roman"/>
          <w:color w:val="000000"/>
          <w:sz w:val="24"/>
          <w:szCs w:val="24"/>
        </w:rPr>
        <w:t>a samazināšanās</w:t>
      </w:r>
      <w:r w:rsidRPr="0015154B">
        <w:rPr>
          <w:rFonts w:ascii="Times New Roman" w:hAnsi="Times New Roman" w:cs="Times New Roman"/>
          <w:color w:val="000000"/>
          <w:sz w:val="24"/>
          <w:szCs w:val="24"/>
        </w:rPr>
        <w:t xml:space="preserve"> ekonomiski aktīvo iedzīvotāju skaitā 2019.gadā sasniedzot 2,4%, kas ir par 0,4% zemāks kā vidējais rādītājs ES dalībvalstīs (Igaunijā  - 0,9% un Lietuvā 1,9 %). </w:t>
      </w:r>
      <w:r w:rsidRPr="0015154B">
        <w:rPr>
          <w:rFonts w:ascii="Times New Roman" w:hAnsi="Times New Roman" w:cs="Times New Roman"/>
          <w:iCs/>
          <w:color w:val="000000"/>
          <w:sz w:val="24"/>
          <w:szCs w:val="24"/>
        </w:rPr>
        <w:t xml:space="preserve">Lai arī ir samazinājies ilgstošo bezdarbnieku īpatsvars ekonomiski aktīvo iedzīvotāju skaitā un bezdarbnieku kopskaitā, tomēr </w:t>
      </w:r>
      <w:r w:rsidRPr="0015154B">
        <w:rPr>
          <w:rFonts w:ascii="Times New Roman" w:hAnsi="Times New Roman" w:cs="Times New Roman"/>
          <w:color w:val="000000"/>
          <w:sz w:val="24"/>
          <w:szCs w:val="24"/>
        </w:rPr>
        <w:t>OECD</w:t>
      </w:r>
      <w:r w:rsidRPr="007157D3">
        <w:rPr>
          <w:rFonts w:ascii="Times New Roman" w:hAnsi="Times New Roman" w:cs="Times New Roman"/>
          <w:color w:val="000000"/>
          <w:sz w:val="24"/>
          <w:szCs w:val="24"/>
          <w:vertAlign w:val="superscript"/>
        </w:rPr>
        <w:footnoteReference w:id="155"/>
      </w:r>
      <w:r w:rsidRPr="007157D3">
        <w:rPr>
          <w:rFonts w:ascii="Times New Roman" w:hAnsi="Times New Roman" w:cs="Times New Roman"/>
          <w:color w:val="000000"/>
          <w:sz w:val="24"/>
          <w:szCs w:val="24"/>
        </w:rPr>
        <w:t xml:space="preserve"> ieskatā nopietna problēma ir tāda, ka joprojām </w:t>
      </w:r>
      <w:r w:rsidRPr="007157D3">
        <w:rPr>
          <w:rFonts w:ascii="Times New Roman" w:hAnsi="Times New Roman" w:cs="Times New Roman"/>
          <w:b/>
          <w:bCs/>
          <w:color w:val="000000"/>
          <w:sz w:val="24"/>
          <w:szCs w:val="24"/>
        </w:rPr>
        <w:t>būtiska bezdarbnieku daļa ir bez darba ilgāk par 12 mēnešiem</w:t>
      </w:r>
      <w:r w:rsidRPr="002F5278">
        <w:rPr>
          <w:rFonts w:ascii="Times New Roman" w:hAnsi="Times New Roman" w:cs="Times New Roman"/>
          <w:color w:val="000000"/>
          <w:sz w:val="24"/>
          <w:szCs w:val="24"/>
        </w:rPr>
        <w:t>, tostarp tādi, kas zaudējuši cerības atr</w:t>
      </w:r>
      <w:r w:rsidRPr="00573B49">
        <w:rPr>
          <w:rFonts w:ascii="Times New Roman" w:hAnsi="Times New Roman" w:cs="Times New Roman"/>
          <w:color w:val="000000"/>
          <w:sz w:val="24"/>
          <w:szCs w:val="24"/>
        </w:rPr>
        <w:t xml:space="preserve">ast darbu. </w:t>
      </w:r>
    </w:p>
    <w:p w14:paraId="70ECFCC0" w14:textId="3032F953" w:rsidR="00C86B2B" w:rsidRPr="009703E6" w:rsidRDefault="00C86B2B" w:rsidP="00AC38FA">
      <w:pPr>
        <w:spacing w:before="120" w:after="0" w:line="240" w:lineRule="auto"/>
        <w:ind w:firstLine="709"/>
        <w:jc w:val="both"/>
        <w:rPr>
          <w:rFonts w:ascii="Times New Roman" w:hAnsi="Times New Roman"/>
          <w:sz w:val="24"/>
          <w:szCs w:val="24"/>
        </w:rPr>
      </w:pPr>
      <w:r w:rsidRPr="00573B49">
        <w:rPr>
          <w:rFonts w:ascii="Times New Roman" w:hAnsi="Times New Roman"/>
          <w:sz w:val="24"/>
          <w:szCs w:val="24"/>
        </w:rPr>
        <w:t xml:space="preserve">2020.gada jūnija beigās 13 950 jeb 17,8% no kopējā NVA reģistrēto bezdarbnieku skaita bija </w:t>
      </w:r>
      <w:r w:rsidRPr="00573B49">
        <w:rPr>
          <w:rFonts w:ascii="Times New Roman" w:hAnsi="Times New Roman"/>
          <w:b/>
          <w:sz w:val="24"/>
          <w:szCs w:val="24"/>
        </w:rPr>
        <w:t>ilgstošie bezdarbnieki</w:t>
      </w:r>
      <w:r w:rsidRPr="0025422D">
        <w:rPr>
          <w:rFonts w:ascii="Times New Roman" w:hAnsi="Times New Roman"/>
          <w:sz w:val="24"/>
          <w:szCs w:val="24"/>
        </w:rPr>
        <w:t xml:space="preserve">. </w:t>
      </w:r>
      <w:r w:rsidRPr="00A857F2">
        <w:rPr>
          <w:rFonts w:ascii="Times New Roman" w:hAnsi="Times New Roman" w:cs="Times New Roman"/>
          <w:color w:val="000000"/>
          <w:sz w:val="24"/>
          <w:szCs w:val="24"/>
        </w:rPr>
        <w:t>Ilgstošo bezdarbnieku kopskaitā 58,9% bija bezdarbnieki vecumā 50 gadi un vairāk, 27,2% – bezdarbnieki ar invaliditāti, 1,7 % – j</w:t>
      </w:r>
      <w:r w:rsidRPr="00662D1E">
        <w:rPr>
          <w:rFonts w:ascii="Times New Roman" w:hAnsi="Times New Roman" w:cs="Times New Roman"/>
          <w:color w:val="000000"/>
          <w:sz w:val="24"/>
          <w:szCs w:val="24"/>
        </w:rPr>
        <w:t xml:space="preserve">aunieši bezdarbnieki (15 – 24 gadi). </w:t>
      </w:r>
    </w:p>
    <w:p w14:paraId="51B10444" w14:textId="1D59C5B5" w:rsidR="00C86B2B" w:rsidRPr="007157D3" w:rsidRDefault="00C86B2B" w:rsidP="00AC38F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Ilgstošo bezdarbnieku aktivizācijas pasākumi Latvijā tiek nodrošināti</w:t>
      </w:r>
      <w:r w:rsidR="009A6FF6">
        <w:rPr>
          <w:rFonts w:ascii="Times New Roman" w:hAnsi="Times New Roman" w:cs="Times New Roman"/>
          <w:sz w:val="24"/>
          <w:szCs w:val="24"/>
        </w:rPr>
        <w:t>,</w:t>
      </w:r>
      <w:r w:rsidRPr="0015154B">
        <w:rPr>
          <w:rFonts w:ascii="Times New Roman" w:hAnsi="Times New Roman" w:cs="Times New Roman"/>
          <w:sz w:val="24"/>
          <w:szCs w:val="24"/>
        </w:rPr>
        <w:t xml:space="preserve"> balstoties uz  labās prakses pieredzi, t.sk. attiecībā uz tiem, kas ieviesti sasaistē ar Eiropas Padomes Ieteikumu par ilgstošo bezdarbnieku integrāciju darba tirgū</w:t>
      </w:r>
      <w:r w:rsidRPr="007157D3">
        <w:rPr>
          <w:rFonts w:ascii="Times New Roman" w:hAnsi="Times New Roman" w:cs="Times New Roman"/>
          <w:sz w:val="24"/>
          <w:szCs w:val="24"/>
          <w:vertAlign w:val="superscript"/>
        </w:rPr>
        <w:footnoteReference w:id="156"/>
      </w:r>
      <w:r w:rsidRPr="007157D3">
        <w:rPr>
          <w:rFonts w:ascii="Times New Roman" w:hAnsi="Times New Roman" w:cs="Times New Roman"/>
          <w:sz w:val="24"/>
          <w:szCs w:val="24"/>
        </w:rPr>
        <w:t>. 2019. gada aprīlī EK publicēja pētījumu par EP Ieteikuma ieviesto rīcībpolitiku progresa ziņojumu “</w:t>
      </w:r>
      <w:r w:rsidRPr="007157D3">
        <w:rPr>
          <w:rFonts w:ascii="Times New Roman" w:hAnsi="Times New Roman" w:cs="Times New Roman"/>
          <w:i/>
          <w:iCs/>
          <w:sz w:val="24"/>
          <w:szCs w:val="24"/>
        </w:rPr>
        <w:t xml:space="preserve">Study for the evaluation of the European Council Recommendation on integration of Long term unemployed on the labour market - Mapping of Policy Changes”, </w:t>
      </w:r>
      <w:r w:rsidRPr="002F5278">
        <w:rPr>
          <w:rFonts w:ascii="Times New Roman" w:hAnsi="Times New Roman" w:cs="Times New Roman"/>
          <w:sz w:val="24"/>
          <w:szCs w:val="24"/>
        </w:rPr>
        <w:t>kura izstrādē ieguldījumu attiecībā uz Latvijas novērtējumu sniedza arī NVA, LM un nacionālā līmeņa neatkarīgie eksperti. EK pētījuma rezultāti</w:t>
      </w:r>
      <w:r w:rsidRPr="007157D3">
        <w:rPr>
          <w:rFonts w:ascii="Times New Roman" w:hAnsi="Times New Roman" w:cs="Times New Roman"/>
          <w:sz w:val="24"/>
          <w:szCs w:val="24"/>
          <w:vertAlign w:val="superscript"/>
        </w:rPr>
        <w:footnoteReference w:id="157"/>
      </w:r>
      <w:r w:rsidRPr="007157D3">
        <w:rPr>
          <w:rFonts w:ascii="Times New Roman" w:hAnsi="Times New Roman" w:cs="Times New Roman"/>
          <w:sz w:val="24"/>
          <w:szCs w:val="24"/>
        </w:rPr>
        <w:t xml:space="preserve"> liecina, ka Latvija ir ieviesusi vairumu (uzrādījusi progresu kvalitātes kritēriju izpildē salīdzinājumā ar iepriekšējā pētījuma ietvaru līdz 2015. gadam) no Ieteikumā ietvertajām atbalstāmajām darbībām un pasākumiem.</w:t>
      </w:r>
    </w:p>
    <w:p w14:paraId="0EFD7BEC" w14:textId="77777777" w:rsidR="00C86B2B" w:rsidRPr="00573B49" w:rsidRDefault="00C86B2B" w:rsidP="00AC38FA">
      <w:pPr>
        <w:spacing w:before="120" w:after="0" w:line="240" w:lineRule="auto"/>
        <w:ind w:firstLine="709"/>
        <w:jc w:val="both"/>
        <w:rPr>
          <w:rFonts w:ascii="Times New Roman" w:hAnsi="Times New Roman" w:cs="Times New Roman"/>
          <w:color w:val="000000"/>
          <w:sz w:val="24"/>
          <w:szCs w:val="24"/>
        </w:rPr>
      </w:pPr>
      <w:r w:rsidRPr="002F5278">
        <w:rPr>
          <w:rFonts w:ascii="Times New Roman" w:hAnsi="Times New Roman" w:cs="Times New Roman"/>
          <w:color w:val="000000"/>
          <w:sz w:val="24"/>
          <w:szCs w:val="24"/>
        </w:rPr>
        <w:t>ESF projekta “Atbalsts ilgstošajiem bezdarbniekiem” ietvaros 2019.gadā turpinājās motivācijas programma ilgstošo bezdarbnieku motivāc</w:t>
      </w:r>
      <w:r w:rsidRPr="00573B49">
        <w:rPr>
          <w:rFonts w:ascii="Times New Roman" w:hAnsi="Times New Roman" w:cs="Times New Roman"/>
          <w:color w:val="000000"/>
          <w:sz w:val="24"/>
          <w:szCs w:val="24"/>
        </w:rPr>
        <w:t>ijai un atgriešanai darba tirgū, kuras mērķis ir veicināt ilgstošo bezdarbnieku iekļaušanos sabiedrībā un iekārtošanos piemērotā pastāvīgā darbā vai piemērotās apmācībās. Tika piedāvāts iesaistīties motivācijas programmā darba meklēšanai (ietver nodarbības, kas vērstas uz atbalsta sniegšanu, individuālo sociālo problēmu risināšanu, personības un sociālo prasmju attīstīšanu un pilnveidošanu, sadzīves prasmju pilnveidošanu, motivācijas stiprināšanu un sagatavošanos darba procesam) un sociālā mentora pakalpojums, kas ietver praktisko atbalstu, konsultācijas un ieteikumus darbā iekārtošanās jautājumos.</w:t>
      </w:r>
    </w:p>
    <w:p w14:paraId="2D87D0B2" w14:textId="43CF66ED" w:rsidR="00C86B2B" w:rsidRDefault="00C86B2B" w:rsidP="00AC38FA">
      <w:pPr>
        <w:spacing w:before="120" w:after="0" w:line="240" w:lineRule="auto"/>
        <w:ind w:firstLine="720"/>
        <w:jc w:val="both"/>
        <w:rPr>
          <w:rFonts w:ascii="Times New Roman" w:hAnsi="Times New Roman" w:cs="Times New Roman"/>
          <w:sz w:val="24"/>
          <w:szCs w:val="24"/>
        </w:rPr>
      </w:pPr>
      <w:r w:rsidRPr="0025422D">
        <w:rPr>
          <w:rFonts w:ascii="Times New Roman" w:eastAsia="Calibri" w:hAnsi="Times New Roman"/>
          <w:iCs/>
          <w:color w:val="000000"/>
          <w:sz w:val="24"/>
          <w:szCs w:val="24"/>
        </w:rPr>
        <w:t>Ilgstošo bezdarbnieku motivēšanai un sekmīgai iekļaušanai darba tirgū jāturpina pilnveidot sadarbību starp NVA un sociālajiem dienestiem, lai praktizētu individuā</w:t>
      </w:r>
      <w:r w:rsidRPr="00A857F2">
        <w:rPr>
          <w:rFonts w:ascii="Times New Roman" w:eastAsia="Calibri" w:hAnsi="Times New Roman"/>
          <w:iCs/>
          <w:color w:val="000000"/>
          <w:sz w:val="24"/>
          <w:szCs w:val="24"/>
        </w:rPr>
        <w:t>lo gadījumu vadības pieeju, koordinētā un maksimāli efektīvā veidā sniegtu valsts un pašvaldību atbalstu,  motivējot bezdarbniekus efektīvāk pildīt individuālajā darba meklēšanas plānā noteiktos uzdevumus un pienākumus savas sociālās un bezdarba situācijas</w:t>
      </w:r>
      <w:r w:rsidRPr="00662D1E">
        <w:rPr>
          <w:rFonts w:ascii="Times New Roman" w:eastAsia="Calibri" w:hAnsi="Times New Roman"/>
          <w:iCs/>
          <w:color w:val="000000"/>
          <w:sz w:val="24"/>
          <w:szCs w:val="24"/>
        </w:rPr>
        <w:t xml:space="preserve"> risināšanai. Plānots pilnveidot uz darba iemaņu attīstību un nodarbinātības veicināšanu vērstos pasākumus (algoti pagaidu sabiedriskie darbi u.c.) visaugstākā bezdarba riska grupām, kas veicinātu tālāku ilgtspējīgu integrāciju darba tirgū. </w:t>
      </w:r>
      <w:r w:rsidRPr="009703E6">
        <w:rPr>
          <w:rFonts w:ascii="Times New Roman" w:hAnsi="Times New Roman" w:cs="Times New Roman"/>
          <w:sz w:val="24"/>
          <w:szCs w:val="24"/>
        </w:rPr>
        <w:t>Ņemot vērā nega</w:t>
      </w:r>
      <w:r w:rsidRPr="0015154B">
        <w:rPr>
          <w:rFonts w:ascii="Times New Roman" w:hAnsi="Times New Roman" w:cs="Times New Roman"/>
          <w:sz w:val="24"/>
          <w:szCs w:val="24"/>
        </w:rPr>
        <w:t>tīvās demogrāfiskās tendences, arvien lielāka nozīme darbaspēka piedāvājuma noturēšanai esošajā līmenī būs dažādu ekonomiski neaktīvo iedzīvotāju grupu iesaistei darba tirgū.</w:t>
      </w:r>
    </w:p>
    <w:p w14:paraId="06AC5995" w14:textId="77777777" w:rsidR="001101F7" w:rsidRPr="0015154B" w:rsidRDefault="001101F7" w:rsidP="00AC38FA">
      <w:pPr>
        <w:spacing w:before="120" w:after="0" w:line="240" w:lineRule="auto"/>
        <w:ind w:firstLine="720"/>
        <w:jc w:val="both"/>
        <w:rPr>
          <w:rFonts w:ascii="Times New Roman" w:hAnsi="Times New Roman" w:cs="Times New Roman"/>
          <w:sz w:val="24"/>
          <w:szCs w:val="24"/>
        </w:rPr>
      </w:pPr>
    </w:p>
    <w:p w14:paraId="4E5E0CD6" w14:textId="1190E34E" w:rsidR="00C86B2B" w:rsidRPr="0015154B" w:rsidRDefault="005478EA" w:rsidP="001101F7">
      <w:pPr>
        <w:pStyle w:val="Heading3"/>
      </w:pPr>
      <w:bookmarkStart w:id="86" w:name="_Toc55316115"/>
      <w:bookmarkEnd w:id="83"/>
      <w:r w:rsidRPr="0015154B">
        <w:t>Personu ar invaliditāti nodarbinātība</w:t>
      </w:r>
      <w:bookmarkEnd w:id="86"/>
    </w:p>
    <w:p w14:paraId="091F5539" w14:textId="2568F423" w:rsidR="00C86B2B" w:rsidRPr="0015154B" w:rsidRDefault="00C86B2B" w:rsidP="00AC38FA">
      <w:pPr>
        <w:suppressAutoHyphens/>
        <w:autoSpaceDN w:val="0"/>
        <w:spacing w:before="120" w:after="0" w:line="240" w:lineRule="auto"/>
        <w:ind w:right="-51" w:firstLine="720"/>
        <w:jc w:val="both"/>
        <w:textAlignment w:val="baseline"/>
        <w:rPr>
          <w:rFonts w:ascii="Times New Roman" w:hAnsi="Times New Roman" w:cs="Times New Roman"/>
          <w:bCs/>
          <w:sz w:val="24"/>
          <w:szCs w:val="24"/>
        </w:rPr>
      </w:pPr>
      <w:r w:rsidRPr="0015154B">
        <w:rPr>
          <w:rFonts w:ascii="Times New Roman" w:hAnsi="Times New Roman" w:cs="Times New Roman"/>
          <w:bCs/>
          <w:sz w:val="24"/>
          <w:szCs w:val="24"/>
        </w:rPr>
        <w:lastRenderedPageBreak/>
        <w:t>Lai arī katru gadu nodarbināto</w:t>
      </w:r>
      <w:r w:rsidRPr="0015154B">
        <w:rPr>
          <w:rFonts w:ascii="Times New Roman" w:hAnsi="Times New Roman" w:cs="Times New Roman"/>
          <w:b/>
          <w:bCs/>
          <w:sz w:val="24"/>
          <w:szCs w:val="24"/>
        </w:rPr>
        <w:t xml:space="preserve"> personu ar invaliditāti </w:t>
      </w:r>
      <w:r w:rsidRPr="0015154B">
        <w:rPr>
          <w:rFonts w:ascii="Times New Roman" w:hAnsi="Times New Roman" w:cs="Times New Roman"/>
          <w:bCs/>
          <w:sz w:val="24"/>
          <w:szCs w:val="24"/>
        </w:rPr>
        <w:t xml:space="preserve">nodarbinātības līmenis pieaug, tas tomēr ir salīdzinoši zems </w:t>
      </w:r>
      <w:r w:rsidR="002A0D02" w:rsidRPr="0015154B">
        <w:rPr>
          <w:rFonts w:ascii="Times New Roman" w:hAnsi="Times New Roman" w:cs="Times New Roman"/>
          <w:bCs/>
          <w:sz w:val="24"/>
          <w:szCs w:val="24"/>
        </w:rPr>
        <w:t>(</w:t>
      </w:r>
      <w:r w:rsidR="002A0D02" w:rsidRPr="00534F50">
        <w:rPr>
          <w:rFonts w:ascii="Times New Roman" w:hAnsi="Times New Roman" w:cs="Times New Roman"/>
          <w:bCs/>
          <w:sz w:val="24"/>
          <w:szCs w:val="24"/>
          <w:highlight w:val="yellow"/>
        </w:rPr>
        <w:t>skat</w:t>
      </w:r>
      <w:r w:rsidR="00D63A78" w:rsidRPr="00534F50">
        <w:rPr>
          <w:rFonts w:ascii="Times New Roman" w:hAnsi="Times New Roman" w:cs="Times New Roman"/>
          <w:bCs/>
          <w:sz w:val="24"/>
          <w:szCs w:val="24"/>
          <w:highlight w:val="yellow"/>
        </w:rPr>
        <w:t>. 2</w:t>
      </w:r>
      <w:r w:rsidR="00534F50">
        <w:rPr>
          <w:rFonts w:ascii="Times New Roman" w:hAnsi="Times New Roman" w:cs="Times New Roman"/>
          <w:bCs/>
          <w:sz w:val="24"/>
          <w:szCs w:val="24"/>
          <w:highlight w:val="yellow"/>
        </w:rPr>
        <w:t>2</w:t>
      </w:r>
      <w:r w:rsidR="00D63A78" w:rsidRPr="00534F50">
        <w:rPr>
          <w:rFonts w:ascii="Times New Roman" w:hAnsi="Times New Roman" w:cs="Times New Roman"/>
          <w:bCs/>
          <w:sz w:val="24"/>
          <w:szCs w:val="24"/>
          <w:highlight w:val="yellow"/>
        </w:rPr>
        <w:t>.t</w:t>
      </w:r>
      <w:r w:rsidR="002A0D02" w:rsidRPr="00534F50">
        <w:rPr>
          <w:rFonts w:ascii="Times New Roman" w:hAnsi="Times New Roman" w:cs="Times New Roman"/>
          <w:bCs/>
          <w:sz w:val="24"/>
          <w:szCs w:val="24"/>
          <w:highlight w:val="yellow"/>
        </w:rPr>
        <w:t>abulu</w:t>
      </w:r>
      <w:r w:rsidR="002A0D02" w:rsidRPr="0015154B">
        <w:rPr>
          <w:rFonts w:ascii="Times New Roman" w:hAnsi="Times New Roman" w:cs="Times New Roman"/>
          <w:bCs/>
          <w:sz w:val="24"/>
          <w:szCs w:val="24"/>
        </w:rPr>
        <w:t xml:space="preserve">). </w:t>
      </w:r>
      <w:r w:rsidRPr="0015154B">
        <w:rPr>
          <w:rFonts w:ascii="Times New Roman" w:hAnsi="Times New Roman" w:cs="Times New Roman"/>
          <w:bCs/>
          <w:sz w:val="24"/>
          <w:szCs w:val="24"/>
        </w:rPr>
        <w:t xml:space="preserve">Saskaņā ar </w:t>
      </w:r>
      <w:r w:rsidR="0096656D" w:rsidRPr="0015154B">
        <w:rPr>
          <w:rFonts w:ascii="Times New Roman" w:hAnsi="Times New Roman" w:cs="Times New Roman"/>
          <w:sz w:val="24"/>
          <w:szCs w:val="24"/>
        </w:rPr>
        <w:t xml:space="preserve">LabIS </w:t>
      </w:r>
      <w:r w:rsidRPr="0015154B">
        <w:rPr>
          <w:rFonts w:ascii="Times New Roman" w:hAnsi="Times New Roman" w:cs="Times New Roman"/>
          <w:bCs/>
          <w:sz w:val="24"/>
          <w:szCs w:val="24"/>
        </w:rPr>
        <w:t>datiem 2014.gada decembrī  no kopējā personu ar invaliditāti skaita darbspējas vecumā (15-63 g.) nodarbinātas bija aptuveni 32% personas ar invaliditāti</w:t>
      </w:r>
      <w:r w:rsidR="005478EA" w:rsidRPr="0015154B">
        <w:rPr>
          <w:rFonts w:ascii="Times New Roman" w:hAnsi="Times New Roman" w:cs="Times New Roman"/>
          <w:bCs/>
          <w:sz w:val="24"/>
          <w:szCs w:val="24"/>
        </w:rPr>
        <w:t>.</w:t>
      </w:r>
      <w:r w:rsidRPr="0015154B">
        <w:rPr>
          <w:rFonts w:ascii="Times New Roman" w:hAnsi="Times New Roman" w:cs="Times New Roman"/>
          <w:bCs/>
          <w:sz w:val="24"/>
          <w:szCs w:val="24"/>
        </w:rPr>
        <w:t xml:space="preserve"> </w:t>
      </w:r>
      <w:r w:rsidR="005478EA" w:rsidRPr="0015154B">
        <w:rPr>
          <w:rFonts w:ascii="Times New Roman" w:hAnsi="Times New Roman" w:cs="Times New Roman"/>
          <w:bCs/>
          <w:sz w:val="24"/>
          <w:szCs w:val="24"/>
        </w:rPr>
        <w:t>S</w:t>
      </w:r>
      <w:r w:rsidRPr="0015154B">
        <w:rPr>
          <w:rFonts w:ascii="Times New Roman" w:hAnsi="Times New Roman" w:cs="Times New Roman"/>
          <w:bCs/>
          <w:sz w:val="24"/>
          <w:szCs w:val="24"/>
        </w:rPr>
        <w:t xml:space="preserve">avukārt 2019.gada oktobra beigās </w:t>
      </w:r>
      <w:r w:rsidR="002A0D02" w:rsidRPr="0015154B">
        <w:rPr>
          <w:rFonts w:ascii="Times New Roman" w:hAnsi="Times New Roman" w:cs="Times New Roman"/>
          <w:bCs/>
          <w:sz w:val="24"/>
          <w:szCs w:val="24"/>
        </w:rPr>
        <w:t>no</w:t>
      </w:r>
      <w:r w:rsidRPr="0015154B">
        <w:rPr>
          <w:rFonts w:ascii="Times New Roman" w:hAnsi="Times New Roman" w:cs="Times New Roman"/>
          <w:bCs/>
          <w:sz w:val="24"/>
          <w:szCs w:val="24"/>
        </w:rPr>
        <w:t xml:space="preserve"> 108 764 person</w:t>
      </w:r>
      <w:r w:rsidR="002A0D02" w:rsidRPr="0015154B">
        <w:rPr>
          <w:rFonts w:ascii="Times New Roman" w:hAnsi="Times New Roman" w:cs="Times New Roman"/>
          <w:bCs/>
          <w:sz w:val="24"/>
          <w:szCs w:val="24"/>
        </w:rPr>
        <w:t>ām</w:t>
      </w:r>
      <w:r w:rsidRPr="0015154B">
        <w:rPr>
          <w:rFonts w:ascii="Times New Roman" w:hAnsi="Times New Roman" w:cs="Times New Roman"/>
          <w:bCs/>
          <w:sz w:val="24"/>
          <w:szCs w:val="24"/>
        </w:rPr>
        <w:t xml:space="preserve"> ar invaliditāti darbspējas vecumā nodarbinātas </w:t>
      </w:r>
      <w:r w:rsidR="002A0D02" w:rsidRPr="0015154B">
        <w:rPr>
          <w:rFonts w:ascii="Times New Roman" w:hAnsi="Times New Roman" w:cs="Times New Roman"/>
          <w:bCs/>
          <w:sz w:val="24"/>
          <w:szCs w:val="24"/>
        </w:rPr>
        <w:t xml:space="preserve">bija </w:t>
      </w:r>
      <w:r w:rsidRPr="0015154B">
        <w:rPr>
          <w:rFonts w:ascii="Times New Roman" w:hAnsi="Times New Roman" w:cs="Times New Roman"/>
          <w:bCs/>
          <w:sz w:val="24"/>
          <w:szCs w:val="24"/>
        </w:rPr>
        <w:t>43 317 personas jeb 39 %. No visām nodarbinātām personām darbspējas vecumā 62 % ir personas ar III invaliditātes grupu, 36% - personas ar II invaliditātes grupu un 2% ar I invaliditātes grupu.</w:t>
      </w:r>
      <w:r w:rsidR="002A0D02" w:rsidRPr="0015154B">
        <w:rPr>
          <w:rFonts w:ascii="Times New Roman" w:hAnsi="Times New Roman" w:cs="Times New Roman"/>
          <w:bCs/>
          <w:sz w:val="24"/>
          <w:szCs w:val="24"/>
        </w:rPr>
        <w:t xml:space="preserve"> </w:t>
      </w:r>
    </w:p>
    <w:p w14:paraId="6060813A" w14:textId="77777777" w:rsidR="002A0D02" w:rsidRPr="0015154B" w:rsidRDefault="002A0D02" w:rsidP="002A0D02">
      <w:pPr>
        <w:suppressAutoHyphens/>
        <w:autoSpaceDN w:val="0"/>
        <w:spacing w:after="0" w:line="240" w:lineRule="auto"/>
        <w:ind w:right="-51"/>
        <w:textAlignment w:val="baseline"/>
        <w:rPr>
          <w:rFonts w:ascii="Times New Roman" w:hAnsi="Times New Roman" w:cs="Times New Roman"/>
          <w:bCs/>
          <w:sz w:val="24"/>
          <w:szCs w:val="24"/>
          <w:highlight w:val="yellow"/>
        </w:rPr>
      </w:pPr>
    </w:p>
    <w:p w14:paraId="432040F1" w14:textId="071E2D48" w:rsidR="002A0D02" w:rsidRPr="0015154B" w:rsidRDefault="00D63A78" w:rsidP="002A0D02">
      <w:pPr>
        <w:suppressAutoHyphens/>
        <w:autoSpaceDN w:val="0"/>
        <w:spacing w:after="0" w:line="240" w:lineRule="auto"/>
        <w:ind w:right="-51"/>
        <w:textAlignment w:val="baseline"/>
        <w:rPr>
          <w:rFonts w:ascii="Times New Roman" w:hAnsi="Times New Roman" w:cs="Times New Roman"/>
          <w:bCs/>
          <w:sz w:val="24"/>
          <w:szCs w:val="24"/>
        </w:rPr>
      </w:pPr>
      <w:r w:rsidRPr="0015154B">
        <w:rPr>
          <w:rFonts w:ascii="Times New Roman" w:hAnsi="Times New Roman" w:cs="Times New Roman"/>
          <w:bCs/>
          <w:sz w:val="24"/>
          <w:szCs w:val="24"/>
        </w:rPr>
        <w:t>2</w:t>
      </w:r>
      <w:r w:rsidR="00534F50">
        <w:rPr>
          <w:rFonts w:ascii="Times New Roman" w:hAnsi="Times New Roman" w:cs="Times New Roman"/>
          <w:bCs/>
          <w:sz w:val="24"/>
          <w:szCs w:val="24"/>
        </w:rPr>
        <w:t>2</w:t>
      </w:r>
      <w:r w:rsidRPr="0015154B">
        <w:rPr>
          <w:rFonts w:ascii="Times New Roman" w:hAnsi="Times New Roman" w:cs="Times New Roman"/>
          <w:bCs/>
          <w:sz w:val="24"/>
          <w:szCs w:val="24"/>
        </w:rPr>
        <w:t>.</w:t>
      </w:r>
      <w:r w:rsidR="002A0D02" w:rsidRPr="0015154B">
        <w:rPr>
          <w:rFonts w:ascii="Times New Roman" w:hAnsi="Times New Roman" w:cs="Times New Roman"/>
          <w:bCs/>
          <w:sz w:val="24"/>
          <w:szCs w:val="24"/>
        </w:rPr>
        <w:t>t</w:t>
      </w:r>
      <w:r w:rsidR="00C86B2B" w:rsidRPr="0015154B">
        <w:rPr>
          <w:rFonts w:ascii="Times New Roman" w:hAnsi="Times New Roman" w:cs="Times New Roman"/>
          <w:bCs/>
          <w:sz w:val="24"/>
          <w:szCs w:val="24"/>
        </w:rPr>
        <w:t xml:space="preserve">abula </w:t>
      </w:r>
    </w:p>
    <w:p w14:paraId="4E7709F6" w14:textId="34B22CF2" w:rsidR="00C86B2B" w:rsidRPr="0015154B" w:rsidRDefault="00C86B2B" w:rsidP="002A0D02">
      <w:pPr>
        <w:suppressAutoHyphens/>
        <w:autoSpaceDN w:val="0"/>
        <w:spacing w:after="0" w:line="240" w:lineRule="auto"/>
        <w:ind w:right="-51"/>
        <w:jc w:val="center"/>
        <w:textAlignment w:val="baseline"/>
        <w:rPr>
          <w:rFonts w:ascii="Times New Roman" w:eastAsia="Calibri" w:hAnsi="Times New Roman" w:cs="Times New Roman"/>
          <w:bCs/>
          <w:i/>
          <w:color w:val="002060"/>
          <w:sz w:val="24"/>
          <w:szCs w:val="24"/>
        </w:rPr>
      </w:pPr>
      <w:r w:rsidRPr="0015154B">
        <w:rPr>
          <w:rFonts w:ascii="Times New Roman" w:eastAsia="Calibri" w:hAnsi="Times New Roman" w:cs="Times New Roman"/>
          <w:b/>
          <w:bCs/>
          <w:color w:val="002060"/>
          <w:sz w:val="24"/>
          <w:szCs w:val="24"/>
        </w:rPr>
        <w:t>Nodarbināto personu ar invaliditāti skaits</w:t>
      </w:r>
      <w:r w:rsidRPr="0015154B">
        <w:rPr>
          <w:rFonts w:ascii="Times New Roman" w:eastAsia="Calibri" w:hAnsi="Times New Roman" w:cs="Times New Roman"/>
          <w:bCs/>
          <w:i/>
          <w:color w:val="002060"/>
          <w:sz w:val="24"/>
          <w:szCs w:val="24"/>
        </w:rPr>
        <w:t>*</w:t>
      </w:r>
    </w:p>
    <w:p w14:paraId="3272FD82" w14:textId="77777777" w:rsidR="002A0D02" w:rsidRPr="0015154B" w:rsidRDefault="002A0D02" w:rsidP="002A0D02">
      <w:pPr>
        <w:suppressAutoHyphens/>
        <w:autoSpaceDN w:val="0"/>
        <w:spacing w:after="0" w:line="240" w:lineRule="auto"/>
        <w:ind w:right="-51"/>
        <w:jc w:val="center"/>
        <w:textAlignment w:val="baseline"/>
        <w:rPr>
          <w:rFonts w:ascii="Times New Roman" w:hAnsi="Times New Roman" w:cs="Times New Roman"/>
          <w:bCs/>
          <w:sz w:val="24"/>
          <w:szCs w:val="24"/>
        </w:rPr>
      </w:pPr>
    </w:p>
    <w:tbl>
      <w:tblPr>
        <w:tblW w:w="9067" w:type="dxa"/>
        <w:jc w:val="center"/>
        <w:tblLayout w:type="fixed"/>
        <w:tblCellMar>
          <w:left w:w="10" w:type="dxa"/>
          <w:right w:w="10" w:type="dxa"/>
        </w:tblCellMar>
        <w:tblLook w:val="04A0" w:firstRow="1" w:lastRow="0" w:firstColumn="1" w:lastColumn="0" w:noHBand="0" w:noVBand="1"/>
      </w:tblPr>
      <w:tblGrid>
        <w:gridCol w:w="704"/>
        <w:gridCol w:w="702"/>
        <w:gridCol w:w="741"/>
        <w:gridCol w:w="973"/>
        <w:gridCol w:w="830"/>
        <w:gridCol w:w="1156"/>
        <w:gridCol w:w="1092"/>
        <w:gridCol w:w="865"/>
        <w:gridCol w:w="1050"/>
        <w:gridCol w:w="954"/>
      </w:tblGrid>
      <w:tr w:rsidR="00C86B2B" w:rsidRPr="0015154B" w14:paraId="453CF7A2" w14:textId="77777777" w:rsidTr="00AF6D84">
        <w:trPr>
          <w:trHeight w:hRule="exact" w:val="34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textDirection w:val="btLr"/>
            <w:vAlign w:val="center"/>
            <w:hideMark/>
          </w:tcPr>
          <w:p w14:paraId="47C60E6A" w14:textId="77777777" w:rsidR="00C86B2B" w:rsidRPr="0015154B" w:rsidRDefault="00C86B2B" w:rsidP="00C86B2B">
            <w:pPr>
              <w:suppressAutoHyphens/>
              <w:autoSpaceDN w:val="0"/>
              <w:spacing w:after="144" w:line="240" w:lineRule="auto"/>
              <w:ind w:left="113" w:right="113"/>
              <w:jc w:val="center"/>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Dzimums</w:t>
            </w: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textDirection w:val="btLr"/>
            <w:vAlign w:val="center"/>
            <w:hideMark/>
          </w:tcPr>
          <w:p w14:paraId="1423CF81" w14:textId="77777777" w:rsidR="00C86B2B" w:rsidRPr="0015154B" w:rsidRDefault="00C86B2B" w:rsidP="00C86B2B">
            <w:pPr>
              <w:suppressAutoHyphens/>
              <w:autoSpaceDN w:val="0"/>
              <w:spacing w:after="144" w:line="240" w:lineRule="auto"/>
              <w:ind w:left="113" w:right="113"/>
              <w:jc w:val="center"/>
              <w:textAlignment w:val="baseline"/>
              <w:rPr>
                <w:rFonts w:ascii="Times New Roman" w:eastAsia="Calibri" w:hAnsi="Times New Roman" w:cs="Times New Roman"/>
              </w:rPr>
            </w:pPr>
            <w:r w:rsidRPr="0015154B">
              <w:rPr>
                <w:rFonts w:ascii="Times New Roman" w:eastAsia="Calibri" w:hAnsi="Times New Roman" w:cs="Times New Roman"/>
                <w:color w:val="002060"/>
              </w:rPr>
              <w:t>Gads</w:t>
            </w:r>
          </w:p>
        </w:tc>
        <w:tc>
          <w:tcPr>
            <w:tcW w:w="6707" w:type="dxa"/>
            <w:gridSpan w:val="7"/>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3CDC36EB"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Invaliditātes grupā nodarbinātie</w:t>
            </w:r>
          </w:p>
        </w:tc>
        <w:tc>
          <w:tcPr>
            <w:tcW w:w="954"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textDirection w:val="btLr"/>
            <w:vAlign w:val="center"/>
          </w:tcPr>
          <w:p w14:paraId="6733B1E8" w14:textId="77777777" w:rsidR="00C86B2B" w:rsidRPr="0015154B" w:rsidRDefault="00C86B2B" w:rsidP="00C86B2B">
            <w:pPr>
              <w:suppressAutoHyphens/>
              <w:autoSpaceDN w:val="0"/>
              <w:spacing w:after="144" w:line="240" w:lineRule="auto"/>
              <w:ind w:left="113" w:right="113"/>
              <w:jc w:val="center"/>
              <w:textAlignment w:val="baseline"/>
              <w:rPr>
                <w:rFonts w:ascii="Calibri" w:eastAsia="Calibri" w:hAnsi="Calibri" w:cs="Times New Roman"/>
                <w:color w:val="002060"/>
              </w:rPr>
            </w:pPr>
            <w:r w:rsidRPr="0015154B">
              <w:rPr>
                <w:rFonts w:ascii="Times New Roman" w:eastAsia="Calibri" w:hAnsi="Times New Roman" w:cs="Times New Roman"/>
                <w:color w:val="002060"/>
              </w:rPr>
              <w:t>Nodarbināti bērni ar invaliditāti</w:t>
            </w:r>
          </w:p>
        </w:tc>
      </w:tr>
      <w:tr w:rsidR="00C86B2B" w:rsidRPr="0015154B" w14:paraId="431DB328"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4EF4E056" w14:textId="77777777" w:rsidR="00C86B2B" w:rsidRPr="0015154B" w:rsidRDefault="00C86B2B" w:rsidP="00C86B2B">
            <w:pPr>
              <w:spacing w:after="0"/>
              <w:jc w:val="center"/>
              <w:rPr>
                <w:rFonts w:ascii="Times New Roman" w:eastAsia="Calibri" w:hAnsi="Times New Roman" w:cs="Times New Roman"/>
                <w:color w:val="002060"/>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234F1EF5" w14:textId="77777777" w:rsidR="00C86B2B" w:rsidRPr="0015154B" w:rsidRDefault="00C86B2B" w:rsidP="00C86B2B">
            <w:pPr>
              <w:spacing w:after="0"/>
              <w:rPr>
                <w:rFonts w:ascii="Times New Roman" w:eastAsia="Calibri" w:hAnsi="Times New Roman" w:cs="Times New Roman"/>
              </w:rPr>
            </w:pPr>
          </w:p>
        </w:tc>
        <w:tc>
          <w:tcPr>
            <w:tcW w:w="1714" w:type="dxa"/>
            <w:gridSpan w:val="2"/>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2D635D12"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I invaliditātes grupa</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57F63AA1"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II invaliditātes grupa</w:t>
            </w:r>
          </w:p>
        </w:tc>
        <w:tc>
          <w:tcPr>
            <w:tcW w:w="1957" w:type="dxa"/>
            <w:gridSpan w:val="2"/>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1C340A15"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III invaliditātes grupa</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13738812"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kopā</w:t>
            </w:r>
          </w:p>
        </w:tc>
        <w:tc>
          <w:tcPr>
            <w:tcW w:w="95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5237D61B" w14:textId="77777777" w:rsidR="00C86B2B" w:rsidRPr="0015154B" w:rsidRDefault="00C86B2B" w:rsidP="00C86B2B">
            <w:pPr>
              <w:spacing w:after="0"/>
              <w:rPr>
                <w:rFonts w:ascii="Calibri" w:eastAsia="Calibri" w:hAnsi="Calibri" w:cs="Times New Roman"/>
              </w:rPr>
            </w:pPr>
          </w:p>
        </w:tc>
      </w:tr>
      <w:tr w:rsidR="00C86B2B" w:rsidRPr="0015154B" w14:paraId="5B5299F0" w14:textId="77777777" w:rsidTr="00AF6D84">
        <w:trPr>
          <w:trHeight w:hRule="exact" w:val="966"/>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656EEE34" w14:textId="77777777" w:rsidR="00C86B2B" w:rsidRPr="0015154B" w:rsidRDefault="00C86B2B" w:rsidP="00C86B2B">
            <w:pPr>
              <w:spacing w:after="0"/>
              <w:jc w:val="center"/>
              <w:rPr>
                <w:rFonts w:ascii="Times New Roman" w:eastAsia="Calibri" w:hAnsi="Times New Roman" w:cs="Times New Roman"/>
                <w:color w:val="002060"/>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6BB53793" w14:textId="77777777" w:rsidR="00C86B2B" w:rsidRPr="0015154B" w:rsidRDefault="00C86B2B" w:rsidP="00C86B2B">
            <w:pPr>
              <w:spacing w:after="0"/>
              <w:rPr>
                <w:rFonts w:ascii="Times New Roman" w:eastAsia="Calibri" w:hAnsi="Times New Roman" w:cs="Times New Roman"/>
              </w:rPr>
            </w:pPr>
          </w:p>
        </w:tc>
        <w:tc>
          <w:tcPr>
            <w:tcW w:w="741"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2221F7D1"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kopā</w:t>
            </w:r>
          </w:p>
        </w:tc>
        <w:tc>
          <w:tcPr>
            <w:tcW w:w="973"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0C2CD8AF" w14:textId="5955C96A" w:rsidR="00C86B2B" w:rsidRPr="0015154B" w:rsidRDefault="00C86B2B"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t.sk., 18-63 gadi</w:t>
            </w:r>
          </w:p>
        </w:tc>
        <w:tc>
          <w:tcPr>
            <w:tcW w:w="830"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2F815731"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kopā</w:t>
            </w:r>
          </w:p>
        </w:tc>
        <w:tc>
          <w:tcPr>
            <w:tcW w:w="1156"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0FFAAD53" w14:textId="2A4ED834" w:rsidR="00C86B2B" w:rsidRPr="0015154B" w:rsidRDefault="00C86B2B"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t.sk., 18-63 gadi</w:t>
            </w:r>
          </w:p>
        </w:tc>
        <w:tc>
          <w:tcPr>
            <w:tcW w:w="1092"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1ED7F74F" w14:textId="3007FF63" w:rsidR="00C86B2B" w:rsidRPr="0015154B" w:rsidRDefault="00AF6D84"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k</w:t>
            </w:r>
            <w:r w:rsidR="00C86B2B" w:rsidRPr="0015154B">
              <w:rPr>
                <w:rFonts w:ascii="Times New Roman" w:eastAsia="Calibri" w:hAnsi="Times New Roman" w:cs="Times New Roman"/>
                <w:color w:val="002060"/>
              </w:rPr>
              <w:t>opā</w:t>
            </w:r>
          </w:p>
        </w:tc>
        <w:tc>
          <w:tcPr>
            <w:tcW w:w="865"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5E376757" w14:textId="13A88E6A" w:rsidR="00C86B2B" w:rsidRPr="0015154B" w:rsidRDefault="00C86B2B" w:rsidP="00C86B2B">
            <w:pPr>
              <w:suppressAutoHyphens/>
              <w:autoSpaceDN w:val="0"/>
              <w:spacing w:after="144" w:line="240" w:lineRule="auto"/>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t.sk., 18-63 gadi</w:t>
            </w:r>
          </w:p>
        </w:tc>
        <w:tc>
          <w:tcPr>
            <w:tcW w:w="1050" w:type="dxa"/>
            <w:vMerge/>
            <w:tcBorders>
              <w:top w:val="single" w:sz="4" w:space="0" w:color="000000"/>
              <w:left w:val="single" w:sz="4" w:space="0" w:color="000000"/>
              <w:bottom w:val="single" w:sz="4" w:space="0" w:color="000000"/>
              <w:right w:val="single" w:sz="4" w:space="0" w:color="000000"/>
            </w:tcBorders>
            <w:vAlign w:val="center"/>
            <w:hideMark/>
          </w:tcPr>
          <w:p w14:paraId="0E84660D" w14:textId="77777777" w:rsidR="00C86B2B" w:rsidRPr="0015154B" w:rsidRDefault="00C86B2B" w:rsidP="00C86B2B">
            <w:pPr>
              <w:spacing w:after="0"/>
              <w:rPr>
                <w:rFonts w:ascii="Times New Roman" w:eastAsia="Calibri" w:hAnsi="Times New Roman" w:cs="Times New Roman"/>
              </w:rPr>
            </w:pPr>
          </w:p>
        </w:tc>
        <w:tc>
          <w:tcPr>
            <w:tcW w:w="95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084BB45A" w14:textId="77777777" w:rsidR="00C86B2B" w:rsidRPr="0015154B" w:rsidRDefault="00C86B2B" w:rsidP="00C86B2B">
            <w:pPr>
              <w:spacing w:after="0"/>
              <w:rPr>
                <w:rFonts w:ascii="Calibri" w:eastAsia="Calibri" w:hAnsi="Calibri" w:cs="Times New Roman"/>
              </w:rPr>
            </w:pPr>
          </w:p>
        </w:tc>
      </w:tr>
      <w:tr w:rsidR="00C86B2B" w:rsidRPr="0015154B" w14:paraId="27637724" w14:textId="77777777" w:rsidTr="00AF6D84">
        <w:trPr>
          <w:trHeight w:hRule="exact" w:val="34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textDirection w:val="btLr"/>
            <w:vAlign w:val="center"/>
            <w:hideMark/>
          </w:tcPr>
          <w:p w14:paraId="0AE883B4" w14:textId="77777777" w:rsidR="00C86B2B" w:rsidRPr="0015154B" w:rsidRDefault="00C86B2B" w:rsidP="00C86B2B">
            <w:pPr>
              <w:suppressAutoHyphens/>
              <w:autoSpaceDN w:val="0"/>
              <w:spacing w:after="144" w:line="240" w:lineRule="auto"/>
              <w:ind w:left="113" w:right="113"/>
              <w:jc w:val="center"/>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Sievietes</w:t>
            </w: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113901"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2014.</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C4A012"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396</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3DC209"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335</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499189"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7508</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610C70"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6514</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26EC19"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12031</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3C3288"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11129</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6B4EC4"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19935</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B99A5B"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9</w:t>
            </w:r>
          </w:p>
        </w:tc>
      </w:tr>
      <w:tr w:rsidR="00C86B2B" w:rsidRPr="0015154B" w14:paraId="297A5680"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2DDE7114" w14:textId="77777777" w:rsidR="00C86B2B" w:rsidRPr="0015154B" w:rsidRDefault="00C86B2B" w:rsidP="00C86B2B">
            <w:pPr>
              <w:spacing w:after="0"/>
              <w:jc w:val="center"/>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A4CD4E"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2015.</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64F649"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448</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493D44"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371</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C01F03"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7795</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72909A"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6660</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224DF8"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13124</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15FDC2"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12022</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B4CD13"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21367</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2C2453"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8</w:t>
            </w:r>
          </w:p>
        </w:tc>
      </w:tr>
      <w:tr w:rsidR="00C86B2B" w:rsidRPr="0015154B" w14:paraId="35539F56"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555537E0" w14:textId="77777777" w:rsidR="00C86B2B" w:rsidRPr="0015154B" w:rsidRDefault="00C86B2B" w:rsidP="00C86B2B">
            <w:pPr>
              <w:spacing w:after="0"/>
              <w:jc w:val="center"/>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4D823D"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2016.</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8A2D49"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449</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F81C2B"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356</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5D5E82"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8131</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FF869B"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6760</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DBB8EE"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14159</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526D63"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12802</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3B2A29"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22739</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CD2D68"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9</w:t>
            </w:r>
          </w:p>
        </w:tc>
      </w:tr>
      <w:tr w:rsidR="00C86B2B" w:rsidRPr="0015154B" w14:paraId="72AA9670"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641474B1" w14:textId="77777777" w:rsidR="00C86B2B" w:rsidRPr="0015154B" w:rsidRDefault="00C86B2B" w:rsidP="00C86B2B">
            <w:pPr>
              <w:spacing w:after="0"/>
              <w:jc w:val="center"/>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CD8AF4"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2017.</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58BEFC"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484</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A38543"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382</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3C52A1"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8404</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AA48E"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6889</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7D305"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15352</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F75530"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13739</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8BDB45"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24240</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67AED3"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7</w:t>
            </w:r>
          </w:p>
        </w:tc>
      </w:tr>
      <w:tr w:rsidR="00C86B2B" w:rsidRPr="0015154B" w14:paraId="1E785779"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155A32F6" w14:textId="77777777" w:rsidR="00C86B2B" w:rsidRPr="0015154B" w:rsidRDefault="00C86B2B" w:rsidP="00C86B2B">
            <w:pPr>
              <w:spacing w:after="0"/>
              <w:jc w:val="center"/>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61CCFA"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2018.</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0162D9"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473</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9D202"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373</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3A72E4"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8494</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566F57"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6753</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FA46A2"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16714</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746927"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14542</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F2CEC4"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25681</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F3079F"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9</w:t>
            </w:r>
          </w:p>
        </w:tc>
      </w:tr>
      <w:tr w:rsidR="00C86B2B" w:rsidRPr="0015154B" w14:paraId="2FA3B612"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09C0886A" w14:textId="77777777" w:rsidR="00C86B2B" w:rsidRPr="0015154B" w:rsidRDefault="00C86B2B" w:rsidP="00C86B2B">
            <w:pPr>
              <w:spacing w:after="0"/>
              <w:jc w:val="center"/>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3DFA9D" w14:textId="77777777" w:rsidR="00C86B2B" w:rsidRPr="0015154B" w:rsidRDefault="00C86B2B" w:rsidP="00C86B2B">
            <w:pPr>
              <w:suppressAutoHyphens/>
              <w:autoSpaceDN w:val="0"/>
              <w:spacing w:after="144" w:line="240" w:lineRule="auto"/>
              <w:textAlignment w:val="baseline"/>
              <w:rPr>
                <w:rFonts w:ascii="Calibri" w:eastAsia="Calibri" w:hAnsi="Calibri" w:cs="Times New Roman"/>
              </w:rPr>
            </w:pPr>
            <w:r w:rsidRPr="0015154B">
              <w:rPr>
                <w:rFonts w:ascii="Times New Roman" w:eastAsia="Calibri" w:hAnsi="Times New Roman" w:cs="Times New Roman"/>
              </w:rPr>
              <w:t>2019.</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C42409"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502</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A766A7"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389</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19F865"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8848</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5B31D4"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6963</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9364AA"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17873</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898EA5"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15449</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323552"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27223</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345B69"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16</w:t>
            </w:r>
          </w:p>
        </w:tc>
      </w:tr>
      <w:tr w:rsidR="00C86B2B" w:rsidRPr="0015154B" w14:paraId="48D1651E" w14:textId="77777777" w:rsidTr="00AF6D84">
        <w:trPr>
          <w:trHeight w:hRule="exact" w:val="34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textDirection w:val="btLr"/>
            <w:vAlign w:val="center"/>
            <w:hideMark/>
          </w:tcPr>
          <w:p w14:paraId="368C8BCF" w14:textId="77777777" w:rsidR="00C86B2B" w:rsidRPr="0015154B" w:rsidRDefault="00C86B2B" w:rsidP="00C86B2B">
            <w:pPr>
              <w:suppressAutoHyphens/>
              <w:autoSpaceDN w:val="0"/>
              <w:spacing w:after="144" w:line="240" w:lineRule="auto"/>
              <w:ind w:left="113" w:right="113"/>
              <w:jc w:val="center"/>
              <w:textAlignment w:val="baseline"/>
              <w:rPr>
                <w:rFonts w:ascii="Times New Roman" w:eastAsia="Calibri" w:hAnsi="Times New Roman" w:cs="Times New Roman"/>
                <w:color w:val="002060"/>
              </w:rPr>
            </w:pPr>
            <w:r w:rsidRPr="0015154B">
              <w:rPr>
                <w:rFonts w:ascii="Times New Roman" w:eastAsia="Calibri" w:hAnsi="Times New Roman" w:cs="Times New Roman"/>
                <w:color w:val="002060"/>
              </w:rPr>
              <w:t>Vīrieši</w:t>
            </w: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DC51AD"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2014.</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362CA5"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589</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5B84C5"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492</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013057"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7272</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A84AFA"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6301</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513CB2"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11622</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927DBC"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10683</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EE85EB"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19483</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943C12"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3</w:t>
            </w:r>
          </w:p>
        </w:tc>
      </w:tr>
      <w:tr w:rsidR="00C86B2B" w:rsidRPr="0015154B" w14:paraId="2CA0BD31"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2420FCED" w14:textId="77777777" w:rsidR="00C86B2B" w:rsidRPr="0015154B" w:rsidRDefault="00C86B2B" w:rsidP="00C86B2B">
            <w:pPr>
              <w:spacing w:after="0"/>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93DF73"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2015.</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EFFFF7"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578</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3B819F"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467</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E870E6"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7739</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4013FA"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6577</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4B3149"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12157</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AECB10"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11071</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B0DCF0"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20474</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18988A"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4</w:t>
            </w:r>
          </w:p>
        </w:tc>
      </w:tr>
      <w:tr w:rsidR="00C86B2B" w:rsidRPr="0015154B" w14:paraId="0FC668EF"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2D86CDE7" w14:textId="77777777" w:rsidR="00C86B2B" w:rsidRPr="0015154B" w:rsidRDefault="00C86B2B" w:rsidP="00C86B2B">
            <w:pPr>
              <w:spacing w:after="0"/>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95ED3D"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2016.</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BAFA3A"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661</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1E5E55"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539</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15C5DC"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7935</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5460BD"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6704</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100801"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12852</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0FE3EE"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11582</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A80BF0"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21448</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DEAE03"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9</w:t>
            </w:r>
          </w:p>
        </w:tc>
      </w:tr>
      <w:tr w:rsidR="00C86B2B" w:rsidRPr="0015154B" w14:paraId="17DC90CF"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49B44302" w14:textId="77777777" w:rsidR="00C86B2B" w:rsidRPr="0015154B" w:rsidRDefault="00C86B2B" w:rsidP="00C86B2B">
            <w:pPr>
              <w:spacing w:after="0"/>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7B87AF"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2017.</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1103E3"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613</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CF07F7"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495</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7142CF"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8415</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1CBBE4"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6997</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60F89D"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13725</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2E7042"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12262</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9569EB"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22753</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0D4354"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9</w:t>
            </w:r>
          </w:p>
        </w:tc>
      </w:tr>
      <w:tr w:rsidR="00C86B2B" w:rsidRPr="0015154B" w14:paraId="5794F5F2"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03AC1DE3" w14:textId="77777777" w:rsidR="00C86B2B" w:rsidRPr="0015154B" w:rsidRDefault="00C86B2B" w:rsidP="00C86B2B">
            <w:pPr>
              <w:spacing w:after="0"/>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032F93" w14:textId="77777777" w:rsidR="00C86B2B" w:rsidRPr="0015154B" w:rsidRDefault="00C86B2B" w:rsidP="00C86B2B">
            <w:pPr>
              <w:suppressAutoHyphens/>
              <w:autoSpaceDN w:val="0"/>
              <w:spacing w:after="144" w:line="240" w:lineRule="auto"/>
              <w:textAlignment w:val="baseline"/>
              <w:rPr>
                <w:rFonts w:ascii="Times New Roman" w:eastAsia="Calibri" w:hAnsi="Times New Roman" w:cs="Times New Roman"/>
              </w:rPr>
            </w:pPr>
            <w:r w:rsidRPr="0015154B">
              <w:rPr>
                <w:rFonts w:ascii="Times New Roman" w:eastAsia="Calibri" w:hAnsi="Times New Roman" w:cs="Times New Roman"/>
              </w:rPr>
              <w:t>2018.</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450531"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652</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E51B11"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522</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4C352A"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8645</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A06BDE"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7039</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56F4CB"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14509</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FA0516"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12731</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A1E1B3"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23806</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5C7F85"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11</w:t>
            </w:r>
          </w:p>
        </w:tc>
      </w:tr>
      <w:tr w:rsidR="00C86B2B" w:rsidRPr="0015154B" w14:paraId="5F47A95C" w14:textId="77777777" w:rsidTr="00AF6D84">
        <w:trPr>
          <w:trHeight w:hRule="exact" w:val="3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08AC1C95" w14:textId="77777777" w:rsidR="00C86B2B" w:rsidRPr="0015154B" w:rsidRDefault="00C86B2B" w:rsidP="00C86B2B">
            <w:pPr>
              <w:spacing w:after="0"/>
              <w:rPr>
                <w:rFonts w:ascii="Times New Roman" w:eastAsia="Calibri" w:hAnsi="Times New Roman" w:cs="Times New Roman"/>
                <w:color w:val="002060"/>
              </w:rPr>
            </w:pPr>
          </w:p>
        </w:tc>
        <w:tc>
          <w:tcPr>
            <w:tcW w:w="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D14789" w14:textId="77777777" w:rsidR="00C86B2B" w:rsidRPr="0015154B" w:rsidRDefault="00C86B2B" w:rsidP="00C86B2B">
            <w:pPr>
              <w:suppressAutoHyphens/>
              <w:autoSpaceDN w:val="0"/>
              <w:spacing w:after="144" w:line="240" w:lineRule="auto"/>
              <w:textAlignment w:val="baseline"/>
              <w:rPr>
                <w:rFonts w:ascii="Calibri" w:eastAsia="Calibri" w:hAnsi="Calibri" w:cs="Times New Roman"/>
              </w:rPr>
            </w:pPr>
            <w:r w:rsidRPr="0015154B">
              <w:rPr>
                <w:rFonts w:ascii="Times New Roman" w:eastAsia="Calibri" w:hAnsi="Times New Roman" w:cs="Times New Roman"/>
              </w:rPr>
              <w:t>2019.</w:t>
            </w:r>
          </w:p>
        </w:tc>
        <w:tc>
          <w:tcPr>
            <w:tcW w:w="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B23094"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690</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FE877C"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513</w:t>
            </w:r>
          </w:p>
        </w:tc>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A0ABA4"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8946</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E57556"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7104</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35E61"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15186</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D865B6"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13142</w:t>
            </w:r>
          </w:p>
        </w:tc>
        <w:tc>
          <w:tcPr>
            <w:tcW w:w="10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2D2FA" w14:textId="77777777" w:rsidR="00C86B2B" w:rsidRPr="0015154B" w:rsidRDefault="00C86B2B" w:rsidP="00C86B2B">
            <w:pPr>
              <w:suppressAutoHyphens/>
              <w:autoSpaceDN w:val="0"/>
              <w:spacing w:after="0"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24822</w:t>
            </w:r>
          </w:p>
        </w:tc>
        <w:tc>
          <w:tcPr>
            <w:tcW w:w="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24B530"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rPr>
            </w:pPr>
            <w:r w:rsidRPr="0015154B">
              <w:rPr>
                <w:rFonts w:ascii="Times New Roman" w:eastAsia="Calibri" w:hAnsi="Times New Roman" w:cs="Times New Roman"/>
              </w:rPr>
              <w:t>9</w:t>
            </w:r>
          </w:p>
        </w:tc>
      </w:tr>
      <w:tr w:rsidR="00C86B2B" w:rsidRPr="0015154B" w14:paraId="7BC6B27F" w14:textId="77777777" w:rsidTr="00AF6D84">
        <w:trPr>
          <w:trHeight w:hRule="exact" w:val="464"/>
          <w:jc w:val="center"/>
        </w:trPr>
        <w:tc>
          <w:tcPr>
            <w:tcW w:w="9067" w:type="dxa"/>
            <w:gridSpan w:val="10"/>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tcPr>
          <w:p w14:paraId="5B390DBB" w14:textId="77777777" w:rsidR="00C86B2B" w:rsidRPr="0015154B" w:rsidRDefault="00C86B2B" w:rsidP="00C86B2B">
            <w:pPr>
              <w:suppressAutoHyphens/>
              <w:autoSpaceDN w:val="0"/>
              <w:spacing w:after="0" w:line="240" w:lineRule="auto"/>
              <w:ind w:right="91"/>
              <w:jc w:val="both"/>
              <w:textAlignment w:val="baseline"/>
              <w:rPr>
                <w:rFonts w:ascii="Times New Roman" w:eastAsia="Calibri" w:hAnsi="Times New Roman" w:cs="Times New Roman"/>
                <w:i/>
                <w:iCs/>
                <w:color w:val="002060"/>
                <w:sz w:val="20"/>
                <w:szCs w:val="20"/>
              </w:rPr>
            </w:pPr>
            <w:r w:rsidRPr="0015154B">
              <w:rPr>
                <w:rFonts w:ascii="Times New Roman" w:eastAsia="Calibri" w:hAnsi="Times New Roman" w:cs="Times New Roman"/>
                <w:i/>
                <w:iCs/>
                <w:color w:val="002060"/>
                <w:sz w:val="20"/>
                <w:szCs w:val="20"/>
              </w:rPr>
              <w:t xml:space="preserve">*Personai vienlaicīgi var būt noteiktas vairākas invaliditātes grupas, līdz ar to nodarbinātības rādītāji neatspoguļo unikālo personu skaitu. </w:t>
            </w:r>
          </w:p>
          <w:p w14:paraId="36D09A92" w14:textId="77777777" w:rsidR="00C86B2B" w:rsidRPr="0015154B" w:rsidRDefault="00C86B2B" w:rsidP="00C86B2B">
            <w:pPr>
              <w:suppressAutoHyphens/>
              <w:autoSpaceDN w:val="0"/>
              <w:spacing w:after="144" w:line="240" w:lineRule="auto"/>
              <w:jc w:val="center"/>
              <w:textAlignment w:val="baseline"/>
              <w:rPr>
                <w:rFonts w:ascii="Times New Roman" w:eastAsia="Calibri" w:hAnsi="Times New Roman" w:cs="Times New Roman"/>
                <w:color w:val="002060"/>
              </w:rPr>
            </w:pPr>
          </w:p>
        </w:tc>
      </w:tr>
    </w:tbl>
    <w:p w14:paraId="10BA9BB7" w14:textId="4210EE43" w:rsidR="00C86B2B" w:rsidRPr="0015154B" w:rsidRDefault="00AD7D67" w:rsidP="00C86B2B">
      <w:pPr>
        <w:suppressAutoHyphens/>
        <w:autoSpaceDN w:val="0"/>
        <w:spacing w:after="0" w:line="240" w:lineRule="auto"/>
        <w:ind w:right="91"/>
        <w:jc w:val="both"/>
        <w:textAlignment w:val="baseline"/>
        <w:rPr>
          <w:rFonts w:ascii="Times New Roman" w:eastAsia="Calibri" w:hAnsi="Times New Roman" w:cs="Times New Roman"/>
          <w:iCs/>
          <w:sz w:val="20"/>
          <w:szCs w:val="20"/>
        </w:rPr>
      </w:pPr>
      <w:r w:rsidRPr="0015154B">
        <w:rPr>
          <w:rFonts w:ascii="Times New Roman" w:eastAsia="Calibri" w:hAnsi="Times New Roman" w:cs="Times New Roman"/>
          <w:iCs/>
          <w:sz w:val="20"/>
          <w:szCs w:val="20"/>
        </w:rPr>
        <w:t>Datu a</w:t>
      </w:r>
      <w:r w:rsidR="00C86B2B" w:rsidRPr="0015154B">
        <w:rPr>
          <w:rFonts w:ascii="Times New Roman" w:eastAsia="Calibri" w:hAnsi="Times New Roman" w:cs="Times New Roman"/>
          <w:iCs/>
          <w:sz w:val="20"/>
          <w:szCs w:val="20"/>
        </w:rPr>
        <w:t xml:space="preserve">vots: LabIS, </w:t>
      </w:r>
      <w:r w:rsidR="00653445">
        <w:rPr>
          <w:rFonts w:ascii="Times New Roman" w:eastAsia="Calibri" w:hAnsi="Times New Roman" w:cs="Times New Roman"/>
          <w:iCs/>
          <w:sz w:val="20"/>
          <w:szCs w:val="20"/>
        </w:rPr>
        <w:t xml:space="preserve">izgūts </w:t>
      </w:r>
      <w:r w:rsidR="00C86B2B" w:rsidRPr="0015154B">
        <w:rPr>
          <w:rFonts w:ascii="Times New Roman" w:eastAsia="Calibri" w:hAnsi="Times New Roman" w:cs="Times New Roman"/>
          <w:iCs/>
          <w:sz w:val="20"/>
          <w:szCs w:val="20"/>
        </w:rPr>
        <w:t>2020.gada maij</w:t>
      </w:r>
      <w:r w:rsidR="00653445">
        <w:rPr>
          <w:rFonts w:ascii="Times New Roman" w:eastAsia="Calibri" w:hAnsi="Times New Roman" w:cs="Times New Roman"/>
          <w:iCs/>
          <w:sz w:val="20"/>
          <w:szCs w:val="20"/>
        </w:rPr>
        <w:t>ā</w:t>
      </w:r>
      <w:r w:rsidR="00C86B2B" w:rsidRPr="0015154B">
        <w:rPr>
          <w:rFonts w:ascii="Times New Roman" w:eastAsia="Calibri" w:hAnsi="Times New Roman" w:cs="Times New Roman"/>
          <w:iCs/>
          <w:sz w:val="20"/>
          <w:szCs w:val="20"/>
        </w:rPr>
        <w:t xml:space="preserve">. Dati par 2014., 2015., 2016., 2017. un 2018.gadu atspoguļo situāciju uz 2018.gada decembri. Dati par 2019.gadu atspoguļo situāciju uz </w:t>
      </w:r>
      <w:r w:rsidRPr="0015154B">
        <w:rPr>
          <w:rFonts w:ascii="Times New Roman" w:eastAsia="Calibri" w:hAnsi="Times New Roman" w:cs="Times New Roman"/>
          <w:iCs/>
          <w:sz w:val="20"/>
          <w:szCs w:val="20"/>
        </w:rPr>
        <w:t>2019.</w:t>
      </w:r>
      <w:r w:rsidR="00C86B2B" w:rsidRPr="0015154B">
        <w:rPr>
          <w:rFonts w:ascii="Times New Roman" w:eastAsia="Calibri" w:hAnsi="Times New Roman" w:cs="Times New Roman"/>
          <w:iCs/>
          <w:sz w:val="20"/>
          <w:szCs w:val="20"/>
        </w:rPr>
        <w:t>gada decembri.</w:t>
      </w:r>
    </w:p>
    <w:p w14:paraId="61F46C68" w14:textId="77777777" w:rsidR="00C86B2B" w:rsidRPr="0015154B" w:rsidRDefault="00C86B2B" w:rsidP="00C86B2B">
      <w:pPr>
        <w:spacing w:after="0" w:line="240" w:lineRule="auto"/>
        <w:jc w:val="both"/>
        <w:rPr>
          <w:rFonts w:ascii="Times New Roman" w:hAnsi="Times New Roman" w:cs="Times New Roman"/>
          <w:i/>
          <w:iCs/>
          <w:sz w:val="24"/>
          <w:szCs w:val="24"/>
        </w:rPr>
      </w:pPr>
    </w:p>
    <w:p w14:paraId="78EFC312" w14:textId="5E206DCD" w:rsidR="00C86B2B" w:rsidRPr="0015154B" w:rsidRDefault="00C86B2B" w:rsidP="00D63A78">
      <w:pPr>
        <w:spacing w:after="0" w:line="240" w:lineRule="auto"/>
        <w:ind w:firstLine="720"/>
        <w:jc w:val="both"/>
        <w:rPr>
          <w:rFonts w:ascii="Times New Roman" w:hAnsi="Times New Roman" w:cs="Times New Roman"/>
          <w:sz w:val="24"/>
          <w:szCs w:val="24"/>
        </w:rPr>
      </w:pPr>
      <w:r w:rsidRPr="0015154B">
        <w:rPr>
          <w:rFonts w:ascii="Times New Roman" w:hAnsi="Times New Roman" w:cs="Times New Roman"/>
          <w:bCs/>
          <w:sz w:val="24"/>
          <w:szCs w:val="24"/>
        </w:rPr>
        <w:t xml:space="preserve">Jāatzīmē, ka </w:t>
      </w:r>
      <w:r w:rsidR="00B661CA">
        <w:rPr>
          <w:rFonts w:ascii="Times New Roman" w:hAnsi="Times New Roman" w:cs="Times New Roman"/>
          <w:bCs/>
          <w:sz w:val="24"/>
          <w:szCs w:val="24"/>
        </w:rPr>
        <w:t xml:space="preserve">personu ar invaliditāti </w:t>
      </w:r>
      <w:r w:rsidRPr="0015154B">
        <w:rPr>
          <w:rFonts w:ascii="Times New Roman" w:hAnsi="Times New Roman" w:cs="Times New Roman"/>
          <w:bCs/>
          <w:sz w:val="24"/>
          <w:szCs w:val="24"/>
        </w:rPr>
        <w:t xml:space="preserve">nodarbinātības rādītājs pieaug līdz ar personu ar invaliditāti skaita pieaugumu. </w:t>
      </w:r>
      <w:r w:rsidRPr="0015154B">
        <w:rPr>
          <w:rFonts w:ascii="Times New Roman" w:hAnsi="Times New Roman" w:cs="Times New Roman"/>
          <w:sz w:val="24"/>
          <w:szCs w:val="24"/>
        </w:rPr>
        <w:t xml:space="preserve">Saskaņā ar </w:t>
      </w:r>
      <w:r w:rsidR="0096656D" w:rsidRPr="0015154B">
        <w:rPr>
          <w:rFonts w:ascii="Times New Roman" w:hAnsi="Times New Roman" w:cs="Times New Roman"/>
          <w:sz w:val="24"/>
          <w:szCs w:val="24"/>
        </w:rPr>
        <w:t>LabIS</w:t>
      </w:r>
      <w:r w:rsidRPr="0015154B">
        <w:rPr>
          <w:rFonts w:ascii="Times New Roman" w:hAnsi="Times New Roman" w:cs="Times New Roman"/>
          <w:sz w:val="24"/>
          <w:szCs w:val="24"/>
        </w:rPr>
        <w:t xml:space="preserve"> datiem 2019.gada decembrī valstī bija 187 868 pilngadīgas personas ar invaliditāti (</w:t>
      </w:r>
      <w:r w:rsidRPr="00534F50">
        <w:rPr>
          <w:rFonts w:ascii="Times New Roman" w:hAnsi="Times New Roman" w:cs="Times New Roman"/>
          <w:sz w:val="24"/>
          <w:szCs w:val="24"/>
          <w:highlight w:val="yellow"/>
        </w:rPr>
        <w:t>skat</w:t>
      </w:r>
      <w:r w:rsidR="0096656D" w:rsidRPr="00534F50">
        <w:rPr>
          <w:rFonts w:ascii="Times New Roman" w:hAnsi="Times New Roman" w:cs="Times New Roman"/>
          <w:sz w:val="24"/>
          <w:szCs w:val="24"/>
          <w:highlight w:val="yellow"/>
        </w:rPr>
        <w:t>.</w:t>
      </w:r>
      <w:r w:rsidRPr="00534F50">
        <w:rPr>
          <w:rFonts w:ascii="Times New Roman" w:hAnsi="Times New Roman" w:cs="Times New Roman"/>
          <w:sz w:val="24"/>
          <w:szCs w:val="24"/>
          <w:highlight w:val="yellow"/>
        </w:rPr>
        <w:t xml:space="preserve"> </w:t>
      </w:r>
      <w:r w:rsidR="00D63A78" w:rsidRPr="00534F50">
        <w:rPr>
          <w:rFonts w:ascii="Times New Roman" w:hAnsi="Times New Roman" w:cs="Times New Roman"/>
          <w:sz w:val="24"/>
          <w:szCs w:val="24"/>
          <w:highlight w:val="yellow"/>
        </w:rPr>
        <w:t>2</w:t>
      </w:r>
      <w:r w:rsidR="00534F50">
        <w:rPr>
          <w:rFonts w:ascii="Times New Roman" w:hAnsi="Times New Roman" w:cs="Times New Roman"/>
          <w:sz w:val="24"/>
          <w:szCs w:val="24"/>
          <w:highlight w:val="yellow"/>
        </w:rPr>
        <w:t>3</w:t>
      </w:r>
      <w:r w:rsidRPr="00534F50">
        <w:rPr>
          <w:rFonts w:ascii="Times New Roman" w:hAnsi="Times New Roman" w:cs="Times New Roman"/>
          <w:sz w:val="24"/>
          <w:szCs w:val="24"/>
          <w:highlight w:val="yellow"/>
        </w:rPr>
        <w:t>.tabulu</w:t>
      </w:r>
      <w:r w:rsidRPr="0015154B">
        <w:rPr>
          <w:rFonts w:ascii="Times New Roman" w:hAnsi="Times New Roman" w:cs="Times New Roman"/>
          <w:sz w:val="24"/>
          <w:szCs w:val="24"/>
        </w:rPr>
        <w:t>) jeb 10,2 % no visiem Latvijas iedzīvotājiem</w:t>
      </w:r>
      <w:r w:rsidR="00AD7D67" w:rsidRPr="0015154B">
        <w:rPr>
          <w:rFonts w:ascii="Times New Roman" w:hAnsi="Times New Roman" w:cs="Times New Roman"/>
          <w:sz w:val="24"/>
          <w:szCs w:val="24"/>
        </w:rPr>
        <w:t>,</w:t>
      </w:r>
      <w:r w:rsidRPr="0015154B">
        <w:rPr>
          <w:rFonts w:ascii="Times New Roman" w:hAnsi="Times New Roman" w:cs="Times New Roman"/>
          <w:sz w:val="24"/>
          <w:szCs w:val="24"/>
        </w:rPr>
        <w:t xml:space="preserve"> kas ir par 16% vairāk nekā 2014.gadā, kad valstī bija 169 896 personas ar invaliditāti jeb 8,5% no visiem Latvijas iedzīvotājiem. Personu ar invaliditāti skaita pieaugums ir saistīts ar sabiedrības novecošanos kopumā, izmaiņām invaliditātes politikā, t.sk. dažādu atbalsta pasākumu ieviešanu, pārmaiņām sociālekonomiskajā situācijā, kā arī izmaiņām citās rīcībpolitikās, kur atsevišķās situācijās invaliditātes statuss noteikts kā priekšnosacījums atbalsta saņemšanai. </w:t>
      </w:r>
    </w:p>
    <w:p w14:paraId="70DA8AFC" w14:textId="77777777" w:rsidR="00AD7D67" w:rsidRPr="0015154B" w:rsidRDefault="00AD7D67" w:rsidP="00D63A78">
      <w:pPr>
        <w:spacing w:after="0" w:line="240" w:lineRule="auto"/>
        <w:rPr>
          <w:rFonts w:ascii="Times New Roman" w:hAnsi="Times New Roman" w:cs="Times New Roman"/>
          <w:sz w:val="24"/>
          <w:szCs w:val="24"/>
          <w:highlight w:val="yellow"/>
        </w:rPr>
      </w:pPr>
    </w:p>
    <w:p w14:paraId="38F1C67A" w14:textId="77777777" w:rsidR="005E5CD1" w:rsidRDefault="005E5CD1">
      <w:pPr>
        <w:rPr>
          <w:rFonts w:ascii="Times New Roman" w:hAnsi="Times New Roman" w:cs="Times New Roman"/>
          <w:sz w:val="24"/>
          <w:szCs w:val="24"/>
        </w:rPr>
      </w:pPr>
      <w:r>
        <w:rPr>
          <w:rFonts w:ascii="Times New Roman" w:hAnsi="Times New Roman" w:cs="Times New Roman"/>
          <w:sz w:val="24"/>
          <w:szCs w:val="24"/>
        </w:rPr>
        <w:br w:type="page"/>
      </w:r>
    </w:p>
    <w:p w14:paraId="211B7BF5" w14:textId="22FC0252" w:rsidR="00C86B2B" w:rsidRPr="0015154B" w:rsidRDefault="00D63A78" w:rsidP="00D63A78">
      <w:pPr>
        <w:spacing w:after="0" w:line="240" w:lineRule="auto"/>
        <w:rPr>
          <w:rFonts w:ascii="Times New Roman" w:hAnsi="Times New Roman" w:cs="Times New Roman"/>
          <w:sz w:val="24"/>
          <w:szCs w:val="24"/>
        </w:rPr>
      </w:pPr>
      <w:r w:rsidRPr="0015154B">
        <w:rPr>
          <w:rFonts w:ascii="Times New Roman" w:hAnsi="Times New Roman" w:cs="Times New Roman"/>
          <w:sz w:val="24"/>
          <w:szCs w:val="24"/>
        </w:rPr>
        <w:lastRenderedPageBreak/>
        <w:t>2</w:t>
      </w:r>
      <w:r w:rsidR="00534F50">
        <w:rPr>
          <w:rFonts w:ascii="Times New Roman" w:hAnsi="Times New Roman" w:cs="Times New Roman"/>
          <w:sz w:val="24"/>
          <w:szCs w:val="24"/>
        </w:rPr>
        <w:t>3</w:t>
      </w:r>
      <w:r w:rsidRPr="0015154B">
        <w:rPr>
          <w:rFonts w:ascii="Times New Roman" w:hAnsi="Times New Roman" w:cs="Times New Roman"/>
          <w:sz w:val="24"/>
          <w:szCs w:val="24"/>
        </w:rPr>
        <w:t>.</w:t>
      </w:r>
      <w:r w:rsidR="00C86B2B" w:rsidRPr="0015154B">
        <w:rPr>
          <w:rFonts w:ascii="Times New Roman" w:hAnsi="Times New Roman" w:cs="Times New Roman"/>
          <w:sz w:val="24"/>
          <w:szCs w:val="24"/>
        </w:rPr>
        <w:t>tabula</w:t>
      </w:r>
    </w:p>
    <w:p w14:paraId="366F2791" w14:textId="6AEA7E3C" w:rsidR="00C86B2B" w:rsidRPr="0015154B" w:rsidRDefault="00C86B2B" w:rsidP="00D63A78">
      <w:pPr>
        <w:spacing w:after="0" w:line="240" w:lineRule="auto"/>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Personu ar invaliditāti skaits Latvijā no 2014.-2019.gadam</w:t>
      </w:r>
    </w:p>
    <w:p w14:paraId="40F9B5D7" w14:textId="77777777" w:rsidR="00AD7D67" w:rsidRPr="0015154B" w:rsidRDefault="00AD7D67" w:rsidP="00D63A78">
      <w:pPr>
        <w:spacing w:after="0" w:line="240" w:lineRule="auto"/>
        <w:jc w:val="center"/>
        <w:rPr>
          <w:rFonts w:ascii="Times New Roman" w:hAnsi="Times New Roman" w:cs="Times New Roman"/>
          <w:b/>
          <w:bCs/>
          <w:sz w:val="24"/>
          <w:szCs w:val="24"/>
        </w:rPr>
      </w:pPr>
    </w:p>
    <w:tbl>
      <w:tblPr>
        <w:tblW w:w="8364" w:type="dxa"/>
        <w:tblInd w:w="-147" w:type="dxa"/>
        <w:tblLayout w:type="fixed"/>
        <w:tblCellMar>
          <w:left w:w="10" w:type="dxa"/>
          <w:right w:w="10" w:type="dxa"/>
        </w:tblCellMar>
        <w:tblLook w:val="04A0" w:firstRow="1" w:lastRow="0" w:firstColumn="1" w:lastColumn="0" w:noHBand="0" w:noVBand="1"/>
      </w:tblPr>
      <w:tblGrid>
        <w:gridCol w:w="709"/>
        <w:gridCol w:w="993"/>
        <w:gridCol w:w="992"/>
        <w:gridCol w:w="709"/>
        <w:gridCol w:w="850"/>
        <w:gridCol w:w="851"/>
        <w:gridCol w:w="850"/>
        <w:gridCol w:w="709"/>
        <w:gridCol w:w="850"/>
        <w:gridCol w:w="851"/>
      </w:tblGrid>
      <w:tr w:rsidR="00AF6D84" w:rsidRPr="0015154B" w14:paraId="62ACB91F" w14:textId="77777777" w:rsidTr="00AF6D84">
        <w:trPr>
          <w:trHeight w:hRule="exact" w:val="378"/>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textDirection w:val="btLr"/>
            <w:vAlign w:val="center"/>
            <w:hideMark/>
          </w:tcPr>
          <w:p w14:paraId="614DBD0A" w14:textId="77777777" w:rsidR="00AF6D84" w:rsidRPr="0015154B" w:rsidRDefault="00AF6D84" w:rsidP="00D63A78">
            <w:pPr>
              <w:suppressAutoHyphens/>
              <w:autoSpaceDN w:val="0"/>
              <w:spacing w:after="0" w:line="240" w:lineRule="auto"/>
              <w:ind w:left="113" w:right="113"/>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Gads</w:t>
            </w:r>
          </w:p>
        </w:tc>
        <w:tc>
          <w:tcPr>
            <w:tcW w:w="7655" w:type="dxa"/>
            <w:gridSpan w:val="9"/>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7E5A20E4" w14:textId="77777777" w:rsidR="00AF6D84" w:rsidRPr="007157D3" w:rsidRDefault="00AF6D84" w:rsidP="00D63A78">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b/>
                <w:color w:val="002060"/>
                <w:sz w:val="20"/>
                <w:szCs w:val="20"/>
              </w:rPr>
              <w:t xml:space="preserve">Personu  ar invaliditāti skaits </w:t>
            </w:r>
            <w:r w:rsidRPr="007157D3">
              <w:rPr>
                <w:rFonts w:ascii="Times New Roman" w:eastAsia="Calibri" w:hAnsi="Times New Roman" w:cs="Times New Roman"/>
                <w:b/>
                <w:color w:val="002060"/>
                <w:sz w:val="20"/>
                <w:szCs w:val="20"/>
                <w:vertAlign w:val="superscript"/>
              </w:rPr>
              <w:footnoteReference w:id="158"/>
            </w:r>
          </w:p>
        </w:tc>
      </w:tr>
      <w:tr w:rsidR="00AF6D84" w:rsidRPr="0015154B" w14:paraId="29ED370A" w14:textId="77777777" w:rsidTr="00AF6D84">
        <w:trPr>
          <w:trHeight w:hRule="exact" w:val="356"/>
        </w:trPr>
        <w:tc>
          <w:tcPr>
            <w:tcW w:w="709"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1746C27D" w14:textId="77777777" w:rsidR="00AF6D84" w:rsidRPr="0015154B" w:rsidRDefault="00AF6D84" w:rsidP="00D63A78">
            <w:pPr>
              <w:spacing w:after="0" w:line="240" w:lineRule="auto"/>
              <w:rPr>
                <w:rFonts w:ascii="Times New Roman" w:eastAsia="Calibri" w:hAnsi="Times New Roman" w:cs="Times New Roman"/>
                <w:color w:val="002060"/>
                <w:sz w:val="20"/>
                <w:szCs w:val="20"/>
              </w:rPr>
            </w:pP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textDirection w:val="btLr"/>
            <w:vAlign w:val="center"/>
            <w:hideMark/>
          </w:tcPr>
          <w:p w14:paraId="10A0024A" w14:textId="77777777" w:rsidR="00AF6D84" w:rsidRPr="0015154B" w:rsidRDefault="00AF6D84" w:rsidP="00D63A78">
            <w:pPr>
              <w:suppressAutoHyphens/>
              <w:autoSpaceDN w:val="0"/>
              <w:spacing w:after="0" w:line="240" w:lineRule="auto"/>
              <w:ind w:left="113" w:right="113"/>
              <w:jc w:val="center"/>
              <w:textAlignment w:val="baseline"/>
              <w:rPr>
                <w:rFonts w:ascii="Times New Roman" w:eastAsia="Calibri" w:hAnsi="Times New Roman" w:cs="Times New Roman"/>
                <w:b/>
                <w:color w:val="002060"/>
                <w:sz w:val="20"/>
                <w:szCs w:val="20"/>
              </w:rPr>
            </w:pPr>
            <w:r w:rsidRPr="0015154B">
              <w:rPr>
                <w:rFonts w:ascii="Times New Roman" w:eastAsia="Calibri" w:hAnsi="Times New Roman" w:cs="Times New Roman"/>
                <w:b/>
                <w:color w:val="002060"/>
                <w:sz w:val="20"/>
                <w:szCs w:val="20"/>
              </w:rPr>
              <w:t>kopā</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6584924B" w14:textId="0A9C720B" w:rsidR="00AF6D84" w:rsidRPr="0015154B" w:rsidRDefault="00AF6D84" w:rsidP="00D63A78">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 xml:space="preserve">tai skaitā: </w:t>
            </w:r>
          </w:p>
        </w:tc>
      </w:tr>
      <w:tr w:rsidR="00AF6D84" w:rsidRPr="0015154B" w14:paraId="422E51F6" w14:textId="77777777" w:rsidTr="00AF6D84">
        <w:trPr>
          <w:trHeight w:hRule="exact" w:val="345"/>
        </w:trPr>
        <w:tc>
          <w:tcPr>
            <w:tcW w:w="709"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0C6554C6" w14:textId="77777777" w:rsidR="00AF6D84" w:rsidRPr="0015154B" w:rsidRDefault="00AF6D84" w:rsidP="00D63A78">
            <w:pPr>
              <w:spacing w:after="0" w:line="240" w:lineRule="auto"/>
              <w:rPr>
                <w:rFonts w:ascii="Times New Roman" w:eastAsia="Calibri" w:hAnsi="Times New Roman" w:cs="Times New Roman"/>
                <w:sz w:val="20"/>
                <w:szCs w:val="20"/>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2671F71D" w14:textId="77777777" w:rsidR="00AF6D84" w:rsidRPr="0015154B" w:rsidRDefault="00AF6D84" w:rsidP="00D63A78">
            <w:pPr>
              <w:spacing w:after="0" w:line="240" w:lineRule="auto"/>
              <w:rPr>
                <w:rFonts w:ascii="Times New Roman" w:eastAsia="Calibri" w:hAnsi="Times New Roman" w:cs="Times New Roman"/>
                <w:b/>
                <w:sz w:val="20"/>
                <w:szCs w:val="20"/>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7D21DC70" w14:textId="77777777" w:rsidR="00AF6D84" w:rsidRPr="0015154B" w:rsidRDefault="00AF6D84" w:rsidP="00D63A78">
            <w:pPr>
              <w:suppressAutoHyphens/>
              <w:autoSpaceDN w:val="0"/>
              <w:spacing w:after="0" w:line="240" w:lineRule="auto"/>
              <w:jc w:val="center"/>
              <w:textAlignment w:val="baseline"/>
              <w:rPr>
                <w:rFonts w:ascii="Times New Roman" w:eastAsia="Calibri" w:hAnsi="Times New Roman" w:cs="Times New Roman"/>
                <w:b/>
                <w:i/>
                <w:color w:val="002060"/>
                <w:sz w:val="20"/>
                <w:szCs w:val="20"/>
              </w:rPr>
            </w:pPr>
            <w:r w:rsidRPr="0015154B">
              <w:rPr>
                <w:rFonts w:ascii="Times New Roman" w:eastAsia="Calibri" w:hAnsi="Times New Roman" w:cs="Times New Roman"/>
                <w:b/>
                <w:i/>
                <w:color w:val="002060"/>
                <w:sz w:val="20"/>
                <w:szCs w:val="20"/>
              </w:rPr>
              <w:t>sievietes</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1712AAC7" w14:textId="77777777" w:rsidR="00AF6D84" w:rsidRPr="0015154B" w:rsidRDefault="00AF6D84" w:rsidP="00D63A78">
            <w:pPr>
              <w:suppressAutoHyphens/>
              <w:autoSpaceDN w:val="0"/>
              <w:spacing w:after="0" w:line="240" w:lineRule="auto"/>
              <w:jc w:val="center"/>
              <w:textAlignment w:val="baseline"/>
              <w:rPr>
                <w:rFonts w:ascii="Times New Roman" w:eastAsia="Calibri" w:hAnsi="Times New Roman" w:cs="Times New Roman"/>
                <w:b/>
                <w:i/>
                <w:color w:val="002060"/>
                <w:sz w:val="20"/>
                <w:szCs w:val="20"/>
              </w:rPr>
            </w:pPr>
            <w:r w:rsidRPr="0015154B">
              <w:rPr>
                <w:rFonts w:ascii="Times New Roman" w:eastAsia="Calibri" w:hAnsi="Times New Roman" w:cs="Times New Roman"/>
                <w:b/>
                <w:i/>
                <w:color w:val="002060"/>
                <w:sz w:val="20"/>
                <w:szCs w:val="20"/>
              </w:rPr>
              <w:t>vīrieši</w:t>
            </w:r>
          </w:p>
        </w:tc>
      </w:tr>
      <w:tr w:rsidR="00AF6D84" w:rsidRPr="0015154B" w14:paraId="5CD78406" w14:textId="77777777" w:rsidTr="00AF6D84">
        <w:trPr>
          <w:trHeight w:hRule="exact" w:val="454"/>
        </w:trPr>
        <w:tc>
          <w:tcPr>
            <w:tcW w:w="709"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060B10A7" w14:textId="77777777" w:rsidR="00AF6D84" w:rsidRPr="0015154B" w:rsidRDefault="00AF6D84" w:rsidP="00C86B2B">
            <w:pPr>
              <w:spacing w:after="0"/>
              <w:rPr>
                <w:rFonts w:ascii="Times New Roman" w:eastAsia="Calibri" w:hAnsi="Times New Roman" w:cs="Times New Roman"/>
                <w:sz w:val="20"/>
                <w:szCs w:val="20"/>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718A98AD" w14:textId="77777777" w:rsidR="00AF6D84" w:rsidRPr="0015154B" w:rsidRDefault="00AF6D84" w:rsidP="00C86B2B">
            <w:pPr>
              <w:spacing w:after="0"/>
              <w:rPr>
                <w:rFonts w:ascii="Times New Roman" w:eastAsia="Calibri" w:hAnsi="Times New Roman" w:cs="Times New Roman"/>
                <w:b/>
                <w:sz w:val="20"/>
                <w:szCs w:val="20"/>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6D102606"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kopā</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1F8F93B7"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tai skaitā, pa vecuma grupām</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62229DB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kopā</w:t>
            </w:r>
          </w:p>
        </w:tc>
        <w:tc>
          <w:tcPr>
            <w:tcW w:w="2410" w:type="dxa"/>
            <w:gridSpan w:val="3"/>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650A0F5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tai skaitā, pa vecuma grupām</w:t>
            </w:r>
          </w:p>
        </w:tc>
      </w:tr>
      <w:tr w:rsidR="00AF6D84" w:rsidRPr="0015154B" w14:paraId="022EF6E6" w14:textId="77777777" w:rsidTr="00AF6D84">
        <w:trPr>
          <w:trHeight w:hRule="exact" w:val="454"/>
        </w:trPr>
        <w:tc>
          <w:tcPr>
            <w:tcW w:w="709"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52F0CFE4" w14:textId="77777777" w:rsidR="00AF6D84" w:rsidRPr="0015154B" w:rsidRDefault="00AF6D84" w:rsidP="00C86B2B">
            <w:pPr>
              <w:spacing w:after="0"/>
              <w:rPr>
                <w:rFonts w:ascii="Times New Roman" w:eastAsia="Calibri" w:hAnsi="Times New Roman" w:cs="Times New Roman"/>
                <w:sz w:val="20"/>
                <w:szCs w:val="20"/>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7B644560" w14:textId="77777777" w:rsidR="00AF6D84" w:rsidRPr="0015154B" w:rsidRDefault="00AF6D84" w:rsidP="00C86B2B">
            <w:pPr>
              <w:spacing w:after="0"/>
              <w:rPr>
                <w:rFonts w:ascii="Times New Roman" w:eastAsia="Calibri" w:hAnsi="Times New Roman" w:cs="Times New Roman"/>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50C67520" w14:textId="77777777" w:rsidR="00AF6D84" w:rsidRPr="0015154B" w:rsidRDefault="00AF6D84" w:rsidP="00C86B2B">
            <w:pPr>
              <w:spacing w:after="0"/>
              <w:rPr>
                <w:rFonts w:ascii="Times New Roman" w:eastAsia="Calibri" w:hAnsi="Times New Roman" w:cs="Times New Roman"/>
                <w:color w:val="002060"/>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68883333"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0-17</w:t>
            </w:r>
          </w:p>
        </w:tc>
        <w:tc>
          <w:tcPr>
            <w:tcW w:w="850"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4C211EEB"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18-63</w:t>
            </w:r>
          </w:p>
        </w:tc>
        <w:tc>
          <w:tcPr>
            <w:tcW w:w="851"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2DABECB9"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 64</w:t>
            </w:r>
          </w:p>
        </w:tc>
        <w:tc>
          <w:tcPr>
            <w:tcW w:w="850" w:type="dxa"/>
            <w:vMerge/>
            <w:tcBorders>
              <w:top w:val="single" w:sz="4" w:space="0" w:color="000000"/>
              <w:left w:val="single" w:sz="4" w:space="0" w:color="000000"/>
              <w:bottom w:val="single" w:sz="4" w:space="0" w:color="000000"/>
              <w:right w:val="single" w:sz="4" w:space="0" w:color="000000"/>
            </w:tcBorders>
            <w:shd w:val="clear" w:color="auto" w:fill="D1E7A8" w:themeFill="accent2" w:themeFillTint="66"/>
            <w:vAlign w:val="center"/>
            <w:hideMark/>
          </w:tcPr>
          <w:p w14:paraId="37A53665" w14:textId="77777777" w:rsidR="00AF6D84" w:rsidRPr="0015154B" w:rsidRDefault="00AF6D84" w:rsidP="00C86B2B">
            <w:pPr>
              <w:spacing w:after="0"/>
              <w:rPr>
                <w:rFonts w:ascii="Times New Roman" w:eastAsia="Calibri" w:hAnsi="Times New Roman" w:cs="Times New Roman"/>
                <w:color w:val="002060"/>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58249B94"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0-17</w:t>
            </w:r>
          </w:p>
        </w:tc>
        <w:tc>
          <w:tcPr>
            <w:tcW w:w="850"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0F716345"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18-63</w:t>
            </w:r>
          </w:p>
        </w:tc>
        <w:tc>
          <w:tcPr>
            <w:tcW w:w="851"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0BFA1421"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 64</w:t>
            </w:r>
          </w:p>
        </w:tc>
      </w:tr>
      <w:tr w:rsidR="00AF6D84" w:rsidRPr="0015154B" w14:paraId="22F215B4" w14:textId="77777777" w:rsidTr="00AF6D84">
        <w:trPr>
          <w:trHeight w:hRule="exact" w:val="504"/>
        </w:trPr>
        <w:tc>
          <w:tcPr>
            <w:tcW w:w="709"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5EC28D99"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2014.</w:t>
            </w:r>
          </w:p>
        </w:tc>
        <w:tc>
          <w:tcPr>
            <w:tcW w:w="993"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68BF21B0"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b/>
                <w:color w:val="002060"/>
                <w:sz w:val="20"/>
                <w:szCs w:val="20"/>
              </w:rPr>
            </w:pPr>
            <w:r w:rsidRPr="0015154B">
              <w:rPr>
                <w:rFonts w:ascii="Times New Roman" w:eastAsia="Calibri" w:hAnsi="Times New Roman" w:cs="Times New Roman"/>
                <w:b/>
                <w:color w:val="002060"/>
                <w:sz w:val="20"/>
                <w:szCs w:val="20"/>
              </w:rPr>
              <w:t>169 896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7C5E7E"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87 429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41BD6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3 535 (2%)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0CB42B"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49 955 (29%)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68D0F4"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33 939 (20%)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24F9E1"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82 467</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31364"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4 776 (3%)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5BB754"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53 714 (32%)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94B661"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23 977 (14%)</w:t>
            </w:r>
          </w:p>
        </w:tc>
      </w:tr>
      <w:tr w:rsidR="00AF6D84" w:rsidRPr="0015154B" w14:paraId="3A7E4D50" w14:textId="77777777" w:rsidTr="00AF6D84">
        <w:trPr>
          <w:trHeight w:hRule="exact" w:val="611"/>
        </w:trPr>
        <w:tc>
          <w:tcPr>
            <w:tcW w:w="709"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3C374CE5"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2015.</w:t>
            </w:r>
          </w:p>
        </w:tc>
        <w:tc>
          <w:tcPr>
            <w:tcW w:w="993"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308DB101"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b/>
                <w:color w:val="002060"/>
                <w:sz w:val="20"/>
                <w:szCs w:val="20"/>
              </w:rPr>
            </w:pPr>
            <w:r w:rsidRPr="0015154B">
              <w:rPr>
                <w:rFonts w:ascii="Times New Roman" w:eastAsia="Calibri" w:hAnsi="Times New Roman" w:cs="Times New Roman"/>
                <w:b/>
                <w:color w:val="002060"/>
                <w:sz w:val="20"/>
                <w:szCs w:val="20"/>
              </w:rPr>
              <w:t>176 224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CC359A"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91 190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311E4D"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3 545 (2%)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644325"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50 916 (29%)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0ADBE"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36 729 (21%)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C640EC"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85 034</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B54A9F"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4 821 (3%)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FC61A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54 457 (31%)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3BC7E5"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25 756 (15%)</w:t>
            </w:r>
          </w:p>
        </w:tc>
      </w:tr>
      <w:tr w:rsidR="00AF6D84" w:rsidRPr="0015154B" w14:paraId="3A235582" w14:textId="77777777" w:rsidTr="00AF6D84">
        <w:trPr>
          <w:trHeight w:hRule="exact" w:val="575"/>
        </w:trPr>
        <w:tc>
          <w:tcPr>
            <w:tcW w:w="709"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1A68CC4F"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2016.</w:t>
            </w:r>
          </w:p>
        </w:tc>
        <w:tc>
          <w:tcPr>
            <w:tcW w:w="993"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4172A8C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b/>
                <w:color w:val="002060"/>
                <w:sz w:val="20"/>
                <w:szCs w:val="20"/>
              </w:rPr>
            </w:pPr>
            <w:r w:rsidRPr="0015154B">
              <w:rPr>
                <w:rFonts w:ascii="Times New Roman" w:eastAsia="Calibri" w:hAnsi="Times New Roman" w:cs="Times New Roman"/>
                <w:b/>
                <w:color w:val="002060"/>
                <w:sz w:val="20"/>
                <w:szCs w:val="20"/>
              </w:rPr>
              <w:t>182 830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C2797E"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95 107</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BBB961"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3 553 (2%)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39994"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51 785 (28%)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E7865A"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39 769 (22%)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19FE63"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87 723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41180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4 810 (3%)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445668"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55 389 (30%)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B3A9A6"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27 524 (15%)</w:t>
            </w:r>
          </w:p>
        </w:tc>
      </w:tr>
      <w:tr w:rsidR="00AF6D84" w:rsidRPr="0015154B" w14:paraId="35538051" w14:textId="77777777" w:rsidTr="00AF6D84">
        <w:trPr>
          <w:trHeight w:hRule="exact" w:val="500"/>
        </w:trPr>
        <w:tc>
          <w:tcPr>
            <w:tcW w:w="709"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78943CF5"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2017.</w:t>
            </w:r>
          </w:p>
        </w:tc>
        <w:tc>
          <w:tcPr>
            <w:tcW w:w="993"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69F36FF3"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b/>
                <w:color w:val="002060"/>
                <w:sz w:val="20"/>
                <w:szCs w:val="20"/>
              </w:rPr>
            </w:pPr>
            <w:r w:rsidRPr="0015154B">
              <w:rPr>
                <w:rFonts w:ascii="Times New Roman" w:eastAsia="Calibri" w:hAnsi="Times New Roman" w:cs="Times New Roman"/>
                <w:b/>
                <w:color w:val="002060"/>
                <w:sz w:val="20"/>
                <w:szCs w:val="20"/>
              </w:rPr>
              <w:t>187 905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1A9B50"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98 318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C52455"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3 512 (2%)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F834E"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52 481 (28%)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2D2A8A"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42 325 (23%)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C5DCDA"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89 587</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B6869D"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4 781 (3%)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5712B2"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55 698 (30%)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751274"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29 108 (15%)</w:t>
            </w:r>
          </w:p>
        </w:tc>
      </w:tr>
      <w:tr w:rsidR="00AF6D84" w:rsidRPr="0015154B" w14:paraId="66E2CBF6" w14:textId="77777777" w:rsidTr="00AF6D84">
        <w:trPr>
          <w:trHeight w:hRule="exact" w:val="454"/>
        </w:trPr>
        <w:tc>
          <w:tcPr>
            <w:tcW w:w="709"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5F6E7B64"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2018.</w:t>
            </w:r>
          </w:p>
        </w:tc>
        <w:tc>
          <w:tcPr>
            <w:tcW w:w="993"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2C808E9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b/>
                <w:color w:val="002060"/>
                <w:sz w:val="20"/>
                <w:szCs w:val="20"/>
              </w:rPr>
            </w:pPr>
            <w:r w:rsidRPr="0015154B">
              <w:rPr>
                <w:rFonts w:ascii="Times New Roman" w:eastAsia="Calibri" w:hAnsi="Times New Roman" w:cs="Times New Roman"/>
                <w:b/>
                <w:color w:val="002060"/>
                <w:sz w:val="20"/>
                <w:szCs w:val="20"/>
              </w:rPr>
              <w:t>191 815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EBC3FF"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100 880</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CAF8D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3 462 (2%)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B9E6FE"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52 298 (27%)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DF544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45 120 (24%)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B1C008"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90 935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20A3E8"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4 743 (2%)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3CF38C"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55 374 (29%)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57FA6F"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30 818 (16%)</w:t>
            </w:r>
          </w:p>
        </w:tc>
      </w:tr>
      <w:tr w:rsidR="00AF6D84" w:rsidRPr="0015154B" w14:paraId="020208C0" w14:textId="77777777" w:rsidTr="00AF6D84">
        <w:trPr>
          <w:trHeight w:hRule="exact" w:val="577"/>
        </w:trPr>
        <w:tc>
          <w:tcPr>
            <w:tcW w:w="709"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25B78412"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color w:val="002060"/>
                <w:sz w:val="20"/>
                <w:szCs w:val="20"/>
              </w:rPr>
            </w:pPr>
            <w:r w:rsidRPr="0015154B">
              <w:rPr>
                <w:rFonts w:ascii="Times New Roman" w:eastAsia="Calibri" w:hAnsi="Times New Roman" w:cs="Times New Roman"/>
                <w:color w:val="002060"/>
                <w:sz w:val="20"/>
                <w:szCs w:val="20"/>
              </w:rPr>
              <w:t>2019.</w:t>
            </w:r>
          </w:p>
        </w:tc>
        <w:tc>
          <w:tcPr>
            <w:tcW w:w="993" w:type="dxa"/>
            <w:tcBorders>
              <w:top w:val="single" w:sz="4" w:space="0" w:color="000000"/>
              <w:left w:val="single" w:sz="4" w:space="0" w:color="000000"/>
              <w:bottom w:val="single" w:sz="4" w:space="0" w:color="000000"/>
              <w:right w:val="single" w:sz="4" w:space="0" w:color="000000"/>
            </w:tcBorders>
            <w:shd w:val="clear" w:color="auto" w:fill="D1E7A8" w:themeFill="accent2" w:themeFillTint="66"/>
            <w:tcMar>
              <w:top w:w="0" w:type="dxa"/>
              <w:left w:w="108" w:type="dxa"/>
              <w:bottom w:w="0" w:type="dxa"/>
              <w:right w:w="108" w:type="dxa"/>
            </w:tcMar>
            <w:vAlign w:val="center"/>
            <w:hideMark/>
          </w:tcPr>
          <w:p w14:paraId="0C528002"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b/>
                <w:color w:val="002060"/>
                <w:sz w:val="20"/>
                <w:szCs w:val="20"/>
              </w:rPr>
            </w:pPr>
            <w:r w:rsidRPr="0015154B">
              <w:rPr>
                <w:rFonts w:ascii="Times New Roman" w:eastAsia="Calibri" w:hAnsi="Times New Roman" w:cs="Times New Roman"/>
                <w:b/>
                <w:color w:val="002060"/>
                <w:sz w:val="20"/>
                <w:szCs w:val="20"/>
              </w:rPr>
              <w:t>196 159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57B8E"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103 566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61E494"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3 485 (2%)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8AF47B"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51 864 (26%)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D1F01F"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48 217 (25%)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F59C25" w14:textId="77777777" w:rsidR="00AF6D84" w:rsidRPr="0015154B" w:rsidRDefault="00AF6D84" w:rsidP="00C86B2B">
            <w:pPr>
              <w:suppressAutoHyphens/>
              <w:autoSpaceDN w:val="0"/>
              <w:spacing w:after="0" w:line="240" w:lineRule="auto"/>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92 593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740AD6"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4 806 (2%)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D093F4"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54 893 (28%)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C8B3CF" w14:textId="77777777" w:rsidR="00AF6D84" w:rsidRPr="0015154B" w:rsidRDefault="00AF6D84" w:rsidP="00C86B2B">
            <w:pPr>
              <w:suppressAutoHyphens/>
              <w:autoSpaceDN w:val="0"/>
              <w:spacing w:after="0" w:line="240" w:lineRule="auto"/>
              <w:jc w:val="center"/>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32 894 (17%)</w:t>
            </w:r>
          </w:p>
        </w:tc>
      </w:tr>
    </w:tbl>
    <w:p w14:paraId="23165AB6" w14:textId="4F9287E8" w:rsidR="00C86B2B" w:rsidRPr="0015154B" w:rsidRDefault="00AD7D67" w:rsidP="00C86B2B">
      <w:pPr>
        <w:suppressAutoHyphens/>
        <w:autoSpaceDN w:val="0"/>
        <w:spacing w:line="252" w:lineRule="auto"/>
        <w:textAlignment w:val="baseline"/>
        <w:rPr>
          <w:rFonts w:ascii="Times New Roman" w:eastAsia="Calibri" w:hAnsi="Times New Roman" w:cs="Times New Roman"/>
          <w:sz w:val="20"/>
          <w:szCs w:val="20"/>
        </w:rPr>
      </w:pPr>
      <w:r w:rsidRPr="0015154B">
        <w:rPr>
          <w:rFonts w:ascii="Times New Roman" w:eastAsia="Calibri" w:hAnsi="Times New Roman" w:cs="Times New Roman"/>
          <w:sz w:val="20"/>
          <w:szCs w:val="20"/>
        </w:rPr>
        <w:t>Datu a</w:t>
      </w:r>
      <w:r w:rsidR="00C86B2B" w:rsidRPr="0015154B">
        <w:rPr>
          <w:rFonts w:ascii="Times New Roman" w:eastAsia="Calibri" w:hAnsi="Times New Roman" w:cs="Times New Roman"/>
          <w:sz w:val="20"/>
          <w:szCs w:val="20"/>
        </w:rPr>
        <w:t>vots: LabI</w:t>
      </w:r>
      <w:r w:rsidRPr="0015154B">
        <w:rPr>
          <w:rFonts w:ascii="Times New Roman" w:eastAsia="Calibri" w:hAnsi="Times New Roman" w:cs="Times New Roman"/>
          <w:sz w:val="20"/>
          <w:szCs w:val="20"/>
        </w:rPr>
        <w:t>S</w:t>
      </w:r>
      <w:r w:rsidR="00C86B2B" w:rsidRPr="0015154B">
        <w:rPr>
          <w:rFonts w:ascii="Times New Roman" w:eastAsia="Calibri" w:hAnsi="Times New Roman" w:cs="Times New Roman"/>
          <w:sz w:val="20"/>
          <w:szCs w:val="20"/>
        </w:rPr>
        <w:t xml:space="preserve">, </w:t>
      </w:r>
      <w:r w:rsidRPr="0015154B">
        <w:rPr>
          <w:rFonts w:ascii="Times New Roman" w:eastAsia="Calibri" w:hAnsi="Times New Roman" w:cs="Times New Roman"/>
          <w:sz w:val="20"/>
          <w:szCs w:val="20"/>
        </w:rPr>
        <w:t xml:space="preserve">izgūts </w:t>
      </w:r>
      <w:r w:rsidR="00C86B2B" w:rsidRPr="0015154B">
        <w:rPr>
          <w:rFonts w:ascii="Times New Roman" w:eastAsia="Calibri" w:hAnsi="Times New Roman" w:cs="Times New Roman"/>
          <w:sz w:val="20"/>
          <w:szCs w:val="20"/>
        </w:rPr>
        <w:t>2020.gada maij</w:t>
      </w:r>
      <w:r w:rsidRPr="0015154B">
        <w:rPr>
          <w:rFonts w:ascii="Times New Roman" w:eastAsia="Calibri" w:hAnsi="Times New Roman" w:cs="Times New Roman"/>
          <w:sz w:val="20"/>
          <w:szCs w:val="20"/>
        </w:rPr>
        <w:t>ā</w:t>
      </w:r>
      <w:r w:rsidR="00C86B2B" w:rsidRPr="0015154B">
        <w:rPr>
          <w:rFonts w:ascii="Times New Roman" w:eastAsia="Calibri" w:hAnsi="Times New Roman" w:cs="Times New Roman"/>
          <w:sz w:val="20"/>
          <w:szCs w:val="20"/>
        </w:rPr>
        <w:t xml:space="preserve">. </w:t>
      </w:r>
    </w:p>
    <w:p w14:paraId="2BA2AAFF" w14:textId="033114B0" w:rsidR="00C86B2B" w:rsidRPr="0015154B" w:rsidRDefault="00C86B2B" w:rsidP="00B661CA">
      <w:pPr>
        <w:spacing w:before="120" w:after="0" w:line="240" w:lineRule="auto"/>
        <w:ind w:firstLine="709"/>
        <w:jc w:val="both"/>
        <w:rPr>
          <w:rFonts w:ascii="Times New Roman" w:hAnsi="Times New Roman" w:cs="Times New Roman"/>
          <w:iCs/>
          <w:color w:val="000000"/>
          <w:sz w:val="24"/>
          <w:szCs w:val="24"/>
        </w:rPr>
      </w:pPr>
      <w:r w:rsidRPr="0015154B">
        <w:rPr>
          <w:rFonts w:ascii="Times New Roman" w:eastAsia="Times New Roman" w:hAnsi="Times New Roman" w:cs="Times New Roman"/>
          <w:bCs/>
          <w:sz w:val="24"/>
          <w:szCs w:val="24"/>
          <w:lang w:eastAsia="ar-SA"/>
        </w:rPr>
        <w:t xml:space="preserve">Kopējais bezdarba rādītājs valstī ar katru gadu samazinās, savukārt personu ar invaliditāti īpatsvars bezdarbnieku skaitā pieaug, lai arī absolūtos skaitļos reģistrēto bezdarbnieku ar invaliditāti skaits samazinās - 2014.gada beigās bija reģistrētas 8 355 personas ar invaliditāti, kas bija 10,5% no kopējā bezdarbnieku skaita, bet 2019.gada beigās - 7 780 personas, </w:t>
      </w:r>
      <w:r w:rsidRPr="0015154B">
        <w:rPr>
          <w:rFonts w:ascii="Times New Roman" w:hAnsi="Times New Roman" w:cs="Times New Roman"/>
          <w:iCs/>
          <w:color w:val="000000"/>
          <w:sz w:val="24"/>
          <w:szCs w:val="24"/>
        </w:rPr>
        <w:t>kas bija 13,6% no kopējā bezdarbnieku skaita. Daļēji tas izskaidrojams ar to, ka NVA veic skaidrojošu darbu un palielina atbalsta pasākumus personām ar invaliditāti, īsteno publicitātes pasākumus. Tas cita starpā mudina arī līdz šim neaktīvās nereģistrētās personas ar invaliditāti reģistrēties kā bezdarbniekiem, tādējādi uzlabojot savas iespējas iekļauties darba tirgū.</w:t>
      </w:r>
    </w:p>
    <w:p w14:paraId="1A86CFEE" w14:textId="2D4F07F5" w:rsidR="00C86B2B" w:rsidRPr="0015154B" w:rsidRDefault="00C86B2B" w:rsidP="00AC38FA">
      <w:pPr>
        <w:spacing w:before="120" w:after="0" w:line="240" w:lineRule="auto"/>
        <w:ind w:firstLine="720"/>
        <w:jc w:val="both"/>
        <w:rPr>
          <w:rFonts w:ascii="Times New Roman" w:hAnsi="Times New Roman" w:cs="Times New Roman"/>
          <w:bCs/>
          <w:sz w:val="24"/>
          <w:szCs w:val="24"/>
        </w:rPr>
      </w:pPr>
      <w:r w:rsidRPr="0015154B">
        <w:rPr>
          <w:rFonts w:ascii="Times New Roman" w:hAnsi="Times New Roman" w:cs="Times New Roman"/>
          <w:bCs/>
          <w:sz w:val="24"/>
          <w:szCs w:val="24"/>
        </w:rPr>
        <w:t xml:space="preserve">2020.gada jūnija beigās 8 856 jeb 11,3% no reģistrētā bezdarbnieku kopskaita bija bezdarbnieki ar invaliditāti, no kuriem vairāk nekā puse (63,7%) bija vecumā virs 50 gadiem, 42,9% - ilgstošie bezdarbnieki, 1,7% - jaunieši bezdarbnieki (15-24). Salīdzinot ar </w:t>
      </w:r>
      <w:r w:rsidR="009A6FF6">
        <w:rPr>
          <w:rFonts w:ascii="Times New Roman" w:hAnsi="Times New Roman" w:cs="Times New Roman"/>
          <w:bCs/>
          <w:sz w:val="24"/>
          <w:szCs w:val="24"/>
        </w:rPr>
        <w:t>attiecīgo</w:t>
      </w:r>
      <w:r w:rsidRPr="0015154B">
        <w:rPr>
          <w:rFonts w:ascii="Times New Roman" w:hAnsi="Times New Roman" w:cs="Times New Roman"/>
          <w:bCs/>
          <w:sz w:val="24"/>
          <w:szCs w:val="24"/>
        </w:rPr>
        <w:t xml:space="preserve"> periodu pirms gada, vērojams personu īpatsvara samazinājums kopējo reģistrēto bezdarbnieku vidū (par 2,3%), lai arī absolūtos skaitļos par 737 personām vērojams šīs mērķa grupas pieaugums (</w:t>
      </w:r>
      <w:r w:rsidRPr="00534F50">
        <w:rPr>
          <w:rFonts w:ascii="Times New Roman" w:hAnsi="Times New Roman" w:cs="Times New Roman"/>
          <w:bCs/>
          <w:sz w:val="24"/>
          <w:szCs w:val="24"/>
          <w:highlight w:val="yellow"/>
        </w:rPr>
        <w:t>skat.</w:t>
      </w:r>
      <w:r w:rsidR="00D63A78" w:rsidRPr="00534F50">
        <w:rPr>
          <w:rFonts w:ascii="Times New Roman" w:hAnsi="Times New Roman" w:cs="Times New Roman"/>
          <w:bCs/>
          <w:sz w:val="24"/>
          <w:szCs w:val="24"/>
          <w:highlight w:val="yellow"/>
        </w:rPr>
        <w:t xml:space="preserve"> </w:t>
      </w:r>
      <w:r w:rsidR="00534F50">
        <w:rPr>
          <w:rFonts w:ascii="Times New Roman" w:hAnsi="Times New Roman" w:cs="Times New Roman"/>
          <w:bCs/>
          <w:sz w:val="24"/>
          <w:szCs w:val="24"/>
          <w:highlight w:val="yellow"/>
        </w:rPr>
        <w:t>21</w:t>
      </w:r>
      <w:r w:rsidR="00D63A78" w:rsidRPr="00534F50">
        <w:rPr>
          <w:rFonts w:ascii="Times New Roman" w:hAnsi="Times New Roman" w:cs="Times New Roman"/>
          <w:bCs/>
          <w:sz w:val="24"/>
          <w:szCs w:val="24"/>
          <w:highlight w:val="yellow"/>
        </w:rPr>
        <w:t>.</w:t>
      </w:r>
      <w:r w:rsidRPr="00534F50">
        <w:rPr>
          <w:rFonts w:ascii="Times New Roman" w:hAnsi="Times New Roman" w:cs="Times New Roman"/>
          <w:bCs/>
          <w:sz w:val="24"/>
          <w:szCs w:val="24"/>
          <w:highlight w:val="yellow"/>
        </w:rPr>
        <w:t>attēlu</w:t>
      </w:r>
      <w:r w:rsidRPr="0015154B">
        <w:rPr>
          <w:rFonts w:ascii="Times New Roman" w:hAnsi="Times New Roman" w:cs="Times New Roman"/>
          <w:bCs/>
          <w:sz w:val="24"/>
          <w:szCs w:val="24"/>
        </w:rPr>
        <w:t>) .</w:t>
      </w:r>
    </w:p>
    <w:p w14:paraId="76EF1BA7" w14:textId="77777777" w:rsidR="00AD7D67" w:rsidRPr="0015154B" w:rsidRDefault="00AD7D67" w:rsidP="00AD7D67">
      <w:pPr>
        <w:spacing w:after="0" w:line="240" w:lineRule="auto"/>
        <w:rPr>
          <w:rFonts w:ascii="Times New Roman" w:hAnsi="Times New Roman" w:cs="Times New Roman"/>
          <w:i/>
          <w:color w:val="000000" w:themeColor="text1"/>
          <w:sz w:val="24"/>
          <w:szCs w:val="24"/>
          <w:highlight w:val="yellow"/>
        </w:rPr>
      </w:pPr>
    </w:p>
    <w:p w14:paraId="017C9D13" w14:textId="77777777" w:rsidR="005E5CD1" w:rsidRDefault="005E5CD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B82949D" w14:textId="2E580320" w:rsidR="00AD7D67" w:rsidRPr="0015154B" w:rsidRDefault="00534F50" w:rsidP="00AD7D67">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21</w:t>
      </w:r>
      <w:r w:rsidR="00D63A78" w:rsidRPr="0015154B">
        <w:rPr>
          <w:rFonts w:ascii="Times New Roman" w:hAnsi="Times New Roman" w:cs="Times New Roman"/>
          <w:color w:val="000000" w:themeColor="text1"/>
          <w:sz w:val="24"/>
          <w:szCs w:val="24"/>
        </w:rPr>
        <w:t>.</w:t>
      </w:r>
      <w:r w:rsidR="00AD7D67" w:rsidRPr="0015154B">
        <w:rPr>
          <w:rFonts w:ascii="Times New Roman" w:hAnsi="Times New Roman" w:cs="Times New Roman"/>
          <w:color w:val="000000" w:themeColor="text1"/>
          <w:sz w:val="24"/>
          <w:szCs w:val="24"/>
        </w:rPr>
        <w:t>a</w:t>
      </w:r>
      <w:r w:rsidR="00C86B2B" w:rsidRPr="0015154B">
        <w:rPr>
          <w:rFonts w:ascii="Times New Roman" w:hAnsi="Times New Roman" w:cs="Times New Roman"/>
          <w:color w:val="000000" w:themeColor="text1"/>
          <w:sz w:val="24"/>
          <w:szCs w:val="24"/>
        </w:rPr>
        <w:t xml:space="preserve">ttēls </w:t>
      </w:r>
    </w:p>
    <w:p w14:paraId="78BFD061" w14:textId="65410C52" w:rsidR="00C86B2B" w:rsidRPr="0015154B" w:rsidRDefault="00C86B2B" w:rsidP="00AD7D67">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Reģistrēto bezdarbnieku ar invaliditāti skaits un īpatsvars (uz 30.06.2020.)</w:t>
      </w:r>
    </w:p>
    <w:p w14:paraId="71AA0116" w14:textId="77777777" w:rsidR="00C86B2B" w:rsidRPr="007157D3" w:rsidRDefault="00C86B2B" w:rsidP="00C86B2B">
      <w:pPr>
        <w:pStyle w:val="NormalWeb"/>
        <w:spacing w:before="0" w:beforeAutospacing="0" w:after="0" w:afterAutospacing="0"/>
        <w:jc w:val="center"/>
      </w:pPr>
      <w:r w:rsidRPr="001101F7">
        <w:rPr>
          <w:noProof/>
        </w:rPr>
        <w:drawing>
          <wp:inline distT="0" distB="0" distL="0" distR="0" wp14:anchorId="79D1B230" wp14:editId="5B79C9A1">
            <wp:extent cx="4529507" cy="2339096"/>
            <wp:effectExtent l="0" t="0" r="4445"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7426" t="15829" r="4657" b="12193"/>
                    <a:stretch/>
                  </pic:blipFill>
                  <pic:spPr bwMode="auto">
                    <a:xfrm>
                      <a:off x="0" y="0"/>
                      <a:ext cx="4572457" cy="2361276"/>
                    </a:xfrm>
                    <a:prstGeom prst="rect">
                      <a:avLst/>
                    </a:prstGeom>
                    <a:ln w="12700">
                      <a:noFill/>
                    </a:ln>
                    <a:extLst>
                      <a:ext uri="{53640926-AAD7-44D8-BBD7-CCE9431645EC}">
                        <a14:shadowObscured xmlns:a14="http://schemas.microsoft.com/office/drawing/2010/main"/>
                      </a:ext>
                    </a:extLst>
                  </pic:spPr>
                </pic:pic>
              </a:graphicData>
            </a:graphic>
          </wp:inline>
        </w:drawing>
      </w:r>
    </w:p>
    <w:p w14:paraId="21F89FE8" w14:textId="77777777" w:rsidR="00C86B2B" w:rsidRPr="007157D3" w:rsidRDefault="00C86B2B" w:rsidP="00C86B2B">
      <w:pPr>
        <w:spacing w:after="0" w:line="240" w:lineRule="auto"/>
        <w:ind w:firstLine="720"/>
        <w:jc w:val="both"/>
        <w:rPr>
          <w:rFonts w:ascii="Times New Roman" w:hAnsi="Times New Roman" w:cs="Times New Roman"/>
          <w:iCs/>
          <w:color w:val="000000"/>
          <w:sz w:val="24"/>
          <w:szCs w:val="24"/>
        </w:rPr>
      </w:pPr>
      <w:r w:rsidRPr="007157D3">
        <w:rPr>
          <w:rFonts w:ascii="Times New Roman" w:hAnsi="Times New Roman" w:cs="Times New Roman"/>
          <w:sz w:val="20"/>
          <w:szCs w:val="20"/>
        </w:rPr>
        <w:t>Datu avots: NVA</w:t>
      </w:r>
    </w:p>
    <w:p w14:paraId="5A1B44F2" w14:textId="77777777" w:rsidR="00C86B2B" w:rsidRPr="007157D3" w:rsidRDefault="00C86B2B" w:rsidP="00C86B2B">
      <w:pPr>
        <w:tabs>
          <w:tab w:val="left" w:pos="4468"/>
        </w:tabs>
        <w:spacing w:after="0" w:line="240" w:lineRule="auto"/>
        <w:jc w:val="both"/>
        <w:rPr>
          <w:rFonts w:ascii="Times New Roman" w:hAnsi="Times New Roman" w:cs="Times New Roman"/>
          <w:iCs/>
          <w:color w:val="000000"/>
          <w:sz w:val="24"/>
          <w:szCs w:val="24"/>
        </w:rPr>
      </w:pPr>
    </w:p>
    <w:p w14:paraId="1088341B" w14:textId="77777777" w:rsidR="00570129" w:rsidRPr="00A857F2" w:rsidRDefault="00C86B2B" w:rsidP="00724B79">
      <w:pPr>
        <w:spacing w:before="120" w:after="0" w:line="240" w:lineRule="auto"/>
        <w:ind w:firstLine="720"/>
        <w:jc w:val="both"/>
        <w:rPr>
          <w:rFonts w:ascii="Times New Roman" w:hAnsi="Times New Roman" w:cs="Times New Roman"/>
          <w:bCs/>
          <w:sz w:val="24"/>
          <w:szCs w:val="24"/>
        </w:rPr>
      </w:pPr>
      <w:r w:rsidRPr="002F5278">
        <w:rPr>
          <w:rFonts w:ascii="Times New Roman" w:hAnsi="Times New Roman" w:cs="Times New Roman"/>
          <w:bCs/>
          <w:sz w:val="24"/>
          <w:szCs w:val="24"/>
        </w:rPr>
        <w:t>Kā uzsvērts OECD pētījumā “Cilvēku sasaiste ar darbavietām: Latvija</w:t>
      </w:r>
      <w:bookmarkStart w:id="87" w:name="_Hlk50378083"/>
      <w:r w:rsidRPr="002F5278">
        <w:rPr>
          <w:rFonts w:ascii="Times New Roman" w:hAnsi="Times New Roman" w:cs="Times New Roman"/>
          <w:bCs/>
          <w:sz w:val="24"/>
          <w:szCs w:val="24"/>
        </w:rPr>
        <w:t>”</w:t>
      </w:r>
      <w:r w:rsidRPr="00573B49">
        <w:rPr>
          <w:rFonts w:ascii="Times New Roman" w:eastAsia="Times New Roman" w:hAnsi="Times New Roman" w:cs="Times New Roman"/>
          <w:bCs/>
          <w:sz w:val="24"/>
          <w:szCs w:val="24"/>
          <w:vertAlign w:val="superscript"/>
          <w:lang w:eastAsia="lv-LV"/>
        </w:rPr>
        <w:t xml:space="preserve"> </w:t>
      </w:r>
      <w:r w:rsidRPr="007157D3">
        <w:rPr>
          <w:rFonts w:ascii="Times New Roman" w:eastAsia="Times New Roman" w:hAnsi="Times New Roman" w:cs="Times New Roman"/>
          <w:bCs/>
          <w:sz w:val="24"/>
          <w:szCs w:val="24"/>
          <w:vertAlign w:val="superscript"/>
          <w:lang w:eastAsia="lv-LV"/>
        </w:rPr>
        <w:footnoteReference w:id="159"/>
      </w:r>
      <w:r w:rsidRPr="007157D3">
        <w:rPr>
          <w:rFonts w:ascii="Times New Roman" w:hAnsi="Times New Roman" w:cs="Times New Roman"/>
          <w:bCs/>
          <w:sz w:val="24"/>
          <w:szCs w:val="24"/>
        </w:rPr>
        <w:t xml:space="preserve">, </w:t>
      </w:r>
      <w:bookmarkEnd w:id="87"/>
      <w:r w:rsidRPr="007157D3">
        <w:rPr>
          <w:rFonts w:ascii="Times New Roman" w:hAnsi="Times New Roman" w:cs="Times New Roman"/>
          <w:bCs/>
          <w:sz w:val="24"/>
          <w:szCs w:val="24"/>
        </w:rPr>
        <w:t>invaliditātes pabalstu</w:t>
      </w:r>
      <w:r w:rsidR="00570129" w:rsidRPr="007157D3">
        <w:rPr>
          <w:rFonts w:ascii="Times New Roman" w:hAnsi="Times New Roman" w:cs="Times New Roman"/>
          <w:bCs/>
          <w:sz w:val="24"/>
          <w:szCs w:val="24"/>
        </w:rPr>
        <w:t xml:space="preserve"> un pensiju</w:t>
      </w:r>
      <w:r w:rsidRPr="007157D3">
        <w:rPr>
          <w:rFonts w:ascii="Times New Roman" w:hAnsi="Times New Roman" w:cs="Times New Roman"/>
          <w:sz w:val="24"/>
          <w:szCs w:val="24"/>
        </w:rPr>
        <w:t xml:space="preserve"> saņēmēju skaits Latvijā kopš 2007.gada ir pieaudzis straujāk nekā jebkurā citā OECD Eiropas dalībvalstī. Augstais nodokļu slogs mazina invaliditātes pabalsta </w:t>
      </w:r>
      <w:r w:rsidR="00570129" w:rsidRPr="002F5278">
        <w:rPr>
          <w:rFonts w:ascii="Times New Roman" w:hAnsi="Times New Roman" w:cs="Times New Roman"/>
          <w:sz w:val="24"/>
          <w:szCs w:val="24"/>
        </w:rPr>
        <w:t xml:space="preserve">un pensijas </w:t>
      </w:r>
      <w:r w:rsidRPr="00573B49">
        <w:rPr>
          <w:rFonts w:ascii="Times New Roman" w:hAnsi="Times New Roman" w:cs="Times New Roman"/>
          <w:sz w:val="24"/>
          <w:szCs w:val="24"/>
        </w:rPr>
        <w:t xml:space="preserve">saņēmēju motivāciju pieņemt darba piedāvājumu. </w:t>
      </w:r>
      <w:r w:rsidRPr="00573B49">
        <w:rPr>
          <w:rFonts w:ascii="Times New Roman" w:hAnsi="Times New Roman" w:cs="Times New Roman"/>
          <w:bCs/>
          <w:sz w:val="24"/>
          <w:szCs w:val="24"/>
        </w:rPr>
        <w:t>Tas rada augstāku nabadzības un sociālās atstumtības risku šajā mērķa grupā. Cilvēkiem ar invaliditāti ienākumi ir zemāki nekā strādājošiem cilvēkiem, tikai pabalsti un pensija nevar nodrošināt ekonomiski patstāvīgu un neatkarīgu dzīvi. Attiecīgi pastāvīgs darbs un regulāri ienākumi ir būtiski priekšnosacījumi cieņ</w:t>
      </w:r>
      <w:r w:rsidRPr="0025422D">
        <w:rPr>
          <w:rFonts w:ascii="Times New Roman" w:hAnsi="Times New Roman" w:cs="Times New Roman"/>
          <w:bCs/>
          <w:sz w:val="24"/>
          <w:szCs w:val="24"/>
        </w:rPr>
        <w:t xml:space="preserve">pilnai dzīvei, kas ir neatkarīga no valsts garantētā atbalsta. </w:t>
      </w:r>
    </w:p>
    <w:p w14:paraId="65BD2A53" w14:textId="5443B7D0" w:rsidR="00C86B2B" w:rsidRPr="0015154B" w:rsidRDefault="00C86B2B" w:rsidP="00724B79">
      <w:pPr>
        <w:spacing w:before="120" w:after="0" w:line="240" w:lineRule="auto"/>
        <w:ind w:firstLine="720"/>
        <w:jc w:val="both"/>
        <w:rPr>
          <w:rFonts w:ascii="Times New Roman" w:eastAsia="Calibri" w:hAnsi="Times New Roman" w:cs="Times New Roman"/>
          <w:iCs/>
          <w:color w:val="000000"/>
          <w:sz w:val="24"/>
          <w:szCs w:val="24"/>
        </w:rPr>
      </w:pPr>
      <w:r w:rsidRPr="00662D1E">
        <w:rPr>
          <w:rFonts w:ascii="Times New Roman" w:eastAsia="Calibri" w:hAnsi="Times New Roman" w:cs="Times New Roman"/>
          <w:iCs/>
          <w:color w:val="000000"/>
          <w:sz w:val="24"/>
          <w:szCs w:val="24"/>
        </w:rPr>
        <w:t>Personas ar invaliditāti saskaras ar funkcionēšanas ierobežojumiem, kas lielākā vai mazākā mērā apgrūtina iekļaušanos darba tirgū. Tomēr invaliditāte pati par sevi nenozīmē, ka persona ir nesp</w:t>
      </w:r>
      <w:r w:rsidRPr="009703E6">
        <w:rPr>
          <w:rFonts w:ascii="Times New Roman" w:eastAsia="Calibri" w:hAnsi="Times New Roman" w:cs="Times New Roman"/>
          <w:iCs/>
          <w:color w:val="000000"/>
          <w:sz w:val="24"/>
          <w:szCs w:val="24"/>
        </w:rPr>
        <w:t>ējīga strādāt, bet gan to, ka noteiktu darbu, darbību veikšanai ir nepieciešams atbalsts, individuāla pieeja un individualizēts pakalpojumu grozs, kas palīdzētu integrēties vai reintegrēties darba tirgū. Lai personas ar invaliditāti varētu veiksmīgi iekļau</w:t>
      </w:r>
      <w:r w:rsidRPr="0015154B">
        <w:rPr>
          <w:rFonts w:ascii="Times New Roman" w:eastAsia="Calibri" w:hAnsi="Times New Roman" w:cs="Times New Roman"/>
          <w:iCs/>
          <w:color w:val="000000"/>
          <w:sz w:val="24"/>
          <w:szCs w:val="24"/>
        </w:rPr>
        <w:t>ties darba tirgū, viņiem nepieciešams atbalsts darba meklēšanā un iesaiste nodarbinātības pasākumos. Būtiska loma darba tirgus potenciāla pilnīgākai izmantošanai ir aktīvās darba tirgus politikas pasākumiem, ko īsteno NVA, kas vienlaikus gan aktivizē bez darba palikušos un ekonomiski aktīvos, gan sniedz iespējas papildināt prasmes un zināšanas, un reģionālās mobilitātes iespējas.</w:t>
      </w:r>
    </w:p>
    <w:p w14:paraId="250D8CF8" w14:textId="77777777" w:rsidR="00C86B2B" w:rsidRPr="0015154B" w:rsidRDefault="00C86B2B" w:rsidP="00724B79">
      <w:pPr>
        <w:spacing w:before="120" w:after="0" w:line="240" w:lineRule="auto"/>
        <w:ind w:firstLine="7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Bezdarbnieku ar invaliditāti mērķa grupas klientu integrēšana darba tirgū ir viena no NVA prioritātēm, tādēļ NVA sadarbojas ar darba devējiem un nevalstiskajām organizācijām (turpmāk NVO), lai rastu iespējas bezdarbnieku integrēšanai darba tirgū. Pēdējo gadu laikā Latvijā ir īstenoti vairāki jauni pasākumi, lai vēl vairāk atbalstītu personu ar invaliditāti integrāciju darba tirgū. Piemēram, NVA ir uzsākusi motivācijas programmas īstenošanu darba meklēšanai ar mentora pakalpojumu personām ar invaliditāti, tāpat tiek turpinātas subsidētās darba vietas bezdarbniekiem ar invaliditāti, kā arī turpinātas tādas jaunās iniciatīvas kā atvērto durvju dienas personu ar invaliditāti darbā iekārtošanās veicināšanai, satuvinot bezdarbniekus un potenciālos darba devējus. Turpināsies arī darba devēju informēšanas pasākumi, ietverot arī cilvēku ar invaliditāti nodarbinātības labās prakses piemēru popularizēšanu, lai iedrošinātu citus darba devējus nodarbināt personas ar invaliditāti.</w:t>
      </w:r>
    </w:p>
    <w:p w14:paraId="6FE75DE1" w14:textId="27BDE315" w:rsidR="00C86B2B" w:rsidRDefault="00C86B2B" w:rsidP="00724B79">
      <w:pPr>
        <w:spacing w:before="120" w:after="0" w:line="240" w:lineRule="auto"/>
        <w:ind w:firstLine="720"/>
        <w:contextualSpacing/>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lastRenderedPageBreak/>
        <w:t>NVA īstenotos aktīvās darba tirgus politikas pasākumus, tajā skaitā to ietekmi uz personu ar invaliditāti mērķa grupu atzinīgi vērtē OECD</w:t>
      </w:r>
      <w:r w:rsidR="00570129" w:rsidRPr="0015154B">
        <w:rPr>
          <w:rFonts w:ascii="Times New Roman" w:eastAsia="Calibri" w:hAnsi="Times New Roman" w:cs="Times New Roman"/>
          <w:iCs/>
          <w:color w:val="000000"/>
          <w:sz w:val="24"/>
          <w:szCs w:val="24"/>
        </w:rPr>
        <w:t>.</w:t>
      </w:r>
      <w:r w:rsidRPr="007157D3">
        <w:rPr>
          <w:rFonts w:ascii="Times New Roman" w:eastAsia="Calibri" w:hAnsi="Times New Roman" w:cs="Times New Roman"/>
          <w:iCs/>
          <w:color w:val="000000"/>
          <w:sz w:val="24"/>
          <w:szCs w:val="24"/>
          <w:vertAlign w:val="superscript"/>
        </w:rPr>
        <w:footnoteReference w:id="160"/>
      </w:r>
      <w:r w:rsidRPr="007157D3">
        <w:rPr>
          <w:rFonts w:ascii="Times New Roman" w:eastAsia="Calibri" w:hAnsi="Times New Roman" w:cs="Times New Roman"/>
          <w:iCs/>
          <w:color w:val="000000"/>
          <w:sz w:val="24"/>
          <w:szCs w:val="24"/>
        </w:rPr>
        <w:t xml:space="preserve"> Pētījumā secināts, ka NVA organizētie apmācību pasākumi uzlabo bezdarbnieku darba atrašanas iespējas un atstāj labvēlīgu ietekmi </w:t>
      </w:r>
      <w:r w:rsidR="009A6FF6">
        <w:rPr>
          <w:rFonts w:ascii="Times New Roman" w:eastAsia="Calibri" w:hAnsi="Times New Roman" w:cs="Times New Roman"/>
          <w:iCs/>
          <w:color w:val="000000"/>
          <w:sz w:val="24"/>
          <w:szCs w:val="24"/>
        </w:rPr>
        <w:t xml:space="preserve">uz </w:t>
      </w:r>
      <w:r w:rsidRPr="007157D3">
        <w:rPr>
          <w:rFonts w:ascii="Times New Roman" w:eastAsia="Calibri" w:hAnsi="Times New Roman" w:cs="Times New Roman"/>
          <w:iCs/>
          <w:color w:val="000000"/>
          <w:sz w:val="24"/>
          <w:szCs w:val="24"/>
        </w:rPr>
        <w:t>darba samaksas pieaugumu</w:t>
      </w:r>
      <w:r w:rsidR="00570129" w:rsidRPr="007157D3">
        <w:rPr>
          <w:rFonts w:ascii="Times New Roman" w:eastAsia="Calibri" w:hAnsi="Times New Roman" w:cs="Times New Roman"/>
          <w:iCs/>
          <w:color w:val="000000"/>
          <w:sz w:val="24"/>
          <w:szCs w:val="24"/>
        </w:rPr>
        <w:t xml:space="preserve">, turklāt </w:t>
      </w:r>
      <w:r w:rsidRPr="007157D3">
        <w:rPr>
          <w:rFonts w:ascii="Times New Roman" w:eastAsia="Calibri" w:hAnsi="Times New Roman" w:cs="Times New Roman"/>
          <w:iCs/>
          <w:color w:val="000000"/>
          <w:sz w:val="24"/>
          <w:szCs w:val="24"/>
        </w:rPr>
        <w:t>šie uzlabojumi ir būt</w:t>
      </w:r>
      <w:r w:rsidRPr="002F5278">
        <w:rPr>
          <w:rFonts w:ascii="Times New Roman" w:eastAsia="Calibri" w:hAnsi="Times New Roman" w:cs="Times New Roman"/>
          <w:iCs/>
          <w:color w:val="000000"/>
          <w:sz w:val="24"/>
          <w:szCs w:val="24"/>
        </w:rPr>
        <w:t>iskāki, nekā līdzīgos OECD izvērtējumos citās valstīs.</w:t>
      </w:r>
      <w:r w:rsidR="00570129" w:rsidRPr="00573B49">
        <w:rPr>
          <w:rFonts w:ascii="Times New Roman" w:eastAsia="Calibri" w:hAnsi="Times New Roman" w:cs="Times New Roman"/>
          <w:iCs/>
          <w:color w:val="000000"/>
          <w:sz w:val="24"/>
          <w:szCs w:val="24"/>
        </w:rPr>
        <w:t xml:space="preserve"> </w:t>
      </w:r>
      <w:r w:rsidR="00373626" w:rsidRPr="00573B49">
        <w:rPr>
          <w:rFonts w:ascii="Times New Roman" w:eastAsia="Calibri" w:hAnsi="Times New Roman" w:cs="Times New Roman"/>
          <w:iCs/>
          <w:color w:val="000000"/>
          <w:sz w:val="24"/>
          <w:szCs w:val="24"/>
        </w:rPr>
        <w:t>Tāpēc ir jāturpina</w:t>
      </w:r>
      <w:r w:rsidRPr="00573B49">
        <w:rPr>
          <w:rFonts w:ascii="Times New Roman" w:eastAsia="Calibri" w:hAnsi="Times New Roman" w:cs="Times New Roman"/>
          <w:iCs/>
          <w:color w:val="000000"/>
          <w:sz w:val="24"/>
          <w:szCs w:val="24"/>
        </w:rPr>
        <w:t xml:space="preserve"> aktīvi strādā</w:t>
      </w:r>
      <w:r w:rsidR="00105C88" w:rsidRPr="0025422D">
        <w:rPr>
          <w:rFonts w:ascii="Times New Roman" w:eastAsia="Calibri" w:hAnsi="Times New Roman" w:cs="Times New Roman"/>
          <w:iCs/>
          <w:color w:val="000000"/>
          <w:sz w:val="24"/>
          <w:szCs w:val="24"/>
        </w:rPr>
        <w:t>t</w:t>
      </w:r>
      <w:r w:rsidRPr="00A857F2">
        <w:rPr>
          <w:rFonts w:ascii="Times New Roman" w:eastAsia="Calibri" w:hAnsi="Times New Roman" w:cs="Times New Roman"/>
          <w:iCs/>
          <w:color w:val="000000"/>
          <w:sz w:val="24"/>
          <w:szCs w:val="24"/>
        </w:rPr>
        <w:t xml:space="preserve">, lai personas </w:t>
      </w:r>
      <w:r w:rsidRPr="00662D1E">
        <w:rPr>
          <w:rFonts w:ascii="Times New Roman" w:eastAsia="Calibri" w:hAnsi="Times New Roman" w:cs="Times New Roman"/>
          <w:iCs/>
          <w:color w:val="000000"/>
          <w:sz w:val="24"/>
          <w:szCs w:val="24"/>
        </w:rPr>
        <w:t>ar invaliditāti, t.sk. personas ar garīga rakstura traucējumiem, varētu sevi brīvi realizēt darba tirgū atbilstoši savām iespējām un vajadzībām, neatkarīgi no funkcionālā traucējuma veida, iegūstot darbam nepieciešamās prasmes un iemaņas un veicinot savu f</w:t>
      </w:r>
      <w:r w:rsidRPr="009703E6">
        <w:rPr>
          <w:rFonts w:ascii="Times New Roman" w:eastAsia="Calibri" w:hAnsi="Times New Roman" w:cs="Times New Roman"/>
          <w:iCs/>
          <w:color w:val="000000"/>
          <w:sz w:val="24"/>
          <w:szCs w:val="24"/>
        </w:rPr>
        <w:t xml:space="preserve">inansiālo neatkarību. </w:t>
      </w:r>
    </w:p>
    <w:p w14:paraId="1005FBFF" w14:textId="77777777" w:rsidR="001101F7" w:rsidRPr="009703E6" w:rsidRDefault="001101F7" w:rsidP="00724B79">
      <w:pPr>
        <w:spacing w:before="120" w:after="0" w:line="240" w:lineRule="auto"/>
        <w:ind w:firstLine="720"/>
        <w:contextualSpacing/>
        <w:jc w:val="both"/>
        <w:rPr>
          <w:rFonts w:ascii="Times New Roman" w:eastAsia="Calibri" w:hAnsi="Times New Roman" w:cs="Times New Roman"/>
          <w:iCs/>
          <w:color w:val="000000"/>
          <w:sz w:val="24"/>
          <w:szCs w:val="24"/>
        </w:rPr>
      </w:pPr>
    </w:p>
    <w:p w14:paraId="7F4139C5" w14:textId="5AE017B3" w:rsidR="00105C88" w:rsidRPr="0015154B" w:rsidRDefault="00105C88" w:rsidP="001101F7">
      <w:pPr>
        <w:pStyle w:val="Heading3"/>
        <w:rPr>
          <w:rFonts w:eastAsia="Calibri"/>
        </w:rPr>
      </w:pPr>
      <w:bookmarkStart w:id="88" w:name="_Toc55316116"/>
      <w:r w:rsidRPr="0015154B">
        <w:rPr>
          <w:rFonts w:eastAsia="Calibri"/>
        </w:rPr>
        <w:t>Jauniešu bezdarbs</w:t>
      </w:r>
      <w:bookmarkEnd w:id="88"/>
    </w:p>
    <w:p w14:paraId="6F8D5CCE" w14:textId="77D2A705" w:rsidR="00C86B2B" w:rsidRPr="0015154B" w:rsidRDefault="00C86B2B" w:rsidP="00724B79">
      <w:pPr>
        <w:spacing w:before="120" w:after="0" w:line="240" w:lineRule="auto"/>
        <w:ind w:firstLine="7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 xml:space="preserve">Uzlabojoties situācijai darba tirgū un Latvijā īstenojot Jauniešu garantijas pasākumus, pakāpeniski samazinājās arī NVA reģistrēto </w:t>
      </w:r>
      <w:r w:rsidRPr="0015154B">
        <w:rPr>
          <w:rFonts w:ascii="Times New Roman" w:eastAsia="Calibri" w:hAnsi="Times New Roman" w:cs="Times New Roman"/>
          <w:b/>
          <w:sz w:val="24"/>
          <w:szCs w:val="24"/>
        </w:rPr>
        <w:t>jauniešu bezdarbnieku</w:t>
      </w:r>
      <w:r w:rsidR="00105C88" w:rsidRPr="0015154B">
        <w:rPr>
          <w:rFonts w:ascii="Times New Roman" w:eastAsia="Calibri" w:hAnsi="Times New Roman" w:cs="Times New Roman"/>
          <w:b/>
          <w:sz w:val="24"/>
          <w:szCs w:val="24"/>
        </w:rPr>
        <w:t xml:space="preserve"> (15-24 gadi)</w:t>
      </w:r>
      <w:r w:rsidRPr="0015154B">
        <w:rPr>
          <w:rFonts w:ascii="Times New Roman" w:eastAsia="Calibri" w:hAnsi="Times New Roman" w:cs="Times New Roman"/>
          <w:sz w:val="24"/>
          <w:szCs w:val="24"/>
        </w:rPr>
        <w:t xml:space="preserve"> skaits un īpatsvara rādītāji reģistrēto bezdarbnieku vidū. Salīdzinot ar 2009.gadu, kad </w:t>
      </w:r>
      <w:r w:rsidR="00105C88" w:rsidRPr="0015154B">
        <w:rPr>
          <w:rFonts w:ascii="Times New Roman" w:eastAsia="Calibri" w:hAnsi="Times New Roman" w:cs="Times New Roman"/>
          <w:sz w:val="24"/>
          <w:szCs w:val="24"/>
        </w:rPr>
        <w:t xml:space="preserve">jauniešu bezdarba </w:t>
      </w:r>
      <w:r w:rsidRPr="0015154B">
        <w:rPr>
          <w:rFonts w:ascii="Times New Roman" w:eastAsia="Calibri" w:hAnsi="Times New Roman" w:cs="Times New Roman"/>
          <w:sz w:val="24"/>
          <w:szCs w:val="24"/>
        </w:rPr>
        <w:t>rādītāji bija visaugstākie</w:t>
      </w:r>
      <w:r w:rsidR="00105C88" w:rsidRPr="0015154B">
        <w:rPr>
          <w:rFonts w:ascii="Times New Roman" w:eastAsia="Calibri" w:hAnsi="Times New Roman" w:cs="Times New Roman"/>
          <w:sz w:val="24"/>
          <w:szCs w:val="24"/>
        </w:rPr>
        <w:t>, 2019.gadā bija vērojams būtisks samazinājums.</w:t>
      </w:r>
      <w:r w:rsidRPr="0015154B">
        <w:rPr>
          <w:rFonts w:ascii="Times New Roman" w:eastAsia="Calibri" w:hAnsi="Times New Roman" w:cs="Times New Roman"/>
          <w:sz w:val="24"/>
          <w:szCs w:val="24"/>
        </w:rPr>
        <w:t xml:space="preserve"> </w:t>
      </w:r>
      <w:r w:rsidR="00105C88" w:rsidRPr="0015154B">
        <w:rPr>
          <w:rFonts w:ascii="Times New Roman" w:eastAsia="Calibri" w:hAnsi="Times New Roman" w:cs="Times New Roman"/>
          <w:sz w:val="24"/>
          <w:szCs w:val="24"/>
        </w:rPr>
        <w:t>Šajā laika periodā NVA reģistrēto jauniešu bezdarbnieku skaits samazinājās par 87%, bet jauniešu bezdarbnieku īpatsvars kopējā reģistrēto bezdarb</w:t>
      </w:r>
      <w:r w:rsidR="009A6FF6">
        <w:rPr>
          <w:rFonts w:ascii="Times New Roman" w:eastAsia="Calibri" w:hAnsi="Times New Roman" w:cs="Times New Roman"/>
          <w:sz w:val="24"/>
          <w:szCs w:val="24"/>
        </w:rPr>
        <w:t>n</w:t>
      </w:r>
      <w:r w:rsidR="00105C88" w:rsidRPr="0015154B">
        <w:rPr>
          <w:rFonts w:ascii="Times New Roman" w:eastAsia="Calibri" w:hAnsi="Times New Roman" w:cs="Times New Roman"/>
          <w:sz w:val="24"/>
          <w:szCs w:val="24"/>
        </w:rPr>
        <w:t xml:space="preserve">ieku kopskaitā samazinājās no </w:t>
      </w:r>
      <w:r w:rsidRPr="0015154B">
        <w:rPr>
          <w:rFonts w:ascii="Times New Roman" w:eastAsia="Calibri" w:hAnsi="Times New Roman" w:cs="Times New Roman"/>
          <w:sz w:val="24"/>
          <w:szCs w:val="24"/>
        </w:rPr>
        <w:t xml:space="preserve">14,5% </w:t>
      </w:r>
      <w:r w:rsidR="00105C88" w:rsidRPr="0015154B">
        <w:rPr>
          <w:rFonts w:ascii="Times New Roman" w:eastAsia="Calibri" w:hAnsi="Times New Roman" w:cs="Times New Roman"/>
          <w:sz w:val="24"/>
          <w:szCs w:val="24"/>
        </w:rPr>
        <w:t>uz</w:t>
      </w:r>
      <w:r w:rsidRPr="0015154B">
        <w:rPr>
          <w:rFonts w:ascii="Times New Roman" w:eastAsia="Calibri" w:hAnsi="Times New Roman" w:cs="Times New Roman"/>
          <w:sz w:val="24"/>
          <w:szCs w:val="24"/>
        </w:rPr>
        <w:t xml:space="preserve"> 5,8% </w:t>
      </w:r>
      <w:r w:rsidR="00105C88" w:rsidRPr="0015154B">
        <w:rPr>
          <w:rFonts w:ascii="Times New Roman" w:eastAsia="Calibri" w:hAnsi="Times New Roman" w:cs="Times New Roman"/>
          <w:sz w:val="24"/>
          <w:szCs w:val="24"/>
        </w:rPr>
        <w:t>(</w:t>
      </w:r>
      <w:r w:rsidR="00105C88" w:rsidRPr="00910436">
        <w:rPr>
          <w:rFonts w:ascii="Times New Roman" w:eastAsia="Calibri" w:hAnsi="Times New Roman" w:cs="Times New Roman"/>
          <w:sz w:val="24"/>
          <w:szCs w:val="24"/>
          <w:highlight w:val="yellow"/>
        </w:rPr>
        <w:t>skat.</w:t>
      </w:r>
      <w:r w:rsidR="00D63A78" w:rsidRPr="00910436">
        <w:rPr>
          <w:rFonts w:ascii="Times New Roman" w:eastAsia="Calibri" w:hAnsi="Times New Roman" w:cs="Times New Roman"/>
          <w:sz w:val="24"/>
          <w:szCs w:val="24"/>
          <w:highlight w:val="yellow"/>
        </w:rPr>
        <w:t xml:space="preserve"> </w:t>
      </w:r>
      <w:r w:rsidR="00910436">
        <w:rPr>
          <w:rFonts w:ascii="Times New Roman" w:eastAsia="Calibri" w:hAnsi="Times New Roman" w:cs="Times New Roman"/>
          <w:sz w:val="24"/>
          <w:szCs w:val="24"/>
          <w:highlight w:val="yellow"/>
        </w:rPr>
        <w:t>22</w:t>
      </w:r>
      <w:r w:rsidR="00D63A78" w:rsidRPr="00910436">
        <w:rPr>
          <w:rFonts w:ascii="Times New Roman" w:eastAsia="Calibri" w:hAnsi="Times New Roman" w:cs="Times New Roman"/>
          <w:sz w:val="24"/>
          <w:szCs w:val="24"/>
          <w:highlight w:val="yellow"/>
        </w:rPr>
        <w:t>.</w:t>
      </w:r>
      <w:r w:rsidR="00105C88" w:rsidRPr="00910436">
        <w:rPr>
          <w:rFonts w:ascii="Times New Roman" w:eastAsia="Calibri" w:hAnsi="Times New Roman" w:cs="Times New Roman"/>
          <w:sz w:val="24"/>
          <w:szCs w:val="24"/>
          <w:highlight w:val="yellow"/>
        </w:rPr>
        <w:t>attēlu</w:t>
      </w:r>
      <w:r w:rsidR="00105C88" w:rsidRPr="0015154B">
        <w:rPr>
          <w:rFonts w:ascii="Times New Roman" w:eastAsia="Calibri" w:hAnsi="Times New Roman" w:cs="Times New Roman"/>
          <w:sz w:val="24"/>
          <w:szCs w:val="24"/>
        </w:rPr>
        <w:t xml:space="preserve">). </w:t>
      </w:r>
      <w:r w:rsidRPr="0015154B">
        <w:rPr>
          <w:rFonts w:ascii="Times New Roman" w:eastAsia="Calibri" w:hAnsi="Times New Roman" w:cs="Times New Roman"/>
          <w:sz w:val="24"/>
          <w:szCs w:val="24"/>
        </w:rPr>
        <w:t xml:space="preserve">2020.gada jūnija beigās 5 571 jeb 7,1% no bezdarbnieku kopskaita bija jaunieši bezdarbnieki. Šajā mērķa grupā 4,2% bija ilgstošie bezdarbnieki, 2,7% –  personas ar invaliditāti, 2,0% –  personas pēc bērna kopšanas atvaļinājuma. </w:t>
      </w:r>
    </w:p>
    <w:p w14:paraId="4C18FD7C" w14:textId="77777777" w:rsidR="00105C88" w:rsidRPr="0015154B" w:rsidRDefault="00105C88" w:rsidP="00105C88">
      <w:pPr>
        <w:spacing w:after="0" w:line="240" w:lineRule="auto"/>
        <w:rPr>
          <w:rFonts w:ascii="Times New Roman" w:eastAsia="Calibri" w:hAnsi="Times New Roman" w:cs="Times New Roman"/>
          <w:sz w:val="24"/>
          <w:szCs w:val="24"/>
          <w:highlight w:val="yellow"/>
        </w:rPr>
      </w:pPr>
    </w:p>
    <w:p w14:paraId="1D2E3FF4" w14:textId="37747B28" w:rsidR="00C86B2B" w:rsidRPr="0015154B" w:rsidRDefault="00910436" w:rsidP="00105C8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w:t>
      </w:r>
      <w:r w:rsidR="00105C88" w:rsidRPr="0015154B">
        <w:rPr>
          <w:rFonts w:ascii="Times New Roman" w:eastAsia="Calibri" w:hAnsi="Times New Roman" w:cs="Times New Roman"/>
          <w:sz w:val="24"/>
          <w:szCs w:val="24"/>
        </w:rPr>
        <w:t>.a</w:t>
      </w:r>
      <w:r w:rsidR="00C86B2B" w:rsidRPr="0015154B">
        <w:rPr>
          <w:rFonts w:ascii="Times New Roman" w:eastAsia="Calibri" w:hAnsi="Times New Roman" w:cs="Times New Roman"/>
          <w:sz w:val="24"/>
          <w:szCs w:val="24"/>
        </w:rPr>
        <w:t>ttēls</w:t>
      </w:r>
    </w:p>
    <w:p w14:paraId="12582386" w14:textId="77777777" w:rsidR="00C86B2B" w:rsidRPr="0015154B" w:rsidRDefault="00C86B2B" w:rsidP="00105C88">
      <w:pPr>
        <w:spacing w:after="0" w:line="240" w:lineRule="auto"/>
        <w:ind w:firstLine="720"/>
        <w:jc w:val="center"/>
        <w:rPr>
          <w:rFonts w:ascii="Times New Roman" w:eastAsia="Calibri" w:hAnsi="Times New Roman" w:cs="Times New Roman"/>
          <w:b/>
          <w:color w:val="002060"/>
          <w:sz w:val="24"/>
          <w:szCs w:val="24"/>
        </w:rPr>
      </w:pPr>
      <w:r w:rsidRPr="0015154B">
        <w:rPr>
          <w:rFonts w:ascii="Times New Roman" w:eastAsia="Calibri" w:hAnsi="Times New Roman" w:cs="Times New Roman"/>
          <w:b/>
          <w:color w:val="002060"/>
          <w:sz w:val="24"/>
          <w:szCs w:val="24"/>
        </w:rPr>
        <w:t>Reģistrēto jauniešu bezdarbnieku skaits un īpatsvars (uz 30.06.2020.)</w:t>
      </w:r>
    </w:p>
    <w:p w14:paraId="5A5781C7" w14:textId="77777777" w:rsidR="00C86B2B" w:rsidRPr="007157D3" w:rsidRDefault="00C86B2B" w:rsidP="00C86B2B">
      <w:pPr>
        <w:spacing w:after="0" w:line="240" w:lineRule="auto"/>
        <w:jc w:val="center"/>
        <w:rPr>
          <w:rFonts w:ascii="Times New Roman" w:eastAsia="Calibri" w:hAnsi="Times New Roman" w:cs="Times New Roman"/>
          <w:sz w:val="24"/>
          <w:szCs w:val="24"/>
        </w:rPr>
      </w:pPr>
      <w:r w:rsidRPr="001101F7">
        <w:rPr>
          <w:noProof/>
        </w:rPr>
        <w:drawing>
          <wp:inline distT="0" distB="0" distL="0" distR="0" wp14:anchorId="367C40FB" wp14:editId="4650E4FB">
            <wp:extent cx="5231218" cy="3168015"/>
            <wp:effectExtent l="19050" t="19050" r="26670" b="133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7426" t="25332" r="9634" b="8822"/>
                    <a:stretch/>
                  </pic:blipFill>
                  <pic:spPr bwMode="auto">
                    <a:xfrm>
                      <a:off x="0" y="0"/>
                      <a:ext cx="5587879" cy="3384008"/>
                    </a:xfrm>
                    <a:prstGeom prst="rect">
                      <a:avLst/>
                    </a:prstGeom>
                    <a:ln w="12700">
                      <a:solidFill>
                        <a:schemeClr val="bg1"/>
                      </a:solidFill>
                    </a:ln>
                    <a:extLst>
                      <a:ext uri="{53640926-AAD7-44D8-BBD7-CCE9431645EC}">
                        <a14:shadowObscured xmlns:a14="http://schemas.microsoft.com/office/drawing/2010/main"/>
                      </a:ext>
                    </a:extLst>
                  </pic:spPr>
                </pic:pic>
              </a:graphicData>
            </a:graphic>
          </wp:inline>
        </w:drawing>
      </w:r>
    </w:p>
    <w:p w14:paraId="6A1A8EAD" w14:textId="77777777" w:rsidR="00C86B2B" w:rsidRPr="007157D3" w:rsidRDefault="00C86B2B" w:rsidP="00105C88">
      <w:pPr>
        <w:spacing w:after="0" w:line="240" w:lineRule="auto"/>
        <w:ind w:firstLine="720"/>
        <w:jc w:val="both"/>
        <w:rPr>
          <w:rFonts w:ascii="Times New Roman" w:eastAsia="Calibri" w:hAnsi="Times New Roman" w:cs="Times New Roman"/>
          <w:sz w:val="20"/>
          <w:szCs w:val="20"/>
        </w:rPr>
      </w:pPr>
      <w:r w:rsidRPr="007157D3">
        <w:rPr>
          <w:rFonts w:ascii="Times New Roman" w:eastAsia="Calibri" w:hAnsi="Times New Roman" w:cs="Times New Roman"/>
          <w:sz w:val="20"/>
          <w:szCs w:val="20"/>
        </w:rPr>
        <w:t>Datu avots: NVA</w:t>
      </w:r>
    </w:p>
    <w:p w14:paraId="17E06575" w14:textId="77777777" w:rsidR="00C86B2B" w:rsidRPr="002F5278" w:rsidRDefault="00C86B2B" w:rsidP="00105C88">
      <w:pPr>
        <w:spacing w:after="0" w:line="240" w:lineRule="auto"/>
        <w:ind w:firstLine="720"/>
        <w:jc w:val="both"/>
        <w:rPr>
          <w:rFonts w:ascii="Times New Roman" w:eastAsia="Calibri" w:hAnsi="Times New Roman" w:cs="Times New Roman"/>
          <w:sz w:val="24"/>
          <w:szCs w:val="24"/>
        </w:rPr>
      </w:pPr>
    </w:p>
    <w:p w14:paraId="36E9A845" w14:textId="21F71D6F" w:rsidR="00C86B2B" w:rsidRPr="0015154B" w:rsidRDefault="00C86B2B" w:rsidP="00724B79">
      <w:pPr>
        <w:spacing w:before="120" w:after="0" w:line="240" w:lineRule="auto"/>
        <w:ind w:firstLine="720"/>
        <w:jc w:val="both"/>
        <w:rPr>
          <w:rFonts w:ascii="Times New Roman" w:eastAsia="Calibri" w:hAnsi="Times New Roman" w:cs="Times New Roman"/>
          <w:sz w:val="24"/>
          <w:szCs w:val="24"/>
        </w:rPr>
      </w:pPr>
      <w:r w:rsidRPr="00573B49">
        <w:rPr>
          <w:rFonts w:ascii="Times New Roman" w:eastAsia="Calibri" w:hAnsi="Times New Roman" w:cs="Times New Roman"/>
          <w:sz w:val="24"/>
          <w:szCs w:val="24"/>
        </w:rPr>
        <w:t xml:space="preserve">Jauniešu bezdarba situācija Latvijā ir </w:t>
      </w:r>
      <w:r w:rsidR="005058AB" w:rsidRPr="00573B49">
        <w:rPr>
          <w:rFonts w:ascii="Times New Roman" w:eastAsia="Calibri" w:hAnsi="Times New Roman" w:cs="Times New Roman"/>
          <w:sz w:val="24"/>
          <w:szCs w:val="24"/>
        </w:rPr>
        <w:t>pozitīvāka</w:t>
      </w:r>
      <w:r w:rsidRPr="00573B49">
        <w:rPr>
          <w:rFonts w:ascii="Times New Roman" w:eastAsia="Calibri" w:hAnsi="Times New Roman" w:cs="Times New Roman"/>
          <w:sz w:val="24"/>
          <w:szCs w:val="24"/>
        </w:rPr>
        <w:t>, salīdzinot ar citām Eiropas valstīm. Atbilstoši E</w:t>
      </w:r>
      <w:r w:rsidR="00E07E75">
        <w:rPr>
          <w:rFonts w:ascii="Times New Roman" w:eastAsia="Calibri" w:hAnsi="Times New Roman" w:cs="Times New Roman"/>
          <w:sz w:val="24"/>
          <w:szCs w:val="24"/>
        </w:rPr>
        <w:t>i</w:t>
      </w:r>
      <w:r w:rsidRPr="0025422D">
        <w:rPr>
          <w:rFonts w:ascii="Times New Roman" w:eastAsia="Calibri" w:hAnsi="Times New Roman" w:cs="Times New Roman"/>
          <w:sz w:val="24"/>
          <w:szCs w:val="24"/>
        </w:rPr>
        <w:t>rostat datiem Latvijā jauniešu bezdarba līmenis 2019.gadā bija 12,4%</w:t>
      </w:r>
      <w:r w:rsidR="005058AB" w:rsidRPr="00A857F2">
        <w:rPr>
          <w:rFonts w:ascii="Times New Roman" w:eastAsia="Calibri" w:hAnsi="Times New Roman" w:cs="Times New Roman"/>
          <w:sz w:val="24"/>
          <w:szCs w:val="24"/>
        </w:rPr>
        <w:t>, turklāt</w:t>
      </w:r>
      <w:r w:rsidRPr="00662D1E">
        <w:rPr>
          <w:rFonts w:ascii="Times New Roman" w:eastAsia="Calibri" w:hAnsi="Times New Roman" w:cs="Times New Roman"/>
          <w:sz w:val="24"/>
          <w:szCs w:val="24"/>
        </w:rPr>
        <w:t xml:space="preserve"> jauniešu bezdarba rādītāji </w:t>
      </w:r>
      <w:r w:rsidR="005058AB" w:rsidRPr="009703E6">
        <w:rPr>
          <w:rFonts w:ascii="Times New Roman" w:eastAsia="Calibri" w:hAnsi="Times New Roman" w:cs="Times New Roman"/>
          <w:sz w:val="24"/>
          <w:szCs w:val="24"/>
        </w:rPr>
        <w:t>Baltijas valstīs</w:t>
      </w:r>
      <w:r w:rsidRPr="0015154B">
        <w:rPr>
          <w:rFonts w:ascii="Times New Roman" w:eastAsia="Calibri" w:hAnsi="Times New Roman" w:cs="Times New Roman"/>
          <w:sz w:val="24"/>
          <w:szCs w:val="24"/>
        </w:rPr>
        <w:t xml:space="preserve"> ir līdzīgi (Igaunijā 11,1%, Lietuvā 11,9%)</w:t>
      </w:r>
      <w:r w:rsidR="005058AB" w:rsidRPr="0015154B">
        <w:rPr>
          <w:rFonts w:ascii="Times New Roman" w:eastAsia="Calibri" w:hAnsi="Times New Roman" w:cs="Times New Roman"/>
          <w:sz w:val="24"/>
          <w:szCs w:val="24"/>
        </w:rPr>
        <w:t>, bet labāki ne</w:t>
      </w:r>
      <w:r w:rsidRPr="0015154B">
        <w:rPr>
          <w:rFonts w:ascii="Times New Roman" w:eastAsia="Calibri" w:hAnsi="Times New Roman" w:cs="Times New Roman"/>
          <w:sz w:val="24"/>
          <w:szCs w:val="24"/>
        </w:rPr>
        <w:t>kā vidēji ES-27 valstīs (15,1%) un jo īpaši labāk</w:t>
      </w:r>
      <w:r w:rsidR="005058AB" w:rsidRPr="0015154B">
        <w:rPr>
          <w:rFonts w:ascii="Times New Roman" w:eastAsia="Calibri" w:hAnsi="Times New Roman" w:cs="Times New Roman"/>
          <w:sz w:val="24"/>
          <w:szCs w:val="24"/>
        </w:rPr>
        <w:t>i</w:t>
      </w:r>
      <w:r w:rsidRPr="0015154B">
        <w:rPr>
          <w:rFonts w:ascii="Times New Roman" w:eastAsia="Calibri" w:hAnsi="Times New Roman" w:cs="Times New Roman"/>
          <w:sz w:val="24"/>
          <w:szCs w:val="24"/>
        </w:rPr>
        <w:t>, salīdzinot ar Eiropas dienvidu valstīm. Piemēram, Grieķijā jauniešu bezdarbs 2019.gadā bija 35,2 %, Spānijā 32,5%, Itālijā 29,2%. Atbilstoši E</w:t>
      </w:r>
      <w:r w:rsidR="00E07E75">
        <w:rPr>
          <w:rFonts w:ascii="Times New Roman" w:eastAsia="Calibri" w:hAnsi="Times New Roman" w:cs="Times New Roman"/>
          <w:sz w:val="24"/>
          <w:szCs w:val="24"/>
        </w:rPr>
        <w:t>i</w:t>
      </w:r>
      <w:r w:rsidRPr="0015154B">
        <w:rPr>
          <w:rFonts w:ascii="Times New Roman" w:eastAsia="Calibri" w:hAnsi="Times New Roman" w:cs="Times New Roman"/>
          <w:sz w:val="24"/>
          <w:szCs w:val="24"/>
        </w:rPr>
        <w:t xml:space="preserve">rostat darbaspēka apsekojuma rezultātiem 2020. gada 1. ceturksnī Latvijā jauniešu </w:t>
      </w:r>
      <w:r w:rsidRPr="0015154B">
        <w:rPr>
          <w:rFonts w:ascii="Times New Roman" w:eastAsia="Calibri" w:hAnsi="Times New Roman" w:cs="Times New Roman"/>
          <w:sz w:val="24"/>
          <w:szCs w:val="24"/>
        </w:rPr>
        <w:lastRenderedPageBreak/>
        <w:t>bezdarbs bija 13,5% (salīdzinājumam ES-27 vidējais rādītājs bija 15%, Lietuvā 14,8%, savukārt Igaunijā uz apsekojuma brīdi dati bija nepilnīgi).</w:t>
      </w:r>
    </w:p>
    <w:p w14:paraId="3CE932C3" w14:textId="499B0351" w:rsidR="00C86B2B" w:rsidRPr="0015154B" w:rsidRDefault="00C86B2B" w:rsidP="00724B79">
      <w:pPr>
        <w:spacing w:before="120" w:after="0" w:line="240" w:lineRule="auto"/>
        <w:ind w:firstLine="7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Tāpat E</w:t>
      </w:r>
      <w:r w:rsidR="00E07E75">
        <w:rPr>
          <w:rFonts w:ascii="Times New Roman" w:eastAsia="Calibri" w:hAnsi="Times New Roman" w:cs="Times New Roman"/>
          <w:sz w:val="24"/>
          <w:szCs w:val="24"/>
        </w:rPr>
        <w:t>i</w:t>
      </w:r>
      <w:r w:rsidRPr="0015154B">
        <w:rPr>
          <w:rFonts w:ascii="Times New Roman" w:eastAsia="Calibri" w:hAnsi="Times New Roman" w:cs="Times New Roman"/>
          <w:sz w:val="24"/>
          <w:szCs w:val="24"/>
        </w:rPr>
        <w:t>rostat dati liecina, ka 2019.gadā Latvijā NEET grupas jauniešu (jaunieši, kas nestrādā, nemācās vai neapgūst arodu) īpatsvars bija 10,3%, kas bija zemāks par ES vidējo rādītāju (12,6%). 2019.gadā salīdzinājumā ar 2010.gadu NEET grupas jauniešu bezdarbnieku skaits ir samazinājies par 40 tūkst. (no 53 uz 13 tūkst.), balstoties uz E</w:t>
      </w:r>
      <w:r w:rsidR="00E07E75">
        <w:rPr>
          <w:rFonts w:ascii="Times New Roman" w:eastAsia="Calibri" w:hAnsi="Times New Roman" w:cs="Times New Roman"/>
          <w:sz w:val="24"/>
          <w:szCs w:val="24"/>
        </w:rPr>
        <w:t>i</w:t>
      </w:r>
      <w:r w:rsidRPr="0015154B">
        <w:rPr>
          <w:rFonts w:ascii="Times New Roman" w:eastAsia="Calibri" w:hAnsi="Times New Roman" w:cs="Times New Roman"/>
          <w:sz w:val="24"/>
          <w:szCs w:val="24"/>
        </w:rPr>
        <w:t xml:space="preserve">rostat/CSP darbaspēka apsekojuma datiem. Arī šis kritums ir saistāms gan ar kopējo darba tirgus situācijas uzlabošanos, gan Latvijā īstenotajiem Jauniešu garantijas pasākumiem, kas mērķēti tieši uz šo mērķa grupu, kaut arī jāņem vērā demogrāfiskā situācija valstī. </w:t>
      </w:r>
    </w:p>
    <w:p w14:paraId="594D388E" w14:textId="77777777" w:rsidR="00C86B2B" w:rsidRPr="0015154B" w:rsidRDefault="00C86B2B" w:rsidP="00724B79">
      <w:pPr>
        <w:spacing w:before="120" w:after="0" w:line="240" w:lineRule="auto"/>
        <w:ind w:firstLine="720"/>
        <w:jc w:val="both"/>
        <w:rPr>
          <w:rFonts w:ascii="Times New Roman" w:eastAsia="Calibri" w:hAnsi="Times New Roman" w:cs="Times New Roman"/>
          <w:sz w:val="24"/>
          <w:szCs w:val="24"/>
        </w:rPr>
      </w:pPr>
      <w:r w:rsidRPr="0015154B">
        <w:rPr>
          <w:rFonts w:ascii="Times New Roman" w:eastAsia="Calibri" w:hAnsi="Times New Roman" w:cs="Times New Roman"/>
          <w:sz w:val="24"/>
          <w:szCs w:val="24"/>
        </w:rPr>
        <w:t>Iemesli, kāpēc NEET grupas jaunieši sastopas ar grūtībām ceļā uz darba tirgu, ir daudz un dažādi, tomēr kā galvenie ir nepietiekams izglītības līmenis (iegūta tikai vispārējā vidējā vai zemāks izglītības līmenis) un priekšlaicīga mācību pārtraukšana, kvalitatīvas darba pieredzes trūkums, vēlmes izprast informāciju par darba tirgus tendencēm un mācīšanās motivācijas trūkums, kā arī problēmas ģimenē, atkarības problēmas, nespēja saskaņot darba/izglītības un ģimenes dzīvi, kā arī darba tirgus atšķirības reģionu griezumā.</w:t>
      </w:r>
    </w:p>
    <w:p w14:paraId="73F6E780" w14:textId="10F107F3" w:rsidR="00C86B2B" w:rsidRPr="0015154B" w:rsidRDefault="00C86B2B" w:rsidP="00724B79">
      <w:pPr>
        <w:spacing w:before="120" w:after="0" w:line="240" w:lineRule="auto"/>
        <w:ind w:firstLine="720"/>
        <w:jc w:val="both"/>
        <w:rPr>
          <w:rFonts w:ascii="Times New Roman" w:hAnsi="Times New Roman" w:cs="Times New Roman"/>
          <w:iCs/>
          <w:color w:val="000000"/>
          <w:sz w:val="24"/>
          <w:szCs w:val="24"/>
        </w:rPr>
      </w:pPr>
      <w:r w:rsidRPr="0015154B">
        <w:rPr>
          <w:rFonts w:ascii="Times New Roman" w:hAnsi="Times New Roman" w:cs="Times New Roman"/>
          <w:iCs/>
          <w:color w:val="000000"/>
          <w:sz w:val="24"/>
          <w:szCs w:val="24"/>
        </w:rPr>
        <w:t xml:space="preserve">Atbilstoši </w:t>
      </w:r>
      <w:r w:rsidR="005058AB" w:rsidRPr="0015154B">
        <w:rPr>
          <w:rFonts w:ascii="Times New Roman" w:hAnsi="Times New Roman" w:cs="Times New Roman"/>
          <w:iCs/>
          <w:color w:val="000000"/>
          <w:sz w:val="24"/>
          <w:szCs w:val="24"/>
        </w:rPr>
        <w:t>EM</w:t>
      </w:r>
      <w:r w:rsidRPr="0015154B">
        <w:rPr>
          <w:rFonts w:ascii="Times New Roman" w:hAnsi="Times New Roman" w:cs="Times New Roman"/>
          <w:iCs/>
          <w:color w:val="000000"/>
          <w:sz w:val="24"/>
          <w:szCs w:val="24"/>
        </w:rPr>
        <w:t xml:space="preserve"> izstrādātajām darba tirgus vidējā un ilgtermiņa prognozēm nākotnē tautsaimniecībā vēl vairāk samazināsies pieprasījums pēc mazkvalificētiem darbiniekiem, līdz ar to jauniešiem ar zemu izglītības līmeni un bez profesionālās kvalifikācijas būs arvien grūtāk iekļauties darba tirgū. Vidējais bezdarba ilgums NVA reģistrētajiem jauniešiem 2020.gada jūnijā bija 95 dienas, kas bija visīsākais bezdarba ilgums, salīdzinot ar citām NVA mērķa grupām, piemēram, ilgstošajiem bezdarbniekiem, bezdarbniekiem vecumā virs 50 gadiem u.c. Arī no visiem ilgstošajiem bezdarbniekiem jauniešu bezdarbnieku (15 – 24 gadi) īpatsvars bija tikai 1,7%. </w:t>
      </w:r>
    </w:p>
    <w:p w14:paraId="621C1FD9" w14:textId="0C46A381" w:rsidR="00C86B2B" w:rsidRPr="0015154B" w:rsidRDefault="00C86B2B" w:rsidP="00724B79">
      <w:pPr>
        <w:spacing w:before="120" w:after="0" w:line="240" w:lineRule="auto"/>
        <w:ind w:firstLine="720"/>
        <w:jc w:val="both"/>
        <w:rPr>
          <w:rFonts w:ascii="Times New Roman" w:hAnsi="Times New Roman" w:cs="Times New Roman"/>
          <w:iCs/>
          <w:color w:val="000000"/>
          <w:sz w:val="24"/>
          <w:szCs w:val="24"/>
        </w:rPr>
      </w:pPr>
      <w:r w:rsidRPr="0015154B">
        <w:rPr>
          <w:rFonts w:ascii="Times New Roman" w:hAnsi="Times New Roman" w:cs="Times New Roman"/>
          <w:iCs/>
          <w:color w:val="000000"/>
          <w:sz w:val="24"/>
          <w:szCs w:val="24"/>
        </w:rPr>
        <w:t>Pāreja no izglītības uz nodarbinātību Latvijā parāda, ka, jo augstāks izglītības līmenis, jo īsāks bezdarba ilgums un jo labāki darba tirgus iznākumi algas un nodarbinātības noturības izteiksmē. Īpaši izteikt</w:t>
      </w:r>
      <w:r w:rsidR="00FE1751" w:rsidRPr="0015154B">
        <w:rPr>
          <w:rFonts w:ascii="Times New Roman" w:hAnsi="Times New Roman" w:cs="Times New Roman"/>
          <w:iCs/>
          <w:color w:val="000000"/>
          <w:sz w:val="24"/>
          <w:szCs w:val="24"/>
        </w:rPr>
        <w:t>a šī korelācija</w:t>
      </w:r>
      <w:r w:rsidRPr="0015154B">
        <w:rPr>
          <w:rFonts w:ascii="Times New Roman" w:hAnsi="Times New Roman" w:cs="Times New Roman"/>
          <w:iCs/>
          <w:color w:val="000000"/>
          <w:sz w:val="24"/>
          <w:szCs w:val="24"/>
        </w:rPr>
        <w:t xml:space="preserve"> ir jauniešu vidū. Ilgtspējīgā jauniešu nodarbinātības veicināšanā noteicošs ir izglītības piedāvājums</w:t>
      </w:r>
      <w:r w:rsidR="00FE1751" w:rsidRPr="0015154B">
        <w:rPr>
          <w:rFonts w:ascii="Times New Roman" w:hAnsi="Times New Roman" w:cs="Times New Roman"/>
          <w:iCs/>
          <w:color w:val="000000"/>
          <w:sz w:val="24"/>
          <w:szCs w:val="24"/>
        </w:rPr>
        <w:t>.</w:t>
      </w:r>
      <w:r w:rsidRPr="0015154B">
        <w:rPr>
          <w:rFonts w:ascii="Times New Roman" w:hAnsi="Times New Roman" w:cs="Times New Roman"/>
          <w:iCs/>
          <w:color w:val="000000"/>
          <w:sz w:val="24"/>
          <w:szCs w:val="24"/>
        </w:rPr>
        <w:t xml:space="preserve"> </w:t>
      </w:r>
      <w:r w:rsidR="00FE1751" w:rsidRPr="0015154B">
        <w:rPr>
          <w:rFonts w:ascii="Times New Roman" w:hAnsi="Times New Roman" w:cs="Times New Roman"/>
          <w:iCs/>
          <w:color w:val="000000"/>
          <w:sz w:val="24"/>
          <w:szCs w:val="24"/>
        </w:rPr>
        <w:t>T</w:t>
      </w:r>
      <w:r w:rsidRPr="0015154B">
        <w:rPr>
          <w:rFonts w:ascii="Times New Roman" w:hAnsi="Times New Roman" w:cs="Times New Roman"/>
          <w:iCs/>
          <w:color w:val="000000"/>
          <w:sz w:val="24"/>
          <w:szCs w:val="24"/>
        </w:rPr>
        <w:t xml:space="preserve">āpēc </w:t>
      </w:r>
      <w:r w:rsidR="00FE1751" w:rsidRPr="0015154B">
        <w:rPr>
          <w:rFonts w:ascii="Times New Roman" w:hAnsi="Times New Roman" w:cs="Times New Roman"/>
          <w:iCs/>
          <w:color w:val="000000"/>
          <w:sz w:val="24"/>
          <w:szCs w:val="24"/>
        </w:rPr>
        <w:t xml:space="preserve">ir </w:t>
      </w:r>
      <w:r w:rsidRPr="0015154B">
        <w:rPr>
          <w:rFonts w:ascii="Times New Roman" w:hAnsi="Times New Roman" w:cs="Times New Roman"/>
          <w:iCs/>
          <w:color w:val="000000"/>
          <w:sz w:val="24"/>
          <w:szCs w:val="24"/>
        </w:rPr>
        <w:t>būtiski, lai  audzēkņu uzņemšana valsts finansētās izglītības programmās tiktu balstīta gan uz ilgtermiņa darba tirgus prognozēm, gan nozaru vajadzībām, ne tikai uz izglītības iestāžu spējām nodrošināt konkrētas mācību programmas, tādējādi izvairoties no absolventu atbiruma un kvalifikāciju ieguvušo nonākšanas bezdarbnieku vidū.</w:t>
      </w:r>
    </w:p>
    <w:p w14:paraId="6BFEAC75" w14:textId="20ED120D" w:rsidR="00C86B2B" w:rsidRPr="0025422D" w:rsidRDefault="00FE1751" w:rsidP="00724B79">
      <w:pPr>
        <w:spacing w:before="120" w:after="0" w:line="240" w:lineRule="auto"/>
        <w:ind w:firstLine="720"/>
        <w:jc w:val="both"/>
        <w:rPr>
          <w:rFonts w:ascii="Times New Roman" w:hAnsi="Times New Roman" w:cs="Times New Roman"/>
          <w:iCs/>
          <w:color w:val="000000"/>
          <w:sz w:val="24"/>
          <w:szCs w:val="24"/>
        </w:rPr>
      </w:pPr>
      <w:r w:rsidRPr="0015154B">
        <w:rPr>
          <w:rFonts w:ascii="Times New Roman" w:hAnsi="Times New Roman" w:cs="Times New Roman"/>
          <w:iCs/>
          <w:color w:val="000000"/>
          <w:sz w:val="24"/>
          <w:szCs w:val="24"/>
        </w:rPr>
        <w:t>Covid-19 pandēmijas rezultātā ES ir vērojama ekonomikas lejupslīde, kas visticamākais būtiski palielinās jauniešu bezdarbu, kā arī jauniešu skaitu, kas nemācās, tāpēc Eiropas Komisija 2020.gada 1.jūlijā publicēja priekšlikumu Padomes ieteikumam “Tilts uz nodarbinātību - garantijas jauniešiem pastiprināšana” un ar ko aizstāj Padomes 2013.gada 22.aprīļa ieteikumu</w:t>
      </w:r>
      <w:r w:rsidRPr="007157D3">
        <w:rPr>
          <w:rStyle w:val="FootnoteReference"/>
          <w:rFonts w:ascii="Times New Roman" w:hAnsi="Times New Roman" w:cs="Times New Roman"/>
          <w:iCs/>
          <w:color w:val="000000"/>
          <w:sz w:val="24"/>
          <w:szCs w:val="24"/>
        </w:rPr>
        <w:footnoteReference w:id="161"/>
      </w:r>
      <w:r w:rsidRPr="007157D3">
        <w:rPr>
          <w:rFonts w:ascii="Times New Roman" w:hAnsi="Times New Roman" w:cs="Times New Roman"/>
          <w:iCs/>
          <w:color w:val="000000"/>
          <w:sz w:val="24"/>
          <w:szCs w:val="24"/>
        </w:rPr>
        <w:t xml:space="preserve"> par garantijas jauniešiem izveidi (turpmāk – priekšlikums), tādējādi</w:t>
      </w:r>
      <w:r w:rsidRPr="002F5278">
        <w:rPr>
          <w:rFonts w:ascii="Times New Roman" w:hAnsi="Times New Roman" w:cs="Times New Roman"/>
          <w:iCs/>
          <w:color w:val="000000"/>
          <w:sz w:val="24"/>
          <w:szCs w:val="24"/>
        </w:rPr>
        <w:t xml:space="preserve"> sniedzot ieguldījumu Eiropas Sociālo tiesību pīlāra īstenošanā, kā arī ņemot vērā tādus mūsdienu izaic</w:t>
      </w:r>
      <w:r w:rsidRPr="00573B49">
        <w:rPr>
          <w:rFonts w:ascii="Times New Roman" w:hAnsi="Times New Roman" w:cs="Times New Roman"/>
          <w:iCs/>
          <w:color w:val="000000"/>
          <w:sz w:val="24"/>
          <w:szCs w:val="24"/>
        </w:rPr>
        <w:t xml:space="preserve">inājumus kā automatizācija un digitalizācija, zaļā pāreja un izmaiņas darba tirgū. </w:t>
      </w:r>
      <w:r w:rsidR="00C86B2B" w:rsidRPr="00573B49">
        <w:rPr>
          <w:rFonts w:ascii="Times New Roman" w:hAnsi="Times New Roman" w:cs="Times New Roman"/>
          <w:iCs/>
          <w:color w:val="000000"/>
          <w:sz w:val="24"/>
          <w:szCs w:val="24"/>
        </w:rPr>
        <w:t>EK priekšlikums paredz turpināt, kā arī stiprināt jau esošos NVA organizētos izglītības, nodarbinātības un jauniešu sasniegšanas atbalsta pasākumus, ko Latvija izstrādāja un ieviesa 2014.-2020.gada periodā Jauniešu garantijas ietvaros. Kopumā Latvijā īstenotie pasākumi atbilst priekšlikumā uzskaitītajiem Jauniešu garantijas pasākumiem, tie turpina sniegt ieguldījumu jauniešu nodarbinātības veicināšanā, kā arī palīdzētu mazinā</w:t>
      </w:r>
      <w:r w:rsidR="00C86B2B" w:rsidRPr="0025422D">
        <w:rPr>
          <w:rFonts w:ascii="Times New Roman" w:hAnsi="Times New Roman" w:cs="Times New Roman"/>
          <w:iCs/>
          <w:color w:val="000000"/>
          <w:sz w:val="24"/>
          <w:szCs w:val="24"/>
        </w:rPr>
        <w:t xml:space="preserve">t Covid - 19 krīzes ietekmi, nepieļaujot vēl vienas jauniešu bezdarba krīzes rašanos. </w:t>
      </w:r>
    </w:p>
    <w:p w14:paraId="242B0289" w14:textId="060EBD02" w:rsidR="00C86B2B" w:rsidRPr="007157D3" w:rsidRDefault="00C86B2B" w:rsidP="00724B79">
      <w:pPr>
        <w:spacing w:before="120" w:after="0" w:line="240" w:lineRule="auto"/>
        <w:ind w:firstLine="720"/>
        <w:jc w:val="both"/>
        <w:rPr>
          <w:rFonts w:ascii="Times New Roman" w:hAnsi="Times New Roman" w:cs="Times New Roman"/>
          <w:color w:val="000000"/>
          <w:sz w:val="24"/>
          <w:szCs w:val="24"/>
        </w:rPr>
      </w:pPr>
      <w:r w:rsidRPr="00A857F2">
        <w:rPr>
          <w:rFonts w:ascii="Times New Roman" w:hAnsi="Times New Roman" w:cs="Times New Roman"/>
          <w:sz w:val="24"/>
          <w:szCs w:val="24"/>
        </w:rPr>
        <w:t>OECD vērtējumā Latvijā j</w:t>
      </w:r>
      <w:r w:rsidRPr="00662D1E">
        <w:rPr>
          <w:rFonts w:ascii="Times New Roman" w:eastAsia="Calibri" w:hAnsi="Times New Roman" w:cs="Times New Roman"/>
          <w:sz w:val="24"/>
          <w:szCs w:val="24"/>
        </w:rPr>
        <w:t xml:space="preserve">oprojām ir samērā daudz </w:t>
      </w:r>
      <w:r w:rsidRPr="009703E6">
        <w:rPr>
          <w:rFonts w:ascii="Times New Roman" w:eastAsia="Calibri" w:hAnsi="Times New Roman" w:cs="Times New Roman"/>
          <w:b/>
          <w:sz w:val="24"/>
          <w:szCs w:val="24"/>
        </w:rPr>
        <w:t>darbinieku, kas zaudējuši cerības atrast darbu</w:t>
      </w:r>
      <w:r w:rsidRPr="0015154B">
        <w:rPr>
          <w:rFonts w:ascii="Times New Roman" w:eastAsia="Calibri" w:hAnsi="Times New Roman" w:cs="Times New Roman"/>
          <w:sz w:val="24"/>
          <w:szCs w:val="24"/>
        </w:rPr>
        <w:t>.</w:t>
      </w:r>
      <w:r w:rsidRPr="0015154B">
        <w:rPr>
          <w:rFonts w:ascii="Times New Roman" w:hAnsi="Times New Roman" w:cs="Times New Roman"/>
          <w:sz w:val="24"/>
          <w:szCs w:val="24"/>
        </w:rPr>
        <w:t xml:space="preserve"> 2020.gada 2. ceturksnī 9,8 tūkstoši jeb 2,4 % ekonomiski neaktīvo iedzīvotāju </w:t>
      </w:r>
      <w:r w:rsidRPr="0015154B">
        <w:rPr>
          <w:rFonts w:ascii="Times New Roman" w:hAnsi="Times New Roman" w:cs="Times New Roman"/>
          <w:sz w:val="24"/>
          <w:szCs w:val="24"/>
        </w:rPr>
        <w:lastRenderedPageBreak/>
        <w:t>bija zaudējuši cerību atrast darbu.</w:t>
      </w:r>
      <w:r w:rsidRPr="007157D3">
        <w:rPr>
          <w:rStyle w:val="FootnoteReference"/>
          <w:rFonts w:ascii="Times New Roman" w:hAnsi="Times New Roman" w:cs="Times New Roman"/>
          <w:sz w:val="24"/>
          <w:szCs w:val="24"/>
        </w:rPr>
        <w:footnoteReference w:id="162"/>
      </w:r>
      <w:r w:rsidRPr="007157D3">
        <w:rPr>
          <w:rFonts w:ascii="Times New Roman" w:hAnsi="Times New Roman" w:cs="Times New Roman"/>
          <w:sz w:val="24"/>
          <w:szCs w:val="24"/>
        </w:rPr>
        <w:t xml:space="preserve"> Tāpēc viens no iekļaujošas nodarbinātības politikas uzdevumiem būtu uzrunāt cilvēkus, kuri ir pametuši darba tirgu un kuriem trūkst motivācijas meklēt darbu. </w:t>
      </w:r>
    </w:p>
    <w:p w14:paraId="2B767630" w14:textId="627D6306" w:rsidR="005A190F" w:rsidRPr="002F5278" w:rsidRDefault="005A190F" w:rsidP="00200837">
      <w:pPr>
        <w:spacing w:after="0" w:line="240" w:lineRule="auto"/>
        <w:jc w:val="both"/>
        <w:rPr>
          <w:rFonts w:ascii="Times New Roman" w:hAnsi="Times New Roman" w:cs="Times New Roman"/>
          <w:b/>
          <w:sz w:val="24"/>
          <w:szCs w:val="24"/>
          <w:highlight w:val="cyan"/>
        </w:rPr>
      </w:pPr>
    </w:p>
    <w:p w14:paraId="748CE32C" w14:textId="1360B856" w:rsidR="00FE1751" w:rsidRPr="00573B49" w:rsidRDefault="00FE1751" w:rsidP="00DA5144">
      <w:pPr>
        <w:pStyle w:val="Heading2"/>
      </w:pPr>
      <w:bookmarkStart w:id="89" w:name="_Toc55316117"/>
      <w:r w:rsidRPr="00573B49">
        <w:t>Aktīvās darba tirgus politikas pasākumi</w:t>
      </w:r>
      <w:bookmarkEnd w:id="89"/>
    </w:p>
    <w:p w14:paraId="61C5CD38" w14:textId="77777777" w:rsidR="00FE1751" w:rsidRPr="009703E6" w:rsidRDefault="00FE1751" w:rsidP="00724B79">
      <w:pPr>
        <w:spacing w:before="120" w:after="0" w:line="240" w:lineRule="auto"/>
        <w:ind w:firstLine="720"/>
        <w:jc w:val="both"/>
        <w:rPr>
          <w:rFonts w:ascii="Times New Roman" w:eastAsia="Calibri" w:hAnsi="Times New Roman" w:cs="Times New Roman"/>
          <w:iCs/>
          <w:color w:val="000000"/>
          <w:sz w:val="24"/>
          <w:szCs w:val="24"/>
        </w:rPr>
      </w:pPr>
      <w:r w:rsidRPr="00573B49">
        <w:rPr>
          <w:rFonts w:ascii="Times New Roman" w:eastAsia="Calibri" w:hAnsi="Times New Roman" w:cs="Times New Roman"/>
          <w:iCs/>
          <w:color w:val="000000"/>
          <w:sz w:val="24"/>
          <w:szCs w:val="24"/>
        </w:rPr>
        <w:t xml:space="preserve">Būtiska loma darba tirgus potenciāla pilnīgākai izmantošanai ir </w:t>
      </w:r>
      <w:r w:rsidRPr="0025422D">
        <w:rPr>
          <w:rFonts w:ascii="Times New Roman" w:eastAsia="Calibri" w:hAnsi="Times New Roman" w:cs="Times New Roman"/>
          <w:b/>
          <w:iCs/>
          <w:color w:val="000000"/>
          <w:sz w:val="24"/>
          <w:szCs w:val="24"/>
        </w:rPr>
        <w:t>aktīvās darba tirgus politikas (ADTP) pasākumiem</w:t>
      </w:r>
      <w:r w:rsidRPr="00A857F2">
        <w:rPr>
          <w:rFonts w:ascii="Times New Roman" w:eastAsia="Calibri" w:hAnsi="Times New Roman" w:cs="Times New Roman"/>
          <w:iCs/>
          <w:color w:val="000000"/>
          <w:sz w:val="24"/>
          <w:szCs w:val="24"/>
        </w:rPr>
        <w:t>, ko īsteno NVA. ADTP pasākumi aktivizē bez darba palikušos un ekonomiski aktīvos, sniedz iespējas papildināt prasmes un zināšanas un reģionālās mobilitātes i</w:t>
      </w:r>
      <w:r w:rsidRPr="00662D1E">
        <w:rPr>
          <w:rFonts w:ascii="Times New Roman" w:eastAsia="Calibri" w:hAnsi="Times New Roman" w:cs="Times New Roman"/>
          <w:iCs/>
          <w:color w:val="000000"/>
          <w:sz w:val="24"/>
          <w:szCs w:val="24"/>
        </w:rPr>
        <w:t>espējas, tādējādi uzlabojot darba tirgus iznākumus un produktivitāti tautsaimniecībā kopumā. Latvijā izmantotā pieeja ADTP pasākumu plānošanā līdzīgi kā citās ES dalībvalstīs paredz mērķētu atbalsta sniegšanu tās klientiem ar pakalpojumu dažādošanu, veicot</w:t>
      </w:r>
      <w:r w:rsidRPr="009703E6">
        <w:rPr>
          <w:rFonts w:ascii="Times New Roman" w:eastAsia="Calibri" w:hAnsi="Times New Roman" w:cs="Times New Roman"/>
          <w:iCs/>
          <w:color w:val="000000"/>
          <w:sz w:val="24"/>
          <w:szCs w:val="24"/>
        </w:rPr>
        <w:t xml:space="preserve"> bezdarbnieku profilēšanu un paredzot atšķirīgu atbalsta intensitāti dažādām mērķa grupām. </w:t>
      </w:r>
    </w:p>
    <w:p w14:paraId="5A1EE6CE" w14:textId="4FCF3E3D" w:rsidR="00FE1751" w:rsidRDefault="00FE1751" w:rsidP="00724B79">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Atbalsts bezdarbniekiem, darba meklētājiem, bezdarba riskam pakļautām personām, tai skaitā, pirmspensijas vecumā, tiek nodrošināts šādu aktīvās darba tirgus politikas pasākumu ietvaros:</w:t>
      </w:r>
    </w:p>
    <w:p w14:paraId="5C938B7E" w14:textId="77777777" w:rsidR="0037328A" w:rsidRDefault="0037328A" w:rsidP="00724B79">
      <w:pPr>
        <w:autoSpaceDE w:val="0"/>
        <w:autoSpaceDN w:val="0"/>
        <w:adjustRightInd w:val="0"/>
        <w:spacing w:before="120" w:after="0" w:line="240" w:lineRule="auto"/>
        <w:ind w:firstLine="720"/>
        <w:jc w:val="both"/>
        <w:rPr>
          <w:rFonts w:ascii="Times New Roman" w:hAnsi="Times New Roman" w:cs="Times New Roman"/>
          <w:sz w:val="24"/>
          <w:szCs w:val="24"/>
        </w:rPr>
      </w:pPr>
    </w:p>
    <w:tbl>
      <w:tblPr>
        <w:tblStyle w:val="TableGrid"/>
        <w:tblW w:w="0" w:type="auto"/>
        <w:tblBorders>
          <w:top w:val="single" w:sz="24" w:space="0" w:color="549E39" w:themeColor="accent1"/>
          <w:left w:val="none" w:sz="0" w:space="0" w:color="auto"/>
          <w:bottom w:val="single" w:sz="24" w:space="0" w:color="549E39" w:themeColor="accent1"/>
          <w:right w:val="none" w:sz="0" w:space="0" w:color="auto"/>
          <w:insideH w:val="single" w:sz="24" w:space="0" w:color="549E39" w:themeColor="accent1"/>
        </w:tblBorders>
        <w:tblLook w:val="04A0" w:firstRow="1" w:lastRow="0" w:firstColumn="1" w:lastColumn="0" w:noHBand="0" w:noVBand="1"/>
      </w:tblPr>
      <w:tblGrid>
        <w:gridCol w:w="9061"/>
      </w:tblGrid>
      <w:tr w:rsidR="00AF0D28" w14:paraId="2A7B8853" w14:textId="77777777" w:rsidTr="0037328A">
        <w:tc>
          <w:tcPr>
            <w:tcW w:w="9061" w:type="dxa"/>
          </w:tcPr>
          <w:p w14:paraId="1E5E80AF" w14:textId="6D595E4F" w:rsidR="00AF0D28" w:rsidRDefault="0037328A" w:rsidP="0037328A">
            <w:pPr>
              <w:autoSpaceDE w:val="0"/>
              <w:autoSpaceDN w:val="0"/>
              <w:adjustRightInd w:val="0"/>
              <w:spacing w:before="120" w:after="120"/>
              <w:jc w:val="both"/>
              <w:rPr>
                <w:rFonts w:ascii="Times New Roman" w:hAnsi="Times New Roman" w:cs="Times New Roman"/>
                <w:sz w:val="24"/>
                <w:szCs w:val="24"/>
              </w:rPr>
            </w:pPr>
            <w:r w:rsidRPr="0037328A">
              <w:rPr>
                <w:rFonts w:ascii="Times New Roman" w:hAnsi="Times New Roman" w:cs="Times New Roman"/>
                <w:b/>
                <w:color w:val="002060"/>
                <w:sz w:val="24"/>
                <w:szCs w:val="24"/>
              </w:rPr>
              <w:t>Profesionālā apmācība, pārkvalifikācija, kvalifikācijas paaugstināšana</w:t>
            </w:r>
            <w:r w:rsidRPr="0037328A">
              <w:rPr>
                <w:rFonts w:ascii="Times New Roman" w:hAnsi="Times New Roman" w:cs="Times New Roman"/>
                <w:color w:val="002060"/>
                <w:sz w:val="24"/>
                <w:szCs w:val="24"/>
              </w:rPr>
              <w:t xml:space="preserve"> </w:t>
            </w:r>
            <w:r w:rsidRPr="0015154B">
              <w:rPr>
                <w:rFonts w:ascii="Times New Roman" w:hAnsi="Times New Roman" w:cs="Times New Roman"/>
                <w:sz w:val="24"/>
                <w:szCs w:val="24"/>
              </w:rPr>
              <w:t>un neformālās izglītības apguve (jaunas profesijas apguvei, esošo prasmju aktualizēšanai)</w:t>
            </w:r>
          </w:p>
        </w:tc>
      </w:tr>
      <w:tr w:rsidR="00AF0D28" w14:paraId="3A115548" w14:textId="77777777" w:rsidTr="0037328A">
        <w:tc>
          <w:tcPr>
            <w:tcW w:w="9061" w:type="dxa"/>
          </w:tcPr>
          <w:p w14:paraId="6029AE51" w14:textId="39FCA347" w:rsidR="00AF0D28" w:rsidRDefault="0037328A" w:rsidP="0037328A">
            <w:pPr>
              <w:autoSpaceDE w:val="0"/>
              <w:autoSpaceDN w:val="0"/>
              <w:adjustRightInd w:val="0"/>
              <w:spacing w:before="120" w:after="120"/>
              <w:jc w:val="both"/>
              <w:rPr>
                <w:rFonts w:ascii="Times New Roman" w:hAnsi="Times New Roman" w:cs="Times New Roman"/>
                <w:sz w:val="24"/>
                <w:szCs w:val="24"/>
              </w:rPr>
            </w:pPr>
            <w:r w:rsidRPr="0037328A">
              <w:rPr>
                <w:rFonts w:ascii="Times New Roman" w:hAnsi="Times New Roman" w:cs="Times New Roman"/>
                <w:b/>
                <w:color w:val="002060"/>
                <w:sz w:val="24"/>
                <w:szCs w:val="24"/>
              </w:rPr>
              <w:t xml:space="preserve">Algoti pagaidu sabiedriskie darbi </w:t>
            </w:r>
            <w:r w:rsidRPr="0015154B">
              <w:rPr>
                <w:rFonts w:ascii="Times New Roman" w:hAnsi="Times New Roman" w:cs="Times New Roman"/>
                <w:sz w:val="24"/>
                <w:szCs w:val="24"/>
              </w:rPr>
              <w:t>(darba iemaņu uzturēšanai un ienākumu nodrošināšanai tā saucamajā sekundārajā darba tirgū - ilgstošākajiem bezdarbniekiem)</w:t>
            </w:r>
          </w:p>
        </w:tc>
      </w:tr>
      <w:tr w:rsidR="00AF0D28" w14:paraId="44CACBA0" w14:textId="77777777" w:rsidTr="0037328A">
        <w:tc>
          <w:tcPr>
            <w:tcW w:w="9061" w:type="dxa"/>
          </w:tcPr>
          <w:p w14:paraId="46018EA9" w14:textId="4C8AD408" w:rsidR="00AF0D28" w:rsidRDefault="0037328A" w:rsidP="0037328A">
            <w:pPr>
              <w:autoSpaceDE w:val="0"/>
              <w:autoSpaceDN w:val="0"/>
              <w:adjustRightInd w:val="0"/>
              <w:spacing w:before="120" w:after="120"/>
              <w:jc w:val="both"/>
              <w:rPr>
                <w:rFonts w:ascii="Times New Roman" w:hAnsi="Times New Roman" w:cs="Times New Roman"/>
                <w:sz w:val="24"/>
                <w:szCs w:val="24"/>
              </w:rPr>
            </w:pPr>
            <w:r w:rsidRPr="0015154B">
              <w:rPr>
                <w:rFonts w:ascii="Times New Roman" w:hAnsi="Times New Roman" w:cs="Times New Roman"/>
                <w:sz w:val="24"/>
                <w:szCs w:val="24"/>
              </w:rPr>
              <w:t xml:space="preserve">Mērķgrupu bezdarbnieku </w:t>
            </w:r>
            <w:r w:rsidRPr="0037328A">
              <w:rPr>
                <w:rFonts w:ascii="Times New Roman" w:hAnsi="Times New Roman" w:cs="Times New Roman"/>
                <w:b/>
                <w:color w:val="002060"/>
                <w:sz w:val="24"/>
                <w:szCs w:val="24"/>
              </w:rPr>
              <w:t>subsidētā nodarbinātība</w:t>
            </w:r>
            <w:r w:rsidRPr="0037328A">
              <w:rPr>
                <w:rFonts w:ascii="Times New Roman" w:hAnsi="Times New Roman" w:cs="Times New Roman"/>
                <w:color w:val="002060"/>
                <w:sz w:val="24"/>
                <w:szCs w:val="24"/>
              </w:rPr>
              <w:t xml:space="preserve"> </w:t>
            </w:r>
            <w:r w:rsidRPr="0015154B">
              <w:rPr>
                <w:rFonts w:ascii="Times New Roman" w:hAnsi="Times New Roman" w:cs="Times New Roman"/>
                <w:sz w:val="24"/>
                <w:szCs w:val="24"/>
              </w:rPr>
              <w:t>(valsts līdzfinansētās darbvietas</w:t>
            </w:r>
            <w:r w:rsidR="00865001">
              <w:rPr>
                <w:rFonts w:ascii="Times New Roman" w:hAnsi="Times New Roman" w:cs="Times New Roman"/>
                <w:sz w:val="24"/>
                <w:szCs w:val="24"/>
              </w:rPr>
              <w:t>,</w:t>
            </w:r>
            <w:r w:rsidRPr="0015154B">
              <w:rPr>
                <w:rFonts w:ascii="Times New Roman" w:hAnsi="Times New Roman" w:cs="Times New Roman"/>
                <w:sz w:val="24"/>
                <w:szCs w:val="24"/>
              </w:rPr>
              <w:t xml:space="preserve"> nodrošinot algu subsīdijas uz noteiktu laiku bezdarbniekiem ar invaliditāti, jauniešiem - bezdarbniekiem u.c.)</w:t>
            </w:r>
          </w:p>
        </w:tc>
      </w:tr>
      <w:tr w:rsidR="00AF0D28" w14:paraId="1FBD76BD" w14:textId="77777777" w:rsidTr="0037328A">
        <w:tc>
          <w:tcPr>
            <w:tcW w:w="9061" w:type="dxa"/>
          </w:tcPr>
          <w:p w14:paraId="32F297FC" w14:textId="68E72E12" w:rsidR="00AF0D28" w:rsidRDefault="0037328A" w:rsidP="0037328A">
            <w:pPr>
              <w:autoSpaceDE w:val="0"/>
              <w:autoSpaceDN w:val="0"/>
              <w:adjustRightInd w:val="0"/>
              <w:spacing w:before="120" w:after="120"/>
              <w:jc w:val="both"/>
              <w:rPr>
                <w:rFonts w:ascii="Times New Roman" w:hAnsi="Times New Roman" w:cs="Times New Roman"/>
                <w:sz w:val="24"/>
                <w:szCs w:val="24"/>
              </w:rPr>
            </w:pPr>
            <w:r w:rsidRPr="0015154B">
              <w:rPr>
                <w:rFonts w:ascii="Times New Roman" w:hAnsi="Times New Roman" w:cs="Times New Roman"/>
                <w:sz w:val="24"/>
                <w:szCs w:val="24"/>
              </w:rPr>
              <w:t xml:space="preserve">Atbalsts </w:t>
            </w:r>
            <w:r w:rsidRPr="0037328A">
              <w:rPr>
                <w:rFonts w:ascii="Times New Roman" w:hAnsi="Times New Roman" w:cs="Times New Roman"/>
                <w:b/>
                <w:color w:val="002060"/>
                <w:sz w:val="24"/>
                <w:szCs w:val="24"/>
              </w:rPr>
              <w:t>komercdarbības vai pašnodarbinātības</w:t>
            </w:r>
            <w:r w:rsidRPr="0037328A">
              <w:rPr>
                <w:rFonts w:ascii="Times New Roman" w:hAnsi="Times New Roman" w:cs="Times New Roman"/>
                <w:color w:val="002060"/>
                <w:sz w:val="24"/>
                <w:szCs w:val="24"/>
              </w:rPr>
              <w:t xml:space="preserve"> </w:t>
            </w:r>
            <w:r w:rsidRPr="0015154B">
              <w:rPr>
                <w:rFonts w:ascii="Times New Roman" w:hAnsi="Times New Roman" w:cs="Times New Roman"/>
                <w:sz w:val="24"/>
                <w:szCs w:val="24"/>
              </w:rPr>
              <w:t>uzsākšanai</w:t>
            </w:r>
          </w:p>
        </w:tc>
      </w:tr>
      <w:tr w:rsidR="00AF0D28" w14:paraId="6A491002" w14:textId="77777777" w:rsidTr="0037328A">
        <w:tc>
          <w:tcPr>
            <w:tcW w:w="9061" w:type="dxa"/>
          </w:tcPr>
          <w:p w14:paraId="4281027B" w14:textId="4F052F7D" w:rsidR="00AF0D28" w:rsidRDefault="0037328A" w:rsidP="0037328A">
            <w:pPr>
              <w:autoSpaceDE w:val="0"/>
              <w:autoSpaceDN w:val="0"/>
              <w:adjustRightInd w:val="0"/>
              <w:spacing w:before="120" w:after="120"/>
              <w:jc w:val="both"/>
              <w:rPr>
                <w:rFonts w:ascii="Times New Roman" w:hAnsi="Times New Roman" w:cs="Times New Roman"/>
                <w:sz w:val="24"/>
                <w:szCs w:val="24"/>
              </w:rPr>
            </w:pPr>
            <w:r w:rsidRPr="0037328A">
              <w:rPr>
                <w:rFonts w:ascii="Times New Roman" w:hAnsi="Times New Roman" w:cs="Times New Roman"/>
                <w:b/>
                <w:color w:val="002060"/>
                <w:sz w:val="24"/>
                <w:szCs w:val="24"/>
              </w:rPr>
              <w:t>Konkurētspējas paaugstināšanas</w:t>
            </w:r>
            <w:r w:rsidRPr="0037328A">
              <w:rPr>
                <w:rFonts w:ascii="Times New Roman" w:hAnsi="Times New Roman" w:cs="Times New Roman"/>
                <w:color w:val="002060"/>
                <w:sz w:val="24"/>
                <w:szCs w:val="24"/>
              </w:rPr>
              <w:t xml:space="preserve"> </w:t>
            </w:r>
            <w:r w:rsidRPr="0015154B">
              <w:rPr>
                <w:rFonts w:ascii="Times New Roman" w:hAnsi="Times New Roman" w:cs="Times New Roman"/>
                <w:sz w:val="24"/>
                <w:szCs w:val="24"/>
              </w:rPr>
              <w:t>pasākumi (bezdarbnieku un darba meklētāju konkurētspējas veicināšanai darba tirgū, sniedzot attiecīgai vecuma grupai pielāgotas individuālas konsultācijas un grupu nodarbības darba meklēšanas metožu apguvei, darba tirgum nepieciešamo pamatprasmju un iemaņu apguvei)</w:t>
            </w:r>
          </w:p>
        </w:tc>
      </w:tr>
      <w:tr w:rsidR="00AF0D28" w14:paraId="3980EA68" w14:textId="77777777" w:rsidTr="0037328A">
        <w:tc>
          <w:tcPr>
            <w:tcW w:w="9061" w:type="dxa"/>
          </w:tcPr>
          <w:p w14:paraId="0FF80913" w14:textId="3DB0C286" w:rsidR="00AF0D28" w:rsidRDefault="0037328A" w:rsidP="0037328A">
            <w:pPr>
              <w:autoSpaceDE w:val="0"/>
              <w:autoSpaceDN w:val="0"/>
              <w:adjustRightInd w:val="0"/>
              <w:spacing w:before="120" w:after="120"/>
              <w:jc w:val="both"/>
              <w:rPr>
                <w:rFonts w:ascii="Times New Roman" w:hAnsi="Times New Roman" w:cs="Times New Roman"/>
                <w:sz w:val="24"/>
                <w:szCs w:val="24"/>
              </w:rPr>
            </w:pPr>
            <w:r w:rsidRPr="0037328A">
              <w:rPr>
                <w:rFonts w:ascii="Times New Roman" w:hAnsi="Times New Roman" w:cs="Times New Roman"/>
                <w:b/>
                <w:color w:val="002060"/>
                <w:sz w:val="24"/>
                <w:szCs w:val="24"/>
              </w:rPr>
              <w:t>Karjeras konsultācijas</w:t>
            </w:r>
            <w:r w:rsidRPr="0037328A">
              <w:rPr>
                <w:rFonts w:ascii="Times New Roman" w:hAnsi="Times New Roman" w:cs="Times New Roman"/>
                <w:color w:val="002060"/>
                <w:sz w:val="24"/>
                <w:szCs w:val="24"/>
              </w:rPr>
              <w:t xml:space="preserve"> </w:t>
            </w:r>
            <w:r w:rsidRPr="0015154B">
              <w:rPr>
                <w:rFonts w:ascii="Times New Roman" w:hAnsi="Times New Roman" w:cs="Times New Roman"/>
                <w:sz w:val="24"/>
                <w:szCs w:val="24"/>
              </w:rPr>
              <w:t>(klientu izglītošanai karjeras izvēles un plānošanas jautājumos, profesionālās piemērotības noteikšanai, apmācības spēju izvērtējumam pirms iesaistīšanās pārkvalifikācijas pasākumos, kā arī psiholoģiska atbalsta sniegšanai)</w:t>
            </w:r>
          </w:p>
        </w:tc>
      </w:tr>
      <w:tr w:rsidR="00AF0D28" w14:paraId="12CAB685" w14:textId="77777777" w:rsidTr="0037328A">
        <w:tc>
          <w:tcPr>
            <w:tcW w:w="9061" w:type="dxa"/>
          </w:tcPr>
          <w:p w14:paraId="21AD5CB8" w14:textId="4CAD03D7" w:rsidR="00AF0D28" w:rsidRDefault="0037328A" w:rsidP="0037328A">
            <w:pPr>
              <w:autoSpaceDE w:val="0"/>
              <w:autoSpaceDN w:val="0"/>
              <w:adjustRightInd w:val="0"/>
              <w:spacing w:before="120" w:after="120"/>
              <w:jc w:val="both"/>
              <w:rPr>
                <w:rFonts w:ascii="Times New Roman" w:hAnsi="Times New Roman" w:cs="Times New Roman"/>
                <w:sz w:val="24"/>
                <w:szCs w:val="24"/>
              </w:rPr>
            </w:pPr>
            <w:r w:rsidRPr="0037328A">
              <w:rPr>
                <w:rFonts w:ascii="Times New Roman" w:hAnsi="Times New Roman" w:cs="Times New Roman"/>
                <w:b/>
                <w:color w:val="002060"/>
                <w:sz w:val="24"/>
                <w:szCs w:val="24"/>
              </w:rPr>
              <w:t>Apmācības</w:t>
            </w:r>
            <w:r w:rsidRPr="0037328A">
              <w:rPr>
                <w:rFonts w:ascii="Times New Roman" w:hAnsi="Times New Roman" w:cs="Times New Roman"/>
                <w:color w:val="002060"/>
                <w:sz w:val="24"/>
                <w:szCs w:val="24"/>
              </w:rPr>
              <w:t xml:space="preserve"> </w:t>
            </w:r>
            <w:r w:rsidRPr="0015154B">
              <w:rPr>
                <w:rFonts w:ascii="Times New Roman" w:hAnsi="Times New Roman" w:cs="Times New Roman"/>
                <w:sz w:val="24"/>
                <w:szCs w:val="24"/>
              </w:rPr>
              <w:t>nodarbinātām personām</w:t>
            </w:r>
          </w:p>
        </w:tc>
      </w:tr>
      <w:tr w:rsidR="00AF0D28" w14:paraId="01364323" w14:textId="77777777" w:rsidTr="0037328A">
        <w:tc>
          <w:tcPr>
            <w:tcW w:w="9061" w:type="dxa"/>
          </w:tcPr>
          <w:p w14:paraId="05C8BE39" w14:textId="5846CBB7" w:rsidR="00AF0D28" w:rsidRDefault="0037328A" w:rsidP="0037328A">
            <w:pPr>
              <w:autoSpaceDE w:val="0"/>
              <w:autoSpaceDN w:val="0"/>
              <w:adjustRightInd w:val="0"/>
              <w:spacing w:before="120" w:after="120"/>
              <w:jc w:val="both"/>
              <w:rPr>
                <w:rFonts w:ascii="Times New Roman" w:hAnsi="Times New Roman" w:cs="Times New Roman"/>
                <w:sz w:val="24"/>
                <w:szCs w:val="24"/>
              </w:rPr>
            </w:pPr>
            <w:r w:rsidRPr="0037328A">
              <w:rPr>
                <w:rFonts w:ascii="Times New Roman" w:hAnsi="Times New Roman" w:cs="Times New Roman"/>
                <w:b/>
                <w:color w:val="002060"/>
                <w:sz w:val="24"/>
                <w:szCs w:val="24"/>
              </w:rPr>
              <w:t>Atbalsts darba meklējumos</w:t>
            </w:r>
            <w:r w:rsidRPr="0037328A">
              <w:rPr>
                <w:rFonts w:ascii="Times New Roman" w:hAnsi="Times New Roman" w:cs="Times New Roman"/>
                <w:color w:val="002060"/>
                <w:sz w:val="24"/>
                <w:szCs w:val="24"/>
              </w:rPr>
              <w:t xml:space="preserve"> </w:t>
            </w:r>
            <w:r w:rsidRPr="0015154B">
              <w:rPr>
                <w:rFonts w:ascii="Times New Roman" w:hAnsi="Times New Roman" w:cs="Times New Roman"/>
                <w:sz w:val="24"/>
                <w:szCs w:val="24"/>
              </w:rPr>
              <w:t>un uzlabota sadarbība ar darba devējiem, akcentējot potenciālā darbinieka prasmes un spējas</w:t>
            </w:r>
          </w:p>
        </w:tc>
      </w:tr>
    </w:tbl>
    <w:p w14:paraId="58D37B59" w14:textId="77777777" w:rsidR="0037328A" w:rsidRDefault="0037328A" w:rsidP="00724B79">
      <w:pPr>
        <w:autoSpaceDE w:val="0"/>
        <w:autoSpaceDN w:val="0"/>
        <w:adjustRightInd w:val="0"/>
        <w:spacing w:before="120" w:after="0" w:line="240" w:lineRule="auto"/>
        <w:ind w:firstLine="720"/>
        <w:jc w:val="both"/>
        <w:rPr>
          <w:rFonts w:ascii="Times New Roman" w:hAnsi="Times New Roman" w:cs="Times New Roman"/>
          <w:sz w:val="24"/>
          <w:szCs w:val="24"/>
        </w:rPr>
      </w:pPr>
    </w:p>
    <w:p w14:paraId="680888FE" w14:textId="0BAEF2C9" w:rsidR="00FE1751" w:rsidRPr="0015154B" w:rsidRDefault="00FE1751" w:rsidP="00724B79">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lastRenderedPageBreak/>
        <w:t>2019. gadā ADTP piedalījās 74 606 unikālās personas, savukārt dalību skaits sasniedza 176 825 (dalību skaits vienā vai vairākos pasākumos). ADTP pasākumiem izlietoti 31,6 milj. eiro (2014. gadā - 38,4 milj. eiro, 2015. gadā - 26 milj. eiro, 2016. gadā – 34,3 milj. eiro, 2017.</w:t>
      </w:r>
      <w:r w:rsidR="0037328A">
        <w:rPr>
          <w:rFonts w:ascii="Times New Roman" w:hAnsi="Times New Roman" w:cs="Times New Roman"/>
          <w:sz w:val="24"/>
          <w:szCs w:val="24"/>
        </w:rPr>
        <w:t> </w:t>
      </w:r>
      <w:r w:rsidRPr="0015154B">
        <w:rPr>
          <w:rFonts w:ascii="Times New Roman" w:hAnsi="Times New Roman" w:cs="Times New Roman"/>
          <w:sz w:val="24"/>
          <w:szCs w:val="24"/>
        </w:rPr>
        <w:t>gadā - 39,5 milj. eiro, 2018. gadā – 38,7 milj. eiro), t.sk., ESF līdzfinansējums. 2019.</w:t>
      </w:r>
      <w:r w:rsidR="0037328A">
        <w:rPr>
          <w:rFonts w:ascii="Times New Roman" w:hAnsi="Times New Roman" w:cs="Times New Roman"/>
          <w:sz w:val="24"/>
          <w:szCs w:val="24"/>
        </w:rPr>
        <w:t> </w:t>
      </w:r>
      <w:r w:rsidRPr="0015154B">
        <w:rPr>
          <w:rFonts w:ascii="Times New Roman" w:hAnsi="Times New Roman" w:cs="Times New Roman"/>
          <w:sz w:val="24"/>
          <w:szCs w:val="24"/>
        </w:rPr>
        <w:t>gada janvārī – decembrī darbā iekārtojušies 63 734  bezdarbnieki, no kuriem 18 490 (29%) ir iekārtojušies darbā pēc kāda NVA aktīvā nodarbinātības pasākuma pabeigšanas (izņemot konkurētspējas paaugstināšanas pasākumu (turpmāk – KPP) informatīvās dienas).</w:t>
      </w:r>
    </w:p>
    <w:p w14:paraId="013593E1" w14:textId="3F1CAA7D" w:rsidR="00FE1751" w:rsidRPr="0015154B" w:rsidRDefault="00FE1751" w:rsidP="00724B79">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NVA īstenotie pasākumi ir palīdzējuši mazināt gan bezdarbnieku skaitu mērķa grupās, gan vispārējo bezdarbu. ADTP pasākumi, kas ir vērsti uz ilgstošo bezdarbnieku problēmu risināšanu, ir mazinājuši sociālo spriedzi, kā arī palīdzējuši saglabāt darba prasmes cilvēkiem, kas nav varējuši ātri atgriezties darba tirgū. 2019. gada 12 mēnešos NVA organizētajos aktīvajos nodarbinātības pasākumos (t.sk. KPP) piedalījās 35 331 </w:t>
      </w:r>
      <w:r w:rsidRPr="0015154B">
        <w:rPr>
          <w:rFonts w:ascii="Times New Roman" w:hAnsi="Times New Roman" w:cs="Times New Roman"/>
          <w:b/>
          <w:sz w:val="24"/>
          <w:szCs w:val="24"/>
        </w:rPr>
        <w:t>ilgstošie bezdarbnieki</w:t>
      </w:r>
      <w:r w:rsidRPr="0015154B">
        <w:rPr>
          <w:rFonts w:ascii="Times New Roman" w:hAnsi="Times New Roman" w:cs="Times New Roman"/>
          <w:sz w:val="24"/>
          <w:szCs w:val="24"/>
        </w:rPr>
        <w:t xml:space="preserve"> (viens bezdarbnieks var būt piedalījies vairākās aktivitātēs). Par ADTP pasākumu pozitīvajiem rezultātiem ilgstošo bezdarbnieku mērķa grupai liecina arī fakts, ka 64,7 % jeb 6 737 no visiem ilgstošajiem bezdarbniekiem, kas 2019. gadā ir iekārtojušies darbā (10 405 ilgstošie bezdarbnieki), ir iekārtojušies darbā pēc kāda aktīvā pasākuma pabeigšanas (izņemot KPP informatīvās dienas).</w:t>
      </w:r>
    </w:p>
    <w:p w14:paraId="7F76D74E" w14:textId="667B95E2" w:rsidR="00FE1751" w:rsidRPr="0015154B" w:rsidRDefault="00FE1751" w:rsidP="00724B79">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2019.gadā ADTP pasākumos (t.sk. KPP) piedalījās 38 164 bezdarbnieki </w:t>
      </w:r>
      <w:r w:rsidRPr="0015154B">
        <w:rPr>
          <w:rFonts w:ascii="Times New Roman" w:hAnsi="Times New Roman" w:cs="Times New Roman"/>
          <w:b/>
          <w:sz w:val="24"/>
          <w:szCs w:val="24"/>
        </w:rPr>
        <w:t>vecumā 50 gadi un vairāk</w:t>
      </w:r>
      <w:r w:rsidRPr="0015154B">
        <w:rPr>
          <w:rFonts w:ascii="Times New Roman" w:hAnsi="Times New Roman" w:cs="Times New Roman"/>
          <w:sz w:val="24"/>
          <w:szCs w:val="24"/>
        </w:rPr>
        <w:t>. Gados vecāki reģistrētie bezdarbnieki visvairāk iesaistās KPP, ADTP pasākumā „Algoti pagaidu sabiedriskie darbi”, kas palīdz uzturēt darba iemaņas, un neformālās un profesionālās izglītības apguvē, tādējādi pielāgojoties darba tirgus mainīgajām prasībām un paaugstinot savas iespējas integrēties darba tirgū. 2019. gada janvārī – decembrī darbā iekārtojās 16 730 bezdarbnieki vecumā 50 gadi un vairāk, no kuriem 4 678 (28%) ir iekārtojušies darbā pēc kāda aktīvā pasākuma pabeigšanas (izņemot KPP informatīvās dienas).</w:t>
      </w:r>
    </w:p>
    <w:p w14:paraId="0D2ED0DD" w14:textId="4B18E4B4" w:rsidR="00FE1751" w:rsidRPr="0015154B" w:rsidRDefault="00FE1751" w:rsidP="00724B79">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Savukārt uz personām ar invaliditāti vērstie ADTP pasākumi ir veicinājuši šo bezdarbnieku grupas iekļaušanos sabiedrībā un darba tirgū, ļaujot izprast darba tirgus prasības un sekmējot iekārtošanos pastāvīgā darbā, par ko liecina arī statistika – 2019. gada 12 mēnešos darbā iekārtojās 4 100 personas ar invaliditāti, no kurām 1 469 (35,8%) ir iekārtojušās darbā pēc kāda aktīvā NVA pasākuma pabeigšanas (izņemot KPP informatīvās dienas). Bezdarbniekiem ar invaliditāti nepieciešamības gadījumā tiek piešķirtas vienreizējas dotācijas apmācību vai darba vietas pielāgošanai personas ar invaliditāti vajadzībām, segtas asistentu pakalpojumu izmaksas, kas saistītas ar nokļūšanu līdz mācību, prakses vai darba vietai, kā arī tiek segtas surdotulku, ergoterapeitu un citu speciālistu pakalpojumu izmaksas. 2019. gadā NVA organizētajos aktīvajos nodarbinātības pasākumos piedalījās 16</w:t>
      </w:r>
      <w:r w:rsidR="0037328A">
        <w:rPr>
          <w:rFonts w:ascii="Times New Roman" w:hAnsi="Times New Roman" w:cs="Times New Roman"/>
          <w:sz w:val="24"/>
          <w:szCs w:val="24"/>
        </w:rPr>
        <w:t> </w:t>
      </w:r>
      <w:r w:rsidRPr="0015154B">
        <w:rPr>
          <w:rFonts w:ascii="Times New Roman" w:hAnsi="Times New Roman" w:cs="Times New Roman"/>
          <w:sz w:val="24"/>
          <w:szCs w:val="24"/>
        </w:rPr>
        <w:t>284 bezdarbnieki ar invaliditāti.</w:t>
      </w:r>
    </w:p>
    <w:p w14:paraId="580F6129" w14:textId="3FE244F1" w:rsidR="00FE1751" w:rsidRPr="0015154B" w:rsidRDefault="00FE1751" w:rsidP="00724B79">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2019.gada 12 mēnešos NVA organizētajos pasākumos (t.sk. KPP) piedalījās 7 948 </w:t>
      </w:r>
      <w:r w:rsidRPr="0015154B">
        <w:rPr>
          <w:rFonts w:ascii="Times New Roman" w:hAnsi="Times New Roman" w:cs="Times New Roman"/>
          <w:b/>
          <w:sz w:val="24"/>
          <w:szCs w:val="24"/>
        </w:rPr>
        <w:t>jaunieši</w:t>
      </w:r>
      <w:r w:rsidRPr="0015154B">
        <w:rPr>
          <w:rFonts w:ascii="Times New Roman" w:hAnsi="Times New Roman" w:cs="Times New Roman"/>
          <w:sz w:val="24"/>
          <w:szCs w:val="24"/>
        </w:rPr>
        <w:t xml:space="preserve"> (15 – 29 gadi) bezdarbnieki (dalību skaits, kur viens cilvēks var būt piedalījies vairākās aktivitātēs). 2019. gada 12 mēnešos darbā iekārtojās 15 695 bezdarbnieku (15-29), no kuriem 4 373 (27,9%) jaunieši bezdarbnieki ir iekārtojušies darbā pēc kāda aktīvā NVA pasākuma pabeigšanas (izņemot KPP informatīvās dienas). Jaunieši sadarbībā ar NVA karjeras konsultantu un citiem speciālistiem var noskaidrot savas stiprās puses, saņemt informāciju par Latvijā pieejamām darbavietām, iegūt jaunas prasmes un pirmo darba pieredzi, kā arī saņemt atbalstu uzņēmējdarbības uzsākšanai. Dalība piemērotu pasākumu iesaistē tiek noteikta, balstoties uz profilēšanas rezultātiem, t.sk., ņemot vērā jaunieša iepriekšējo pieredzi darba tirgū, iegūto izglītību, kā arī iemaņu un prasmju līmeni, motivāciju. Pieteikties atbalsta saņemšanai ir iespējams NVA 25 filiālēs visā Latvijā.</w:t>
      </w:r>
    </w:p>
    <w:p w14:paraId="225EF6DB" w14:textId="3BA0BA25" w:rsidR="00FE1751" w:rsidRPr="0015154B"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Calibri" w:hAnsi="Times New Roman"/>
          <w:b/>
          <w:iCs/>
          <w:color w:val="000000"/>
          <w:sz w:val="24"/>
          <w:szCs w:val="24"/>
        </w:rPr>
        <w:t>Bezdarbnieku mācību pasākumi</w:t>
      </w:r>
      <w:r w:rsidRPr="0015154B">
        <w:rPr>
          <w:rFonts w:ascii="Times New Roman" w:eastAsia="Calibri" w:hAnsi="Times New Roman"/>
          <w:iCs/>
          <w:color w:val="000000"/>
          <w:sz w:val="24"/>
          <w:szCs w:val="24"/>
        </w:rPr>
        <w:t xml:space="preserve"> ir visplašāk īstenojamie aktīvās darba tirgus politikas pasākumi kā ES dalībvalstīs, tā Latvijā. </w:t>
      </w:r>
      <w:r w:rsidRPr="0015154B">
        <w:rPr>
          <w:rFonts w:ascii="Times New Roman" w:eastAsia="Calibri" w:hAnsi="Times New Roman" w:cs="Times New Roman"/>
          <w:iCs/>
          <w:color w:val="000000"/>
          <w:sz w:val="24"/>
          <w:szCs w:val="24"/>
        </w:rPr>
        <w:t xml:space="preserve">NVA prasmju pilnveides un pārkvalifikācijas mācību </w:t>
      </w:r>
      <w:r w:rsidRPr="0015154B">
        <w:rPr>
          <w:rFonts w:ascii="Times New Roman" w:eastAsia="Calibri" w:hAnsi="Times New Roman" w:cs="Times New Roman"/>
          <w:iCs/>
          <w:color w:val="000000"/>
          <w:sz w:val="24"/>
          <w:szCs w:val="24"/>
        </w:rPr>
        <w:lastRenderedPageBreak/>
        <w:t xml:space="preserve">piedāvājumu nosaka LM </w:t>
      </w:r>
      <w:r w:rsidR="0037328A">
        <w:rPr>
          <w:rFonts w:ascii="Times New Roman" w:eastAsia="Calibri" w:hAnsi="Times New Roman" w:cs="Times New Roman"/>
          <w:iCs/>
          <w:color w:val="000000"/>
          <w:sz w:val="24"/>
          <w:szCs w:val="24"/>
        </w:rPr>
        <w:t xml:space="preserve">organizētā </w:t>
      </w:r>
      <w:r w:rsidRPr="0015154B">
        <w:rPr>
          <w:rFonts w:ascii="Times New Roman" w:eastAsia="Calibri" w:hAnsi="Times New Roman" w:cs="Times New Roman"/>
          <w:iCs/>
          <w:color w:val="000000"/>
          <w:sz w:val="24"/>
          <w:szCs w:val="24"/>
        </w:rPr>
        <w:t>Apmācību komisija, kas darbojas gandrīz 10 gadus.</w:t>
      </w:r>
      <w:r w:rsidR="00910436">
        <w:rPr>
          <w:rStyle w:val="FootnoteReference"/>
          <w:rFonts w:ascii="Times New Roman" w:eastAsia="Calibri" w:hAnsi="Times New Roman" w:cs="Times New Roman"/>
          <w:iCs/>
          <w:color w:val="000000"/>
          <w:sz w:val="24"/>
          <w:szCs w:val="24"/>
        </w:rPr>
        <w:footnoteReference w:id="163"/>
      </w:r>
      <w:r w:rsidRPr="0015154B">
        <w:rPr>
          <w:rFonts w:ascii="Times New Roman" w:eastAsia="Calibri" w:hAnsi="Times New Roman" w:cs="Times New Roman"/>
          <w:iCs/>
          <w:color w:val="000000"/>
          <w:sz w:val="24"/>
          <w:szCs w:val="24"/>
        </w:rPr>
        <w:t xml:space="preserve"> Apmācību komisija par bezdarbnieku mācību vajadzībām lēmumus pieņem uz pierādījumiem balstītas analīzes pamata</w:t>
      </w:r>
      <w:r w:rsidR="003022D1" w:rsidRPr="0015154B">
        <w:rPr>
          <w:rFonts w:ascii="Times New Roman" w:eastAsia="Calibri" w:hAnsi="Times New Roman" w:cs="Times New Roman"/>
          <w:iCs/>
          <w:color w:val="000000"/>
          <w:sz w:val="24"/>
          <w:szCs w:val="24"/>
        </w:rPr>
        <w:t xml:space="preserve"> -</w:t>
      </w:r>
      <w:r w:rsidRPr="0015154B">
        <w:rPr>
          <w:rFonts w:ascii="Times New Roman" w:eastAsia="Calibri" w:hAnsi="Times New Roman" w:cs="Times New Roman"/>
          <w:iCs/>
          <w:color w:val="000000"/>
          <w:sz w:val="24"/>
          <w:szCs w:val="24"/>
        </w:rPr>
        <w:t xml:space="preserve"> NVA statistik</w:t>
      </w:r>
      <w:r w:rsidR="003022D1" w:rsidRPr="0015154B">
        <w:rPr>
          <w:rFonts w:ascii="Times New Roman" w:eastAsia="Calibri" w:hAnsi="Times New Roman" w:cs="Times New Roman"/>
          <w:iCs/>
          <w:color w:val="000000"/>
          <w:sz w:val="24"/>
          <w:szCs w:val="24"/>
        </w:rPr>
        <w:t>u</w:t>
      </w:r>
      <w:r w:rsidRPr="0015154B">
        <w:rPr>
          <w:rFonts w:ascii="Times New Roman" w:eastAsia="Calibri" w:hAnsi="Times New Roman" w:cs="Times New Roman"/>
          <w:iCs/>
          <w:color w:val="000000"/>
          <w:sz w:val="24"/>
          <w:szCs w:val="24"/>
        </w:rPr>
        <w:t xml:space="preserve"> par NVA klientu iesaisti mācībās, vakancēm, pieteiktajām brīvajām darba vietām, klientu profilu, klientu izteiktajām vēlmēm, darbā iekārtošanos, īstermiņa darba tirgus prognoz</w:t>
      </w:r>
      <w:r w:rsidR="003022D1" w:rsidRPr="0015154B">
        <w:rPr>
          <w:rFonts w:ascii="Times New Roman" w:eastAsia="Calibri" w:hAnsi="Times New Roman" w:cs="Times New Roman"/>
          <w:iCs/>
          <w:color w:val="000000"/>
          <w:sz w:val="24"/>
          <w:szCs w:val="24"/>
        </w:rPr>
        <w:t>ēm</w:t>
      </w:r>
      <w:r w:rsidRPr="0015154B">
        <w:rPr>
          <w:rFonts w:ascii="Times New Roman" w:eastAsia="Calibri" w:hAnsi="Times New Roman" w:cs="Times New Roman"/>
          <w:iCs/>
          <w:color w:val="000000"/>
          <w:sz w:val="24"/>
          <w:szCs w:val="24"/>
        </w:rPr>
        <w:t xml:space="preserve"> un prognoz</w:t>
      </w:r>
      <w:r w:rsidR="003022D1" w:rsidRPr="0015154B">
        <w:rPr>
          <w:rFonts w:ascii="Times New Roman" w:eastAsia="Calibri" w:hAnsi="Times New Roman" w:cs="Times New Roman"/>
          <w:iCs/>
          <w:color w:val="000000"/>
          <w:sz w:val="24"/>
          <w:szCs w:val="24"/>
        </w:rPr>
        <w:t>ēm</w:t>
      </w:r>
      <w:r w:rsidRPr="0015154B">
        <w:rPr>
          <w:rFonts w:ascii="Times New Roman" w:eastAsia="Calibri" w:hAnsi="Times New Roman" w:cs="Times New Roman"/>
          <w:iCs/>
          <w:color w:val="000000"/>
          <w:sz w:val="24"/>
          <w:szCs w:val="24"/>
        </w:rPr>
        <w:t xml:space="preserve"> vidējā un ilgtermiņā. </w:t>
      </w:r>
      <w:r w:rsidR="003022D1" w:rsidRPr="0015154B">
        <w:rPr>
          <w:rFonts w:ascii="Times New Roman" w:eastAsia="Calibri" w:hAnsi="Times New Roman" w:cs="Times New Roman"/>
          <w:iCs/>
          <w:color w:val="000000"/>
          <w:sz w:val="24"/>
          <w:szCs w:val="24"/>
        </w:rPr>
        <w:t xml:space="preserve">Līdztekus tiek vērtēta arī kopējā </w:t>
      </w:r>
      <w:r w:rsidR="00D9595F" w:rsidRPr="0015154B">
        <w:rPr>
          <w:rFonts w:ascii="Times New Roman" w:eastAsia="Calibri" w:hAnsi="Times New Roman" w:cs="Times New Roman"/>
          <w:iCs/>
          <w:color w:val="000000"/>
          <w:sz w:val="24"/>
          <w:szCs w:val="24"/>
        </w:rPr>
        <w:t>sociāli ekonomiskā</w:t>
      </w:r>
      <w:r w:rsidR="003022D1" w:rsidRPr="0015154B">
        <w:rPr>
          <w:rFonts w:ascii="Times New Roman" w:eastAsia="Calibri" w:hAnsi="Times New Roman" w:cs="Times New Roman"/>
          <w:iCs/>
          <w:color w:val="000000"/>
          <w:sz w:val="24"/>
          <w:szCs w:val="24"/>
        </w:rPr>
        <w:t xml:space="preserve"> situācija, akcentējot mācību atbalstu tām sabiedrības grupām, kurām iesaiste pārkvalifikācijā un prasmju pilnveidē ir visvairāk nepieciešama (ar zemu vai darba tirgum nepietiekamu izglītības līmeni, sociālās atstumtības riskam pakļautie, personas ar invaliditāti, 50+ u.c.). </w:t>
      </w:r>
      <w:r w:rsidRPr="0015154B">
        <w:rPr>
          <w:rFonts w:ascii="Times New Roman" w:eastAsia="Calibri" w:hAnsi="Times New Roman" w:cs="Times New Roman"/>
          <w:iCs/>
          <w:color w:val="000000"/>
          <w:sz w:val="24"/>
          <w:szCs w:val="24"/>
        </w:rPr>
        <w:t xml:space="preserve">Līdz ar to katru gadu mainās arī mācību programmu piedāvājums, tādējādi to uzturot kā aktuālo darba tirgus vajadzībām. LM un NVA arī tieši uzņemas atbildību par tās īstenotajiem pasākumiem (līdzīgi kā tas ir citās ES dalībvalstīs, kur to nodarbinātības dienestu funkcijās ietilpst noteikt vislabāko un piemērotāko atbalstu, lai klientus pēc iespējas ātrāk atgrieztu darba tirgū). Aktīvās nodarbinātības pasākumi pēc to būtības atšķiras no pieaugušo izglītības, </w:t>
      </w:r>
      <w:r w:rsidR="00335E16" w:rsidRPr="0015154B">
        <w:rPr>
          <w:rFonts w:ascii="Times New Roman" w:eastAsia="Calibri" w:hAnsi="Times New Roman" w:cs="Times New Roman"/>
          <w:iCs/>
          <w:color w:val="000000"/>
          <w:sz w:val="24"/>
          <w:szCs w:val="24"/>
        </w:rPr>
        <w:t>kas</w:t>
      </w:r>
      <w:r w:rsidRPr="0015154B">
        <w:rPr>
          <w:rFonts w:ascii="Times New Roman" w:eastAsia="Calibri" w:hAnsi="Times New Roman" w:cs="Times New Roman"/>
          <w:iCs/>
          <w:color w:val="000000"/>
          <w:sz w:val="24"/>
          <w:szCs w:val="24"/>
        </w:rPr>
        <w:t xml:space="preserve"> paredz pilnveidoties mūža garumā, </w:t>
      </w:r>
      <w:r w:rsidR="00335E16" w:rsidRPr="0015154B">
        <w:rPr>
          <w:rFonts w:ascii="Times New Roman" w:eastAsia="Calibri" w:hAnsi="Times New Roman" w:cs="Times New Roman"/>
          <w:iCs/>
          <w:color w:val="000000"/>
          <w:sz w:val="24"/>
          <w:szCs w:val="24"/>
        </w:rPr>
        <w:t>jo</w:t>
      </w:r>
      <w:r w:rsidRPr="0015154B">
        <w:rPr>
          <w:rFonts w:ascii="Times New Roman" w:eastAsia="Calibri" w:hAnsi="Times New Roman" w:cs="Times New Roman"/>
          <w:iCs/>
          <w:color w:val="000000"/>
          <w:sz w:val="24"/>
          <w:szCs w:val="24"/>
        </w:rPr>
        <w:t xml:space="preserve"> NVA mērķis ir atbalsta sniegšana pēc iespējas ātrākai atgriešanai darba tirgū, ņemot vērā esošo darba tirgus situāciju/darba tirgus pieprasījumu</w:t>
      </w:r>
      <w:r w:rsidR="00335E16" w:rsidRPr="0015154B">
        <w:rPr>
          <w:rFonts w:ascii="Times New Roman" w:eastAsia="Calibri" w:hAnsi="Times New Roman" w:cs="Times New Roman"/>
          <w:iCs/>
          <w:color w:val="000000"/>
          <w:sz w:val="24"/>
          <w:szCs w:val="24"/>
        </w:rPr>
        <w:t>.</w:t>
      </w:r>
      <w:r w:rsidRPr="0015154B">
        <w:rPr>
          <w:rFonts w:ascii="Times New Roman" w:eastAsia="Calibri" w:hAnsi="Times New Roman" w:cs="Times New Roman"/>
          <w:iCs/>
          <w:color w:val="000000"/>
          <w:sz w:val="24"/>
          <w:szCs w:val="24"/>
        </w:rPr>
        <w:t xml:space="preserve"> </w:t>
      </w:r>
      <w:r w:rsidR="00335E16" w:rsidRPr="0015154B">
        <w:rPr>
          <w:rFonts w:ascii="Times New Roman" w:eastAsia="Calibri" w:hAnsi="Times New Roman" w:cs="Times New Roman"/>
          <w:iCs/>
          <w:color w:val="000000"/>
          <w:sz w:val="24"/>
          <w:szCs w:val="24"/>
        </w:rPr>
        <w:t>I</w:t>
      </w:r>
      <w:r w:rsidRPr="0015154B">
        <w:rPr>
          <w:rFonts w:ascii="Times New Roman" w:eastAsia="Calibri" w:hAnsi="Times New Roman" w:cs="Times New Roman"/>
          <w:iCs/>
          <w:color w:val="000000"/>
          <w:sz w:val="24"/>
          <w:szCs w:val="24"/>
        </w:rPr>
        <w:t xml:space="preserve">etekmes novērtējumi parāda, ka šai pieejai ir arī labvēlīga ietekme ilgtermiņā (gan attiecībā uz nodarbinātības situāciju, gan algām). </w:t>
      </w:r>
    </w:p>
    <w:p w14:paraId="6211D8F1" w14:textId="1A656BB8" w:rsidR="00FE1751" w:rsidRPr="007157D3"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2019.gadā ESF projektā „Atbalsts bezdarbnieku izglītībai” 3799 bezdarbnieki (ieskaitot jauniešus) iesaistījās jaunas profesijas apguvē vai pilnveidē, savukārt 13</w:t>
      </w:r>
      <w:r w:rsidR="00D9595F" w:rsidRPr="0015154B">
        <w:rPr>
          <w:rFonts w:ascii="Times New Roman" w:eastAsia="Calibri" w:hAnsi="Times New Roman"/>
          <w:iCs/>
          <w:color w:val="000000"/>
          <w:sz w:val="24"/>
          <w:szCs w:val="24"/>
        </w:rPr>
        <w:t xml:space="preserve"> </w:t>
      </w:r>
      <w:r w:rsidRPr="0015154B">
        <w:rPr>
          <w:rFonts w:ascii="Times New Roman" w:eastAsia="Calibri" w:hAnsi="Times New Roman"/>
          <w:iCs/>
          <w:color w:val="000000"/>
          <w:sz w:val="24"/>
          <w:szCs w:val="24"/>
        </w:rPr>
        <w:t xml:space="preserve">051 persona apguva  darba tirgum nepieciešamās pamatprasmes (valodas, datori, transportlīdzekļu dažādas kategorijas). No 2018.gada 1.jūlija līdz 2019.gada 30.jūnijam dalību profesionālās apmācības ietvaros pabeidza (ieskaitot jauniešus) 3363 bezdarbnieki, uzrādot salīdzinoši  augstu darbā iekārtošanās rādītāju – 43,4 % jeb 1459 bezdarbnieki iekārtojās darbā pirmo 6 mēnešu laikā pēc mācību pabeigšanas </w:t>
      </w:r>
      <w:r w:rsidRPr="0015154B">
        <w:rPr>
          <w:rFonts w:ascii="Times New Roman" w:eastAsia="Calibri" w:hAnsi="Times New Roman" w:cs="Times New Roman"/>
          <w:iCs/>
          <w:color w:val="000000"/>
          <w:sz w:val="24"/>
          <w:szCs w:val="24"/>
        </w:rPr>
        <w:t>(plašāka statistika par bezdarbnieku ikgadējo iesaisti NVA organizētajās mācībās ir pieejama katru gadu aktualizētajā LM informatīvajā ziņojumā par „Par bezdarbnieku un darba meklētāju apmācību rezultātiem un prioritārajiem apmācību virzieniem 2020.gadā"</w:t>
      </w:r>
      <w:r w:rsidR="00D9595F" w:rsidRPr="0015154B">
        <w:rPr>
          <w:rFonts w:ascii="Times New Roman" w:eastAsia="Calibri" w:hAnsi="Times New Roman" w:cs="Times New Roman"/>
          <w:iCs/>
          <w:color w:val="000000"/>
          <w:sz w:val="24"/>
          <w:szCs w:val="24"/>
        </w:rPr>
        <w:t>.</w:t>
      </w:r>
      <w:r w:rsidRPr="007157D3">
        <w:rPr>
          <w:rStyle w:val="FootnoteReference"/>
          <w:rFonts w:ascii="Times New Roman" w:eastAsia="Calibri" w:hAnsi="Times New Roman" w:cs="Times New Roman"/>
          <w:iCs/>
          <w:color w:val="000000"/>
          <w:sz w:val="24"/>
          <w:szCs w:val="24"/>
        </w:rPr>
        <w:footnoteReference w:id="164"/>
      </w:r>
    </w:p>
    <w:p w14:paraId="61BC9347" w14:textId="4EF5EEB1" w:rsidR="00FE1751" w:rsidRPr="009703E6" w:rsidRDefault="00FE1751" w:rsidP="00724B79">
      <w:pPr>
        <w:spacing w:before="120" w:after="0" w:line="240" w:lineRule="auto"/>
        <w:ind w:firstLine="720"/>
        <w:jc w:val="both"/>
        <w:rPr>
          <w:rFonts w:ascii="Times New Roman" w:eastAsia="Calibri" w:hAnsi="Times New Roman"/>
          <w:iCs/>
          <w:color w:val="000000"/>
          <w:sz w:val="24"/>
          <w:szCs w:val="24"/>
        </w:rPr>
      </w:pPr>
      <w:r w:rsidRPr="007157D3">
        <w:rPr>
          <w:rFonts w:ascii="Times New Roman" w:eastAsia="Calibri" w:hAnsi="Times New Roman"/>
          <w:iCs/>
          <w:color w:val="000000"/>
          <w:sz w:val="24"/>
          <w:szCs w:val="24"/>
        </w:rPr>
        <w:t xml:space="preserve">NVA un darba devēju sadarbības rezultātā 2018.gadā vērojams </w:t>
      </w:r>
      <w:r w:rsidR="00D9595F" w:rsidRPr="007157D3">
        <w:rPr>
          <w:rFonts w:ascii="Times New Roman" w:eastAsia="Calibri" w:hAnsi="Times New Roman"/>
          <w:iCs/>
          <w:color w:val="000000"/>
          <w:sz w:val="24"/>
          <w:szCs w:val="24"/>
        </w:rPr>
        <w:t xml:space="preserve">pasākumā </w:t>
      </w:r>
      <w:r w:rsidRPr="007157D3">
        <w:rPr>
          <w:rFonts w:ascii="Times New Roman" w:eastAsia="Calibri" w:hAnsi="Times New Roman"/>
          <w:iCs/>
          <w:color w:val="000000"/>
          <w:sz w:val="24"/>
          <w:szCs w:val="24"/>
        </w:rPr>
        <w:t>“Apmācībā pie darba devēja</w:t>
      </w:r>
      <w:r w:rsidR="00D9595F" w:rsidRPr="002F5278">
        <w:rPr>
          <w:rFonts w:ascii="Times New Roman" w:eastAsia="Calibri" w:hAnsi="Times New Roman"/>
          <w:iCs/>
          <w:color w:val="000000"/>
          <w:sz w:val="24"/>
          <w:szCs w:val="24"/>
        </w:rPr>
        <w:t>”</w:t>
      </w:r>
      <w:r w:rsidRPr="00573B49">
        <w:rPr>
          <w:rFonts w:ascii="Times New Roman" w:eastAsia="Calibri" w:hAnsi="Times New Roman"/>
          <w:iCs/>
          <w:color w:val="000000"/>
          <w:sz w:val="24"/>
          <w:szCs w:val="24"/>
        </w:rPr>
        <w:t xml:space="preserve"> (bezdarbnieka praktiskā apmācība uzņēmumā uz vietas) iesaistīto skaita pieaugums. Tomēr pasākumiem, kas vērsti uz darba devēju iesaisti bezdarbnieku pārkvalificēšanā un praktiskā apmācībā uzņēmumā uz vietas, saglabājas neizmantots potenciāls, jo īpaši reaģējot uz Covid-19 izraisīto ietekmi</w:t>
      </w:r>
      <w:r w:rsidR="00D9595F" w:rsidRPr="0025422D">
        <w:rPr>
          <w:rFonts w:ascii="Times New Roman" w:eastAsia="Calibri" w:hAnsi="Times New Roman"/>
          <w:iCs/>
          <w:color w:val="000000"/>
          <w:sz w:val="24"/>
          <w:szCs w:val="24"/>
        </w:rPr>
        <w:t>.</w:t>
      </w:r>
      <w:r w:rsidRPr="00A857F2">
        <w:rPr>
          <w:rFonts w:ascii="Times New Roman" w:eastAsia="Calibri" w:hAnsi="Times New Roman"/>
          <w:iCs/>
          <w:color w:val="000000"/>
          <w:sz w:val="24"/>
          <w:szCs w:val="24"/>
        </w:rPr>
        <w:t xml:space="preserve"> </w:t>
      </w:r>
      <w:r w:rsidR="00D9595F" w:rsidRPr="00662D1E">
        <w:rPr>
          <w:rFonts w:ascii="Times New Roman" w:eastAsia="Calibri" w:hAnsi="Times New Roman"/>
          <w:iCs/>
          <w:color w:val="000000"/>
          <w:sz w:val="24"/>
          <w:szCs w:val="24"/>
        </w:rPr>
        <w:t>T</w:t>
      </w:r>
      <w:r w:rsidRPr="009703E6">
        <w:rPr>
          <w:rFonts w:ascii="Times New Roman" w:eastAsia="Calibri" w:hAnsi="Times New Roman"/>
          <w:iCs/>
          <w:color w:val="000000"/>
          <w:sz w:val="24"/>
          <w:szCs w:val="24"/>
        </w:rPr>
        <w:t>āpēc nepieciešams turpināt iesākto sadarbību ar darba devējiem un informētības pasākumus to popularizēšanā.</w:t>
      </w:r>
    </w:p>
    <w:p w14:paraId="1A6B030E" w14:textId="12C93E8A" w:rsidR="00FE1751" w:rsidRPr="0015154B"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 xml:space="preserve">Salīdzinot </w:t>
      </w:r>
      <w:r w:rsidR="00D9595F" w:rsidRPr="0015154B">
        <w:rPr>
          <w:rFonts w:ascii="Times New Roman" w:eastAsia="Calibri" w:hAnsi="Times New Roman"/>
          <w:iCs/>
          <w:color w:val="000000"/>
          <w:sz w:val="24"/>
          <w:szCs w:val="24"/>
        </w:rPr>
        <w:t xml:space="preserve">ar </w:t>
      </w:r>
      <w:r w:rsidRPr="0015154B">
        <w:rPr>
          <w:rFonts w:ascii="Times New Roman" w:eastAsia="Calibri" w:hAnsi="Times New Roman"/>
          <w:iCs/>
          <w:color w:val="000000"/>
          <w:sz w:val="24"/>
          <w:szCs w:val="24"/>
        </w:rPr>
        <w:t>privāto izglītības iestāžu iesaisti ESF projektā „Atbalsts bezdarbnieku izglītībai”, valsts izglītības iestādes ir pasīvas bezdarbnieku izglītošanā</w:t>
      </w:r>
      <w:r w:rsidR="00D9595F" w:rsidRPr="0015154B">
        <w:rPr>
          <w:rFonts w:ascii="Times New Roman" w:eastAsia="Calibri" w:hAnsi="Times New Roman"/>
          <w:iCs/>
          <w:color w:val="000000"/>
          <w:sz w:val="24"/>
          <w:szCs w:val="24"/>
        </w:rPr>
        <w:t xml:space="preserve">.  Tādējādi pilnā mērā netiek izmantotas </w:t>
      </w:r>
      <w:r w:rsidRPr="0015154B">
        <w:rPr>
          <w:rFonts w:ascii="Times New Roman" w:eastAsia="Calibri" w:hAnsi="Times New Roman"/>
          <w:iCs/>
          <w:color w:val="000000"/>
          <w:sz w:val="24"/>
          <w:szCs w:val="24"/>
        </w:rPr>
        <w:t>pieaugušo izglītības veicināšanas iespēj</w:t>
      </w:r>
      <w:r w:rsidR="00D9595F" w:rsidRPr="0015154B">
        <w:rPr>
          <w:rFonts w:ascii="Times New Roman" w:eastAsia="Calibri" w:hAnsi="Times New Roman"/>
          <w:iCs/>
          <w:color w:val="000000"/>
          <w:sz w:val="24"/>
          <w:szCs w:val="24"/>
        </w:rPr>
        <w:t>as</w:t>
      </w:r>
      <w:r w:rsidRPr="0015154B">
        <w:rPr>
          <w:rFonts w:ascii="Times New Roman" w:eastAsia="Calibri" w:hAnsi="Times New Roman"/>
          <w:iCs/>
          <w:color w:val="000000"/>
          <w:sz w:val="24"/>
          <w:szCs w:val="24"/>
        </w:rPr>
        <w:t xml:space="preserve"> un resurs</w:t>
      </w:r>
      <w:r w:rsidR="00D9595F" w:rsidRPr="0015154B">
        <w:rPr>
          <w:rFonts w:ascii="Times New Roman" w:eastAsia="Calibri" w:hAnsi="Times New Roman"/>
          <w:iCs/>
          <w:color w:val="000000"/>
          <w:sz w:val="24"/>
          <w:szCs w:val="24"/>
        </w:rPr>
        <w:t>i</w:t>
      </w:r>
      <w:r w:rsidRPr="0015154B">
        <w:rPr>
          <w:rFonts w:ascii="Times New Roman" w:eastAsia="Calibri" w:hAnsi="Times New Roman"/>
          <w:iCs/>
          <w:color w:val="000000"/>
          <w:sz w:val="24"/>
          <w:szCs w:val="24"/>
        </w:rPr>
        <w:t xml:space="preserve">, ņemot vērā pēdējos gados ieguldītās investīcijas profesionālo izglītības kompetenču centru (PIKC) materiāltehniskās bāzes uzlabošanā. </w:t>
      </w:r>
      <w:r w:rsidR="00D9595F" w:rsidRPr="0015154B">
        <w:rPr>
          <w:rFonts w:ascii="Times New Roman" w:eastAsia="Calibri" w:hAnsi="Times New Roman"/>
          <w:iCs/>
          <w:color w:val="000000"/>
          <w:sz w:val="24"/>
          <w:szCs w:val="24"/>
        </w:rPr>
        <w:t>Tādēļ</w:t>
      </w:r>
      <w:r w:rsidRPr="0015154B">
        <w:rPr>
          <w:rFonts w:ascii="Times New Roman" w:eastAsia="Calibri" w:hAnsi="Times New Roman"/>
          <w:iCs/>
          <w:color w:val="000000"/>
          <w:sz w:val="24"/>
          <w:szCs w:val="24"/>
        </w:rPr>
        <w:t xml:space="preserve"> klientu iesaistei valsts atbalsta pasākumos brīvās tirgus konkurencē arī valsts profesionāl</w:t>
      </w:r>
      <w:r w:rsidR="00677E5C" w:rsidRPr="0015154B">
        <w:rPr>
          <w:rFonts w:ascii="Times New Roman" w:eastAsia="Calibri" w:hAnsi="Times New Roman"/>
          <w:iCs/>
          <w:color w:val="000000"/>
          <w:sz w:val="24"/>
          <w:szCs w:val="24"/>
        </w:rPr>
        <w:t>ās</w:t>
      </w:r>
      <w:r w:rsidRPr="0015154B">
        <w:rPr>
          <w:rFonts w:ascii="Times New Roman" w:eastAsia="Calibri" w:hAnsi="Times New Roman"/>
          <w:iCs/>
          <w:color w:val="000000"/>
          <w:sz w:val="24"/>
          <w:szCs w:val="24"/>
        </w:rPr>
        <w:t xml:space="preserve"> izglītības iestādēm ir jā</w:t>
      </w:r>
      <w:r w:rsidR="00677E5C" w:rsidRPr="0015154B">
        <w:rPr>
          <w:rFonts w:ascii="Times New Roman" w:eastAsia="Calibri" w:hAnsi="Times New Roman"/>
          <w:iCs/>
          <w:color w:val="000000"/>
          <w:sz w:val="24"/>
          <w:szCs w:val="24"/>
        </w:rPr>
        <w:t>veic</w:t>
      </w:r>
      <w:r w:rsidRPr="0015154B">
        <w:rPr>
          <w:rFonts w:ascii="Times New Roman" w:eastAsia="Calibri" w:hAnsi="Times New Roman"/>
          <w:iCs/>
          <w:color w:val="000000"/>
          <w:sz w:val="24"/>
          <w:szCs w:val="24"/>
        </w:rPr>
        <w:t xml:space="preserve"> aktīvāka mārketinga komunikācija pieaugušo izglītības jomā. </w:t>
      </w:r>
      <w:r w:rsidR="00677E5C" w:rsidRPr="0015154B">
        <w:rPr>
          <w:rFonts w:ascii="Times New Roman" w:eastAsia="Calibri" w:hAnsi="Times New Roman"/>
          <w:iCs/>
          <w:color w:val="000000"/>
          <w:sz w:val="24"/>
          <w:szCs w:val="24"/>
        </w:rPr>
        <w:t>P</w:t>
      </w:r>
      <w:r w:rsidRPr="0015154B">
        <w:rPr>
          <w:rFonts w:ascii="Times New Roman" w:eastAsia="Calibri" w:hAnsi="Times New Roman"/>
          <w:iCs/>
          <w:color w:val="000000"/>
          <w:sz w:val="24"/>
          <w:szCs w:val="24"/>
        </w:rPr>
        <w:t>ieaugušo izglītībā Latvijā lielāka nozīme būs tieši mūžizglītībai nodarbinātām personām, jo prasmes ir regulāri jāaktualizē. Līdz ar to izglītības tirgum būs jākonsolidējas, izglītības iestādēm meklējot risinājumus, kā veidot mācību grupas no dažādiem projektiem un iedzīvotāj</w:t>
      </w:r>
      <w:r w:rsidR="00677E5C" w:rsidRPr="0015154B">
        <w:rPr>
          <w:rFonts w:ascii="Times New Roman" w:eastAsia="Calibri" w:hAnsi="Times New Roman"/>
          <w:iCs/>
          <w:color w:val="000000"/>
          <w:sz w:val="24"/>
          <w:szCs w:val="24"/>
        </w:rPr>
        <w:t>iem ar atšķirīgiem ekonomiskās aktivitātes</w:t>
      </w:r>
      <w:r w:rsidRPr="0015154B">
        <w:rPr>
          <w:rFonts w:ascii="Times New Roman" w:eastAsia="Calibri" w:hAnsi="Times New Roman"/>
          <w:iCs/>
          <w:color w:val="000000"/>
          <w:sz w:val="24"/>
          <w:szCs w:val="24"/>
        </w:rPr>
        <w:t xml:space="preserve"> statusiem.</w:t>
      </w:r>
    </w:p>
    <w:p w14:paraId="211799AE" w14:textId="485734CB" w:rsidR="00FE1751" w:rsidRPr="007157D3"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Lai izglītības programmas atbilstu pieaugušo izglītības vajadzībām un darba devēju pieprasījumam, līdz</w:t>
      </w:r>
      <w:r w:rsidR="00677E5C" w:rsidRPr="0015154B">
        <w:rPr>
          <w:rFonts w:ascii="Times New Roman" w:eastAsia="Calibri" w:hAnsi="Times New Roman"/>
          <w:iCs/>
          <w:color w:val="000000"/>
          <w:sz w:val="24"/>
          <w:szCs w:val="24"/>
        </w:rPr>
        <w:t>tekus</w:t>
      </w:r>
      <w:r w:rsidRPr="0015154B">
        <w:rPr>
          <w:rFonts w:ascii="Times New Roman" w:eastAsia="Calibri" w:hAnsi="Times New Roman"/>
          <w:iCs/>
          <w:color w:val="000000"/>
          <w:sz w:val="24"/>
          <w:szCs w:val="24"/>
        </w:rPr>
        <w:t xml:space="preserve"> mūsdienīgam mācību piedāvājumam noteicoša ir arī pieaugušo izglītības kvalitāte. </w:t>
      </w:r>
      <w:r w:rsidR="00677E5C" w:rsidRPr="0015154B">
        <w:rPr>
          <w:rFonts w:ascii="Times New Roman" w:eastAsia="Calibri" w:hAnsi="Times New Roman"/>
          <w:iCs/>
          <w:color w:val="000000"/>
          <w:sz w:val="24"/>
          <w:szCs w:val="24"/>
        </w:rPr>
        <w:t>Lai</w:t>
      </w:r>
      <w:r w:rsidRPr="0015154B">
        <w:rPr>
          <w:rFonts w:ascii="Times New Roman" w:eastAsia="Calibri" w:hAnsi="Times New Roman"/>
          <w:iCs/>
          <w:color w:val="000000"/>
          <w:sz w:val="24"/>
          <w:szCs w:val="24"/>
        </w:rPr>
        <w:t xml:space="preserve"> veicināt</w:t>
      </w:r>
      <w:r w:rsidR="00677E5C" w:rsidRPr="0015154B">
        <w:rPr>
          <w:rFonts w:ascii="Times New Roman" w:eastAsia="Calibri" w:hAnsi="Times New Roman"/>
          <w:iCs/>
          <w:color w:val="000000"/>
          <w:sz w:val="24"/>
          <w:szCs w:val="24"/>
        </w:rPr>
        <w:t>u</w:t>
      </w:r>
      <w:r w:rsidRPr="0015154B">
        <w:rPr>
          <w:rFonts w:ascii="Times New Roman" w:eastAsia="Calibri" w:hAnsi="Times New Roman"/>
          <w:iCs/>
          <w:color w:val="000000"/>
          <w:sz w:val="24"/>
          <w:szCs w:val="24"/>
        </w:rPr>
        <w:t xml:space="preserve"> bezdarbnieku mācību kvalitāti un īstenošanas nosacījumu ievērošanu, </w:t>
      </w:r>
      <w:r w:rsidR="00677E5C" w:rsidRPr="0015154B">
        <w:rPr>
          <w:rFonts w:ascii="Times New Roman" w:eastAsia="Calibri" w:hAnsi="Times New Roman"/>
          <w:iCs/>
          <w:color w:val="000000"/>
          <w:sz w:val="24"/>
          <w:szCs w:val="24"/>
        </w:rPr>
        <w:t xml:space="preserve">2020.gadā </w:t>
      </w:r>
      <w:r w:rsidRPr="0015154B">
        <w:rPr>
          <w:rFonts w:ascii="Times New Roman" w:eastAsia="Calibri" w:hAnsi="Times New Roman"/>
          <w:iCs/>
          <w:color w:val="000000"/>
          <w:sz w:val="24"/>
          <w:szCs w:val="24"/>
        </w:rPr>
        <w:t xml:space="preserve">tika pastiprināta profesionālās apmācības, pārkvalifikācijas, </w:t>
      </w:r>
      <w:r w:rsidRPr="0015154B">
        <w:rPr>
          <w:rFonts w:ascii="Times New Roman" w:eastAsia="Calibri" w:hAnsi="Times New Roman"/>
          <w:iCs/>
          <w:color w:val="000000"/>
          <w:sz w:val="24"/>
          <w:szCs w:val="24"/>
        </w:rPr>
        <w:lastRenderedPageBreak/>
        <w:t>kvalifikācijas paaugstināšanas un neformālās izglītības ieguves pasākumu īstenotāju atbildība par pasākumu īstenošanas nosacījumu neievērošanu, kā arī noteikti papildus kritēriji izglītības iestādēm, kuras vēlas īstenot profesionālās tālākizglītības un profesionālās pilnveides programmas bezdarbnieku apmācību ietvaros.</w:t>
      </w:r>
      <w:r w:rsidR="00677E5C" w:rsidRPr="007157D3">
        <w:rPr>
          <w:rStyle w:val="FootnoteReference"/>
          <w:rFonts w:ascii="Times New Roman" w:eastAsia="Calibri" w:hAnsi="Times New Roman"/>
          <w:iCs/>
          <w:color w:val="000000"/>
          <w:sz w:val="24"/>
          <w:szCs w:val="24"/>
        </w:rPr>
        <w:footnoteReference w:id="165"/>
      </w:r>
      <w:r w:rsidRPr="007157D3">
        <w:rPr>
          <w:rFonts w:ascii="Times New Roman" w:eastAsia="Calibri" w:hAnsi="Times New Roman"/>
          <w:iCs/>
          <w:color w:val="000000"/>
          <w:sz w:val="24"/>
          <w:szCs w:val="24"/>
        </w:rPr>
        <w:t xml:space="preserve"> Tika pastiprinātas prasības izglītības iestādēm un tā personālam attiecībā uz konkrētā pasākuma īstenošanai nepieciešamo izglītību un profesionālo pieredzi (prasība iesniegt darba līgumus u.c. prasības par atbilstošas materiāltehniskās bāzes esamību, kas izveidota jau pirms pasākuma īstenošanas uzsākšanas, grupu komplektācijas iespējas atsevišķos gadījumos personām ar invaliditāti, prasība vides pieejamības nodrošināšanai izglītības iestādēs). </w:t>
      </w:r>
    </w:p>
    <w:p w14:paraId="216F7517" w14:textId="063555CD" w:rsidR="00FE1751" w:rsidRPr="007157D3" w:rsidRDefault="00677E5C" w:rsidP="00724B79">
      <w:pPr>
        <w:spacing w:before="120" w:after="0" w:line="240" w:lineRule="auto"/>
        <w:ind w:firstLine="720"/>
        <w:jc w:val="both"/>
        <w:rPr>
          <w:rFonts w:ascii="Times New Roman" w:eastAsia="Calibri" w:hAnsi="Times New Roman"/>
          <w:iCs/>
          <w:color w:val="000000"/>
          <w:sz w:val="24"/>
          <w:szCs w:val="24"/>
        </w:rPr>
      </w:pPr>
      <w:r w:rsidRPr="007157D3">
        <w:rPr>
          <w:rFonts w:ascii="Times New Roman" w:eastAsia="Calibri" w:hAnsi="Times New Roman"/>
          <w:iCs/>
          <w:color w:val="000000"/>
          <w:sz w:val="24"/>
          <w:szCs w:val="24"/>
        </w:rPr>
        <w:t>P</w:t>
      </w:r>
      <w:r w:rsidR="00FE1751" w:rsidRPr="002F5278">
        <w:rPr>
          <w:rFonts w:ascii="Times New Roman" w:eastAsia="Calibri" w:hAnsi="Times New Roman"/>
          <w:iCs/>
          <w:color w:val="000000"/>
          <w:sz w:val="24"/>
          <w:szCs w:val="24"/>
        </w:rPr>
        <w:t xml:space="preserve">ieaugušo izglītības jomā Latvijā </w:t>
      </w:r>
      <w:r w:rsidRPr="00573B49">
        <w:rPr>
          <w:rFonts w:ascii="Times New Roman" w:eastAsia="Calibri" w:hAnsi="Times New Roman"/>
          <w:iCs/>
          <w:color w:val="000000"/>
          <w:sz w:val="24"/>
          <w:szCs w:val="24"/>
        </w:rPr>
        <w:t>gan</w:t>
      </w:r>
      <w:r w:rsidR="00FE1751" w:rsidRPr="00573B49">
        <w:rPr>
          <w:rFonts w:ascii="Times New Roman" w:eastAsia="Calibri" w:hAnsi="Times New Roman"/>
          <w:iCs/>
          <w:color w:val="000000"/>
          <w:sz w:val="24"/>
          <w:szCs w:val="24"/>
        </w:rPr>
        <w:t xml:space="preserve"> attiecībā uz bezdarbnieku mācību organizēšanu, </w:t>
      </w:r>
      <w:r w:rsidRPr="00573B49">
        <w:rPr>
          <w:rFonts w:ascii="Times New Roman" w:eastAsia="Calibri" w:hAnsi="Times New Roman"/>
          <w:iCs/>
          <w:color w:val="000000"/>
          <w:sz w:val="24"/>
          <w:szCs w:val="24"/>
        </w:rPr>
        <w:t>gan citu</w:t>
      </w:r>
      <w:r w:rsidR="00FE1751" w:rsidRPr="0025422D">
        <w:rPr>
          <w:rFonts w:ascii="Times New Roman" w:eastAsia="Calibri" w:hAnsi="Times New Roman"/>
          <w:iCs/>
          <w:color w:val="000000"/>
          <w:sz w:val="24"/>
          <w:szCs w:val="24"/>
        </w:rPr>
        <w:t xml:space="preserve"> mērķa grup</w:t>
      </w:r>
      <w:r w:rsidRPr="00A857F2">
        <w:rPr>
          <w:rFonts w:ascii="Times New Roman" w:eastAsia="Calibri" w:hAnsi="Times New Roman"/>
          <w:iCs/>
          <w:color w:val="000000"/>
          <w:sz w:val="24"/>
          <w:szCs w:val="24"/>
        </w:rPr>
        <w:t xml:space="preserve">u izglītošanu </w:t>
      </w:r>
      <w:r w:rsidR="00FE1751" w:rsidRPr="00662D1E">
        <w:rPr>
          <w:rFonts w:ascii="Times New Roman" w:eastAsia="Calibri" w:hAnsi="Times New Roman"/>
          <w:iCs/>
          <w:color w:val="000000"/>
          <w:sz w:val="24"/>
          <w:szCs w:val="24"/>
        </w:rPr>
        <w:t xml:space="preserve">vitāli svarīga </w:t>
      </w:r>
      <w:r w:rsidRPr="009703E6">
        <w:rPr>
          <w:rFonts w:ascii="Times New Roman" w:eastAsia="Calibri" w:hAnsi="Times New Roman"/>
          <w:iCs/>
          <w:color w:val="000000"/>
          <w:sz w:val="24"/>
          <w:szCs w:val="24"/>
        </w:rPr>
        <w:t>ir</w:t>
      </w:r>
      <w:r w:rsidR="00FE1751" w:rsidRPr="0015154B">
        <w:rPr>
          <w:rFonts w:ascii="Times New Roman" w:eastAsia="Calibri" w:hAnsi="Times New Roman"/>
          <w:iCs/>
          <w:color w:val="000000"/>
          <w:sz w:val="24"/>
          <w:szCs w:val="24"/>
        </w:rPr>
        <w:t xml:space="preserve"> kvalitātes nodrošināšana ar konkrētu un izmērāmu kritēriju piemērošanu, kā arī pastāvīga satura kvalitātes uzraudzība</w:t>
      </w:r>
      <w:r w:rsidR="009F4F17" w:rsidRPr="0015154B">
        <w:rPr>
          <w:rFonts w:ascii="Times New Roman" w:eastAsia="Calibri" w:hAnsi="Times New Roman"/>
          <w:iCs/>
          <w:color w:val="000000"/>
          <w:sz w:val="24"/>
          <w:szCs w:val="24"/>
        </w:rPr>
        <w:t>, ko veic</w:t>
      </w:r>
      <w:r w:rsidR="00FE1751" w:rsidRPr="0015154B">
        <w:rPr>
          <w:rFonts w:ascii="Times New Roman" w:eastAsia="Calibri" w:hAnsi="Times New Roman"/>
          <w:iCs/>
          <w:color w:val="000000"/>
          <w:sz w:val="24"/>
          <w:szCs w:val="24"/>
        </w:rPr>
        <w:t xml:space="preserve"> Izglītības kvalitātes valsts dienests (</w:t>
      </w:r>
      <w:r w:rsidRPr="0015154B">
        <w:rPr>
          <w:rFonts w:ascii="Times New Roman" w:eastAsia="Calibri" w:hAnsi="Times New Roman"/>
          <w:iCs/>
          <w:color w:val="000000"/>
          <w:sz w:val="24"/>
          <w:szCs w:val="24"/>
        </w:rPr>
        <w:t>turpmāk</w:t>
      </w:r>
      <w:r w:rsidR="00A732F2" w:rsidRPr="0015154B">
        <w:rPr>
          <w:rFonts w:ascii="Times New Roman" w:eastAsia="Calibri" w:hAnsi="Times New Roman"/>
          <w:iCs/>
          <w:color w:val="000000"/>
          <w:sz w:val="24"/>
          <w:szCs w:val="24"/>
        </w:rPr>
        <w:t xml:space="preserve"> </w:t>
      </w:r>
      <w:r w:rsidRPr="0015154B">
        <w:rPr>
          <w:rFonts w:ascii="Times New Roman" w:eastAsia="Calibri" w:hAnsi="Times New Roman"/>
          <w:iCs/>
          <w:color w:val="000000"/>
          <w:sz w:val="24"/>
          <w:szCs w:val="24"/>
        </w:rPr>
        <w:t xml:space="preserve">- </w:t>
      </w:r>
      <w:r w:rsidR="00FE1751" w:rsidRPr="0015154B">
        <w:rPr>
          <w:rFonts w:ascii="Times New Roman" w:eastAsia="Calibri" w:hAnsi="Times New Roman"/>
          <w:iCs/>
          <w:color w:val="000000"/>
          <w:sz w:val="24"/>
          <w:szCs w:val="24"/>
        </w:rPr>
        <w:t xml:space="preserve">IKVD). </w:t>
      </w:r>
      <w:r w:rsidR="00B2434E" w:rsidRPr="0015154B">
        <w:rPr>
          <w:rFonts w:ascii="Times New Roman" w:eastAsia="Calibri" w:hAnsi="Times New Roman"/>
          <w:iCs/>
          <w:color w:val="000000"/>
          <w:sz w:val="24"/>
          <w:szCs w:val="24"/>
        </w:rPr>
        <w:t>Lai stiprinātu</w:t>
      </w:r>
      <w:r w:rsidR="00FE1751" w:rsidRPr="0015154B">
        <w:rPr>
          <w:rFonts w:ascii="Times New Roman" w:eastAsia="Calibri" w:hAnsi="Times New Roman"/>
          <w:iCs/>
          <w:color w:val="000000"/>
          <w:sz w:val="24"/>
          <w:szCs w:val="24"/>
        </w:rPr>
        <w:t xml:space="preserve"> IKVD lom</w:t>
      </w:r>
      <w:r w:rsidR="00B2434E" w:rsidRPr="0015154B">
        <w:rPr>
          <w:rFonts w:ascii="Times New Roman" w:eastAsia="Calibri" w:hAnsi="Times New Roman"/>
          <w:iCs/>
          <w:color w:val="000000"/>
          <w:sz w:val="24"/>
          <w:szCs w:val="24"/>
        </w:rPr>
        <w:t>u</w:t>
      </w:r>
      <w:r w:rsidR="00FE1751" w:rsidRPr="0015154B">
        <w:rPr>
          <w:rFonts w:ascii="Times New Roman" w:eastAsia="Calibri" w:hAnsi="Times New Roman"/>
          <w:iCs/>
          <w:color w:val="000000"/>
          <w:sz w:val="24"/>
          <w:szCs w:val="24"/>
        </w:rPr>
        <w:t xml:space="preserve"> un uzraudzības </w:t>
      </w:r>
      <w:r w:rsidR="00B2434E" w:rsidRPr="0015154B">
        <w:rPr>
          <w:rFonts w:ascii="Times New Roman" w:eastAsia="Calibri" w:hAnsi="Times New Roman"/>
          <w:iCs/>
          <w:color w:val="000000"/>
          <w:sz w:val="24"/>
          <w:szCs w:val="24"/>
        </w:rPr>
        <w:t>efektivitāti, no 2020.gada vasaras</w:t>
      </w:r>
      <w:r w:rsidR="00FE1751" w:rsidRPr="0015154B">
        <w:rPr>
          <w:rFonts w:ascii="Times New Roman" w:eastAsia="Calibri" w:hAnsi="Times New Roman"/>
          <w:iCs/>
          <w:color w:val="000000"/>
          <w:sz w:val="24"/>
          <w:szCs w:val="24"/>
        </w:rPr>
        <w:t xml:space="preserve">  tiek paredzēts NVA piesaistīt kā sadarbības partneri IKVD bezdarbnieku apmācībā iesaistīto izglītības iestāžu uzraudzības un mācību procesa kvalitātes kontroles, tai skaitā apmācību programmu ekspertīzes, metodoloģiskās vadības un ieviešanas uzraudzības nodrošināšanai.</w:t>
      </w:r>
      <w:r w:rsidR="00B2434E" w:rsidRPr="007157D3">
        <w:rPr>
          <w:rStyle w:val="FootnoteReference"/>
          <w:rFonts w:ascii="Times New Roman" w:eastAsia="Calibri" w:hAnsi="Times New Roman"/>
          <w:iCs/>
          <w:color w:val="000000"/>
          <w:sz w:val="24"/>
          <w:szCs w:val="24"/>
        </w:rPr>
        <w:footnoteReference w:id="166"/>
      </w:r>
      <w:r w:rsidR="00FE1751" w:rsidRPr="007157D3">
        <w:rPr>
          <w:rFonts w:ascii="Times New Roman" w:eastAsia="Calibri" w:hAnsi="Times New Roman"/>
          <w:iCs/>
          <w:color w:val="000000"/>
          <w:sz w:val="24"/>
          <w:szCs w:val="24"/>
        </w:rPr>
        <w:t xml:space="preserve"> IKVD uzdevums būs nodrošināt NVA piesaistīto izglītības iestāžu un to piedāvāto izglītības programmu (vairāk nekā 177 privāto un valsts izglītības iestāžu visā Latvijā, kas īsteno profesionālās tālākizglītības, pilnveides, neformālās izglītības programmas, kā arī attālinātās mācības) papildu uzraudzību un izvērtēšanu atbilstoši izglītības kvalitāti reglamentējošajiem normatīvajiem aktiem, tādējādi stiprinot bezdarbnieku apmācībā iesaistīto izglītības iestāžu mācību procesa kvalitāti. </w:t>
      </w:r>
    </w:p>
    <w:p w14:paraId="2BFFE12A" w14:textId="6D8582E8" w:rsidR="009517B5" w:rsidRPr="0015154B" w:rsidRDefault="00A732F2" w:rsidP="00724B79">
      <w:pPr>
        <w:spacing w:before="120" w:after="0" w:line="240" w:lineRule="auto"/>
        <w:ind w:firstLine="720"/>
        <w:jc w:val="both"/>
        <w:rPr>
          <w:rFonts w:ascii="Times New Roman" w:eastAsia="Calibri" w:hAnsi="Times New Roman" w:cs="Times New Roman"/>
          <w:iCs/>
          <w:color w:val="000000"/>
          <w:sz w:val="24"/>
          <w:szCs w:val="24"/>
        </w:rPr>
      </w:pPr>
      <w:r w:rsidRPr="007157D3">
        <w:rPr>
          <w:rFonts w:ascii="Times New Roman" w:eastAsia="Calibri" w:hAnsi="Times New Roman"/>
          <w:iCs/>
          <w:color w:val="000000"/>
          <w:sz w:val="24"/>
          <w:szCs w:val="24"/>
        </w:rPr>
        <w:t xml:space="preserve">Mācību pasākumos </w:t>
      </w:r>
      <w:r w:rsidRPr="002F5278">
        <w:rPr>
          <w:rFonts w:ascii="Times New Roman" w:eastAsia="Calibri" w:hAnsi="Times New Roman"/>
          <w:iCs/>
          <w:color w:val="000000"/>
          <w:sz w:val="24"/>
          <w:szCs w:val="24"/>
        </w:rPr>
        <w:t xml:space="preserve">reģistrētos bezdarbniekus iesaista atbilstoši </w:t>
      </w:r>
      <w:r w:rsidRPr="00573B49">
        <w:rPr>
          <w:rFonts w:ascii="Times New Roman" w:eastAsia="Calibri" w:hAnsi="Times New Roman"/>
          <w:b/>
          <w:iCs/>
          <w:color w:val="000000"/>
          <w:sz w:val="24"/>
          <w:szCs w:val="24"/>
        </w:rPr>
        <w:t>profilēšanas rezultātiem</w:t>
      </w:r>
      <w:r w:rsidRPr="00573B49">
        <w:rPr>
          <w:rFonts w:ascii="Times New Roman" w:eastAsia="Calibri" w:hAnsi="Times New Roman"/>
          <w:iCs/>
          <w:color w:val="000000"/>
          <w:sz w:val="24"/>
          <w:szCs w:val="24"/>
        </w:rPr>
        <w:t xml:space="preserve"> un saskaņā ar individuālo darba meklēšanas plānu. Prioritāri iesaista bezdarbniekus ar zemu prasmju līmeni, novecojušām prasmēm un kvalifikāciju u.c. </w:t>
      </w:r>
      <w:r w:rsidR="009517B5" w:rsidRPr="00573B49">
        <w:rPr>
          <w:rFonts w:ascii="Times New Roman" w:eastAsia="Calibri" w:hAnsi="Times New Roman" w:cs="Times New Roman"/>
          <w:iCs/>
          <w:color w:val="000000"/>
          <w:sz w:val="24"/>
          <w:szCs w:val="24"/>
        </w:rPr>
        <w:t>Atbilstoši OECD se</w:t>
      </w:r>
      <w:r w:rsidR="009517B5" w:rsidRPr="0025422D">
        <w:rPr>
          <w:rFonts w:ascii="Times New Roman" w:eastAsia="Calibri" w:hAnsi="Times New Roman" w:cs="Times New Roman"/>
          <w:iCs/>
          <w:color w:val="000000"/>
          <w:sz w:val="24"/>
          <w:szCs w:val="24"/>
        </w:rPr>
        <w:t>cinājumiem profilēšanas metodes izmantošana kopumā sniedz pozitīvu ieguldījumu mērķētāka atbalsta bezdarbniekiem nodrošināšanā</w:t>
      </w:r>
      <w:r w:rsidR="000C104F" w:rsidRPr="00A857F2">
        <w:rPr>
          <w:rFonts w:ascii="Times New Roman" w:eastAsia="Calibri" w:hAnsi="Times New Roman" w:cs="Times New Roman"/>
          <w:iCs/>
          <w:color w:val="000000"/>
          <w:sz w:val="24"/>
          <w:szCs w:val="24"/>
        </w:rPr>
        <w:t xml:space="preserve">, taču </w:t>
      </w:r>
      <w:r w:rsidR="009517B5" w:rsidRPr="00662D1E">
        <w:rPr>
          <w:rFonts w:ascii="Times New Roman" w:eastAsia="Calibri" w:hAnsi="Times New Roman" w:cs="Times New Roman"/>
          <w:iCs/>
          <w:color w:val="000000"/>
          <w:sz w:val="24"/>
          <w:szCs w:val="24"/>
        </w:rPr>
        <w:t>nepieciešama tās turpmāka pilnveide, samazinot profilēto grupu skaitu, pārskatot prioritāšu līmeni atsevišķiem ADTP pasākum</w:t>
      </w:r>
      <w:r w:rsidR="009517B5" w:rsidRPr="009703E6">
        <w:rPr>
          <w:rFonts w:ascii="Times New Roman" w:eastAsia="Calibri" w:hAnsi="Times New Roman" w:cs="Times New Roman"/>
          <w:iCs/>
          <w:color w:val="000000"/>
          <w:sz w:val="24"/>
          <w:szCs w:val="24"/>
        </w:rPr>
        <w:t>u ieteikumiem atbilstoši apmeklētības datiem. OECD zinātniskā pētījumā sniegts priekšlikums bezdarba riskam mazāk pakļauto NVA klientu profilēšanā piemērot e-rīku veidā (tiešsaistes veidā), savukārt NVA klientiem ar augstāko bezdarba risku piemērot padziļi</w:t>
      </w:r>
      <w:r w:rsidR="009517B5" w:rsidRPr="0015154B">
        <w:rPr>
          <w:rFonts w:ascii="Times New Roman" w:eastAsia="Calibri" w:hAnsi="Times New Roman" w:cs="Times New Roman"/>
          <w:iCs/>
          <w:color w:val="000000"/>
          <w:sz w:val="24"/>
          <w:szCs w:val="24"/>
        </w:rPr>
        <w:t xml:space="preserve">nātas intervijas un analīzi, prognozējot arī iespējamo laika ietvaru līdz tiks atrasts darbs sasaistē ar nepieciešamo ADTP pasākumu piedāvājumu, kā arī veidojot sasaisti ar reģionālajiem darbaspēka pieprasījuma rādītājiem. </w:t>
      </w:r>
      <w:r w:rsidR="009517B5" w:rsidRPr="0015154B">
        <w:rPr>
          <w:rFonts w:ascii="Times New Roman" w:hAnsi="Times New Roman" w:cs="Times New Roman"/>
          <w:color w:val="000000"/>
          <w:sz w:val="24"/>
          <w:szCs w:val="24"/>
        </w:rPr>
        <w:t>Lai nodrošinātu mērķētāku un individualizētāku klienta situācijas novērtēšanu un turpmāko rekomendāciju izstrādi sadarbības stratēģijai ar klientu, 2019. gadā noslēdzās NVA profilēšanas metodikas pilnveidošana. Minētās metodikas ietvaros izstrādāti darba atrašanas iespēju risku novērtējuma kritēriji, klienta pašnovērtējuna anketa. Pilnveidotā profilēšanas metode ietver trīs profilēšanas grupas - 1.grupa: “Bezdarbnieki ar augstām darba atrašanas iespējām, ar prognozēto darbā iekārtošanos līdz 6 mēnešiem”; 2.grupa: “Bezdarbnieki ar vidējām darba atrašanas iespējām, ar prognozēto darbā iekārtošanos no 6 līdz 12 mēnešiem”; 3.grupa: “Bezdarbnieki ar zemām darba atrašanas iespējām, ar prognozēto darbā iekārtošanos 12 un vairāk mēneši”). 2019.-2020.gadā notiek pilnveidotās profilēšanas metodikas testēšana.</w:t>
      </w:r>
    </w:p>
    <w:p w14:paraId="2D19BAC7" w14:textId="59812595" w:rsidR="00FE1751" w:rsidRPr="0015154B" w:rsidRDefault="009517B5" w:rsidP="00724B79">
      <w:pPr>
        <w:spacing w:before="120" w:after="0" w:line="240" w:lineRule="auto"/>
        <w:ind w:firstLine="720"/>
        <w:jc w:val="both"/>
        <w:rPr>
          <w:rFonts w:ascii="Times New Roman" w:eastAsia="Calibri" w:hAnsi="Times New Roman" w:cs="Times New Roman"/>
          <w:iCs/>
          <w:color w:val="000000"/>
          <w:sz w:val="24"/>
          <w:szCs w:val="24"/>
        </w:rPr>
      </w:pPr>
      <w:r w:rsidRPr="0015154B">
        <w:rPr>
          <w:rFonts w:ascii="Times New Roman" w:hAnsi="Times New Roman" w:cs="Times New Roman"/>
          <w:color w:val="000000"/>
          <w:sz w:val="24"/>
          <w:szCs w:val="24"/>
        </w:rPr>
        <w:t xml:space="preserve">NVA īstenoto apmācību pasākumu mērķis ir pēc iespējas ātrāka un sekmīgāka bezdarbnieku iesaiste darba tirgū, tāpēc nākamās profesijas izvēlei ir jābūt balstītai gan uz personas izvēli, gan uz darba tirgus vajadzībām. Kopš 2011. gada NVA tās klientiem piedāvā iespēju pilnveidot savas prasmes, izmantojot apmācību kuponu sistēmu. Šī metode tika ieviesta kā viens no strukturālās reformas pasākumiem saskaņā ar starptautisko aizdevēju rekomendācijām. </w:t>
      </w:r>
      <w:r w:rsidRPr="0015154B">
        <w:rPr>
          <w:rFonts w:ascii="Times New Roman" w:eastAsia="Calibri" w:hAnsi="Times New Roman" w:cs="Times New Roman"/>
          <w:iCs/>
          <w:color w:val="000000"/>
          <w:sz w:val="24"/>
          <w:szCs w:val="24"/>
        </w:rPr>
        <w:t xml:space="preserve">LM sadarbībā ar NVA regulāri pilnveido </w:t>
      </w:r>
      <w:r w:rsidRPr="0015154B">
        <w:rPr>
          <w:rFonts w:ascii="Times New Roman" w:eastAsia="Calibri" w:hAnsi="Times New Roman" w:cs="Times New Roman"/>
          <w:b/>
          <w:iCs/>
          <w:color w:val="000000"/>
          <w:sz w:val="24"/>
          <w:szCs w:val="24"/>
        </w:rPr>
        <w:t>apmācību kuponu sistēmu</w:t>
      </w:r>
      <w:r w:rsidRPr="0015154B">
        <w:rPr>
          <w:rFonts w:ascii="Times New Roman" w:eastAsia="Calibri" w:hAnsi="Times New Roman" w:cs="Times New Roman"/>
          <w:iCs/>
          <w:color w:val="000000"/>
          <w:sz w:val="24"/>
          <w:szCs w:val="24"/>
        </w:rPr>
        <w:t>, t.sk</w:t>
      </w:r>
      <w:r w:rsidR="00865001">
        <w:rPr>
          <w:rFonts w:ascii="Times New Roman" w:eastAsia="Calibri" w:hAnsi="Times New Roman" w:cs="Times New Roman"/>
          <w:iCs/>
          <w:color w:val="000000"/>
          <w:sz w:val="24"/>
          <w:szCs w:val="24"/>
        </w:rPr>
        <w:t>.</w:t>
      </w:r>
      <w:r w:rsidRPr="0015154B">
        <w:rPr>
          <w:rFonts w:ascii="Times New Roman" w:eastAsia="Calibri" w:hAnsi="Times New Roman" w:cs="Times New Roman"/>
          <w:iCs/>
          <w:color w:val="000000"/>
          <w:sz w:val="24"/>
          <w:szCs w:val="24"/>
        </w:rPr>
        <w:t xml:space="preserve"> </w:t>
      </w:r>
      <w:r w:rsidRPr="0015154B">
        <w:rPr>
          <w:rFonts w:ascii="Times New Roman" w:eastAsia="Calibri" w:hAnsi="Times New Roman" w:cs="Times New Roman"/>
          <w:iCs/>
          <w:color w:val="000000"/>
          <w:sz w:val="24"/>
          <w:szCs w:val="24"/>
        </w:rPr>
        <w:lastRenderedPageBreak/>
        <w:t>atbilstoši 2019.gada OECD secinājumiem saistībā ar to, ka atsevišķām klientu grupām varētu būt nepieciešams papildus atbalsts izglītības iestādes izvēlē. OECD aicināja pārdomāt kā attālākos reģionos veicināt izglītības iestāžu konkurenci, vienlaikus stiprinot reģionālas mobilitātes atbalstu apmācību dalībniekiem (jo tas paplašina izvēles iespējas). Tāpēc ar mērķi veicināt mācību pieejamību</w:t>
      </w:r>
      <w:r w:rsidR="0037328A">
        <w:rPr>
          <w:rFonts w:ascii="Times New Roman" w:eastAsia="Calibri" w:hAnsi="Times New Roman" w:cs="Times New Roman"/>
          <w:iCs/>
          <w:color w:val="000000"/>
          <w:sz w:val="24"/>
          <w:szCs w:val="24"/>
        </w:rPr>
        <w:t xml:space="preserve"> 2020. gadā</w:t>
      </w:r>
      <w:r w:rsidRPr="0015154B">
        <w:rPr>
          <w:rFonts w:ascii="Times New Roman" w:eastAsia="Calibri" w:hAnsi="Times New Roman" w:cs="Times New Roman"/>
          <w:iCs/>
          <w:color w:val="000000"/>
          <w:sz w:val="24"/>
          <w:szCs w:val="24"/>
        </w:rPr>
        <w:t xml:space="preserve">, </w:t>
      </w:r>
      <w:r w:rsidR="0037328A">
        <w:rPr>
          <w:rFonts w:ascii="Times New Roman" w:eastAsia="Calibri" w:hAnsi="Times New Roman" w:cs="Times New Roman"/>
          <w:iCs/>
          <w:color w:val="000000"/>
          <w:sz w:val="24"/>
          <w:szCs w:val="24"/>
        </w:rPr>
        <w:t>ir</w:t>
      </w:r>
      <w:r w:rsidRPr="0015154B">
        <w:rPr>
          <w:rFonts w:ascii="Times New Roman" w:eastAsia="Calibri" w:hAnsi="Times New Roman" w:cs="Times New Roman"/>
          <w:iCs/>
          <w:color w:val="000000"/>
          <w:sz w:val="24"/>
          <w:szCs w:val="24"/>
        </w:rPr>
        <w:t xml:space="preserve"> pilnveido</w:t>
      </w:r>
      <w:r w:rsidR="0037328A">
        <w:rPr>
          <w:rFonts w:ascii="Times New Roman" w:eastAsia="Calibri" w:hAnsi="Times New Roman" w:cs="Times New Roman"/>
          <w:iCs/>
          <w:color w:val="000000"/>
          <w:sz w:val="24"/>
          <w:szCs w:val="24"/>
        </w:rPr>
        <w:t>ti</w:t>
      </w:r>
      <w:r w:rsidR="0037328A">
        <w:rPr>
          <w:rStyle w:val="FootnoteReference"/>
          <w:rFonts w:ascii="Times New Roman" w:eastAsia="Calibri" w:hAnsi="Times New Roman" w:cs="Times New Roman"/>
          <w:iCs/>
          <w:color w:val="000000"/>
          <w:sz w:val="24"/>
          <w:szCs w:val="24"/>
        </w:rPr>
        <w:footnoteReference w:id="167"/>
      </w:r>
      <w:r w:rsidRPr="0015154B">
        <w:rPr>
          <w:rFonts w:ascii="Times New Roman" w:eastAsia="Calibri" w:hAnsi="Times New Roman" w:cs="Times New Roman"/>
          <w:iCs/>
          <w:color w:val="000000"/>
          <w:sz w:val="24"/>
          <w:szCs w:val="24"/>
        </w:rPr>
        <w:t xml:space="preserve"> aktīvās darba tirgus politikas pasākumu īstenošanas nosacījum</w:t>
      </w:r>
      <w:r w:rsidR="00DE0896">
        <w:rPr>
          <w:rFonts w:ascii="Times New Roman" w:eastAsia="Calibri" w:hAnsi="Times New Roman" w:cs="Times New Roman"/>
          <w:iCs/>
          <w:color w:val="000000"/>
          <w:sz w:val="24"/>
          <w:szCs w:val="24"/>
        </w:rPr>
        <w:t>i</w:t>
      </w:r>
      <w:r w:rsidRPr="0015154B">
        <w:rPr>
          <w:rFonts w:ascii="Times New Roman" w:eastAsia="Calibri" w:hAnsi="Times New Roman" w:cs="Times New Roman"/>
          <w:iCs/>
          <w:color w:val="000000"/>
          <w:sz w:val="24"/>
          <w:szCs w:val="24"/>
        </w:rPr>
        <w:t>, lai nodrošinātu bezdarbniekiem efektīvāku atbalstu darba meklēšanā un nodrošinātu mērķētākus atbalsta pasākumus, t.sk., pilnveidojot reģionālās mobilitātes atbalstu. Papildus tika noteiktas grupu komplektācijas iespējas atsevišķos gadījumos personām ar invaliditāti, prasība vides pieejamības nodrošināšanai izglītības iestādēs u.c. Tāpat kuponu sistēmas pilnveidojumi turpinās gan saistībā ar labas informācijas nodrošināšanu NVA klienta mērķētāka pakalpojuma izvēlē ar dažādiem e-vides risinājumiem, gan papildus kvalitātes kritēr</w:t>
      </w:r>
      <w:r w:rsidR="00DE0896">
        <w:rPr>
          <w:rFonts w:ascii="Times New Roman" w:eastAsia="Calibri" w:hAnsi="Times New Roman" w:cs="Times New Roman"/>
          <w:iCs/>
          <w:color w:val="000000"/>
          <w:sz w:val="24"/>
          <w:szCs w:val="24"/>
        </w:rPr>
        <w:t>i</w:t>
      </w:r>
      <w:r w:rsidRPr="0015154B">
        <w:rPr>
          <w:rFonts w:ascii="Times New Roman" w:eastAsia="Calibri" w:hAnsi="Times New Roman" w:cs="Times New Roman"/>
          <w:iCs/>
          <w:color w:val="000000"/>
          <w:sz w:val="24"/>
          <w:szCs w:val="24"/>
        </w:rPr>
        <w:t>ju stiprināšanai, jo īpaši attiecībā uz materiāltehnisko bāzi, un prasībām izglītības iestādēm par pasākumu īstenošanas nosacījumu ievērošanai.</w:t>
      </w:r>
    </w:p>
    <w:p w14:paraId="43837135" w14:textId="24DB6164" w:rsidR="0061503B" w:rsidRPr="0015154B" w:rsidRDefault="000C104F" w:rsidP="00724B7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Aktīvās nodarbinātības pasākums „</w:t>
      </w:r>
      <w:r w:rsidRPr="0015154B">
        <w:rPr>
          <w:rFonts w:ascii="Times New Roman" w:hAnsi="Times New Roman" w:cs="Times New Roman"/>
          <w:b/>
          <w:sz w:val="24"/>
          <w:szCs w:val="24"/>
        </w:rPr>
        <w:t>Algoti pagaidu sabiedriskie darbi</w:t>
      </w:r>
      <w:r w:rsidRPr="0015154B">
        <w:rPr>
          <w:rFonts w:ascii="Times New Roman" w:hAnsi="Times New Roman" w:cs="Times New Roman"/>
          <w:sz w:val="24"/>
          <w:szCs w:val="24"/>
        </w:rPr>
        <w:t>" (turpmāk - APSD) tika uzsākts 2012.gada janvārī. APSD mērķis ir sniegt pagaidu nodarbinātības iespējas bezdarbniekiem darba iemaņu iegūšanai un uzturēšanai, veicot sociāla labuma darbus. Pasākums dod bezdarbniekiem iespēju iegūt vai uzturēt darba iemaņas un veicina bezdarbnieku aktivitāti sabiedrības labā.</w:t>
      </w:r>
      <w:r w:rsidRPr="0015154B">
        <w:t xml:space="preserve"> </w:t>
      </w:r>
      <w:r w:rsidRPr="0015154B">
        <w:rPr>
          <w:rFonts w:ascii="Times New Roman" w:hAnsi="Times New Roman" w:cs="Times New Roman"/>
          <w:sz w:val="24"/>
          <w:szCs w:val="24"/>
        </w:rPr>
        <w:t>Bezdarba pieauguma un vakanču samazinājuma gadījumā būtisks situācijas stabilizators bezdarbā nonākušajiem iedzīvotājiem ir pagaidu darba iespējas. Kā liecina pieredze, tautsaimniecība pēc krīzēm atgūstas pakāpeniski un uzlabojumi darba tirgū vērojami ar zināmu laika nobīdi, tādējādi, reaģējot uz strauju bezdarba līmeņa pieaugumu 2020.gadā, APSD īstenošanai no ESF līdzekļiem papildus piešķirti 14,5 milj. e</w:t>
      </w:r>
      <w:r w:rsidR="00E07E75">
        <w:rPr>
          <w:rFonts w:ascii="Times New Roman" w:hAnsi="Times New Roman" w:cs="Times New Roman"/>
          <w:sz w:val="24"/>
          <w:szCs w:val="24"/>
        </w:rPr>
        <w:t>i</w:t>
      </w:r>
      <w:r w:rsidRPr="0015154B">
        <w:rPr>
          <w:rFonts w:ascii="Times New Roman" w:hAnsi="Times New Roman" w:cs="Times New Roman"/>
          <w:sz w:val="24"/>
          <w:szCs w:val="24"/>
        </w:rPr>
        <w:t>ro, ko paredzēts izlietot līdz 2023.gadam.</w:t>
      </w:r>
    </w:p>
    <w:p w14:paraId="4F1F2B79" w14:textId="05B27038" w:rsidR="00FE1751" w:rsidRPr="0015154B"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hAnsi="Times New Roman" w:cs="Times New Roman"/>
          <w:b/>
          <w:sz w:val="24"/>
          <w:szCs w:val="24"/>
        </w:rPr>
        <w:t>Pasākumi komercdarbības vai pašnodarbinātības uzsākšanai</w:t>
      </w:r>
      <w:r w:rsidRPr="0015154B">
        <w:rPr>
          <w:rFonts w:ascii="Times New Roman" w:eastAsia="Calibri" w:hAnsi="Times New Roman"/>
          <w:iCs/>
          <w:color w:val="000000"/>
          <w:sz w:val="24"/>
          <w:szCs w:val="24"/>
        </w:rPr>
        <w:t xml:space="preserve"> palīdz bezdarbniekiem ar iepriekšēju sagatavotību un ievirzi komercdarbības veikšanā uzsākt komercdarbību vai pašnodarbinātību un veiksmīgi darboties izvēlētajā jomā ne mazāk kā divus gadus. Periodā no 2014. - 2019.gadam pasākumā ik gadu vidēji piedalījušies 194 bezdarbnieki</w:t>
      </w:r>
      <w:r w:rsidR="00D2163B" w:rsidRPr="0015154B">
        <w:rPr>
          <w:rFonts w:ascii="Times New Roman" w:eastAsia="Calibri" w:hAnsi="Times New Roman"/>
          <w:iCs/>
          <w:color w:val="000000"/>
          <w:sz w:val="24"/>
          <w:szCs w:val="24"/>
        </w:rPr>
        <w:t xml:space="preserve"> (</w:t>
      </w:r>
      <w:r w:rsidR="00D2163B" w:rsidRPr="0015154B">
        <w:rPr>
          <w:rFonts w:ascii="Times New Roman" w:eastAsia="Calibri" w:hAnsi="Times New Roman"/>
          <w:iCs/>
          <w:color w:val="000000"/>
          <w:sz w:val="24"/>
          <w:szCs w:val="24"/>
          <w:highlight w:val="yellow"/>
        </w:rPr>
        <w:t>skat</w:t>
      </w:r>
      <w:r w:rsidR="00355DF1" w:rsidRPr="0015154B">
        <w:rPr>
          <w:rFonts w:ascii="Times New Roman" w:eastAsia="Calibri" w:hAnsi="Times New Roman"/>
          <w:iCs/>
          <w:color w:val="000000"/>
          <w:sz w:val="24"/>
          <w:szCs w:val="24"/>
          <w:highlight w:val="yellow"/>
        </w:rPr>
        <w:t>. 2</w:t>
      </w:r>
      <w:r w:rsidR="002E4D66">
        <w:rPr>
          <w:rFonts w:ascii="Times New Roman" w:eastAsia="Calibri" w:hAnsi="Times New Roman"/>
          <w:iCs/>
          <w:color w:val="000000"/>
          <w:sz w:val="24"/>
          <w:szCs w:val="24"/>
          <w:highlight w:val="yellow"/>
        </w:rPr>
        <w:t>4</w:t>
      </w:r>
      <w:r w:rsidR="00355DF1" w:rsidRPr="0015154B">
        <w:rPr>
          <w:rFonts w:ascii="Times New Roman" w:eastAsia="Calibri" w:hAnsi="Times New Roman"/>
          <w:iCs/>
          <w:color w:val="000000"/>
          <w:sz w:val="24"/>
          <w:szCs w:val="24"/>
          <w:highlight w:val="yellow"/>
        </w:rPr>
        <w:t>.</w:t>
      </w:r>
      <w:r w:rsidR="00D2163B" w:rsidRPr="0015154B">
        <w:rPr>
          <w:rFonts w:ascii="Times New Roman" w:eastAsia="Calibri" w:hAnsi="Times New Roman"/>
          <w:iCs/>
          <w:color w:val="000000"/>
          <w:sz w:val="24"/>
          <w:szCs w:val="24"/>
          <w:highlight w:val="yellow"/>
        </w:rPr>
        <w:t>tabulu</w:t>
      </w:r>
      <w:r w:rsidR="00D2163B" w:rsidRPr="0015154B">
        <w:rPr>
          <w:rFonts w:ascii="Times New Roman" w:eastAsia="Calibri" w:hAnsi="Times New Roman"/>
          <w:iCs/>
          <w:color w:val="000000"/>
          <w:sz w:val="24"/>
          <w:szCs w:val="24"/>
        </w:rPr>
        <w:t>)</w:t>
      </w:r>
      <w:r w:rsidRPr="0015154B">
        <w:rPr>
          <w:rFonts w:ascii="Times New Roman" w:eastAsia="Calibri" w:hAnsi="Times New Roman"/>
          <w:iCs/>
          <w:color w:val="000000"/>
          <w:sz w:val="24"/>
          <w:szCs w:val="24"/>
        </w:rPr>
        <w:t xml:space="preserve">, no kuriem ik gadu vidēji 40% saņēma atbalstu dotācijas veidā komercdarbības vai pašnodarbinātības uzsākšanai. Pasākumam raksturīgi tas, ka pēc tā pabeigšanas gandrīz visas iesaistītās personas ir uzsākušas komercdarbību vai pašnodarbinātību. Šādu pozitīvu rezultātu nosaka </w:t>
      </w:r>
      <w:r w:rsidR="00D2163B" w:rsidRPr="0015154B">
        <w:rPr>
          <w:rFonts w:ascii="Times New Roman" w:eastAsia="Calibri" w:hAnsi="Times New Roman"/>
          <w:iCs/>
          <w:color w:val="000000"/>
          <w:sz w:val="24"/>
          <w:szCs w:val="24"/>
        </w:rPr>
        <w:t>tas</w:t>
      </w:r>
      <w:r w:rsidRPr="0015154B">
        <w:rPr>
          <w:rFonts w:ascii="Times New Roman" w:eastAsia="Calibri" w:hAnsi="Times New Roman"/>
          <w:iCs/>
          <w:color w:val="000000"/>
          <w:sz w:val="24"/>
          <w:szCs w:val="24"/>
        </w:rPr>
        <w:t>, ka iesniegtos biznesa plānus izvērtē eksperti, par atbilstošiem atzīstot tikai perspektīvākos un ilgtspējīgākos biznesa projektus, kuri varētu nest peļņu ilgtermiņā, neradot būtisku zaudējumu riskus uzņēmējdarbības uzsācējam. Tāpat tiek veikta regulāra biznesa plāna īstenošanas izvērtēšana.</w:t>
      </w:r>
    </w:p>
    <w:p w14:paraId="74B41FE5" w14:textId="3D387DC4" w:rsidR="00D2163B" w:rsidRPr="0015154B" w:rsidRDefault="00D2163B" w:rsidP="00D2163B">
      <w:pPr>
        <w:spacing w:after="0" w:line="240" w:lineRule="auto"/>
        <w:jc w:val="both"/>
        <w:rPr>
          <w:rFonts w:ascii="Times New Roman" w:eastAsia="Calibri" w:hAnsi="Times New Roman"/>
          <w:iCs/>
          <w:color w:val="000000"/>
          <w:sz w:val="24"/>
          <w:szCs w:val="24"/>
        </w:rPr>
      </w:pPr>
    </w:p>
    <w:p w14:paraId="3B3D9F7F" w14:textId="57FE4F5C" w:rsidR="00D2163B" w:rsidRPr="0015154B" w:rsidRDefault="00355DF1" w:rsidP="00D2163B">
      <w:pPr>
        <w:spacing w:after="0" w:line="240" w:lineRule="auto"/>
        <w:jc w:val="both"/>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2</w:t>
      </w:r>
      <w:r w:rsidR="002E4D66">
        <w:rPr>
          <w:rFonts w:ascii="Times New Roman" w:eastAsia="Calibri" w:hAnsi="Times New Roman"/>
          <w:iCs/>
          <w:color w:val="000000"/>
          <w:sz w:val="24"/>
          <w:szCs w:val="24"/>
        </w:rPr>
        <w:t>4</w:t>
      </w:r>
      <w:r w:rsidRPr="0015154B">
        <w:rPr>
          <w:rFonts w:ascii="Times New Roman" w:eastAsia="Calibri" w:hAnsi="Times New Roman"/>
          <w:iCs/>
          <w:color w:val="000000"/>
          <w:sz w:val="24"/>
          <w:szCs w:val="24"/>
        </w:rPr>
        <w:t>.</w:t>
      </w:r>
      <w:r w:rsidR="00D2163B" w:rsidRPr="0015154B">
        <w:rPr>
          <w:rFonts w:ascii="Times New Roman" w:eastAsia="Calibri" w:hAnsi="Times New Roman"/>
          <w:iCs/>
          <w:color w:val="000000"/>
          <w:sz w:val="24"/>
          <w:szCs w:val="24"/>
        </w:rPr>
        <w:t>tabula</w:t>
      </w:r>
    </w:p>
    <w:p w14:paraId="79D3B039" w14:textId="77777777" w:rsidR="00FE1751" w:rsidRPr="0015154B" w:rsidRDefault="00FE1751" w:rsidP="00FE1751">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Pasākumi komercdarbības vai pašnodarbinātības uzsākšanai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2748"/>
        <w:gridCol w:w="3260"/>
      </w:tblGrid>
      <w:tr w:rsidR="00D2163B" w:rsidRPr="0015154B" w14:paraId="5DA43B93" w14:textId="77777777" w:rsidTr="00AF6D84">
        <w:trPr>
          <w:jc w:val="center"/>
        </w:trPr>
        <w:tc>
          <w:tcPr>
            <w:tcW w:w="1789" w:type="dxa"/>
            <w:shd w:val="clear" w:color="auto" w:fill="E8F3D3" w:themeFill="accent2" w:themeFillTint="33"/>
          </w:tcPr>
          <w:p w14:paraId="491C70CB" w14:textId="77777777" w:rsidR="00D2163B" w:rsidRPr="0015154B" w:rsidRDefault="00D2163B" w:rsidP="00D2163B">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Periods</w:t>
            </w:r>
          </w:p>
        </w:tc>
        <w:tc>
          <w:tcPr>
            <w:tcW w:w="2748" w:type="dxa"/>
            <w:shd w:val="clear" w:color="auto" w:fill="E8F3D3" w:themeFill="accent2" w:themeFillTint="33"/>
          </w:tcPr>
          <w:p w14:paraId="5ED6F74E" w14:textId="26CC0A26" w:rsidR="00D2163B" w:rsidRPr="0015154B" w:rsidRDefault="00D2163B" w:rsidP="00D2163B">
            <w:pPr>
              <w:spacing w:after="0" w:line="240" w:lineRule="auto"/>
              <w:jc w:val="center"/>
              <w:rPr>
                <w:rFonts w:ascii="Times New Roman" w:eastAsia="Times New Roman" w:hAnsi="Times New Roman" w:cs="Times New Roman"/>
                <w:b/>
                <w:bCs/>
                <w:color w:val="002060"/>
                <w:sz w:val="24"/>
                <w:szCs w:val="24"/>
                <w:lang w:eastAsia="lv-LV" w:bidi="lo-LA"/>
              </w:rPr>
            </w:pPr>
            <w:r w:rsidRPr="0015154B">
              <w:rPr>
                <w:rFonts w:ascii="Times New Roman" w:eastAsia="Times New Roman" w:hAnsi="Times New Roman" w:cs="Times New Roman"/>
                <w:b/>
                <w:bCs/>
                <w:color w:val="002060"/>
                <w:sz w:val="24"/>
                <w:szCs w:val="24"/>
                <w:lang w:eastAsia="lv-LV" w:bidi="lo-LA"/>
              </w:rPr>
              <w:t>Iesaistītie bezdarbnieki, skaits</w:t>
            </w:r>
          </w:p>
        </w:tc>
        <w:tc>
          <w:tcPr>
            <w:tcW w:w="3260" w:type="dxa"/>
            <w:shd w:val="clear" w:color="auto" w:fill="E8F3D3" w:themeFill="accent2" w:themeFillTint="33"/>
          </w:tcPr>
          <w:p w14:paraId="0AF04AB9" w14:textId="4B95772E" w:rsidR="00D2163B" w:rsidRPr="0015154B" w:rsidRDefault="00D2163B" w:rsidP="00D2163B">
            <w:pPr>
              <w:spacing w:after="0" w:line="240" w:lineRule="auto"/>
              <w:jc w:val="center"/>
              <w:rPr>
                <w:rFonts w:ascii="Times New Roman" w:eastAsia="Times New Roman" w:hAnsi="Times New Roman" w:cs="Times New Roman"/>
                <w:b/>
                <w:bCs/>
                <w:color w:val="002060"/>
                <w:sz w:val="24"/>
                <w:szCs w:val="24"/>
                <w:lang w:eastAsia="lv-LV" w:bidi="lo-LA"/>
              </w:rPr>
            </w:pPr>
            <w:r w:rsidRPr="0015154B">
              <w:rPr>
                <w:rFonts w:ascii="Times New Roman" w:eastAsia="Times New Roman" w:hAnsi="Times New Roman" w:cs="Times New Roman"/>
                <w:b/>
                <w:bCs/>
                <w:color w:val="002060"/>
                <w:sz w:val="24"/>
                <w:szCs w:val="24"/>
                <w:lang w:eastAsia="lv-LV" w:bidi="lo-LA"/>
              </w:rPr>
              <w:t>Īpatsvars bezdarbnieku kopskaitā, %</w:t>
            </w:r>
          </w:p>
        </w:tc>
      </w:tr>
      <w:tr w:rsidR="00D2163B" w:rsidRPr="0015154B" w14:paraId="7C6D9257" w14:textId="77777777" w:rsidTr="00AF6D84">
        <w:trPr>
          <w:jc w:val="center"/>
        </w:trPr>
        <w:tc>
          <w:tcPr>
            <w:tcW w:w="1789" w:type="dxa"/>
            <w:shd w:val="clear" w:color="auto" w:fill="E8F3D3" w:themeFill="accent2" w:themeFillTint="33"/>
          </w:tcPr>
          <w:p w14:paraId="008E5EC8" w14:textId="02F60B1B" w:rsidR="00D2163B" w:rsidRPr="0015154B" w:rsidRDefault="00D2163B" w:rsidP="00D2163B">
            <w:pPr>
              <w:spacing w:after="0" w:line="240" w:lineRule="auto"/>
              <w:rPr>
                <w:rFonts w:ascii="Times New Roman" w:eastAsia="Times New Roman" w:hAnsi="Times New Roman" w:cs="Times New Roman"/>
                <w:color w:val="002060"/>
                <w:sz w:val="24"/>
                <w:szCs w:val="24"/>
                <w:lang w:eastAsia="lv-LV" w:bidi="lo-LA"/>
              </w:rPr>
            </w:pPr>
            <w:r w:rsidRPr="0015154B">
              <w:rPr>
                <w:rFonts w:ascii="Times New Roman" w:eastAsia="Times New Roman" w:hAnsi="Times New Roman" w:cs="Times New Roman"/>
                <w:color w:val="002060"/>
                <w:sz w:val="24"/>
                <w:szCs w:val="24"/>
                <w:lang w:eastAsia="lv-LV" w:bidi="lo-LA"/>
              </w:rPr>
              <w:t>2014</w:t>
            </w:r>
          </w:p>
        </w:tc>
        <w:tc>
          <w:tcPr>
            <w:tcW w:w="2748" w:type="dxa"/>
            <w:vAlign w:val="bottom"/>
          </w:tcPr>
          <w:p w14:paraId="0C321A4C" w14:textId="51A287EB" w:rsidR="00D2163B" w:rsidRPr="0015154B" w:rsidRDefault="00D2163B" w:rsidP="00D2163B">
            <w:pPr>
              <w:spacing w:after="0" w:line="240" w:lineRule="auto"/>
              <w:ind w:right="-29"/>
              <w:jc w:val="center"/>
              <w:rPr>
                <w:rFonts w:ascii="Times New Roman" w:eastAsia="Times New Roman" w:hAnsi="Times New Roman" w:cs="Times New Roman"/>
                <w:bCs/>
                <w:sz w:val="24"/>
                <w:szCs w:val="24"/>
                <w:lang w:eastAsia="lv-LV" w:bidi="lo-LA"/>
              </w:rPr>
            </w:pPr>
            <w:r w:rsidRPr="0015154B">
              <w:rPr>
                <w:rFonts w:ascii="Times New Roman" w:eastAsia="Times New Roman" w:hAnsi="Times New Roman" w:cs="Times New Roman"/>
                <w:bCs/>
                <w:sz w:val="24"/>
                <w:szCs w:val="24"/>
                <w:lang w:eastAsia="lv-LV" w:bidi="lo-LA"/>
              </w:rPr>
              <w:t>265</w:t>
            </w:r>
          </w:p>
        </w:tc>
        <w:tc>
          <w:tcPr>
            <w:tcW w:w="3260" w:type="dxa"/>
          </w:tcPr>
          <w:p w14:paraId="2D8071DC" w14:textId="488BACC9" w:rsidR="00D2163B" w:rsidRPr="0015154B" w:rsidRDefault="00D2163B" w:rsidP="00D2163B">
            <w:pPr>
              <w:spacing w:after="0" w:line="240" w:lineRule="auto"/>
              <w:ind w:right="-29"/>
              <w:jc w:val="center"/>
              <w:rPr>
                <w:rFonts w:ascii="Times New Roman" w:eastAsia="Times New Roman" w:hAnsi="Times New Roman" w:cs="Times New Roman"/>
                <w:bCs/>
                <w:sz w:val="24"/>
                <w:szCs w:val="24"/>
                <w:lang w:eastAsia="lv-LV" w:bidi="lo-LA"/>
              </w:rPr>
            </w:pPr>
            <w:r w:rsidRPr="0015154B">
              <w:rPr>
                <w:rFonts w:ascii="Times New Roman" w:eastAsia="Times New Roman" w:hAnsi="Times New Roman" w:cs="Times New Roman"/>
                <w:bCs/>
                <w:sz w:val="24"/>
                <w:szCs w:val="24"/>
                <w:lang w:eastAsia="lv-LV" w:bidi="lo-LA"/>
              </w:rPr>
              <w:t>0,3</w:t>
            </w:r>
          </w:p>
        </w:tc>
      </w:tr>
      <w:tr w:rsidR="00D2163B" w:rsidRPr="0015154B" w14:paraId="4E51772D" w14:textId="77777777" w:rsidTr="00AF6D84">
        <w:trPr>
          <w:jc w:val="center"/>
        </w:trPr>
        <w:tc>
          <w:tcPr>
            <w:tcW w:w="1789" w:type="dxa"/>
            <w:shd w:val="clear" w:color="auto" w:fill="E8F3D3" w:themeFill="accent2" w:themeFillTint="33"/>
          </w:tcPr>
          <w:p w14:paraId="12940FC4" w14:textId="3414BEBC" w:rsidR="00D2163B" w:rsidRPr="0015154B" w:rsidRDefault="00D2163B" w:rsidP="00D2163B">
            <w:pPr>
              <w:spacing w:after="0" w:line="240" w:lineRule="auto"/>
              <w:rPr>
                <w:rFonts w:ascii="Times New Roman" w:hAnsi="Times New Roman" w:cs="Times New Roman"/>
                <w:color w:val="002060"/>
                <w:sz w:val="24"/>
                <w:szCs w:val="24"/>
              </w:rPr>
            </w:pPr>
            <w:r w:rsidRPr="0015154B">
              <w:rPr>
                <w:rFonts w:ascii="Times New Roman" w:eastAsia="Times New Roman" w:hAnsi="Times New Roman" w:cs="Times New Roman"/>
                <w:color w:val="002060"/>
                <w:sz w:val="24"/>
                <w:szCs w:val="24"/>
                <w:lang w:eastAsia="lv-LV" w:bidi="lo-LA"/>
              </w:rPr>
              <w:t>2015</w:t>
            </w:r>
          </w:p>
        </w:tc>
        <w:tc>
          <w:tcPr>
            <w:tcW w:w="2748" w:type="dxa"/>
            <w:vAlign w:val="bottom"/>
          </w:tcPr>
          <w:p w14:paraId="7F18C7C3" w14:textId="63452FD7" w:rsidR="00D2163B" w:rsidRPr="0015154B" w:rsidRDefault="00D2163B" w:rsidP="00D2163B">
            <w:pPr>
              <w:spacing w:after="0" w:line="240" w:lineRule="auto"/>
              <w:ind w:right="-29"/>
              <w:jc w:val="center"/>
              <w:rPr>
                <w:rFonts w:ascii="Times New Roman" w:eastAsia="Times New Roman" w:hAnsi="Times New Roman" w:cs="Times New Roman"/>
                <w:bCs/>
                <w:sz w:val="24"/>
                <w:szCs w:val="24"/>
                <w:lang w:eastAsia="lv-LV" w:bidi="lo-LA"/>
              </w:rPr>
            </w:pPr>
            <w:r w:rsidRPr="0015154B">
              <w:rPr>
                <w:rFonts w:ascii="Times New Roman" w:eastAsia="Times New Roman" w:hAnsi="Times New Roman" w:cs="Times New Roman"/>
                <w:bCs/>
                <w:sz w:val="24"/>
                <w:szCs w:val="24"/>
                <w:lang w:eastAsia="lv-LV" w:bidi="lo-LA"/>
              </w:rPr>
              <w:t>157</w:t>
            </w:r>
          </w:p>
        </w:tc>
        <w:tc>
          <w:tcPr>
            <w:tcW w:w="3260" w:type="dxa"/>
          </w:tcPr>
          <w:p w14:paraId="1F88C526" w14:textId="0C2990E8" w:rsidR="00D2163B" w:rsidRPr="0015154B" w:rsidRDefault="00D2163B" w:rsidP="00D2163B">
            <w:pPr>
              <w:spacing w:after="0" w:line="240" w:lineRule="auto"/>
              <w:ind w:right="-29"/>
              <w:jc w:val="center"/>
              <w:rPr>
                <w:rFonts w:ascii="Times New Roman" w:eastAsia="Times New Roman" w:hAnsi="Times New Roman" w:cs="Times New Roman"/>
                <w:bCs/>
                <w:sz w:val="24"/>
                <w:szCs w:val="24"/>
                <w:lang w:eastAsia="lv-LV" w:bidi="lo-LA"/>
              </w:rPr>
            </w:pPr>
            <w:r w:rsidRPr="0015154B">
              <w:rPr>
                <w:rFonts w:ascii="Times New Roman" w:eastAsia="Times New Roman" w:hAnsi="Times New Roman" w:cs="Times New Roman"/>
                <w:bCs/>
                <w:sz w:val="24"/>
                <w:szCs w:val="24"/>
                <w:lang w:eastAsia="lv-LV" w:bidi="lo-LA"/>
              </w:rPr>
              <w:t>0,19</w:t>
            </w:r>
          </w:p>
        </w:tc>
      </w:tr>
      <w:tr w:rsidR="00D2163B" w:rsidRPr="0015154B" w14:paraId="15BF0A11" w14:textId="77777777" w:rsidTr="00AF6D84">
        <w:trPr>
          <w:jc w:val="center"/>
        </w:trPr>
        <w:tc>
          <w:tcPr>
            <w:tcW w:w="1789" w:type="dxa"/>
            <w:shd w:val="clear" w:color="auto" w:fill="E8F3D3" w:themeFill="accent2" w:themeFillTint="33"/>
          </w:tcPr>
          <w:p w14:paraId="2655D596" w14:textId="1AE6076C" w:rsidR="00D2163B" w:rsidRPr="0015154B" w:rsidRDefault="00D2163B" w:rsidP="00D2163B">
            <w:pPr>
              <w:spacing w:after="0" w:line="240" w:lineRule="auto"/>
              <w:rPr>
                <w:rFonts w:ascii="Times New Roman" w:hAnsi="Times New Roman" w:cs="Times New Roman"/>
                <w:color w:val="002060"/>
                <w:sz w:val="24"/>
                <w:szCs w:val="24"/>
              </w:rPr>
            </w:pPr>
            <w:r w:rsidRPr="0015154B">
              <w:rPr>
                <w:rFonts w:ascii="Times New Roman" w:eastAsia="Times New Roman" w:hAnsi="Times New Roman" w:cs="Times New Roman"/>
                <w:color w:val="002060"/>
                <w:sz w:val="24"/>
                <w:szCs w:val="24"/>
                <w:lang w:eastAsia="lv-LV" w:bidi="lo-LA"/>
              </w:rPr>
              <w:t>2016</w:t>
            </w:r>
          </w:p>
        </w:tc>
        <w:tc>
          <w:tcPr>
            <w:tcW w:w="2748" w:type="dxa"/>
          </w:tcPr>
          <w:p w14:paraId="4A350305" w14:textId="70493367" w:rsidR="00D2163B" w:rsidRPr="0015154B" w:rsidRDefault="00D2163B" w:rsidP="00D2163B">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164</w:t>
            </w:r>
          </w:p>
        </w:tc>
        <w:tc>
          <w:tcPr>
            <w:tcW w:w="3260" w:type="dxa"/>
          </w:tcPr>
          <w:p w14:paraId="66AB6AE1" w14:textId="77DD7DA0" w:rsidR="00D2163B" w:rsidRPr="0015154B" w:rsidRDefault="00D2163B" w:rsidP="00D2163B">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0,2</w:t>
            </w:r>
          </w:p>
        </w:tc>
      </w:tr>
      <w:tr w:rsidR="00D2163B" w:rsidRPr="0015154B" w14:paraId="29501573" w14:textId="77777777" w:rsidTr="00AF6D84">
        <w:trPr>
          <w:jc w:val="center"/>
        </w:trPr>
        <w:tc>
          <w:tcPr>
            <w:tcW w:w="1789" w:type="dxa"/>
            <w:shd w:val="clear" w:color="auto" w:fill="E8F3D3" w:themeFill="accent2" w:themeFillTint="33"/>
          </w:tcPr>
          <w:p w14:paraId="5CF1E206" w14:textId="05B76B8B" w:rsidR="00D2163B" w:rsidRPr="0015154B" w:rsidRDefault="00D2163B" w:rsidP="00D2163B">
            <w:pPr>
              <w:spacing w:after="0" w:line="240" w:lineRule="auto"/>
              <w:rPr>
                <w:rFonts w:ascii="Times New Roman" w:hAnsi="Times New Roman" w:cs="Times New Roman"/>
                <w:color w:val="002060"/>
                <w:sz w:val="24"/>
                <w:szCs w:val="24"/>
              </w:rPr>
            </w:pPr>
            <w:r w:rsidRPr="0015154B">
              <w:rPr>
                <w:rFonts w:ascii="Times New Roman" w:eastAsia="Times New Roman" w:hAnsi="Times New Roman" w:cs="Times New Roman"/>
                <w:color w:val="002060"/>
                <w:sz w:val="24"/>
                <w:szCs w:val="24"/>
                <w:lang w:eastAsia="lv-LV" w:bidi="lo-LA"/>
              </w:rPr>
              <w:t>2017</w:t>
            </w:r>
          </w:p>
        </w:tc>
        <w:tc>
          <w:tcPr>
            <w:tcW w:w="2748" w:type="dxa"/>
          </w:tcPr>
          <w:p w14:paraId="1A8E4D15" w14:textId="4345F0A0" w:rsidR="00D2163B" w:rsidRPr="0015154B" w:rsidRDefault="00D2163B" w:rsidP="00D2163B">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211</w:t>
            </w:r>
          </w:p>
        </w:tc>
        <w:tc>
          <w:tcPr>
            <w:tcW w:w="3260" w:type="dxa"/>
          </w:tcPr>
          <w:p w14:paraId="2A23049D" w14:textId="160195F9" w:rsidR="00D2163B" w:rsidRPr="0015154B" w:rsidRDefault="00D2163B" w:rsidP="00D2163B">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0,3</w:t>
            </w:r>
          </w:p>
        </w:tc>
      </w:tr>
      <w:tr w:rsidR="00D2163B" w:rsidRPr="0015154B" w14:paraId="3B81CF25" w14:textId="77777777" w:rsidTr="00AF6D84">
        <w:trPr>
          <w:jc w:val="center"/>
        </w:trPr>
        <w:tc>
          <w:tcPr>
            <w:tcW w:w="1789" w:type="dxa"/>
            <w:shd w:val="clear" w:color="auto" w:fill="E8F3D3" w:themeFill="accent2" w:themeFillTint="33"/>
          </w:tcPr>
          <w:p w14:paraId="0053ACE1" w14:textId="68A5548A" w:rsidR="00D2163B" w:rsidRPr="0015154B" w:rsidRDefault="00D2163B" w:rsidP="00D2163B">
            <w:pPr>
              <w:spacing w:after="0" w:line="240" w:lineRule="auto"/>
              <w:rPr>
                <w:rFonts w:ascii="Times New Roman" w:eastAsia="Times New Roman" w:hAnsi="Times New Roman" w:cs="Times New Roman"/>
                <w:color w:val="002060"/>
                <w:sz w:val="24"/>
                <w:szCs w:val="24"/>
                <w:lang w:eastAsia="lv-LV" w:bidi="lo-LA"/>
              </w:rPr>
            </w:pPr>
            <w:r w:rsidRPr="0015154B">
              <w:rPr>
                <w:rFonts w:ascii="Times New Roman" w:eastAsia="Times New Roman" w:hAnsi="Times New Roman" w:cs="Times New Roman"/>
                <w:color w:val="002060"/>
                <w:sz w:val="24"/>
                <w:szCs w:val="24"/>
                <w:lang w:eastAsia="lv-LV" w:bidi="lo-LA"/>
              </w:rPr>
              <w:t>2018</w:t>
            </w:r>
          </w:p>
        </w:tc>
        <w:tc>
          <w:tcPr>
            <w:tcW w:w="2748" w:type="dxa"/>
          </w:tcPr>
          <w:p w14:paraId="25F82358" w14:textId="6D2D0DDA" w:rsidR="00D2163B" w:rsidRPr="0015154B" w:rsidRDefault="00D2163B" w:rsidP="00D2163B">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213</w:t>
            </w:r>
          </w:p>
        </w:tc>
        <w:tc>
          <w:tcPr>
            <w:tcW w:w="3260" w:type="dxa"/>
          </w:tcPr>
          <w:p w14:paraId="4520B4B3" w14:textId="09810B2F" w:rsidR="00D2163B" w:rsidRPr="0015154B" w:rsidRDefault="00D2163B" w:rsidP="00D2163B">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0,35</w:t>
            </w:r>
          </w:p>
        </w:tc>
      </w:tr>
      <w:tr w:rsidR="00D2163B" w:rsidRPr="0015154B" w14:paraId="533D7E86" w14:textId="77777777" w:rsidTr="00AF6D84">
        <w:trPr>
          <w:jc w:val="center"/>
        </w:trPr>
        <w:tc>
          <w:tcPr>
            <w:tcW w:w="1789" w:type="dxa"/>
            <w:shd w:val="clear" w:color="auto" w:fill="E8F3D3" w:themeFill="accent2" w:themeFillTint="33"/>
          </w:tcPr>
          <w:p w14:paraId="7DF490B6" w14:textId="29A90FF2" w:rsidR="00D2163B" w:rsidRPr="0015154B" w:rsidRDefault="00D2163B" w:rsidP="00D2163B">
            <w:pPr>
              <w:spacing w:after="0" w:line="240" w:lineRule="auto"/>
              <w:rPr>
                <w:rFonts w:ascii="Times New Roman" w:eastAsia="Times New Roman" w:hAnsi="Times New Roman" w:cs="Times New Roman"/>
                <w:color w:val="002060"/>
                <w:sz w:val="24"/>
                <w:szCs w:val="24"/>
                <w:lang w:eastAsia="lv-LV" w:bidi="lo-LA"/>
              </w:rPr>
            </w:pPr>
            <w:r w:rsidRPr="0015154B">
              <w:rPr>
                <w:rFonts w:ascii="Times New Roman" w:eastAsia="Times New Roman" w:hAnsi="Times New Roman" w:cs="Times New Roman"/>
                <w:color w:val="002060"/>
                <w:sz w:val="24"/>
                <w:szCs w:val="24"/>
                <w:lang w:eastAsia="lv-LV" w:bidi="lo-LA"/>
              </w:rPr>
              <w:t>2019</w:t>
            </w:r>
          </w:p>
        </w:tc>
        <w:tc>
          <w:tcPr>
            <w:tcW w:w="2748" w:type="dxa"/>
          </w:tcPr>
          <w:p w14:paraId="6D0C749D" w14:textId="74795B54" w:rsidR="00D2163B" w:rsidRPr="0015154B" w:rsidRDefault="00D2163B" w:rsidP="00D2163B">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156</w:t>
            </w:r>
          </w:p>
        </w:tc>
        <w:tc>
          <w:tcPr>
            <w:tcW w:w="3260" w:type="dxa"/>
          </w:tcPr>
          <w:p w14:paraId="1329CC67" w14:textId="362EAD65" w:rsidR="00D2163B" w:rsidRPr="0015154B" w:rsidRDefault="00D2163B" w:rsidP="00D2163B">
            <w:pPr>
              <w:spacing w:after="0" w:line="240" w:lineRule="auto"/>
              <w:jc w:val="center"/>
              <w:rPr>
                <w:rFonts w:ascii="Times New Roman" w:hAnsi="Times New Roman" w:cs="Times New Roman"/>
                <w:bCs/>
                <w:sz w:val="24"/>
                <w:szCs w:val="24"/>
              </w:rPr>
            </w:pPr>
            <w:r w:rsidRPr="0015154B">
              <w:rPr>
                <w:rFonts w:ascii="Times New Roman" w:hAnsi="Times New Roman" w:cs="Times New Roman"/>
                <w:bCs/>
                <w:sz w:val="24"/>
                <w:szCs w:val="24"/>
              </w:rPr>
              <w:t>0,29</w:t>
            </w:r>
          </w:p>
        </w:tc>
      </w:tr>
    </w:tbl>
    <w:p w14:paraId="792BB065" w14:textId="6C90C4D2" w:rsidR="00FE1751" w:rsidRPr="0015154B" w:rsidRDefault="00D2163B" w:rsidP="00FE1751">
      <w:pPr>
        <w:spacing w:after="0" w:line="240" w:lineRule="auto"/>
        <w:ind w:firstLine="720"/>
        <w:jc w:val="both"/>
        <w:rPr>
          <w:rFonts w:ascii="Times New Roman" w:eastAsia="Calibri" w:hAnsi="Times New Roman"/>
          <w:iCs/>
          <w:color w:val="000000"/>
          <w:sz w:val="20"/>
          <w:szCs w:val="20"/>
        </w:rPr>
      </w:pPr>
      <w:r w:rsidRPr="0015154B">
        <w:rPr>
          <w:rFonts w:ascii="Times New Roman" w:eastAsia="Calibri" w:hAnsi="Times New Roman"/>
          <w:iCs/>
          <w:color w:val="000000"/>
          <w:sz w:val="20"/>
          <w:szCs w:val="20"/>
        </w:rPr>
        <w:t>Datu avots: NVA</w:t>
      </w:r>
    </w:p>
    <w:p w14:paraId="53F8618D" w14:textId="77777777" w:rsidR="00D2163B" w:rsidRPr="0015154B" w:rsidRDefault="00D2163B" w:rsidP="00FE1751">
      <w:pPr>
        <w:spacing w:after="0" w:line="240" w:lineRule="auto"/>
        <w:ind w:firstLine="720"/>
        <w:jc w:val="both"/>
        <w:rPr>
          <w:rFonts w:ascii="Times New Roman" w:eastAsia="Calibri" w:hAnsi="Times New Roman"/>
          <w:iCs/>
          <w:color w:val="000000"/>
          <w:sz w:val="24"/>
          <w:szCs w:val="24"/>
        </w:rPr>
      </w:pPr>
    </w:p>
    <w:p w14:paraId="18C8E18C" w14:textId="4A8BAA22" w:rsidR="00557382" w:rsidRPr="00573B49" w:rsidRDefault="00557382" w:rsidP="00724B79">
      <w:pPr>
        <w:autoSpaceDE w:val="0"/>
        <w:autoSpaceDN w:val="0"/>
        <w:adjustRightInd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lastRenderedPageBreak/>
        <w:t>Atbilstoši OECD secinājumiem</w:t>
      </w:r>
      <w:r w:rsidRPr="007157D3">
        <w:rPr>
          <w:rFonts w:ascii="Times New Roman" w:eastAsia="Times New Roman" w:hAnsi="Times New Roman" w:cs="Times New Roman"/>
          <w:bCs/>
          <w:sz w:val="24"/>
          <w:szCs w:val="24"/>
          <w:vertAlign w:val="superscript"/>
          <w:lang w:eastAsia="lv-LV"/>
        </w:rPr>
        <w:footnoteReference w:id="168"/>
      </w:r>
      <w:r w:rsidRPr="007157D3">
        <w:rPr>
          <w:rFonts w:ascii="Times New Roman" w:hAnsi="Times New Roman" w:cs="Times New Roman"/>
          <w:sz w:val="24"/>
          <w:szCs w:val="24"/>
        </w:rPr>
        <w:t xml:space="preserve"> nelielais programmas </w:t>
      </w:r>
      <w:r w:rsidRPr="002F5278">
        <w:rPr>
          <w:rFonts w:ascii="Times New Roman" w:hAnsi="Times New Roman" w:cs="Times New Roman"/>
          <w:sz w:val="24"/>
          <w:szCs w:val="24"/>
        </w:rPr>
        <w:t>pārklājums varētu daļēji izrietēt no augstajām atbilstības prasībām. L</w:t>
      </w:r>
      <w:r w:rsidRPr="00573B49">
        <w:rPr>
          <w:rFonts w:ascii="Times New Roman" w:hAnsi="Times New Roman" w:cs="Times New Roman"/>
          <w:sz w:val="24"/>
          <w:szCs w:val="24"/>
        </w:rPr>
        <w:t>ai kvalificētos, reģistrētam bezdarbniekam ir nepieciešama zināma pieredze uzņēmējdarbības vadībā, apliecināta izglītības kvalifikācija augstākās vai profesionālās izglītības līmenī ierosinātās darbības nozarē vai uzņēmējdarbības vadībā vai jebkāda apliecināta kvalifikācija profesionālās vai augstākās izglītības līmenī apvienojumā ar turpmākām apmācībām uzņēmējdarbības vadībā. Uzņēmējdarbības profesionāļus, kas piedāvā konsultācijas un atlasa biznesa plānus dotācijām, izvēlas NVA publiskā iepirkuma kārtībā. Turklāt jāņem vērā, ka pieejamais finanšu atbalsta apmērs ir ierobežots, kas ļauj atbalstīt tikai labākās idejas.</w:t>
      </w:r>
    </w:p>
    <w:p w14:paraId="7EC32373" w14:textId="6D816A6F" w:rsidR="00FE1751" w:rsidRPr="0015154B" w:rsidRDefault="00557382" w:rsidP="00724B79">
      <w:pPr>
        <w:spacing w:before="120" w:after="0" w:line="240" w:lineRule="auto"/>
        <w:ind w:firstLine="720"/>
        <w:jc w:val="both"/>
        <w:rPr>
          <w:rFonts w:ascii="Times New Roman" w:eastAsia="Calibri" w:hAnsi="Times New Roman"/>
          <w:iCs/>
          <w:sz w:val="24"/>
          <w:szCs w:val="24"/>
        </w:rPr>
      </w:pPr>
      <w:r w:rsidRPr="0025422D">
        <w:rPr>
          <w:rFonts w:ascii="Times New Roman" w:hAnsi="Times New Roman" w:cs="Times New Roman"/>
          <w:sz w:val="24"/>
          <w:szCs w:val="24"/>
        </w:rPr>
        <w:t>NVA ir uzsākusi darbu pie pasākuma pilnveides. Plānotie pilnveidojumi paredz stiprināt pasākuma sākuma posmu, paredzot pirmo bezdarbnieku at</w:t>
      </w:r>
      <w:r w:rsidRPr="00A857F2">
        <w:rPr>
          <w:rFonts w:ascii="Times New Roman" w:hAnsi="Times New Roman" w:cs="Times New Roman"/>
          <w:sz w:val="24"/>
          <w:szCs w:val="24"/>
        </w:rPr>
        <w:t>lases kārtu kā biznesa plānu ideju prezentāciju pirms biznesa plānu izstrādes uzsākšanas, savukārt pēc biznesa plāna izstrādes paredzēta biznesa plāna prezentācija. Pilnveidojumu mērķis ir paaugstināt bezdarbnieku ideju konkurenci, vienlaikus dodot iespēju</w:t>
      </w:r>
      <w:r w:rsidRPr="00662D1E">
        <w:rPr>
          <w:rFonts w:ascii="Times New Roman" w:hAnsi="Times New Roman" w:cs="Times New Roman"/>
          <w:sz w:val="24"/>
          <w:szCs w:val="24"/>
        </w:rPr>
        <w:t xml:space="preserve"> idejas prezentēt lielākam pretendentu skaitam, kā arī, lai pilnveidotu biznesa plāna vērtējuma procesu un veicinātu plāna sagatavotāju izpratni par vērtējuma pamatojumu, nodrošināt komunikācijas iespējas vērtēšanas ekspertiem ar bezdarbniekiem plāna preze</w:t>
      </w:r>
      <w:r w:rsidRPr="009703E6">
        <w:rPr>
          <w:rFonts w:ascii="Times New Roman" w:hAnsi="Times New Roman" w:cs="Times New Roman"/>
          <w:sz w:val="24"/>
          <w:szCs w:val="24"/>
        </w:rPr>
        <w:t>ntācijas laikā.</w:t>
      </w:r>
    </w:p>
    <w:p w14:paraId="26EB777E" w14:textId="68980F18" w:rsidR="00FE1751" w:rsidRPr="0015154B" w:rsidRDefault="00FE1751" w:rsidP="00724B79">
      <w:pPr>
        <w:widowControl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b/>
          <w:sz w:val="24"/>
          <w:szCs w:val="24"/>
        </w:rPr>
        <w:t>NVA karjeras pakalpojumi</w:t>
      </w:r>
      <w:r w:rsidRPr="0015154B">
        <w:rPr>
          <w:rFonts w:ascii="Times New Roman" w:hAnsi="Times New Roman" w:cs="Times New Roman"/>
          <w:sz w:val="24"/>
          <w:szCs w:val="24"/>
        </w:rPr>
        <w:t xml:space="preserve"> (klātienes un neklātienes formātā) ir pieejami visiem interesentiem: karjeras konsultācijas, testi karjeras iespēju izzināšanai,  interaktīvie e-apmācību moduļi. Karjeras konsultāciju mērķis - veicināt klienta integrāciju darba tirgū, nodrošinot atbalstu karjeras izvēlē un plānošanā, profesionālās piemērotības noteikšanā, t.sk. pirms iesaistes apmācību un nodarbinātības pasākumos, veicināt izpratni un aktīvu iesaisti mūžizglītībā, kā arī sniegt atbalstu darba devējiem piemēroto darbinieku atlasē.</w:t>
      </w:r>
    </w:p>
    <w:p w14:paraId="3253DDBD" w14:textId="6561C7DA" w:rsidR="00FE1751" w:rsidRDefault="00FE1751" w:rsidP="00724B79">
      <w:pPr>
        <w:widowControl w:val="0"/>
        <w:spacing w:before="120" w:after="0"/>
        <w:ind w:firstLine="720"/>
        <w:jc w:val="both"/>
        <w:rPr>
          <w:rStyle w:val="Strong"/>
          <w:rFonts w:ascii="Times New Roman" w:hAnsi="Times New Roman" w:cs="Times New Roman"/>
          <w:b w:val="0"/>
          <w:sz w:val="24"/>
          <w:szCs w:val="24"/>
        </w:rPr>
      </w:pPr>
      <w:r w:rsidRPr="0015154B">
        <w:rPr>
          <w:rStyle w:val="Strong"/>
          <w:rFonts w:ascii="Times New Roman" w:hAnsi="Times New Roman" w:cs="Times New Roman"/>
          <w:b w:val="0"/>
          <w:sz w:val="24"/>
          <w:szCs w:val="24"/>
        </w:rPr>
        <w:t>NVA piedāvātie karjeras konsultāciju veidi:</w:t>
      </w:r>
    </w:p>
    <w:tbl>
      <w:tblPr>
        <w:tblStyle w:val="TableGrid"/>
        <w:tblW w:w="0" w:type="auto"/>
        <w:jc w:val="center"/>
        <w:tblBorders>
          <w:top w:val="single" w:sz="24" w:space="0" w:color="549E39" w:themeColor="accent1"/>
          <w:left w:val="none" w:sz="0" w:space="0" w:color="auto"/>
          <w:bottom w:val="single" w:sz="24" w:space="0" w:color="549E39" w:themeColor="accent1"/>
          <w:right w:val="none" w:sz="0" w:space="0" w:color="auto"/>
          <w:insideH w:val="single" w:sz="24" w:space="0" w:color="549E39" w:themeColor="accent1"/>
          <w:insideV w:val="single" w:sz="24" w:space="0" w:color="549E39" w:themeColor="accent1"/>
        </w:tblBorders>
        <w:tblLook w:val="04A0" w:firstRow="1" w:lastRow="0" w:firstColumn="1" w:lastColumn="0" w:noHBand="0" w:noVBand="1"/>
      </w:tblPr>
      <w:tblGrid>
        <w:gridCol w:w="8217"/>
      </w:tblGrid>
      <w:tr w:rsidR="00DE0896" w14:paraId="41FA78B2" w14:textId="77777777" w:rsidTr="00DE0896">
        <w:trPr>
          <w:jc w:val="center"/>
        </w:trPr>
        <w:tc>
          <w:tcPr>
            <w:tcW w:w="8217" w:type="dxa"/>
          </w:tcPr>
          <w:p w14:paraId="39B7245B" w14:textId="6CB3C610" w:rsidR="00DE0896" w:rsidRDefault="00DE0896" w:rsidP="00DE0896">
            <w:pPr>
              <w:widowControl w:val="0"/>
              <w:spacing w:before="120" w:after="120"/>
              <w:ind w:left="452" w:right="181"/>
              <w:jc w:val="both"/>
              <w:rPr>
                <w:rFonts w:ascii="Times New Roman" w:hAnsi="Times New Roman" w:cs="Times New Roman"/>
                <w:bCs/>
                <w:sz w:val="24"/>
                <w:szCs w:val="24"/>
              </w:rPr>
            </w:pPr>
            <w:r w:rsidRPr="00DE0896">
              <w:rPr>
                <w:rFonts w:ascii="Times New Roman" w:hAnsi="Times New Roman" w:cs="Times New Roman"/>
                <w:b/>
                <w:color w:val="002060"/>
                <w:sz w:val="24"/>
                <w:szCs w:val="24"/>
              </w:rPr>
              <w:t>individuālās karjeras</w:t>
            </w:r>
            <w:r w:rsidRPr="00DE0896">
              <w:rPr>
                <w:rFonts w:ascii="Times New Roman" w:hAnsi="Times New Roman" w:cs="Times New Roman"/>
                <w:color w:val="002060"/>
                <w:sz w:val="24"/>
                <w:szCs w:val="24"/>
              </w:rPr>
              <w:t xml:space="preserve"> </w:t>
            </w:r>
            <w:r w:rsidRPr="0015154B">
              <w:rPr>
                <w:rFonts w:ascii="Times New Roman" w:hAnsi="Times New Roman" w:cs="Times New Roman"/>
                <w:sz w:val="24"/>
                <w:szCs w:val="24"/>
              </w:rPr>
              <w:t>konsultācijas: “Praktisks atbalsts CV un motivācijas vēstules sagatavošanā”, “Sagatavošanās darba intervijai”, “Profesionālās piemērotības noteikšana”, “Veiksmīga profesijas maiņa”, “Informatīvais atbalsts darba meklēšanas jautājumos”</w:t>
            </w:r>
          </w:p>
        </w:tc>
      </w:tr>
      <w:tr w:rsidR="00DE0896" w14:paraId="174C84C7" w14:textId="77777777" w:rsidTr="00DE0896">
        <w:trPr>
          <w:jc w:val="center"/>
        </w:trPr>
        <w:tc>
          <w:tcPr>
            <w:tcW w:w="8217" w:type="dxa"/>
          </w:tcPr>
          <w:p w14:paraId="40F52300" w14:textId="76703A52" w:rsidR="00DE0896" w:rsidRDefault="00DE0896" w:rsidP="00DE0896">
            <w:pPr>
              <w:widowControl w:val="0"/>
              <w:spacing w:before="120" w:after="120"/>
              <w:ind w:left="452" w:right="181"/>
              <w:jc w:val="both"/>
              <w:rPr>
                <w:rFonts w:ascii="Times New Roman" w:hAnsi="Times New Roman" w:cs="Times New Roman"/>
                <w:bCs/>
                <w:sz w:val="24"/>
                <w:szCs w:val="24"/>
              </w:rPr>
            </w:pPr>
            <w:r w:rsidRPr="00DE0896">
              <w:rPr>
                <w:rFonts w:ascii="Times New Roman" w:hAnsi="Times New Roman" w:cs="Times New Roman"/>
                <w:b/>
                <w:color w:val="002060"/>
                <w:sz w:val="24"/>
                <w:szCs w:val="24"/>
              </w:rPr>
              <w:t>grupu karjeras</w:t>
            </w:r>
            <w:r w:rsidRPr="00DE0896">
              <w:rPr>
                <w:rFonts w:ascii="Times New Roman" w:hAnsi="Times New Roman" w:cs="Times New Roman"/>
                <w:color w:val="002060"/>
                <w:sz w:val="24"/>
                <w:szCs w:val="24"/>
              </w:rPr>
              <w:t xml:space="preserve"> </w:t>
            </w:r>
            <w:r w:rsidRPr="0015154B">
              <w:rPr>
                <w:rFonts w:ascii="Times New Roman" w:hAnsi="Times New Roman" w:cs="Times New Roman"/>
                <w:sz w:val="24"/>
                <w:szCs w:val="24"/>
              </w:rPr>
              <w:t>konsultācijas: “Praktisks atbalsts CV un motivācijas vēstules sagatavošanā”, “Sagatavošanās darba intervijai”, “Karjeras pamati un profesiju izvēle”, “Darba tirgus situācija un tendences”</w:t>
            </w:r>
          </w:p>
        </w:tc>
      </w:tr>
    </w:tbl>
    <w:p w14:paraId="299DC15F" w14:textId="77777777" w:rsidR="00DE0896" w:rsidRDefault="00DE0896" w:rsidP="00724B79">
      <w:pPr>
        <w:spacing w:before="120" w:after="0" w:line="240" w:lineRule="auto"/>
        <w:ind w:firstLine="720"/>
        <w:jc w:val="both"/>
        <w:rPr>
          <w:rFonts w:ascii="Times New Roman" w:hAnsi="Times New Roman" w:cs="Times New Roman"/>
          <w:sz w:val="24"/>
          <w:szCs w:val="24"/>
        </w:rPr>
      </w:pPr>
    </w:p>
    <w:p w14:paraId="14085049" w14:textId="316F190B" w:rsidR="00FE1751" w:rsidRPr="0015154B" w:rsidRDefault="00FE1751" w:rsidP="00724B7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Iespēja saņemt pakalpojumu tika nodrošināta gan bezdarbniekiem un darba meklētājiem, gan citām personām</w:t>
      </w:r>
      <w:r w:rsidR="00540B09" w:rsidRPr="0015154B">
        <w:rPr>
          <w:rFonts w:ascii="Times New Roman" w:hAnsi="Times New Roman" w:cs="Times New Roman"/>
          <w:sz w:val="24"/>
          <w:szCs w:val="24"/>
        </w:rPr>
        <w:t xml:space="preserve"> </w:t>
      </w:r>
      <w:r w:rsidRPr="0015154B">
        <w:rPr>
          <w:rFonts w:ascii="Times New Roman" w:hAnsi="Times New Roman" w:cs="Times New Roman"/>
          <w:sz w:val="24"/>
          <w:szCs w:val="24"/>
        </w:rPr>
        <w:t>VIAA projekt</w:t>
      </w:r>
      <w:r w:rsidR="00540B09" w:rsidRPr="0015154B">
        <w:rPr>
          <w:rFonts w:ascii="Times New Roman" w:hAnsi="Times New Roman" w:cs="Times New Roman"/>
          <w:sz w:val="24"/>
          <w:szCs w:val="24"/>
        </w:rPr>
        <w:t>a</w:t>
      </w:r>
      <w:r w:rsidRPr="0015154B">
        <w:rPr>
          <w:rFonts w:ascii="Times New Roman" w:hAnsi="Times New Roman" w:cs="Times New Roman"/>
          <w:sz w:val="24"/>
          <w:szCs w:val="24"/>
        </w:rPr>
        <w:t xml:space="preserve"> </w:t>
      </w:r>
      <w:r w:rsidR="008E110A" w:rsidRPr="0015154B">
        <w:rPr>
          <w:rFonts w:ascii="Times New Roman" w:hAnsi="Times New Roman" w:cs="Times New Roman"/>
          <w:sz w:val="24"/>
          <w:szCs w:val="24"/>
        </w:rPr>
        <w:t>“</w:t>
      </w:r>
      <w:r w:rsidRPr="0015154B">
        <w:rPr>
          <w:rFonts w:ascii="Times New Roman" w:hAnsi="Times New Roman" w:cs="Times New Roman"/>
          <w:sz w:val="24"/>
          <w:szCs w:val="24"/>
        </w:rPr>
        <w:t>Nodarbināto personu profesionālās kompetences pilnveide</w:t>
      </w:r>
      <w:r w:rsidR="008E110A" w:rsidRPr="0015154B">
        <w:rPr>
          <w:rFonts w:ascii="Times New Roman" w:hAnsi="Times New Roman" w:cs="Times New Roman"/>
          <w:sz w:val="24"/>
          <w:szCs w:val="24"/>
        </w:rPr>
        <w:t>”</w:t>
      </w:r>
      <w:r w:rsidRPr="0015154B">
        <w:rPr>
          <w:rFonts w:ascii="Times New Roman" w:hAnsi="Times New Roman" w:cs="Times New Roman"/>
          <w:sz w:val="24"/>
          <w:szCs w:val="24"/>
        </w:rPr>
        <w:t xml:space="preserve"> </w:t>
      </w:r>
      <w:r w:rsidR="00540B09" w:rsidRPr="0015154B">
        <w:rPr>
          <w:rFonts w:ascii="Times New Roman" w:hAnsi="Times New Roman" w:cs="Times New Roman"/>
          <w:sz w:val="24"/>
          <w:szCs w:val="24"/>
        </w:rPr>
        <w:t xml:space="preserve">un </w:t>
      </w:r>
      <w:r w:rsidRPr="0015154B">
        <w:rPr>
          <w:rFonts w:ascii="Times New Roman" w:hAnsi="Times New Roman" w:cs="Times New Roman"/>
          <w:sz w:val="24"/>
          <w:szCs w:val="24"/>
        </w:rPr>
        <w:t xml:space="preserve">Ieslodzījuma vietu pārvaldi (IeVP) projekta </w:t>
      </w:r>
      <w:r w:rsidR="008E110A" w:rsidRPr="0015154B">
        <w:rPr>
          <w:rFonts w:ascii="Times New Roman" w:hAnsi="Times New Roman" w:cs="Times New Roman"/>
          <w:sz w:val="24"/>
          <w:szCs w:val="24"/>
        </w:rPr>
        <w:t>“</w:t>
      </w:r>
      <w:r w:rsidRPr="0015154B">
        <w:rPr>
          <w:rFonts w:ascii="Times New Roman" w:hAnsi="Times New Roman" w:cs="Times New Roman"/>
          <w:sz w:val="24"/>
          <w:szCs w:val="24"/>
        </w:rPr>
        <w:t>Bijušo ieslodzīto integrācija sabiedrībā un darba tirgū</w:t>
      </w:r>
      <w:r w:rsidR="008E110A" w:rsidRPr="0015154B">
        <w:rPr>
          <w:rFonts w:ascii="Times New Roman" w:hAnsi="Times New Roman" w:cs="Times New Roman"/>
          <w:sz w:val="24"/>
          <w:szCs w:val="24"/>
        </w:rPr>
        <w:t>”</w:t>
      </w:r>
      <w:r w:rsidRPr="0015154B">
        <w:rPr>
          <w:rFonts w:ascii="Times New Roman" w:hAnsi="Times New Roman" w:cs="Times New Roman"/>
          <w:sz w:val="24"/>
          <w:szCs w:val="24"/>
        </w:rPr>
        <w:t xml:space="preserve"> ietvaros</w:t>
      </w:r>
      <w:r w:rsidR="008E110A" w:rsidRPr="0015154B">
        <w:rPr>
          <w:rFonts w:ascii="Times New Roman" w:hAnsi="Times New Roman" w:cs="Times New Roman"/>
          <w:sz w:val="24"/>
          <w:szCs w:val="24"/>
        </w:rPr>
        <w:t xml:space="preserve"> (</w:t>
      </w:r>
      <w:r w:rsidR="008E110A" w:rsidRPr="00DE0896">
        <w:rPr>
          <w:rFonts w:ascii="Times New Roman" w:hAnsi="Times New Roman" w:cs="Times New Roman"/>
          <w:sz w:val="24"/>
          <w:szCs w:val="24"/>
          <w:highlight w:val="yellow"/>
        </w:rPr>
        <w:t>skat</w:t>
      </w:r>
      <w:r w:rsidR="00355DF1" w:rsidRPr="00DE0896">
        <w:rPr>
          <w:rFonts w:ascii="Times New Roman" w:hAnsi="Times New Roman" w:cs="Times New Roman"/>
          <w:sz w:val="24"/>
          <w:szCs w:val="24"/>
          <w:highlight w:val="yellow"/>
        </w:rPr>
        <w:t>. 2</w:t>
      </w:r>
      <w:r w:rsidR="002E4D66">
        <w:rPr>
          <w:rFonts w:ascii="Times New Roman" w:hAnsi="Times New Roman" w:cs="Times New Roman"/>
          <w:sz w:val="24"/>
          <w:szCs w:val="24"/>
          <w:highlight w:val="yellow"/>
        </w:rPr>
        <w:t>5</w:t>
      </w:r>
      <w:r w:rsidR="008E110A" w:rsidRPr="00DE0896">
        <w:rPr>
          <w:rFonts w:ascii="Times New Roman" w:hAnsi="Times New Roman" w:cs="Times New Roman"/>
          <w:sz w:val="24"/>
          <w:szCs w:val="24"/>
          <w:highlight w:val="yellow"/>
        </w:rPr>
        <w:t>.tabulu</w:t>
      </w:r>
      <w:r w:rsidR="008E110A" w:rsidRPr="0015154B">
        <w:rPr>
          <w:rFonts w:ascii="Times New Roman" w:hAnsi="Times New Roman" w:cs="Times New Roman"/>
          <w:sz w:val="24"/>
          <w:szCs w:val="24"/>
        </w:rPr>
        <w:t xml:space="preserve">). </w:t>
      </w:r>
      <w:r w:rsidR="003F0DFA" w:rsidRPr="0015154B">
        <w:rPr>
          <w:rFonts w:ascii="Times New Roman" w:eastAsia="Calibri" w:hAnsi="Times New Roman"/>
          <w:iCs/>
          <w:color w:val="000000"/>
          <w:sz w:val="24"/>
          <w:szCs w:val="24"/>
        </w:rPr>
        <w:t xml:space="preserve">Lai novērtētu NVA klientu apmierinātību ar saņemtajām karjeras konsultācijām un izstrādātu priekšlikumus pakalpojumu pilnveidei, 2018.gadā tika veikta elektroniskā klientu aptauja. Kopumā aptaujas rezultāti liecina par NVA karjeras pakalpojumu augsto līmeni: pakalpojumu pozitīvi vērtē 94% respondentu (73,7% apmierināti un 20,3% drīzāk apmierināti). </w:t>
      </w:r>
      <w:r w:rsidRPr="0015154B">
        <w:rPr>
          <w:rFonts w:ascii="Times New Roman" w:hAnsi="Times New Roman" w:cs="Times New Roman"/>
          <w:sz w:val="24"/>
          <w:szCs w:val="24"/>
        </w:rPr>
        <w:t>Atbilstoši Ieslodzījuma vietu pārvaldes veiktās aptaujas rezultātiem, aptuveni 85% respondentu ne tikai augsti novērtēja konsultācijās iegūtās zināšanas, bet arī atzīmēja to praktisko vērtību.</w:t>
      </w:r>
    </w:p>
    <w:p w14:paraId="2D9CAAF9" w14:textId="77777777" w:rsidR="008E110A" w:rsidRPr="0015154B" w:rsidRDefault="008E110A" w:rsidP="008E110A">
      <w:pPr>
        <w:spacing w:after="0" w:line="240" w:lineRule="auto"/>
        <w:ind w:firstLine="720"/>
        <w:jc w:val="both"/>
        <w:rPr>
          <w:rFonts w:ascii="Times New Roman" w:hAnsi="Times New Roman" w:cs="Times New Roman"/>
          <w:sz w:val="24"/>
          <w:szCs w:val="24"/>
        </w:rPr>
      </w:pPr>
    </w:p>
    <w:p w14:paraId="2F3F4657" w14:textId="77777777" w:rsidR="005E5CD1" w:rsidRDefault="005E5CD1" w:rsidP="008E110A">
      <w:pPr>
        <w:spacing w:after="0" w:line="240" w:lineRule="auto"/>
        <w:rPr>
          <w:rFonts w:ascii="Times New Roman" w:hAnsi="Times New Roman" w:cs="Times New Roman"/>
          <w:color w:val="000000" w:themeColor="text1"/>
          <w:sz w:val="24"/>
          <w:szCs w:val="24"/>
        </w:rPr>
      </w:pPr>
    </w:p>
    <w:p w14:paraId="42EA9B73" w14:textId="47F8CF8E" w:rsidR="008E110A" w:rsidRPr="0015154B" w:rsidRDefault="00355DF1" w:rsidP="008E110A">
      <w:pPr>
        <w:spacing w:after="0" w:line="240" w:lineRule="auto"/>
        <w:rPr>
          <w:rFonts w:ascii="Times New Roman" w:hAnsi="Times New Roman" w:cs="Times New Roman"/>
          <w:color w:val="000000" w:themeColor="text1"/>
          <w:sz w:val="24"/>
          <w:szCs w:val="24"/>
        </w:rPr>
      </w:pPr>
      <w:r w:rsidRPr="0015154B">
        <w:rPr>
          <w:rFonts w:ascii="Times New Roman" w:hAnsi="Times New Roman" w:cs="Times New Roman"/>
          <w:color w:val="000000" w:themeColor="text1"/>
          <w:sz w:val="24"/>
          <w:szCs w:val="24"/>
        </w:rPr>
        <w:lastRenderedPageBreak/>
        <w:t>2</w:t>
      </w:r>
      <w:r w:rsidR="002E4D66">
        <w:rPr>
          <w:rFonts w:ascii="Times New Roman" w:hAnsi="Times New Roman" w:cs="Times New Roman"/>
          <w:color w:val="000000" w:themeColor="text1"/>
          <w:sz w:val="24"/>
          <w:szCs w:val="24"/>
        </w:rPr>
        <w:t>5</w:t>
      </w:r>
      <w:r w:rsidRPr="0015154B">
        <w:rPr>
          <w:rFonts w:ascii="Times New Roman" w:hAnsi="Times New Roman" w:cs="Times New Roman"/>
          <w:color w:val="000000" w:themeColor="text1"/>
          <w:sz w:val="24"/>
          <w:szCs w:val="24"/>
        </w:rPr>
        <w:t>.</w:t>
      </w:r>
      <w:r w:rsidR="008E110A" w:rsidRPr="0015154B">
        <w:rPr>
          <w:rFonts w:ascii="Times New Roman" w:hAnsi="Times New Roman" w:cs="Times New Roman"/>
          <w:color w:val="000000" w:themeColor="text1"/>
          <w:sz w:val="24"/>
          <w:szCs w:val="24"/>
        </w:rPr>
        <w:t>tabula</w:t>
      </w:r>
    </w:p>
    <w:p w14:paraId="1DFCC994" w14:textId="64D32492" w:rsidR="00FE1751" w:rsidRPr="0015154B" w:rsidRDefault="00FE1751" w:rsidP="008E110A">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 xml:space="preserve">Iesaiste karjeras konsultācijās </w:t>
      </w:r>
    </w:p>
    <w:p w14:paraId="132ED699" w14:textId="77777777" w:rsidR="0096375F" w:rsidRPr="0015154B" w:rsidRDefault="0096375F" w:rsidP="008E110A">
      <w:pPr>
        <w:spacing w:after="0" w:line="240" w:lineRule="auto"/>
        <w:jc w:val="center"/>
        <w:rPr>
          <w:rFonts w:ascii="Times New Roman" w:hAnsi="Times New Roman" w:cs="Times New Roman"/>
          <w:b/>
          <w:color w:val="000000" w:themeColor="text1"/>
          <w:sz w:val="24"/>
          <w:szCs w:val="24"/>
        </w:rPr>
      </w:pPr>
    </w:p>
    <w:tbl>
      <w:tblPr>
        <w:tblStyle w:val="ListTable4-Accent6"/>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833"/>
        <w:gridCol w:w="1331"/>
        <w:gridCol w:w="1134"/>
        <w:gridCol w:w="1276"/>
        <w:gridCol w:w="1559"/>
        <w:gridCol w:w="993"/>
        <w:gridCol w:w="1280"/>
      </w:tblGrid>
      <w:tr w:rsidR="00FE1751" w:rsidRPr="0015154B" w14:paraId="24612527" w14:textId="77777777" w:rsidTr="00AF6D84">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66" w:type="dxa"/>
            <w:vMerge w:val="restart"/>
            <w:tcBorders>
              <w:top w:val="none" w:sz="0" w:space="0" w:color="auto"/>
              <w:left w:val="none" w:sz="0" w:space="0" w:color="auto"/>
              <w:bottom w:val="none" w:sz="0" w:space="0" w:color="auto"/>
            </w:tcBorders>
            <w:shd w:val="clear" w:color="auto" w:fill="E8F3D3" w:themeFill="accent2" w:themeFillTint="33"/>
            <w:vAlign w:val="center"/>
            <w:hideMark/>
          </w:tcPr>
          <w:p w14:paraId="05CDEA11" w14:textId="77777777" w:rsidR="00FE1751" w:rsidRPr="0015154B" w:rsidRDefault="00FE1751" w:rsidP="003077EC">
            <w:pPr>
              <w:jc w:val="center"/>
              <w:rPr>
                <w:b w:val="0"/>
                <w:bCs w:val="0"/>
                <w:color w:val="002060"/>
                <w:sz w:val="18"/>
                <w:szCs w:val="18"/>
              </w:rPr>
            </w:pPr>
            <w:r w:rsidRPr="0015154B">
              <w:rPr>
                <w:color w:val="002060"/>
                <w:sz w:val="18"/>
                <w:szCs w:val="18"/>
              </w:rPr>
              <w:t>Gads</w:t>
            </w:r>
          </w:p>
        </w:tc>
        <w:tc>
          <w:tcPr>
            <w:tcW w:w="833" w:type="dxa"/>
            <w:vMerge w:val="restart"/>
            <w:tcBorders>
              <w:top w:val="none" w:sz="0" w:space="0" w:color="auto"/>
              <w:bottom w:val="none" w:sz="0" w:space="0" w:color="auto"/>
            </w:tcBorders>
            <w:shd w:val="clear" w:color="auto" w:fill="E8F3D3" w:themeFill="accent2" w:themeFillTint="33"/>
            <w:textDirection w:val="btLr"/>
            <w:vAlign w:val="center"/>
            <w:hideMark/>
          </w:tcPr>
          <w:p w14:paraId="47994399" w14:textId="77777777" w:rsidR="00FE1751" w:rsidRPr="0015154B" w:rsidRDefault="00FE1751" w:rsidP="003077EC">
            <w:pPr>
              <w:jc w:val="center"/>
              <w:cnfStyle w:val="100000000000" w:firstRow="1" w:lastRow="0" w:firstColumn="0" w:lastColumn="0" w:oddVBand="0" w:evenVBand="0" w:oddHBand="0" w:evenHBand="0" w:firstRowFirstColumn="0" w:firstRowLastColumn="0" w:lastRowFirstColumn="0" w:lastRowLastColumn="0"/>
              <w:rPr>
                <w:b w:val="0"/>
                <w:bCs w:val="0"/>
                <w:color w:val="002060"/>
                <w:sz w:val="18"/>
                <w:szCs w:val="18"/>
              </w:rPr>
            </w:pPr>
            <w:r w:rsidRPr="0015154B">
              <w:rPr>
                <w:color w:val="002060"/>
                <w:sz w:val="18"/>
                <w:szCs w:val="18"/>
              </w:rPr>
              <w:t>Kopējais personu skaits</w:t>
            </w:r>
          </w:p>
        </w:tc>
        <w:tc>
          <w:tcPr>
            <w:tcW w:w="7573" w:type="dxa"/>
            <w:gridSpan w:val="6"/>
            <w:tcBorders>
              <w:top w:val="none" w:sz="0" w:space="0" w:color="auto"/>
              <w:bottom w:val="none" w:sz="0" w:space="0" w:color="auto"/>
              <w:right w:val="none" w:sz="0" w:space="0" w:color="auto"/>
            </w:tcBorders>
            <w:shd w:val="clear" w:color="auto" w:fill="E8F3D3" w:themeFill="accent2" w:themeFillTint="33"/>
            <w:vAlign w:val="center"/>
            <w:hideMark/>
          </w:tcPr>
          <w:p w14:paraId="5DC331FA" w14:textId="77777777" w:rsidR="00FE1751" w:rsidRPr="0015154B" w:rsidRDefault="00FE1751" w:rsidP="003077EC">
            <w:pPr>
              <w:jc w:val="center"/>
              <w:cnfStyle w:val="100000000000" w:firstRow="1" w:lastRow="0" w:firstColumn="0" w:lastColumn="0" w:oddVBand="0" w:evenVBand="0" w:oddHBand="0" w:evenHBand="0" w:firstRowFirstColumn="0" w:firstRowLastColumn="0" w:lastRowFirstColumn="0" w:lastRowLastColumn="0"/>
              <w:rPr>
                <w:b w:val="0"/>
                <w:bCs w:val="0"/>
                <w:color w:val="002060"/>
                <w:sz w:val="18"/>
                <w:szCs w:val="18"/>
              </w:rPr>
            </w:pPr>
            <w:r w:rsidRPr="0015154B">
              <w:rPr>
                <w:color w:val="002060"/>
                <w:sz w:val="18"/>
                <w:szCs w:val="18"/>
              </w:rPr>
              <w:t>Riska grupas</w:t>
            </w:r>
          </w:p>
        </w:tc>
      </w:tr>
      <w:tr w:rsidR="00FE1751" w:rsidRPr="0015154B" w14:paraId="430507BD" w14:textId="77777777" w:rsidTr="00AF6D8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66" w:type="dxa"/>
            <w:vMerge/>
            <w:shd w:val="clear" w:color="auto" w:fill="E8F3D3" w:themeFill="accent2" w:themeFillTint="33"/>
            <w:vAlign w:val="center"/>
            <w:hideMark/>
          </w:tcPr>
          <w:p w14:paraId="3DDB2122" w14:textId="77777777" w:rsidR="00FE1751" w:rsidRPr="0015154B" w:rsidRDefault="00FE1751" w:rsidP="003077EC">
            <w:pPr>
              <w:rPr>
                <w:b w:val="0"/>
                <w:bCs w:val="0"/>
                <w:color w:val="002060"/>
                <w:sz w:val="18"/>
                <w:szCs w:val="18"/>
              </w:rPr>
            </w:pPr>
          </w:p>
        </w:tc>
        <w:tc>
          <w:tcPr>
            <w:tcW w:w="833" w:type="dxa"/>
            <w:vMerge/>
            <w:shd w:val="clear" w:color="auto" w:fill="E8F3D3" w:themeFill="accent2" w:themeFillTint="33"/>
            <w:vAlign w:val="center"/>
            <w:hideMark/>
          </w:tcPr>
          <w:p w14:paraId="1A92F8A2" w14:textId="77777777" w:rsidR="00FE1751" w:rsidRPr="0015154B" w:rsidRDefault="00FE1751" w:rsidP="003077EC">
            <w:pPr>
              <w:cnfStyle w:val="000000100000" w:firstRow="0" w:lastRow="0" w:firstColumn="0" w:lastColumn="0" w:oddVBand="0" w:evenVBand="0" w:oddHBand="1" w:evenHBand="0" w:firstRowFirstColumn="0" w:firstRowLastColumn="0" w:lastRowFirstColumn="0" w:lastRowLastColumn="0"/>
              <w:rPr>
                <w:b/>
                <w:bCs/>
                <w:color w:val="002060"/>
                <w:sz w:val="18"/>
                <w:szCs w:val="18"/>
              </w:rPr>
            </w:pPr>
          </w:p>
        </w:tc>
        <w:tc>
          <w:tcPr>
            <w:tcW w:w="1331" w:type="dxa"/>
            <w:shd w:val="clear" w:color="auto" w:fill="E8F3D3" w:themeFill="accent2" w:themeFillTint="33"/>
            <w:vAlign w:val="center"/>
            <w:hideMark/>
          </w:tcPr>
          <w:p w14:paraId="13592C2E" w14:textId="641045DE"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b/>
                <w:bCs/>
                <w:color w:val="002060"/>
                <w:sz w:val="18"/>
                <w:szCs w:val="18"/>
              </w:rPr>
            </w:pPr>
            <w:r w:rsidRPr="0015154B">
              <w:rPr>
                <w:b/>
                <w:bCs/>
                <w:color w:val="002060"/>
                <w:sz w:val="18"/>
                <w:szCs w:val="18"/>
              </w:rPr>
              <w:t>Jaunieši* (no 15 līdz 24 gadi)</w:t>
            </w:r>
          </w:p>
        </w:tc>
        <w:tc>
          <w:tcPr>
            <w:tcW w:w="1134" w:type="dxa"/>
            <w:shd w:val="clear" w:color="auto" w:fill="E8F3D3" w:themeFill="accent2" w:themeFillTint="33"/>
            <w:vAlign w:val="center"/>
            <w:hideMark/>
          </w:tcPr>
          <w:p w14:paraId="5F00A592" w14:textId="77777777"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b/>
                <w:bCs/>
                <w:color w:val="002060"/>
                <w:sz w:val="18"/>
                <w:szCs w:val="18"/>
              </w:rPr>
            </w:pPr>
            <w:r w:rsidRPr="0015154B">
              <w:rPr>
                <w:b/>
                <w:bCs/>
                <w:color w:val="002060"/>
                <w:sz w:val="18"/>
                <w:szCs w:val="18"/>
              </w:rPr>
              <w:t>Personas ar invaliditāti</w:t>
            </w:r>
          </w:p>
        </w:tc>
        <w:tc>
          <w:tcPr>
            <w:tcW w:w="1276" w:type="dxa"/>
            <w:shd w:val="clear" w:color="auto" w:fill="E8F3D3" w:themeFill="accent2" w:themeFillTint="33"/>
            <w:vAlign w:val="center"/>
            <w:hideMark/>
          </w:tcPr>
          <w:p w14:paraId="36DCA91B" w14:textId="77777777"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b/>
                <w:bCs/>
                <w:color w:val="002060"/>
                <w:sz w:val="18"/>
                <w:szCs w:val="18"/>
              </w:rPr>
            </w:pPr>
            <w:r w:rsidRPr="0015154B">
              <w:rPr>
                <w:b/>
                <w:bCs/>
                <w:color w:val="002060"/>
                <w:sz w:val="18"/>
                <w:szCs w:val="18"/>
              </w:rPr>
              <w:t>Atbrīvotie no ieslodzījuma</w:t>
            </w:r>
          </w:p>
        </w:tc>
        <w:tc>
          <w:tcPr>
            <w:tcW w:w="1559" w:type="dxa"/>
            <w:shd w:val="clear" w:color="auto" w:fill="E8F3D3" w:themeFill="accent2" w:themeFillTint="33"/>
            <w:vAlign w:val="center"/>
            <w:hideMark/>
          </w:tcPr>
          <w:p w14:paraId="4A504D32" w14:textId="77777777"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b/>
                <w:bCs/>
                <w:color w:val="002060"/>
                <w:sz w:val="18"/>
                <w:szCs w:val="18"/>
              </w:rPr>
            </w:pPr>
            <w:r w:rsidRPr="0015154B">
              <w:rPr>
                <w:b/>
                <w:bCs/>
                <w:color w:val="002060"/>
                <w:sz w:val="18"/>
                <w:szCs w:val="18"/>
              </w:rPr>
              <w:t>Personas pēc bērna kopšanas atvaļinājuma</w:t>
            </w:r>
          </w:p>
        </w:tc>
        <w:tc>
          <w:tcPr>
            <w:tcW w:w="993" w:type="dxa"/>
            <w:shd w:val="clear" w:color="auto" w:fill="E8F3D3" w:themeFill="accent2" w:themeFillTint="33"/>
            <w:vAlign w:val="center"/>
            <w:hideMark/>
          </w:tcPr>
          <w:p w14:paraId="05AE4F95" w14:textId="77777777"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b/>
                <w:bCs/>
                <w:color w:val="002060"/>
                <w:sz w:val="18"/>
                <w:szCs w:val="18"/>
              </w:rPr>
            </w:pPr>
            <w:r w:rsidRPr="0015154B">
              <w:rPr>
                <w:b/>
                <w:bCs/>
                <w:color w:val="002060"/>
                <w:sz w:val="18"/>
                <w:szCs w:val="18"/>
              </w:rPr>
              <w:t>Personas vecumā 50+</w:t>
            </w:r>
          </w:p>
        </w:tc>
        <w:tc>
          <w:tcPr>
            <w:tcW w:w="1280" w:type="dxa"/>
            <w:shd w:val="clear" w:color="auto" w:fill="E8F3D3" w:themeFill="accent2" w:themeFillTint="33"/>
            <w:vAlign w:val="center"/>
            <w:hideMark/>
          </w:tcPr>
          <w:p w14:paraId="0B2FC77F" w14:textId="77777777"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b/>
                <w:bCs/>
                <w:color w:val="002060"/>
                <w:sz w:val="18"/>
                <w:szCs w:val="18"/>
              </w:rPr>
            </w:pPr>
            <w:r w:rsidRPr="0015154B">
              <w:rPr>
                <w:b/>
                <w:bCs/>
                <w:color w:val="002060"/>
                <w:sz w:val="18"/>
                <w:szCs w:val="18"/>
              </w:rPr>
              <w:t>Ilgstošie bezdarbnieki</w:t>
            </w:r>
          </w:p>
        </w:tc>
      </w:tr>
      <w:tr w:rsidR="0096375F" w:rsidRPr="0015154B" w14:paraId="30DFC278" w14:textId="77777777" w:rsidTr="00AF6D84">
        <w:trPr>
          <w:trHeight w:val="467"/>
          <w:jc w:val="center"/>
        </w:trPr>
        <w:tc>
          <w:tcPr>
            <w:cnfStyle w:val="001000000000" w:firstRow="0" w:lastRow="0" w:firstColumn="1" w:lastColumn="0" w:oddVBand="0" w:evenVBand="0" w:oddHBand="0" w:evenHBand="0" w:firstRowFirstColumn="0" w:firstRowLastColumn="0" w:lastRowFirstColumn="0" w:lastRowLastColumn="0"/>
            <w:tcW w:w="666" w:type="dxa"/>
            <w:shd w:val="clear" w:color="auto" w:fill="E8F3D3" w:themeFill="accent2" w:themeFillTint="33"/>
            <w:vAlign w:val="center"/>
            <w:hideMark/>
          </w:tcPr>
          <w:p w14:paraId="3306A4C5" w14:textId="77777777" w:rsidR="0096375F" w:rsidRPr="0015154B" w:rsidRDefault="0096375F" w:rsidP="003077EC">
            <w:pPr>
              <w:jc w:val="center"/>
              <w:rPr>
                <w:bCs w:val="0"/>
                <w:color w:val="002060"/>
                <w:sz w:val="22"/>
                <w:szCs w:val="22"/>
              </w:rPr>
            </w:pPr>
            <w:r w:rsidRPr="0015154B">
              <w:rPr>
                <w:bCs w:val="0"/>
                <w:color w:val="002060"/>
                <w:sz w:val="22"/>
                <w:szCs w:val="22"/>
              </w:rPr>
              <w:t>2014</w:t>
            </w:r>
          </w:p>
        </w:tc>
        <w:tc>
          <w:tcPr>
            <w:tcW w:w="833" w:type="dxa"/>
            <w:vAlign w:val="center"/>
            <w:hideMark/>
          </w:tcPr>
          <w:p w14:paraId="20EBDB81" w14:textId="77777777" w:rsidR="0096375F" w:rsidRPr="0015154B" w:rsidRDefault="0096375F" w:rsidP="003077E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15154B">
              <w:rPr>
                <w:b/>
                <w:bCs/>
                <w:color w:val="000000" w:themeColor="text1"/>
                <w:sz w:val="22"/>
                <w:szCs w:val="22"/>
              </w:rPr>
              <w:t>45 671</w:t>
            </w:r>
          </w:p>
        </w:tc>
        <w:tc>
          <w:tcPr>
            <w:tcW w:w="1331" w:type="dxa"/>
            <w:vAlign w:val="center"/>
            <w:hideMark/>
          </w:tcPr>
          <w:p w14:paraId="1350B7B6" w14:textId="77777777" w:rsidR="0096375F" w:rsidRPr="0015154B" w:rsidRDefault="0096375F"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4 172</w:t>
            </w:r>
          </w:p>
        </w:tc>
        <w:tc>
          <w:tcPr>
            <w:tcW w:w="1134" w:type="dxa"/>
            <w:vAlign w:val="center"/>
            <w:hideMark/>
          </w:tcPr>
          <w:p w14:paraId="1AA47E69" w14:textId="529DD609" w:rsidR="0096375F" w:rsidRPr="0015154B" w:rsidRDefault="0096375F"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4 474 </w:t>
            </w:r>
          </w:p>
        </w:tc>
        <w:tc>
          <w:tcPr>
            <w:tcW w:w="1276" w:type="dxa"/>
            <w:vAlign w:val="center"/>
            <w:hideMark/>
          </w:tcPr>
          <w:p w14:paraId="33924BF3" w14:textId="263F3DA5" w:rsidR="0096375F" w:rsidRPr="0015154B" w:rsidRDefault="0096375F"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138 </w:t>
            </w:r>
          </w:p>
        </w:tc>
        <w:tc>
          <w:tcPr>
            <w:tcW w:w="1559" w:type="dxa"/>
            <w:vAlign w:val="center"/>
            <w:hideMark/>
          </w:tcPr>
          <w:p w14:paraId="0E787FE6" w14:textId="7501B684" w:rsidR="0096375F" w:rsidRPr="0015154B" w:rsidRDefault="0096375F"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482 </w:t>
            </w:r>
          </w:p>
        </w:tc>
        <w:tc>
          <w:tcPr>
            <w:tcW w:w="993" w:type="dxa"/>
            <w:vAlign w:val="center"/>
            <w:hideMark/>
          </w:tcPr>
          <w:p w14:paraId="3FCF4D22" w14:textId="39C5D178" w:rsidR="0096375F" w:rsidRPr="0015154B" w:rsidRDefault="0096375F"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18 041 </w:t>
            </w:r>
          </w:p>
        </w:tc>
        <w:tc>
          <w:tcPr>
            <w:tcW w:w="1280" w:type="dxa"/>
            <w:vAlign w:val="center"/>
            <w:hideMark/>
          </w:tcPr>
          <w:p w14:paraId="0ECEDC22" w14:textId="0E1AEB69" w:rsidR="0096375F" w:rsidRPr="0015154B" w:rsidRDefault="0096375F"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12 736 </w:t>
            </w:r>
          </w:p>
        </w:tc>
      </w:tr>
      <w:tr w:rsidR="0096375F" w:rsidRPr="0015154B" w14:paraId="799B5B28" w14:textId="77777777" w:rsidTr="00AF6D84">
        <w:trPr>
          <w:cnfStyle w:val="000000100000" w:firstRow="0" w:lastRow="0" w:firstColumn="0" w:lastColumn="0" w:oddVBand="0" w:evenVBand="0" w:oddHBand="1" w:evenHBand="0" w:firstRowFirstColumn="0" w:firstRowLastColumn="0" w:lastRowFirstColumn="0" w:lastRowLastColumn="0"/>
          <w:trHeight w:val="470"/>
          <w:jc w:val="center"/>
        </w:trPr>
        <w:tc>
          <w:tcPr>
            <w:cnfStyle w:val="001000000000" w:firstRow="0" w:lastRow="0" w:firstColumn="1" w:lastColumn="0" w:oddVBand="0" w:evenVBand="0" w:oddHBand="0" w:evenHBand="0" w:firstRowFirstColumn="0" w:firstRowLastColumn="0" w:lastRowFirstColumn="0" w:lastRowLastColumn="0"/>
            <w:tcW w:w="666" w:type="dxa"/>
            <w:shd w:val="clear" w:color="auto" w:fill="E8F3D3" w:themeFill="accent2" w:themeFillTint="33"/>
            <w:vAlign w:val="center"/>
            <w:hideMark/>
          </w:tcPr>
          <w:p w14:paraId="10CC1F72" w14:textId="77777777" w:rsidR="0096375F" w:rsidRPr="0015154B" w:rsidRDefault="0096375F" w:rsidP="003077EC">
            <w:pPr>
              <w:jc w:val="center"/>
              <w:rPr>
                <w:bCs w:val="0"/>
                <w:color w:val="002060"/>
                <w:sz w:val="22"/>
                <w:szCs w:val="22"/>
              </w:rPr>
            </w:pPr>
            <w:r w:rsidRPr="0015154B">
              <w:rPr>
                <w:color w:val="002060"/>
                <w:sz w:val="22"/>
                <w:szCs w:val="22"/>
              </w:rPr>
              <w:t>2015</w:t>
            </w:r>
          </w:p>
        </w:tc>
        <w:tc>
          <w:tcPr>
            <w:tcW w:w="833" w:type="dxa"/>
            <w:shd w:val="clear" w:color="auto" w:fill="FFFFFF" w:themeFill="background1"/>
            <w:vAlign w:val="center"/>
            <w:hideMark/>
          </w:tcPr>
          <w:p w14:paraId="01DF1C74" w14:textId="77777777" w:rsidR="0096375F" w:rsidRPr="0015154B" w:rsidRDefault="0096375F" w:rsidP="003077E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r w:rsidRPr="0015154B">
              <w:rPr>
                <w:b/>
                <w:bCs/>
                <w:color w:val="000000" w:themeColor="text1"/>
                <w:sz w:val="22"/>
                <w:szCs w:val="22"/>
              </w:rPr>
              <w:t>37 525</w:t>
            </w:r>
          </w:p>
        </w:tc>
        <w:tc>
          <w:tcPr>
            <w:tcW w:w="1331" w:type="dxa"/>
            <w:shd w:val="clear" w:color="auto" w:fill="FFFFFF" w:themeFill="background1"/>
            <w:vAlign w:val="center"/>
            <w:hideMark/>
          </w:tcPr>
          <w:p w14:paraId="5A87D6A1" w14:textId="77777777" w:rsidR="0096375F" w:rsidRPr="0015154B" w:rsidRDefault="0096375F"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2 760</w:t>
            </w:r>
          </w:p>
          <w:p w14:paraId="67533EEB" w14:textId="504B09A4" w:rsidR="0096375F" w:rsidRPr="0015154B" w:rsidRDefault="0096375F"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tcW w:w="1134" w:type="dxa"/>
            <w:shd w:val="clear" w:color="auto" w:fill="FFFFFF" w:themeFill="background1"/>
            <w:vAlign w:val="center"/>
            <w:hideMark/>
          </w:tcPr>
          <w:p w14:paraId="7FA1A0BA" w14:textId="69BDC659" w:rsidR="0096375F" w:rsidRPr="0015154B" w:rsidRDefault="0096375F"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3 421 </w:t>
            </w:r>
          </w:p>
        </w:tc>
        <w:tc>
          <w:tcPr>
            <w:tcW w:w="1276" w:type="dxa"/>
            <w:shd w:val="clear" w:color="auto" w:fill="FFFFFF" w:themeFill="background1"/>
            <w:vAlign w:val="center"/>
            <w:hideMark/>
          </w:tcPr>
          <w:p w14:paraId="769FEADD" w14:textId="306F2225" w:rsidR="0096375F" w:rsidRPr="0015154B" w:rsidRDefault="0096375F"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115 </w:t>
            </w:r>
          </w:p>
        </w:tc>
        <w:tc>
          <w:tcPr>
            <w:tcW w:w="1559" w:type="dxa"/>
            <w:shd w:val="clear" w:color="auto" w:fill="FFFFFF" w:themeFill="background1"/>
            <w:vAlign w:val="center"/>
            <w:hideMark/>
          </w:tcPr>
          <w:p w14:paraId="700224AE" w14:textId="327DA8CE" w:rsidR="0096375F" w:rsidRPr="0015154B" w:rsidRDefault="0096375F"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375 </w:t>
            </w:r>
          </w:p>
        </w:tc>
        <w:tc>
          <w:tcPr>
            <w:tcW w:w="993" w:type="dxa"/>
            <w:shd w:val="clear" w:color="auto" w:fill="FFFFFF" w:themeFill="background1"/>
            <w:vAlign w:val="center"/>
            <w:hideMark/>
          </w:tcPr>
          <w:p w14:paraId="1D4625EB" w14:textId="19C1A5A1" w:rsidR="0096375F" w:rsidRPr="0015154B" w:rsidRDefault="0096375F"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14 622 </w:t>
            </w:r>
          </w:p>
        </w:tc>
        <w:tc>
          <w:tcPr>
            <w:tcW w:w="1280" w:type="dxa"/>
            <w:shd w:val="clear" w:color="auto" w:fill="FFFFFF" w:themeFill="background1"/>
            <w:vAlign w:val="center"/>
            <w:hideMark/>
          </w:tcPr>
          <w:p w14:paraId="272961D8" w14:textId="34FBCD35" w:rsidR="0096375F" w:rsidRPr="0015154B" w:rsidRDefault="0096375F"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8 266 </w:t>
            </w:r>
          </w:p>
        </w:tc>
      </w:tr>
      <w:tr w:rsidR="00623E0F" w:rsidRPr="0015154B" w14:paraId="0395201D" w14:textId="77777777" w:rsidTr="00AF6D84">
        <w:trPr>
          <w:trHeight w:val="227"/>
          <w:jc w:val="center"/>
        </w:trPr>
        <w:tc>
          <w:tcPr>
            <w:cnfStyle w:val="001000000000" w:firstRow="0" w:lastRow="0" w:firstColumn="1" w:lastColumn="0" w:oddVBand="0" w:evenVBand="0" w:oddHBand="0" w:evenHBand="0" w:firstRowFirstColumn="0" w:firstRowLastColumn="0" w:lastRowFirstColumn="0" w:lastRowLastColumn="0"/>
            <w:tcW w:w="666" w:type="dxa"/>
            <w:shd w:val="clear" w:color="auto" w:fill="E8F3D3" w:themeFill="accent2" w:themeFillTint="33"/>
            <w:vAlign w:val="center"/>
            <w:hideMark/>
          </w:tcPr>
          <w:p w14:paraId="1504F3E5" w14:textId="77777777" w:rsidR="00FE1751" w:rsidRPr="0015154B" w:rsidRDefault="00FE1751" w:rsidP="003077EC">
            <w:pPr>
              <w:jc w:val="center"/>
              <w:rPr>
                <w:bCs w:val="0"/>
                <w:color w:val="002060"/>
                <w:sz w:val="22"/>
                <w:szCs w:val="22"/>
              </w:rPr>
            </w:pPr>
            <w:r w:rsidRPr="0015154B">
              <w:rPr>
                <w:color w:val="002060"/>
                <w:sz w:val="22"/>
                <w:szCs w:val="22"/>
              </w:rPr>
              <w:t>2016</w:t>
            </w:r>
          </w:p>
        </w:tc>
        <w:tc>
          <w:tcPr>
            <w:tcW w:w="833" w:type="dxa"/>
            <w:vAlign w:val="center"/>
            <w:hideMark/>
          </w:tcPr>
          <w:p w14:paraId="7A0D6584" w14:textId="77777777"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15154B">
              <w:rPr>
                <w:b/>
                <w:bCs/>
                <w:color w:val="000000" w:themeColor="text1"/>
                <w:sz w:val="22"/>
                <w:szCs w:val="22"/>
              </w:rPr>
              <w:t>34 254</w:t>
            </w:r>
          </w:p>
        </w:tc>
        <w:tc>
          <w:tcPr>
            <w:tcW w:w="1331" w:type="dxa"/>
            <w:vAlign w:val="center"/>
            <w:hideMark/>
          </w:tcPr>
          <w:p w14:paraId="6EFC642C" w14:textId="503C5923"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2 338 </w:t>
            </w:r>
          </w:p>
        </w:tc>
        <w:tc>
          <w:tcPr>
            <w:tcW w:w="1134" w:type="dxa"/>
            <w:vAlign w:val="center"/>
            <w:hideMark/>
          </w:tcPr>
          <w:p w14:paraId="639BE97D" w14:textId="01EF3120"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3 322 </w:t>
            </w:r>
          </w:p>
        </w:tc>
        <w:tc>
          <w:tcPr>
            <w:tcW w:w="1276" w:type="dxa"/>
            <w:vAlign w:val="center"/>
            <w:hideMark/>
          </w:tcPr>
          <w:p w14:paraId="6F5943D6" w14:textId="499C0817"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133 </w:t>
            </w:r>
          </w:p>
        </w:tc>
        <w:tc>
          <w:tcPr>
            <w:tcW w:w="1559" w:type="dxa"/>
            <w:vAlign w:val="center"/>
            <w:hideMark/>
          </w:tcPr>
          <w:p w14:paraId="4E8C6A5E" w14:textId="675882BA"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443 </w:t>
            </w:r>
          </w:p>
        </w:tc>
        <w:tc>
          <w:tcPr>
            <w:tcW w:w="993" w:type="dxa"/>
            <w:vAlign w:val="center"/>
            <w:hideMark/>
          </w:tcPr>
          <w:p w14:paraId="7BD97B46" w14:textId="79770DC7"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12 591 </w:t>
            </w:r>
          </w:p>
        </w:tc>
        <w:tc>
          <w:tcPr>
            <w:tcW w:w="1280" w:type="dxa"/>
            <w:vAlign w:val="center"/>
            <w:hideMark/>
          </w:tcPr>
          <w:p w14:paraId="615B388B" w14:textId="3AFC3B2D"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4 699 </w:t>
            </w:r>
          </w:p>
        </w:tc>
      </w:tr>
      <w:tr w:rsidR="00FE1751" w:rsidRPr="0015154B" w14:paraId="4BCAE0B0" w14:textId="77777777" w:rsidTr="00AF6D8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66" w:type="dxa"/>
            <w:shd w:val="clear" w:color="auto" w:fill="E8F3D3" w:themeFill="accent2" w:themeFillTint="33"/>
            <w:vAlign w:val="center"/>
          </w:tcPr>
          <w:p w14:paraId="0AFDB66E" w14:textId="77777777" w:rsidR="00FE1751" w:rsidRPr="0015154B" w:rsidRDefault="00FE1751" w:rsidP="003077EC">
            <w:pPr>
              <w:jc w:val="center"/>
              <w:rPr>
                <w:bCs w:val="0"/>
                <w:color w:val="002060"/>
                <w:sz w:val="22"/>
                <w:szCs w:val="22"/>
              </w:rPr>
            </w:pPr>
            <w:r w:rsidRPr="0015154B">
              <w:rPr>
                <w:bCs w:val="0"/>
                <w:color w:val="002060"/>
                <w:sz w:val="22"/>
                <w:szCs w:val="22"/>
              </w:rPr>
              <w:t>2017</w:t>
            </w:r>
          </w:p>
        </w:tc>
        <w:tc>
          <w:tcPr>
            <w:tcW w:w="833" w:type="dxa"/>
            <w:shd w:val="clear" w:color="auto" w:fill="FFFFFF" w:themeFill="background1"/>
            <w:vAlign w:val="center"/>
          </w:tcPr>
          <w:p w14:paraId="424C4EC9" w14:textId="77777777"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r w:rsidRPr="0015154B">
              <w:rPr>
                <w:b/>
                <w:bCs/>
                <w:color w:val="000000" w:themeColor="text1"/>
                <w:sz w:val="22"/>
                <w:szCs w:val="22"/>
              </w:rPr>
              <w:t>35 645</w:t>
            </w:r>
          </w:p>
        </w:tc>
        <w:tc>
          <w:tcPr>
            <w:tcW w:w="1331" w:type="dxa"/>
            <w:shd w:val="clear" w:color="auto" w:fill="FFFFFF" w:themeFill="background1"/>
            <w:vAlign w:val="center"/>
          </w:tcPr>
          <w:p w14:paraId="04775109" w14:textId="169D8F45"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2 589 </w:t>
            </w:r>
          </w:p>
        </w:tc>
        <w:tc>
          <w:tcPr>
            <w:tcW w:w="1134" w:type="dxa"/>
            <w:shd w:val="clear" w:color="auto" w:fill="FFFFFF" w:themeFill="background1"/>
            <w:vAlign w:val="center"/>
          </w:tcPr>
          <w:p w14:paraId="706C7BD7" w14:textId="5FD3712D"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3 633 </w:t>
            </w:r>
          </w:p>
        </w:tc>
        <w:tc>
          <w:tcPr>
            <w:tcW w:w="1276" w:type="dxa"/>
            <w:shd w:val="clear" w:color="auto" w:fill="FFFFFF" w:themeFill="background1"/>
            <w:vAlign w:val="center"/>
          </w:tcPr>
          <w:p w14:paraId="0CD7E271" w14:textId="1EB34E66"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121 </w:t>
            </w:r>
          </w:p>
        </w:tc>
        <w:tc>
          <w:tcPr>
            <w:tcW w:w="1559" w:type="dxa"/>
            <w:shd w:val="clear" w:color="auto" w:fill="FFFFFF" w:themeFill="background1"/>
            <w:vAlign w:val="center"/>
          </w:tcPr>
          <w:p w14:paraId="5116BBED" w14:textId="1185BC5B"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496 </w:t>
            </w:r>
          </w:p>
        </w:tc>
        <w:tc>
          <w:tcPr>
            <w:tcW w:w="993" w:type="dxa"/>
            <w:shd w:val="clear" w:color="auto" w:fill="FFFFFF" w:themeFill="background1"/>
            <w:vAlign w:val="center"/>
          </w:tcPr>
          <w:p w14:paraId="703459BF" w14:textId="00A5EEF1"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12 696 </w:t>
            </w:r>
          </w:p>
        </w:tc>
        <w:tc>
          <w:tcPr>
            <w:tcW w:w="1280" w:type="dxa"/>
            <w:shd w:val="clear" w:color="auto" w:fill="FFFFFF" w:themeFill="background1"/>
            <w:vAlign w:val="center"/>
          </w:tcPr>
          <w:p w14:paraId="2363EEBF" w14:textId="78CC3B2F"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3 674 </w:t>
            </w:r>
          </w:p>
        </w:tc>
      </w:tr>
      <w:tr w:rsidR="00623E0F" w:rsidRPr="0015154B" w14:paraId="1EAC9FC5" w14:textId="77777777" w:rsidTr="00AF6D84">
        <w:trPr>
          <w:trHeight w:val="379"/>
          <w:jc w:val="center"/>
        </w:trPr>
        <w:tc>
          <w:tcPr>
            <w:cnfStyle w:val="001000000000" w:firstRow="0" w:lastRow="0" w:firstColumn="1" w:lastColumn="0" w:oddVBand="0" w:evenVBand="0" w:oddHBand="0" w:evenHBand="0" w:firstRowFirstColumn="0" w:firstRowLastColumn="0" w:lastRowFirstColumn="0" w:lastRowLastColumn="0"/>
            <w:tcW w:w="666" w:type="dxa"/>
            <w:shd w:val="clear" w:color="auto" w:fill="E8F3D3" w:themeFill="accent2" w:themeFillTint="33"/>
            <w:vAlign w:val="center"/>
          </w:tcPr>
          <w:p w14:paraId="411AAED5" w14:textId="77777777" w:rsidR="00FE1751" w:rsidRPr="0015154B" w:rsidRDefault="00FE1751" w:rsidP="003077EC">
            <w:pPr>
              <w:jc w:val="center"/>
              <w:rPr>
                <w:bCs w:val="0"/>
                <w:color w:val="002060"/>
                <w:sz w:val="22"/>
                <w:szCs w:val="22"/>
              </w:rPr>
            </w:pPr>
            <w:r w:rsidRPr="0015154B">
              <w:rPr>
                <w:color w:val="002060"/>
                <w:sz w:val="22"/>
                <w:szCs w:val="22"/>
              </w:rPr>
              <w:t>2018</w:t>
            </w:r>
          </w:p>
        </w:tc>
        <w:tc>
          <w:tcPr>
            <w:tcW w:w="833" w:type="dxa"/>
            <w:vAlign w:val="center"/>
          </w:tcPr>
          <w:p w14:paraId="37B1F4A0" w14:textId="77777777"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r w:rsidRPr="0015154B">
              <w:rPr>
                <w:b/>
                <w:bCs/>
                <w:color w:val="000000" w:themeColor="text1"/>
                <w:sz w:val="22"/>
                <w:szCs w:val="22"/>
              </w:rPr>
              <w:t>33 111</w:t>
            </w:r>
          </w:p>
        </w:tc>
        <w:tc>
          <w:tcPr>
            <w:tcW w:w="1331" w:type="dxa"/>
            <w:vAlign w:val="center"/>
          </w:tcPr>
          <w:p w14:paraId="41027066" w14:textId="358E03B0"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2 436 </w:t>
            </w:r>
          </w:p>
        </w:tc>
        <w:tc>
          <w:tcPr>
            <w:tcW w:w="1134" w:type="dxa"/>
            <w:vAlign w:val="center"/>
          </w:tcPr>
          <w:p w14:paraId="159EBD78" w14:textId="4DA9A82F"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3 755 </w:t>
            </w:r>
          </w:p>
        </w:tc>
        <w:tc>
          <w:tcPr>
            <w:tcW w:w="1276" w:type="dxa"/>
            <w:vAlign w:val="center"/>
          </w:tcPr>
          <w:p w14:paraId="05D751DB" w14:textId="5297A575"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94 </w:t>
            </w:r>
          </w:p>
        </w:tc>
        <w:tc>
          <w:tcPr>
            <w:tcW w:w="1559" w:type="dxa"/>
            <w:vAlign w:val="center"/>
          </w:tcPr>
          <w:p w14:paraId="306BE6F2" w14:textId="1F9E2888"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421 </w:t>
            </w:r>
          </w:p>
        </w:tc>
        <w:tc>
          <w:tcPr>
            <w:tcW w:w="993" w:type="dxa"/>
            <w:vAlign w:val="center"/>
          </w:tcPr>
          <w:p w14:paraId="3687A815" w14:textId="32591C44"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12 716 </w:t>
            </w:r>
          </w:p>
        </w:tc>
        <w:tc>
          <w:tcPr>
            <w:tcW w:w="1280" w:type="dxa"/>
            <w:vAlign w:val="center"/>
          </w:tcPr>
          <w:p w14:paraId="0D480320" w14:textId="23594281" w:rsidR="00FE1751" w:rsidRPr="0015154B" w:rsidRDefault="00FE1751" w:rsidP="003077EC">
            <w:pPr>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5154B">
              <w:rPr>
                <w:color w:val="000000" w:themeColor="text1"/>
                <w:sz w:val="22"/>
                <w:szCs w:val="22"/>
              </w:rPr>
              <w:t xml:space="preserve">3 359 </w:t>
            </w:r>
          </w:p>
        </w:tc>
      </w:tr>
      <w:tr w:rsidR="00FE1751" w:rsidRPr="0015154B" w14:paraId="03E318B4" w14:textId="77777777" w:rsidTr="00AF6D84">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666" w:type="dxa"/>
            <w:shd w:val="clear" w:color="auto" w:fill="E8F3D3" w:themeFill="accent2" w:themeFillTint="33"/>
            <w:vAlign w:val="center"/>
          </w:tcPr>
          <w:p w14:paraId="5F7A046F" w14:textId="77777777" w:rsidR="00FE1751" w:rsidRPr="0015154B" w:rsidRDefault="00FE1751" w:rsidP="003077EC">
            <w:pPr>
              <w:jc w:val="center"/>
              <w:rPr>
                <w:bCs w:val="0"/>
                <w:color w:val="002060"/>
                <w:sz w:val="22"/>
                <w:szCs w:val="22"/>
              </w:rPr>
            </w:pPr>
            <w:r w:rsidRPr="0015154B">
              <w:rPr>
                <w:bCs w:val="0"/>
                <w:color w:val="002060"/>
                <w:sz w:val="22"/>
                <w:szCs w:val="22"/>
              </w:rPr>
              <w:t>2019</w:t>
            </w:r>
          </w:p>
        </w:tc>
        <w:tc>
          <w:tcPr>
            <w:tcW w:w="833" w:type="dxa"/>
            <w:shd w:val="clear" w:color="auto" w:fill="FFFFFF" w:themeFill="background1"/>
            <w:vAlign w:val="center"/>
          </w:tcPr>
          <w:p w14:paraId="6708F52E" w14:textId="77777777"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2"/>
                <w:szCs w:val="22"/>
              </w:rPr>
            </w:pPr>
            <w:r w:rsidRPr="0015154B">
              <w:rPr>
                <w:b/>
                <w:bCs/>
                <w:color w:val="000000" w:themeColor="text1"/>
                <w:sz w:val="22"/>
                <w:szCs w:val="22"/>
              </w:rPr>
              <w:t>35887</w:t>
            </w:r>
          </w:p>
        </w:tc>
        <w:tc>
          <w:tcPr>
            <w:tcW w:w="1331" w:type="dxa"/>
            <w:shd w:val="clear" w:color="auto" w:fill="FFFFFF" w:themeFill="background1"/>
            <w:vAlign w:val="center"/>
          </w:tcPr>
          <w:p w14:paraId="5DB2E443" w14:textId="24304491"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4657 </w:t>
            </w:r>
          </w:p>
        </w:tc>
        <w:tc>
          <w:tcPr>
            <w:tcW w:w="1134" w:type="dxa"/>
            <w:shd w:val="clear" w:color="auto" w:fill="FFFFFF" w:themeFill="background1"/>
            <w:vAlign w:val="center"/>
          </w:tcPr>
          <w:p w14:paraId="32EBD687" w14:textId="6AC3290B"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4173 </w:t>
            </w:r>
          </w:p>
        </w:tc>
        <w:tc>
          <w:tcPr>
            <w:tcW w:w="1276" w:type="dxa"/>
            <w:shd w:val="clear" w:color="auto" w:fill="FFFFFF" w:themeFill="background1"/>
            <w:vAlign w:val="center"/>
          </w:tcPr>
          <w:p w14:paraId="1C91BA02" w14:textId="5C0A77F1"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79 </w:t>
            </w:r>
          </w:p>
        </w:tc>
        <w:tc>
          <w:tcPr>
            <w:tcW w:w="1559" w:type="dxa"/>
            <w:shd w:val="clear" w:color="auto" w:fill="FFFFFF" w:themeFill="background1"/>
            <w:vAlign w:val="center"/>
          </w:tcPr>
          <w:p w14:paraId="1D99A4B6" w14:textId="18A83670"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618 </w:t>
            </w:r>
          </w:p>
        </w:tc>
        <w:tc>
          <w:tcPr>
            <w:tcW w:w="993" w:type="dxa"/>
            <w:shd w:val="clear" w:color="auto" w:fill="FFFFFF" w:themeFill="background1"/>
            <w:vAlign w:val="center"/>
          </w:tcPr>
          <w:p w14:paraId="2A50A69F" w14:textId="083D3105"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12773 </w:t>
            </w:r>
          </w:p>
        </w:tc>
        <w:tc>
          <w:tcPr>
            <w:tcW w:w="1280" w:type="dxa"/>
            <w:shd w:val="clear" w:color="auto" w:fill="FFFFFF" w:themeFill="background1"/>
            <w:vAlign w:val="center"/>
          </w:tcPr>
          <w:p w14:paraId="7314E6B1" w14:textId="2E8E477D" w:rsidR="00FE1751" w:rsidRPr="0015154B" w:rsidRDefault="00FE1751" w:rsidP="003077EC">
            <w:pPr>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5154B">
              <w:rPr>
                <w:color w:val="000000" w:themeColor="text1"/>
                <w:sz w:val="22"/>
                <w:szCs w:val="22"/>
              </w:rPr>
              <w:t xml:space="preserve">4314 </w:t>
            </w:r>
          </w:p>
        </w:tc>
      </w:tr>
      <w:tr w:rsidR="00FE1751" w:rsidRPr="0015154B" w14:paraId="6AEC5F5D" w14:textId="77777777" w:rsidTr="008E110A">
        <w:trPr>
          <w:trHeight w:val="227"/>
          <w:jc w:val="center"/>
        </w:trPr>
        <w:tc>
          <w:tcPr>
            <w:cnfStyle w:val="001000000000" w:firstRow="0" w:lastRow="0" w:firstColumn="1" w:lastColumn="0" w:oddVBand="0" w:evenVBand="0" w:oddHBand="0" w:evenHBand="0" w:firstRowFirstColumn="0" w:firstRowLastColumn="0" w:lastRowFirstColumn="0" w:lastRowLastColumn="0"/>
            <w:tcW w:w="9072" w:type="dxa"/>
            <w:gridSpan w:val="8"/>
            <w:vAlign w:val="center"/>
            <w:hideMark/>
          </w:tcPr>
          <w:p w14:paraId="79EBECE7" w14:textId="77B4899D" w:rsidR="00FE1751" w:rsidRPr="0015154B" w:rsidRDefault="00FE1751" w:rsidP="003077EC">
            <w:pPr>
              <w:rPr>
                <w:color w:val="002060"/>
                <w:sz w:val="22"/>
                <w:szCs w:val="22"/>
              </w:rPr>
            </w:pPr>
            <w:r w:rsidRPr="0015154B">
              <w:rPr>
                <w:color w:val="002060"/>
                <w:sz w:val="22"/>
                <w:szCs w:val="22"/>
              </w:rPr>
              <w:t>*</w:t>
            </w:r>
            <w:r w:rsidRPr="00D51FFF">
              <w:rPr>
                <w:b w:val="0"/>
                <w:color w:val="002060"/>
                <w:sz w:val="22"/>
                <w:szCs w:val="22"/>
              </w:rPr>
              <w:t>Jaunieši, kuri neatbilst JG mērķa grupai: skolēni, pilna laika studenti u.c. jaunieši – citas personas, kas nav bezdarbnieki)</w:t>
            </w:r>
          </w:p>
        </w:tc>
      </w:tr>
    </w:tbl>
    <w:p w14:paraId="09135FF6" w14:textId="77777777" w:rsidR="00FE1751" w:rsidRPr="0015154B" w:rsidRDefault="00FE1751" w:rsidP="00FE1751">
      <w:pPr>
        <w:ind w:firstLine="284"/>
        <w:jc w:val="both"/>
        <w:rPr>
          <w:rFonts w:ascii="Times New Roman" w:hAnsi="Times New Roman" w:cs="Times New Roman"/>
          <w:color w:val="000000" w:themeColor="text1"/>
          <w:sz w:val="20"/>
          <w:szCs w:val="20"/>
        </w:rPr>
      </w:pPr>
      <w:r w:rsidRPr="0015154B">
        <w:rPr>
          <w:rFonts w:ascii="Times New Roman" w:hAnsi="Times New Roman" w:cs="Times New Roman"/>
          <w:color w:val="000000" w:themeColor="text1"/>
          <w:sz w:val="20"/>
          <w:szCs w:val="20"/>
        </w:rPr>
        <w:t>Datu avots: NVA</w:t>
      </w:r>
    </w:p>
    <w:p w14:paraId="23E76E2A" w14:textId="6B0AAE7E" w:rsidR="00FE1751" w:rsidRPr="0015154B" w:rsidRDefault="00FE1751" w:rsidP="00724B79">
      <w:pPr>
        <w:suppressAutoHyphens/>
        <w:autoSpaceDN w:val="0"/>
        <w:spacing w:before="120" w:after="0" w:line="240" w:lineRule="auto"/>
        <w:ind w:right="-52" w:firstLine="720"/>
        <w:jc w:val="both"/>
        <w:textAlignment w:val="baseline"/>
        <w:rPr>
          <w:rFonts w:ascii="Times New Roman" w:hAnsi="Times New Roman" w:cs="Times New Roman"/>
          <w:bCs/>
          <w:sz w:val="24"/>
          <w:szCs w:val="24"/>
        </w:rPr>
      </w:pPr>
      <w:r w:rsidRPr="0015154B">
        <w:rPr>
          <w:rFonts w:ascii="Times New Roman" w:hAnsi="Times New Roman" w:cs="Times New Roman"/>
          <w:bCs/>
          <w:sz w:val="24"/>
          <w:szCs w:val="24"/>
        </w:rPr>
        <w:t xml:space="preserve">Lai paplašinātu informācijas pieejamību sabiedrībai un politikas veidotājiem par darba tirgu, kā arī izveidotu vienkāršu un lietotājiem draudzīgu instrumentu e-vidē, kas parādītu darba tirgus pieprasījumu un piedāvājumu perspektīvā, 2016.gadā uzsākta ESF projekta “Darba tirgus prognozēšanas sistēmas pilnveide” īstenošana. Projekta ietvaros </w:t>
      </w:r>
      <w:r w:rsidR="003F0DFA" w:rsidRPr="0015154B">
        <w:rPr>
          <w:rFonts w:ascii="Times New Roman" w:hAnsi="Times New Roman" w:cs="Times New Roman"/>
          <w:bCs/>
          <w:sz w:val="24"/>
          <w:szCs w:val="24"/>
        </w:rPr>
        <w:t xml:space="preserve">tika </w:t>
      </w:r>
      <w:r w:rsidRPr="0015154B">
        <w:rPr>
          <w:rFonts w:ascii="Times New Roman" w:hAnsi="Times New Roman" w:cs="Times New Roman"/>
          <w:bCs/>
          <w:sz w:val="24"/>
          <w:szCs w:val="24"/>
        </w:rPr>
        <w:t>veikts pētījums par pārkārtojumu sistēmas izveides iespējām un darba tirgus prognožu sasaisti ar rīcībpolitiku</w:t>
      </w:r>
      <w:r w:rsidR="003F0DFA" w:rsidRPr="0015154B">
        <w:rPr>
          <w:rFonts w:ascii="Times New Roman" w:hAnsi="Times New Roman" w:cs="Times New Roman"/>
          <w:bCs/>
          <w:sz w:val="24"/>
          <w:szCs w:val="24"/>
        </w:rPr>
        <w:t>, kurā secināts</w:t>
      </w:r>
      <w:r w:rsidRPr="0015154B">
        <w:rPr>
          <w:rFonts w:ascii="Times New Roman" w:hAnsi="Times New Roman" w:cs="Times New Roman"/>
          <w:bCs/>
          <w:sz w:val="24"/>
          <w:szCs w:val="24"/>
        </w:rPr>
        <w:t>, ka karjeras konsultanti (gan izglītības, gan nodarbinātības) kopumā nav pietiekami informēti par vidēja un ilgtermiņa darba tirgus prognožu būtību un nepieciešamību analizēt situāciju darba tirgū vidējā un ilgtermiņā. Arī prognožu atspoguļojums nav piemērots karjeras konsultantu vajadzībām – ziņojuma izpēte prasa ievērojamus laika resursus. Būtiska problēma karjeras konsultantiem ir iespējamo risinājumu noteikšana gadījumos, kad prognožu rezultāti izpētīti un klientiem jāiesaka iespējamie rīcības virzieni. Tomēr karjeras konsultācijas ir viens no galvenajiem veidiem, kā īstermiņa, vidēja un ilgtermiņa darba tirgus prognožu informācija var nonāk</w:t>
      </w:r>
      <w:r w:rsidR="00865001">
        <w:rPr>
          <w:rFonts w:ascii="Times New Roman" w:hAnsi="Times New Roman" w:cs="Times New Roman"/>
          <w:bCs/>
          <w:sz w:val="24"/>
          <w:szCs w:val="24"/>
        </w:rPr>
        <w:t>t</w:t>
      </w:r>
      <w:r w:rsidRPr="0015154B">
        <w:rPr>
          <w:rFonts w:ascii="Times New Roman" w:hAnsi="Times New Roman" w:cs="Times New Roman"/>
          <w:bCs/>
          <w:sz w:val="24"/>
          <w:szCs w:val="24"/>
        </w:rPr>
        <w:t xml:space="preserve"> pie individuāla lietotāja. Gan izglītības, gan NVA karjeras konsultantiem nepieciešami papildu laika resursi darba tirgus prognožu interpretācijai un profesionālās pilnveides iespējas.</w:t>
      </w:r>
    </w:p>
    <w:p w14:paraId="624F9ABA" w14:textId="466405D3" w:rsidR="00FE1751" w:rsidRPr="0015154B"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 xml:space="preserve">Svarīgi atzīmēt, ka kopš 2014. gada karjeras konsultantu slodžu skaits nav mainījies. NVA karjeras konsultantu vidējais mēneša atalgojums (pirms nodokļiem – bruto) – 721 eiro. Pieprasījums pēc karjeras konsultāciju pakalpojuma darba tirgū noteikti saglabāsies. Šis pakalpojums nepieciešams dažāda vecuma cilvēkiem dažādos dzīves posmos, lai pamatoti izvēlētos un vadītu savu izglītību un nodarbinātību atbilstoši savām interesēm, spējām un darba tirgus pieprasījumam. </w:t>
      </w:r>
    </w:p>
    <w:p w14:paraId="1DDB0093" w14:textId="77777777" w:rsidR="00557382" w:rsidRPr="0015154B"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hAnsi="Times New Roman" w:cs="Times New Roman"/>
          <w:sz w:val="24"/>
          <w:szCs w:val="24"/>
        </w:rPr>
        <w:t>Bezdarba straujāku samazināšanos joprojām kavē darba tirgus reģionālās atšķirības. Ap 75% no reģistrētajām vakancēm tiek reģistrētas Rīgas un Pierīgas reģionā.</w:t>
      </w:r>
      <w:r w:rsidR="00540B09" w:rsidRPr="0015154B">
        <w:rPr>
          <w:rFonts w:ascii="Times New Roman" w:hAnsi="Times New Roman" w:cs="Times New Roman"/>
          <w:sz w:val="24"/>
          <w:szCs w:val="24"/>
        </w:rPr>
        <w:t xml:space="preserve"> </w:t>
      </w:r>
      <w:r w:rsidRPr="0015154B">
        <w:rPr>
          <w:rFonts w:ascii="Times New Roman" w:eastAsia="Calibri" w:hAnsi="Times New Roman"/>
          <w:iCs/>
          <w:color w:val="000000"/>
          <w:sz w:val="24"/>
          <w:szCs w:val="24"/>
        </w:rPr>
        <w:t xml:space="preserve">Viens no darbaspēka piedāvājuma nesakritības ar pieprasījumu faktoriem ir ierobežotās </w:t>
      </w:r>
      <w:r w:rsidRPr="0015154B">
        <w:rPr>
          <w:rFonts w:ascii="Times New Roman" w:eastAsia="Calibri" w:hAnsi="Times New Roman"/>
          <w:b/>
          <w:iCs/>
          <w:color w:val="000000"/>
          <w:sz w:val="24"/>
          <w:szCs w:val="24"/>
        </w:rPr>
        <w:t xml:space="preserve">reģionālās mobilitātes </w:t>
      </w:r>
      <w:r w:rsidRPr="0015154B">
        <w:rPr>
          <w:rFonts w:ascii="Times New Roman" w:eastAsia="Calibri" w:hAnsi="Times New Roman"/>
          <w:iCs/>
          <w:color w:val="000000"/>
          <w:sz w:val="24"/>
          <w:szCs w:val="24"/>
        </w:rPr>
        <w:t xml:space="preserve">iespējas. Ierobežojošs faktors ir mājokļu pieejamība un augstās mājokļu īres cenas teritorijās ar augstākām nodarbinātības iespējām. </w:t>
      </w:r>
    </w:p>
    <w:p w14:paraId="1FC3A910" w14:textId="2DA4ECBD" w:rsidR="00FE1751" w:rsidRPr="0015154B" w:rsidRDefault="00557382" w:rsidP="00724B79">
      <w:pPr>
        <w:spacing w:before="120" w:after="0" w:line="240" w:lineRule="auto"/>
        <w:ind w:firstLine="720"/>
        <w:jc w:val="both"/>
        <w:rPr>
          <w:rFonts w:ascii="Times New Roman" w:hAnsi="Times New Roman" w:cs="Times New Roman"/>
          <w:sz w:val="24"/>
          <w:szCs w:val="24"/>
        </w:rPr>
      </w:pPr>
      <w:r w:rsidRPr="0015154B">
        <w:rPr>
          <w:rFonts w:ascii="Times New Roman" w:eastAsia="Calibri" w:hAnsi="Times New Roman"/>
          <w:iCs/>
          <w:color w:val="000000"/>
          <w:sz w:val="24"/>
          <w:szCs w:val="24"/>
        </w:rPr>
        <w:t xml:space="preserve">Kopš 2013. gada tiek īstenots un regulāri pilnveidots Komersantu nodarbināto personu reģionālās mobilitātes veicināšanas pasākums ar mērķi nodrošināt finansiālu atlīdzību transporta un dzīvojamās telpas īres izdevumu segšanai pirmos četrus mēnešus pēc darba tiesisko attiecību uzsākšanas. Ar šī atbalsta pasākuma palīdzību bezdarbniekiem tiek nodrošināta iespēja pieņemt darba piedāvājumus un strādāt, samazinot finansiālos un attāluma šķēršļus nokļūšanai līdz darba vietai, kas bez finansiāla atbalsta saņemšanas būtu apgrūtinoši vai pat neiespējami. Katru gadu pieaug pasākumā iesaistīto personu skaits. 2019. gadā </w:t>
      </w:r>
      <w:r w:rsidRPr="0015154B">
        <w:rPr>
          <w:rFonts w:ascii="Times New Roman" w:eastAsia="Calibri" w:hAnsi="Times New Roman"/>
          <w:iCs/>
          <w:color w:val="000000"/>
          <w:sz w:val="24"/>
          <w:szCs w:val="24"/>
        </w:rPr>
        <w:lastRenderedPageBreak/>
        <w:t>pasākumā bija iesaistītas 288 personas (2018.gadā – 252, 2017.gadā  - 243</w:t>
      </w:r>
      <w:r w:rsidR="001802D9" w:rsidRPr="0015154B">
        <w:rPr>
          <w:rFonts w:ascii="Times New Roman" w:eastAsia="Calibri" w:hAnsi="Times New Roman"/>
          <w:iCs/>
          <w:color w:val="000000"/>
          <w:sz w:val="24"/>
          <w:szCs w:val="24"/>
        </w:rPr>
        <w:t>,</w:t>
      </w:r>
      <w:r w:rsidRPr="0015154B">
        <w:rPr>
          <w:rFonts w:ascii="Times New Roman" w:eastAsia="Calibri" w:hAnsi="Times New Roman"/>
          <w:iCs/>
          <w:color w:val="000000"/>
          <w:sz w:val="24"/>
          <w:szCs w:val="24"/>
        </w:rPr>
        <w:t xml:space="preserve"> 2016.gadā – 161). </w:t>
      </w:r>
      <w:r w:rsidR="00FE1751" w:rsidRPr="0015154B">
        <w:rPr>
          <w:rFonts w:ascii="Times New Roman" w:eastAsia="Calibri" w:hAnsi="Times New Roman"/>
          <w:iCs/>
          <w:color w:val="000000"/>
          <w:sz w:val="24"/>
          <w:szCs w:val="24"/>
        </w:rPr>
        <w:t>Jāturpina piedāvāt reģionālās mobilitātes atbalsta pasākumus, lai paplašinātu bezdarbniekiem nodarbinātības iespējas, rēķinoties, ka šis atbalsts tikai daļēji var risināt darbaspēka nokļūšanas problēmu uz vietām, kur ir darbs, jo mobilitātes iespējas joprojām apgrūtina nepietiekams atbilstošu īres mājokļu piedāvājums, sabiedriskā transporta un ceļu infrastruktūra.</w:t>
      </w:r>
      <w:r w:rsidR="00FE1751" w:rsidRPr="0015154B">
        <w:rPr>
          <w:rFonts w:ascii="Times New Roman" w:hAnsi="Times New Roman" w:cs="Times New Roman"/>
          <w:sz w:val="24"/>
          <w:szCs w:val="24"/>
        </w:rPr>
        <w:t xml:space="preserve"> Bezdarbs un ilgstošais bezdarbs ir zemāks reģionos, kur ir augsts arī reģistrēto vakanču skaits, kamēr reģionos ar augstāku bezdarbu darba iespēju piedāvājums ir ierobežotāks. Svarīgi šādā situācijā veicināt reģionālo mobilitāti, pastiprināt esošos stimulus reģionālās mobilitātes atbalstam. Atbilstoši OECD 2019.gada pētījumam NVA sniegtais reģionālās mobilitātes atbalsts ir uzlabojis nodarbinātības iespējas. Bezdarba un vakanču izvietojuma nesabalansētība, kā arī reģionālās mobilitātes izaicinājumi palielina strukturāla bezdarba riskus, nepieciešami turpmāki pūliņi šo izaicinājumu risināšanai, lai pilnvērtīgāk izmantotu Latvijas iedzīvotāju darba tirgus potenciālu.</w:t>
      </w:r>
    </w:p>
    <w:p w14:paraId="1F62E7C7" w14:textId="527F8C03" w:rsidR="00A732F2" w:rsidRPr="0015154B" w:rsidRDefault="00A732F2"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Izvērtējot iesaistīto personu (laika periodā no 2018.gada 1.jūlija līdz 2019.gada 30.jūnijam) iekārtošanos darbā pēc pasākumu pabeigšanas, var secināt, ka rezultāti ir atšķirīgi atkarībā no pasākuma veida un specifikas. No iesaistes pasākumos vislabākie darbā iekārtošanās rezultāti bija vērojami pasākumos pie darba devēja, darba vieta jaunietim un komercdarbības vai pašnodarbinātības uzsākšanai. Augsts darbā iesaistes līmenis ir arī pasākumos noteiktām personu grupām (subsidētā nodarbinātība), kā arī pozitīvi vērtējami darbā iekārtošanās rezultāti pēc apmācību pasākumiem (</w:t>
      </w:r>
      <w:r w:rsidRPr="002E4D66">
        <w:rPr>
          <w:rFonts w:ascii="Times New Roman" w:eastAsia="Calibri" w:hAnsi="Times New Roman"/>
          <w:iCs/>
          <w:color w:val="000000"/>
          <w:sz w:val="24"/>
          <w:szCs w:val="24"/>
          <w:highlight w:val="yellow"/>
        </w:rPr>
        <w:t>skat</w:t>
      </w:r>
      <w:r w:rsidR="00355DF1" w:rsidRPr="002E4D66">
        <w:rPr>
          <w:rFonts w:ascii="Times New Roman" w:eastAsia="Calibri" w:hAnsi="Times New Roman"/>
          <w:iCs/>
          <w:color w:val="000000"/>
          <w:sz w:val="24"/>
          <w:szCs w:val="24"/>
          <w:highlight w:val="yellow"/>
        </w:rPr>
        <w:t>. 2</w:t>
      </w:r>
      <w:r w:rsidR="005E5CD1">
        <w:rPr>
          <w:rFonts w:ascii="Times New Roman" w:eastAsia="Calibri" w:hAnsi="Times New Roman"/>
          <w:iCs/>
          <w:color w:val="000000"/>
          <w:sz w:val="24"/>
          <w:szCs w:val="24"/>
          <w:highlight w:val="yellow"/>
        </w:rPr>
        <w:t>3</w:t>
      </w:r>
      <w:r w:rsidR="00355DF1" w:rsidRPr="002E4D66">
        <w:rPr>
          <w:rFonts w:ascii="Times New Roman" w:eastAsia="Calibri" w:hAnsi="Times New Roman"/>
          <w:iCs/>
          <w:color w:val="000000"/>
          <w:sz w:val="24"/>
          <w:szCs w:val="24"/>
          <w:highlight w:val="yellow"/>
        </w:rPr>
        <w:t>.</w:t>
      </w:r>
      <w:r w:rsidRPr="002E4D66">
        <w:rPr>
          <w:rFonts w:ascii="Times New Roman" w:eastAsia="Calibri" w:hAnsi="Times New Roman"/>
          <w:iCs/>
          <w:color w:val="000000"/>
          <w:sz w:val="24"/>
          <w:szCs w:val="24"/>
          <w:highlight w:val="yellow"/>
        </w:rPr>
        <w:t>attēlu</w:t>
      </w:r>
      <w:r w:rsidRPr="0015154B">
        <w:rPr>
          <w:rFonts w:ascii="Times New Roman" w:eastAsia="Calibri" w:hAnsi="Times New Roman"/>
          <w:iCs/>
          <w:color w:val="000000"/>
          <w:sz w:val="24"/>
          <w:szCs w:val="24"/>
        </w:rPr>
        <w:t>).</w:t>
      </w:r>
    </w:p>
    <w:p w14:paraId="45AB8426" w14:textId="77777777" w:rsidR="00786EFE" w:rsidRPr="0015154B" w:rsidRDefault="00786EFE" w:rsidP="00786EFE">
      <w:pPr>
        <w:spacing w:after="0" w:line="240" w:lineRule="auto"/>
        <w:rPr>
          <w:rFonts w:ascii="Times New Roman" w:eastAsia="Calibri" w:hAnsi="Times New Roman"/>
          <w:iCs/>
          <w:color w:val="000000"/>
          <w:sz w:val="24"/>
          <w:szCs w:val="24"/>
          <w:highlight w:val="yellow"/>
        </w:rPr>
      </w:pPr>
    </w:p>
    <w:p w14:paraId="3062902A" w14:textId="4176C2D9" w:rsidR="00A732F2" w:rsidRPr="0015154B" w:rsidRDefault="00355DF1" w:rsidP="00786EFE">
      <w:pPr>
        <w:spacing w:after="0" w:line="240" w:lineRule="auto"/>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2</w:t>
      </w:r>
      <w:r w:rsidR="002E4D66">
        <w:rPr>
          <w:rFonts w:ascii="Times New Roman" w:eastAsia="Calibri" w:hAnsi="Times New Roman"/>
          <w:iCs/>
          <w:color w:val="000000"/>
          <w:sz w:val="24"/>
          <w:szCs w:val="24"/>
        </w:rPr>
        <w:t>3</w:t>
      </w:r>
      <w:r w:rsidRPr="0015154B">
        <w:rPr>
          <w:rFonts w:ascii="Times New Roman" w:eastAsia="Calibri" w:hAnsi="Times New Roman"/>
          <w:iCs/>
          <w:color w:val="000000"/>
          <w:sz w:val="24"/>
          <w:szCs w:val="24"/>
        </w:rPr>
        <w:t>.</w:t>
      </w:r>
      <w:r w:rsidR="00786EFE" w:rsidRPr="0015154B">
        <w:rPr>
          <w:rFonts w:ascii="Times New Roman" w:eastAsia="Calibri" w:hAnsi="Times New Roman"/>
          <w:iCs/>
          <w:color w:val="000000"/>
          <w:sz w:val="24"/>
          <w:szCs w:val="24"/>
        </w:rPr>
        <w:t>a</w:t>
      </w:r>
      <w:r w:rsidR="00A732F2" w:rsidRPr="0015154B">
        <w:rPr>
          <w:rFonts w:ascii="Times New Roman" w:eastAsia="Calibri" w:hAnsi="Times New Roman"/>
          <w:iCs/>
          <w:color w:val="000000"/>
          <w:sz w:val="24"/>
          <w:szCs w:val="24"/>
        </w:rPr>
        <w:t xml:space="preserve">ttēls  </w:t>
      </w:r>
    </w:p>
    <w:p w14:paraId="5041710D" w14:textId="77777777" w:rsidR="00A732F2" w:rsidRPr="0015154B" w:rsidRDefault="00A732F2" w:rsidP="00786EFE">
      <w:pPr>
        <w:spacing w:after="0" w:line="240" w:lineRule="auto"/>
        <w:ind w:firstLine="720"/>
        <w:jc w:val="center"/>
        <w:rPr>
          <w:rFonts w:ascii="Times New Roman" w:eastAsia="Calibri" w:hAnsi="Times New Roman"/>
          <w:b/>
          <w:iCs/>
          <w:color w:val="000000"/>
          <w:sz w:val="24"/>
          <w:szCs w:val="24"/>
        </w:rPr>
      </w:pPr>
      <w:r w:rsidRPr="0015154B">
        <w:rPr>
          <w:rFonts w:ascii="Times New Roman" w:eastAsia="Calibri" w:hAnsi="Times New Roman"/>
          <w:b/>
          <w:iCs/>
          <w:color w:val="002060"/>
          <w:sz w:val="24"/>
          <w:szCs w:val="24"/>
        </w:rPr>
        <w:t>Bezdarbnieku darbā iekārtošanās pēc dalības ADTP pasākumos</w:t>
      </w:r>
      <w:r w:rsidRPr="0015154B">
        <w:rPr>
          <w:rFonts w:ascii="Times New Roman" w:eastAsia="Calibri" w:hAnsi="Times New Roman"/>
          <w:b/>
          <w:iCs/>
          <w:color w:val="000000"/>
          <w:sz w:val="24"/>
          <w:szCs w:val="24"/>
        </w:rPr>
        <w:t>*</w:t>
      </w:r>
    </w:p>
    <w:p w14:paraId="799AD8BC" w14:textId="77777777" w:rsidR="00A732F2" w:rsidRPr="007157D3" w:rsidRDefault="00A732F2" w:rsidP="00A732F2">
      <w:pPr>
        <w:spacing w:before="120" w:line="240" w:lineRule="auto"/>
        <w:jc w:val="center"/>
        <w:rPr>
          <w:rFonts w:ascii="Times New Roman" w:eastAsia="Calibri" w:hAnsi="Times New Roman"/>
          <w:iCs/>
          <w:color w:val="000000"/>
          <w:sz w:val="24"/>
          <w:szCs w:val="24"/>
        </w:rPr>
      </w:pPr>
      <w:r w:rsidRPr="00D51FFF">
        <w:rPr>
          <w:rFonts w:ascii="Times New Roman" w:eastAsia="Calibri" w:hAnsi="Times New Roman"/>
          <w:iCs/>
          <w:noProof/>
          <w:color w:val="000000"/>
          <w:sz w:val="24"/>
          <w:szCs w:val="24"/>
        </w:rPr>
        <w:drawing>
          <wp:inline distT="0" distB="0" distL="0" distR="0" wp14:anchorId="1D97690E" wp14:editId="55C51BCA">
            <wp:extent cx="5427168" cy="3657600"/>
            <wp:effectExtent l="19050" t="19050" r="2159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09104" cy="3780215"/>
                    </a:xfrm>
                    <a:prstGeom prst="rect">
                      <a:avLst/>
                    </a:prstGeom>
                    <a:noFill/>
                    <a:ln>
                      <a:solidFill>
                        <a:schemeClr val="bg1"/>
                      </a:solidFill>
                    </a:ln>
                  </pic:spPr>
                </pic:pic>
              </a:graphicData>
            </a:graphic>
          </wp:inline>
        </w:drawing>
      </w:r>
    </w:p>
    <w:p w14:paraId="44799C68" w14:textId="77777777" w:rsidR="00A732F2" w:rsidRPr="007157D3" w:rsidRDefault="00A732F2" w:rsidP="00A732F2">
      <w:pPr>
        <w:spacing w:after="0" w:line="240" w:lineRule="auto"/>
        <w:ind w:firstLine="720"/>
        <w:jc w:val="both"/>
        <w:rPr>
          <w:rFonts w:ascii="Times New Roman" w:eastAsia="Calibri" w:hAnsi="Times New Roman"/>
          <w:iCs/>
          <w:color w:val="000000"/>
          <w:sz w:val="20"/>
          <w:szCs w:val="20"/>
        </w:rPr>
      </w:pPr>
      <w:r w:rsidRPr="007157D3">
        <w:rPr>
          <w:rFonts w:ascii="Times New Roman" w:eastAsia="Calibri" w:hAnsi="Times New Roman"/>
          <w:iCs/>
          <w:color w:val="000000"/>
          <w:sz w:val="20"/>
          <w:szCs w:val="20"/>
        </w:rPr>
        <w:t>*Pabeiguši dalību periodā no 01.07.2018. līdz 30.06.2019. un iekārtojušies darbā pirmo 6 mēnešu laikā pēc pasākuma pabeigšanas (periodā līdz 31.12.2019.)</w:t>
      </w:r>
    </w:p>
    <w:p w14:paraId="08722238" w14:textId="77777777" w:rsidR="00A732F2" w:rsidRPr="002F5278" w:rsidRDefault="00A732F2" w:rsidP="00A732F2">
      <w:pPr>
        <w:spacing w:after="0" w:line="240" w:lineRule="auto"/>
        <w:ind w:firstLine="720"/>
        <w:jc w:val="both"/>
        <w:rPr>
          <w:rFonts w:ascii="Times New Roman" w:eastAsia="Calibri" w:hAnsi="Times New Roman"/>
          <w:iCs/>
          <w:color w:val="000000"/>
          <w:sz w:val="20"/>
          <w:szCs w:val="20"/>
        </w:rPr>
      </w:pPr>
      <w:r w:rsidRPr="002F5278">
        <w:rPr>
          <w:rFonts w:ascii="Times New Roman" w:eastAsia="Calibri" w:hAnsi="Times New Roman"/>
          <w:iCs/>
          <w:color w:val="000000"/>
          <w:sz w:val="20"/>
          <w:szCs w:val="20"/>
        </w:rPr>
        <w:t>Datu avots: NVA</w:t>
      </w:r>
    </w:p>
    <w:p w14:paraId="30398316" w14:textId="77777777" w:rsidR="00FE1751" w:rsidRPr="00573B49" w:rsidRDefault="00FE1751" w:rsidP="00FE1751">
      <w:pPr>
        <w:spacing w:after="0" w:line="240" w:lineRule="auto"/>
        <w:ind w:firstLine="554"/>
        <w:jc w:val="both"/>
        <w:rPr>
          <w:rFonts w:ascii="Calibri" w:hAnsi="Calibri"/>
          <w:b/>
          <w:bCs/>
          <w:kern w:val="28"/>
          <w:sz w:val="24"/>
          <w:szCs w:val="24"/>
        </w:rPr>
      </w:pPr>
    </w:p>
    <w:sdt>
      <w:sdtPr>
        <w:rPr>
          <w:rFonts w:ascii="Times New Roman" w:hAnsi="Times New Roman" w:cs="Times New Roman"/>
          <w:bCs/>
          <w:kern w:val="28"/>
          <w:sz w:val="24"/>
          <w:szCs w:val="24"/>
        </w:rPr>
        <w:id w:val="-1468281871"/>
        <w:docPartObj>
          <w:docPartGallery w:val="Cover Pages"/>
          <w:docPartUnique/>
        </w:docPartObj>
      </w:sdtPr>
      <w:sdtEndPr>
        <w:rPr>
          <w:rFonts w:asciiTheme="minorHAnsi" w:hAnsiTheme="minorHAnsi" w:cstheme="minorBidi"/>
          <w:bCs w:val="0"/>
          <w:kern w:val="0"/>
          <w:sz w:val="22"/>
          <w:szCs w:val="22"/>
        </w:rPr>
      </w:sdtEndPr>
      <w:sdtContent>
        <w:p w14:paraId="278A06BB" w14:textId="6B4EF09A" w:rsidR="00FE1751" w:rsidRPr="00573B49" w:rsidRDefault="00FE1751" w:rsidP="00D51FFF">
          <w:pPr>
            <w:spacing w:before="120" w:after="0" w:line="240" w:lineRule="auto"/>
            <w:ind w:firstLine="709"/>
            <w:jc w:val="both"/>
            <w:rPr>
              <w:rFonts w:ascii="Times New Roman" w:hAnsi="Times New Roman" w:cs="Times New Roman"/>
              <w:sz w:val="24"/>
              <w:szCs w:val="24"/>
            </w:rPr>
          </w:pPr>
          <w:r w:rsidRPr="00573B49">
            <w:rPr>
              <w:rFonts w:ascii="Times New Roman" w:hAnsi="Times New Roman" w:cs="Times New Roman"/>
              <w:sz w:val="24"/>
              <w:szCs w:val="24"/>
            </w:rPr>
            <w:t xml:space="preserve">OECD vērtējumā pašvaldību un NVA sadarbība ir svarīgs faktors sociālās palīdzības saņēmēju aktivizēšanai, tāpēc ir nepieciešama konsekventa pieeja iestāžu starpā. OECD uzsver, ka 2013.gada NVA izmēģinājumprojekts ilgstošo sociālās palīdzības saņēmēju aktivizēšanai </w:t>
          </w:r>
          <w:r w:rsidRPr="00573B49">
            <w:rPr>
              <w:rFonts w:ascii="Times New Roman" w:hAnsi="Times New Roman" w:cs="Times New Roman"/>
              <w:sz w:val="24"/>
              <w:szCs w:val="24"/>
            </w:rPr>
            <w:lastRenderedPageBreak/>
            <w:t>uzrādīja vērā ņemamus ieguvumus, balstoties uz kopīgu pieeju  sociālās palīdzības saņēmēju atbalstam. Jo īpaši OECD uzsver sociālo dienestu un NVA kopīgās tikšanās ar bezdarbniekiem, tomēr šīs mērķa grupas turpmākai aktivizēšanai svarīga ir holistiska pieeja, ko jānodrošina arī turpmāk.</w:t>
          </w:r>
        </w:p>
        <w:p w14:paraId="71AE875B" w14:textId="40EAD430" w:rsidR="00FE1751" w:rsidRPr="007157D3" w:rsidRDefault="00FE1751" w:rsidP="00D51FFF">
          <w:pPr>
            <w:spacing w:before="120" w:after="0" w:line="240" w:lineRule="auto"/>
            <w:ind w:firstLine="709"/>
            <w:jc w:val="both"/>
            <w:rPr>
              <w:rFonts w:ascii="Times New Roman" w:eastAsia="Calibri" w:hAnsi="Times New Roman" w:cs="Times New Roman"/>
              <w:iCs/>
              <w:color w:val="000000"/>
              <w:sz w:val="24"/>
              <w:szCs w:val="24"/>
            </w:rPr>
          </w:pPr>
          <w:r w:rsidRPr="0025422D">
            <w:rPr>
              <w:rFonts w:ascii="Times New Roman" w:hAnsi="Times New Roman" w:cs="Times New Roman"/>
              <w:sz w:val="24"/>
              <w:szCs w:val="24"/>
            </w:rPr>
            <w:t>Lai pilnveidotu un intensificētu sadarbību ar pašvaldību sociālajiem dienestiem ilgstošo bezdarbnieku atbalstam un motivēšanai atgriezties darba tirgū, NVA ietvaros tika izstrādāts abu inst</w:t>
          </w:r>
          <w:r w:rsidRPr="00A857F2">
            <w:rPr>
              <w:rFonts w:ascii="Times New Roman" w:hAnsi="Times New Roman" w:cs="Times New Roman"/>
              <w:sz w:val="24"/>
              <w:szCs w:val="24"/>
            </w:rPr>
            <w:t xml:space="preserve">itūciju sadarbības  modelis. NVA un sociālo dienestu sadarbības modeļa izmēģinājuma projekta rezultāti un turpmāk nepieciešamie </w:t>
          </w:r>
          <w:r w:rsidR="00D51FFF" w:rsidRPr="00A857F2">
            <w:rPr>
              <w:rFonts w:ascii="Times New Roman" w:hAnsi="Times New Roman" w:cs="Times New Roman"/>
              <w:sz w:val="24"/>
              <w:szCs w:val="24"/>
            </w:rPr>
            <w:t>pilnveidojumi</w:t>
          </w:r>
          <w:r w:rsidRPr="00A857F2">
            <w:rPr>
              <w:rFonts w:ascii="Times New Roman" w:hAnsi="Times New Roman" w:cs="Times New Roman"/>
              <w:sz w:val="24"/>
              <w:szCs w:val="24"/>
            </w:rPr>
            <w:t xml:space="preserve"> ir sniegti Informatīvajā ziņojumā par Iekļaujošas nodarbinātības pamatnostādņu 2015.–2020. gadam īstenošanas star</w:t>
          </w:r>
          <w:r w:rsidRPr="00662D1E">
            <w:rPr>
              <w:rFonts w:ascii="Times New Roman" w:hAnsi="Times New Roman" w:cs="Times New Roman"/>
              <w:sz w:val="24"/>
              <w:szCs w:val="24"/>
            </w:rPr>
            <w:t>pposma novērtējumu</w:t>
          </w:r>
          <w:r w:rsidR="002B6545" w:rsidRPr="009703E6">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169"/>
          </w:r>
          <w:r w:rsidR="001802D9" w:rsidRPr="007157D3">
            <w:rPr>
              <w:rFonts w:ascii="Times New Roman" w:hAnsi="Times New Roman" w:cs="Times New Roman"/>
              <w:sz w:val="24"/>
              <w:szCs w:val="24"/>
            </w:rPr>
            <w:t xml:space="preserve"> </w:t>
          </w:r>
          <w:r w:rsidR="001802D9" w:rsidRPr="007157D3">
            <w:rPr>
              <w:rFonts w:ascii="Times New Roman" w:eastAsia="Calibri" w:hAnsi="Times New Roman" w:cs="Times New Roman"/>
              <w:iCs/>
              <w:color w:val="000000"/>
              <w:sz w:val="24"/>
              <w:szCs w:val="24"/>
            </w:rPr>
            <w:t xml:space="preserve">Arī plānotie ieguldījumi NVA kapacitātes stiprināšanā </w:t>
          </w:r>
          <w:r w:rsidR="00D51FFF">
            <w:rPr>
              <w:rFonts w:ascii="Times New Roman" w:eastAsia="Calibri" w:hAnsi="Times New Roman" w:cs="Times New Roman"/>
              <w:iCs/>
              <w:color w:val="000000"/>
              <w:sz w:val="24"/>
              <w:szCs w:val="24"/>
            </w:rPr>
            <w:t>nākamajā</w:t>
          </w:r>
          <w:r w:rsidR="001802D9" w:rsidRPr="007157D3">
            <w:rPr>
              <w:rFonts w:ascii="Times New Roman" w:eastAsia="Calibri" w:hAnsi="Times New Roman" w:cs="Times New Roman"/>
              <w:iCs/>
              <w:color w:val="000000"/>
              <w:sz w:val="24"/>
              <w:szCs w:val="24"/>
            </w:rPr>
            <w:t xml:space="preserve"> 2021.-2027.gada plānošanas perioda ietvaros fokusēsies uz </w:t>
          </w:r>
          <w:r w:rsidR="001802D9" w:rsidRPr="007157D3">
            <w:rPr>
              <w:rFonts w:ascii="Times New Roman" w:hAnsi="Times New Roman" w:cs="Times New Roman"/>
              <w:color w:val="000000" w:themeColor="text1"/>
              <w:sz w:val="24"/>
              <w:szCs w:val="24"/>
            </w:rPr>
            <w:t>starpinstituc</w:t>
          </w:r>
          <w:r w:rsidR="001802D9" w:rsidRPr="002F5278">
            <w:rPr>
              <w:rFonts w:ascii="Times New Roman" w:hAnsi="Times New Roman" w:cs="Times New Roman"/>
              <w:color w:val="000000" w:themeColor="text1"/>
              <w:sz w:val="24"/>
              <w:szCs w:val="24"/>
            </w:rPr>
            <w:t xml:space="preserve">ionālo sadarbības sekmēšanu, jo tie būs </w:t>
          </w:r>
          <w:r w:rsidR="00D51FFF" w:rsidRPr="002F5278">
            <w:rPr>
              <w:rFonts w:ascii="Times New Roman" w:hAnsi="Times New Roman" w:cs="Times New Roman"/>
              <w:color w:val="000000" w:themeColor="text1"/>
              <w:sz w:val="24"/>
              <w:szCs w:val="24"/>
            </w:rPr>
            <w:t>mērķēti</w:t>
          </w:r>
          <w:r w:rsidR="001802D9" w:rsidRPr="002F5278">
            <w:rPr>
              <w:rFonts w:ascii="Times New Roman" w:hAnsi="Times New Roman" w:cs="Times New Roman"/>
              <w:color w:val="000000" w:themeColor="text1"/>
              <w:sz w:val="24"/>
              <w:szCs w:val="24"/>
            </w:rPr>
            <w:t xml:space="preserve"> </w:t>
          </w:r>
          <w:r w:rsidR="001802D9" w:rsidRPr="00573B49">
            <w:rPr>
              <w:rFonts w:ascii="Times New Roman" w:eastAsia="Calibri" w:hAnsi="Times New Roman" w:cs="Times New Roman"/>
              <w:iCs/>
              <w:color w:val="000000"/>
              <w:sz w:val="24"/>
              <w:szCs w:val="24"/>
            </w:rPr>
            <w:t xml:space="preserve">uz </w:t>
          </w:r>
          <w:r w:rsidR="001802D9" w:rsidRPr="00573B49">
            <w:rPr>
              <w:rFonts w:ascii="Times New Roman" w:hAnsi="Times New Roman" w:cs="Times New Roman"/>
              <w:color w:val="000000" w:themeColor="text1"/>
              <w:sz w:val="24"/>
              <w:szCs w:val="24"/>
            </w:rPr>
            <w:t>NVA sadarbības tīkla kartēšanu (pakalpojumu sniedzēji, sociālo pakalpojumu sniedzēji, SIVA, darba devēji) tieši NVA filiāļu griezumā.</w:t>
          </w:r>
        </w:p>
      </w:sdtContent>
    </w:sdt>
    <w:p w14:paraId="611756FF" w14:textId="77777777" w:rsidR="00FE1751" w:rsidRPr="007157D3" w:rsidRDefault="00FE1751" w:rsidP="00FE1751">
      <w:pPr>
        <w:spacing w:after="0" w:line="240" w:lineRule="auto"/>
        <w:jc w:val="both"/>
        <w:rPr>
          <w:rFonts w:ascii="Times New Roman" w:eastAsia="Calibri" w:hAnsi="Times New Roman" w:cs="Times New Roman"/>
          <w:iCs/>
          <w:color w:val="000000"/>
          <w:sz w:val="24"/>
          <w:szCs w:val="24"/>
        </w:rPr>
      </w:pPr>
    </w:p>
    <w:p w14:paraId="57714FAC" w14:textId="64AA2358" w:rsidR="00FE1751" w:rsidRPr="007157D3" w:rsidRDefault="00BB63EE" w:rsidP="00DA5144">
      <w:pPr>
        <w:pStyle w:val="Heading2"/>
      </w:pPr>
      <w:bookmarkStart w:id="90" w:name="_Toc55316118"/>
      <w:r>
        <w:t xml:space="preserve"> </w:t>
      </w:r>
      <w:r w:rsidR="00FE1751" w:rsidRPr="007157D3">
        <w:t xml:space="preserve">Aktīvās darba tirgus </w:t>
      </w:r>
      <w:r w:rsidR="00D51FFF" w:rsidRPr="007157D3">
        <w:t>politikas</w:t>
      </w:r>
      <w:r w:rsidR="00FE1751" w:rsidRPr="007157D3">
        <w:t xml:space="preserve"> pasākumu finansēšana un pārklājums</w:t>
      </w:r>
      <w:bookmarkEnd w:id="90"/>
    </w:p>
    <w:p w14:paraId="463A12AC" w14:textId="7B5E0102" w:rsidR="00A732F2" w:rsidRPr="007157D3" w:rsidRDefault="00FE1751" w:rsidP="00724B79">
      <w:pPr>
        <w:spacing w:before="120" w:after="0" w:line="240" w:lineRule="auto"/>
        <w:ind w:firstLine="720"/>
        <w:jc w:val="both"/>
        <w:rPr>
          <w:rFonts w:ascii="Times New Roman" w:eastAsia="Calibri" w:hAnsi="Times New Roman" w:cs="Times New Roman"/>
          <w:iCs/>
          <w:color w:val="000000"/>
          <w:sz w:val="24"/>
          <w:szCs w:val="24"/>
        </w:rPr>
      </w:pPr>
      <w:r w:rsidRPr="007157D3">
        <w:rPr>
          <w:rFonts w:ascii="Times New Roman" w:eastAsia="Calibri" w:hAnsi="Times New Roman" w:cs="Times New Roman"/>
          <w:iCs/>
          <w:color w:val="000000"/>
          <w:sz w:val="24"/>
          <w:szCs w:val="24"/>
        </w:rPr>
        <w:t>ADTP</w:t>
      </w:r>
      <w:r w:rsidRPr="002F5278">
        <w:rPr>
          <w:rFonts w:ascii="Times New Roman" w:eastAsia="Calibri" w:hAnsi="Times New Roman" w:cs="Times New Roman"/>
          <w:iCs/>
          <w:color w:val="000000"/>
          <w:sz w:val="24"/>
          <w:szCs w:val="24"/>
        </w:rPr>
        <w:t xml:space="preserve"> pasākumiem Latvijā tiek atvēlēts mazs finansējums salīdzinājumā ar citām OECD valstīm (0</w:t>
      </w:r>
      <w:r w:rsidR="0057760C" w:rsidRPr="00573B49">
        <w:rPr>
          <w:rFonts w:ascii="Times New Roman" w:eastAsia="Calibri" w:hAnsi="Times New Roman" w:cs="Times New Roman"/>
          <w:iCs/>
          <w:color w:val="000000"/>
          <w:sz w:val="24"/>
          <w:szCs w:val="24"/>
        </w:rPr>
        <w:t>,</w:t>
      </w:r>
      <w:r w:rsidRPr="00573B49">
        <w:rPr>
          <w:rFonts w:ascii="Times New Roman" w:eastAsia="Calibri" w:hAnsi="Times New Roman" w:cs="Times New Roman"/>
          <w:iCs/>
          <w:color w:val="000000"/>
          <w:sz w:val="24"/>
          <w:szCs w:val="24"/>
        </w:rPr>
        <w:t>19% no IKP 2017</w:t>
      </w:r>
      <w:r w:rsidR="00A732F2" w:rsidRPr="0025422D">
        <w:rPr>
          <w:rFonts w:ascii="Times New Roman" w:eastAsia="Calibri" w:hAnsi="Times New Roman" w:cs="Times New Roman"/>
          <w:iCs/>
          <w:color w:val="000000"/>
          <w:sz w:val="24"/>
          <w:szCs w:val="24"/>
        </w:rPr>
        <w:t>.</w:t>
      </w:r>
      <w:r w:rsidRPr="00A857F2">
        <w:rPr>
          <w:rFonts w:ascii="Times New Roman" w:eastAsia="Calibri" w:hAnsi="Times New Roman" w:cs="Times New Roman"/>
          <w:iCs/>
          <w:color w:val="000000"/>
          <w:sz w:val="24"/>
          <w:szCs w:val="24"/>
        </w:rPr>
        <w:t xml:space="preserve">gadā, </w:t>
      </w:r>
      <w:r w:rsidR="0057760C" w:rsidRPr="00662D1E">
        <w:rPr>
          <w:rFonts w:ascii="Times New Roman" w:eastAsia="Calibri" w:hAnsi="Times New Roman" w:cs="Times New Roman"/>
          <w:iCs/>
          <w:color w:val="000000"/>
          <w:sz w:val="24"/>
          <w:szCs w:val="24"/>
        </w:rPr>
        <w:t>OECD valstu vidējais</w:t>
      </w:r>
      <w:r w:rsidRPr="009703E6">
        <w:rPr>
          <w:rFonts w:ascii="Times New Roman" w:eastAsia="Calibri" w:hAnsi="Times New Roman" w:cs="Times New Roman"/>
          <w:iCs/>
          <w:color w:val="000000"/>
          <w:sz w:val="24"/>
          <w:szCs w:val="24"/>
        </w:rPr>
        <w:t xml:space="preserve"> – 0,53% no IKP, Igaunijā – 0,42%), arī izdevumi bezdarbnieku pabalstiem salīdzinājumā ar citām OECD valstīm Latvijai ir salīdzinoši zemāki, pretēji sabiedrībā pastāvošajam viedoklim/stereotipiem par samērā lielo iz</w:t>
      </w:r>
      <w:r w:rsidRPr="0015154B">
        <w:rPr>
          <w:rFonts w:ascii="Times New Roman" w:eastAsia="Calibri" w:hAnsi="Times New Roman" w:cs="Times New Roman"/>
          <w:iCs/>
          <w:color w:val="000000"/>
          <w:sz w:val="24"/>
          <w:szCs w:val="24"/>
        </w:rPr>
        <w:t xml:space="preserve">maksāto pabalstu apjomu bezdarbniekiem (0,4% no IKP 2017.gadā, </w:t>
      </w:r>
      <w:r w:rsidR="0057760C" w:rsidRPr="0015154B">
        <w:rPr>
          <w:rFonts w:ascii="Times New Roman" w:eastAsia="Calibri" w:hAnsi="Times New Roman" w:cs="Times New Roman"/>
          <w:iCs/>
          <w:color w:val="000000"/>
          <w:sz w:val="24"/>
          <w:szCs w:val="24"/>
        </w:rPr>
        <w:t>OECD valstu vidējais</w:t>
      </w:r>
      <w:r w:rsidRPr="0015154B">
        <w:rPr>
          <w:rFonts w:ascii="Times New Roman" w:eastAsia="Calibri" w:hAnsi="Times New Roman" w:cs="Times New Roman"/>
          <w:iCs/>
          <w:color w:val="000000"/>
          <w:sz w:val="24"/>
          <w:szCs w:val="24"/>
        </w:rPr>
        <w:t xml:space="preserve"> – 0,64% no IKP, Igaunijā – 0,38%)</w:t>
      </w:r>
      <w:r w:rsidR="00A732F2" w:rsidRPr="0015154B">
        <w:rPr>
          <w:rFonts w:ascii="Times New Roman" w:eastAsia="Calibri" w:hAnsi="Times New Roman" w:cs="Times New Roman"/>
          <w:iCs/>
          <w:color w:val="000000"/>
          <w:sz w:val="24"/>
          <w:szCs w:val="24"/>
        </w:rPr>
        <w:t>.</w:t>
      </w:r>
      <w:r w:rsidRPr="007157D3">
        <w:rPr>
          <w:rFonts w:ascii="Times New Roman" w:hAnsi="Times New Roman" w:cs="Times New Roman"/>
          <w:sz w:val="24"/>
          <w:szCs w:val="24"/>
          <w:vertAlign w:val="superscript"/>
        </w:rPr>
        <w:footnoteReference w:id="170"/>
      </w:r>
      <w:r w:rsidRPr="007157D3">
        <w:rPr>
          <w:rFonts w:ascii="Times New Roman" w:eastAsia="Calibri" w:hAnsi="Times New Roman" w:cs="Times New Roman"/>
          <w:iCs/>
          <w:color w:val="000000"/>
          <w:sz w:val="24"/>
          <w:szCs w:val="24"/>
        </w:rPr>
        <w:t xml:space="preserve"> </w:t>
      </w:r>
    </w:p>
    <w:p w14:paraId="310A6DED" w14:textId="5133D18F" w:rsidR="00FE1751" w:rsidRPr="0015154B" w:rsidRDefault="00FE1751" w:rsidP="00724B79">
      <w:pPr>
        <w:spacing w:before="120" w:after="0" w:line="240" w:lineRule="auto"/>
        <w:ind w:firstLine="720"/>
        <w:jc w:val="both"/>
        <w:rPr>
          <w:rFonts w:ascii="Times New Roman" w:eastAsia="Calibri" w:hAnsi="Times New Roman" w:cs="Times New Roman"/>
          <w:iCs/>
          <w:color w:val="000000"/>
          <w:sz w:val="24"/>
          <w:szCs w:val="24"/>
        </w:rPr>
      </w:pPr>
      <w:r w:rsidRPr="007157D3">
        <w:rPr>
          <w:rFonts w:ascii="Times New Roman" w:eastAsia="Calibri" w:hAnsi="Times New Roman" w:cs="Times New Roman"/>
          <w:iCs/>
          <w:color w:val="000000"/>
          <w:sz w:val="24"/>
          <w:szCs w:val="24"/>
        </w:rPr>
        <w:t>Latvijā ir salīdzinoši zema bezd</w:t>
      </w:r>
      <w:r w:rsidRPr="002F5278">
        <w:rPr>
          <w:rFonts w:ascii="Times New Roman" w:eastAsia="Calibri" w:hAnsi="Times New Roman" w:cs="Times New Roman"/>
          <w:iCs/>
          <w:color w:val="000000"/>
          <w:sz w:val="24"/>
          <w:szCs w:val="24"/>
        </w:rPr>
        <w:t xml:space="preserve">arbnieku dalība ADTP pasākumos </w:t>
      </w:r>
      <w:r w:rsidR="001B4422" w:rsidRPr="00573B49">
        <w:rPr>
          <w:rFonts w:ascii="Times New Roman" w:eastAsia="Calibri" w:hAnsi="Times New Roman" w:cs="Times New Roman"/>
          <w:iCs/>
          <w:color w:val="000000"/>
          <w:sz w:val="24"/>
          <w:szCs w:val="24"/>
        </w:rPr>
        <w:t xml:space="preserve">ES un </w:t>
      </w:r>
      <w:r w:rsidRPr="00573B49">
        <w:rPr>
          <w:rFonts w:ascii="Times New Roman" w:eastAsia="Calibri" w:hAnsi="Times New Roman" w:cs="Times New Roman"/>
          <w:iCs/>
          <w:color w:val="000000"/>
          <w:sz w:val="24"/>
          <w:szCs w:val="24"/>
        </w:rPr>
        <w:t xml:space="preserve">OECD valstu vidū. </w:t>
      </w:r>
      <w:r w:rsidR="001B4422" w:rsidRPr="00573B49">
        <w:rPr>
          <w:rFonts w:ascii="Times New Roman" w:eastAsia="Calibri" w:hAnsi="Times New Roman" w:cs="Times New Roman"/>
          <w:iCs/>
          <w:color w:val="000000"/>
          <w:sz w:val="24"/>
          <w:szCs w:val="24"/>
        </w:rPr>
        <w:t>Kā vairākkārt norādījusi EK, i</w:t>
      </w:r>
      <w:r w:rsidRPr="0025422D">
        <w:rPr>
          <w:rFonts w:ascii="Times New Roman" w:eastAsia="Calibri" w:hAnsi="Times New Roman" w:cs="Times New Roman"/>
          <w:iCs/>
          <w:color w:val="000000"/>
          <w:sz w:val="24"/>
          <w:szCs w:val="24"/>
        </w:rPr>
        <w:t>erobežotie finanšu</w:t>
      </w:r>
      <w:r w:rsidRPr="00A857F2">
        <w:rPr>
          <w:rFonts w:ascii="Times New Roman" w:eastAsia="Calibri" w:hAnsi="Times New Roman" w:cs="Times New Roman"/>
          <w:iCs/>
          <w:color w:val="000000"/>
          <w:sz w:val="24"/>
          <w:szCs w:val="24"/>
        </w:rPr>
        <w:t xml:space="preserve"> resursi un kapacitāte neļauj pilnvērtīgi īstenot visas nepieciešamās darbības iekļaujošāka darba tirgus veidošanai</w:t>
      </w:r>
      <w:r w:rsidR="001B4422" w:rsidRPr="00662D1E">
        <w:rPr>
          <w:rFonts w:ascii="Times New Roman" w:eastAsia="Calibri" w:hAnsi="Times New Roman" w:cs="Times New Roman"/>
          <w:iCs/>
          <w:color w:val="000000"/>
          <w:sz w:val="24"/>
          <w:szCs w:val="24"/>
        </w:rPr>
        <w:t>, ierobežojot no darba tirgus visvairāk attālināto personu aktivizēšanu</w:t>
      </w:r>
      <w:r w:rsidRPr="009703E6">
        <w:rPr>
          <w:rFonts w:ascii="Times New Roman" w:eastAsia="Calibri" w:hAnsi="Times New Roman" w:cs="Times New Roman"/>
          <w:iCs/>
          <w:color w:val="000000"/>
          <w:sz w:val="24"/>
          <w:szCs w:val="24"/>
        </w:rPr>
        <w:t>.</w:t>
      </w:r>
      <w:r w:rsidR="00A732F2" w:rsidRPr="0015154B">
        <w:rPr>
          <w:rFonts w:ascii="Times New Roman" w:eastAsia="Calibri" w:hAnsi="Times New Roman" w:cs="Times New Roman"/>
          <w:iCs/>
          <w:color w:val="000000"/>
          <w:sz w:val="24"/>
          <w:szCs w:val="24"/>
        </w:rPr>
        <w:t xml:space="preserve"> </w:t>
      </w:r>
      <w:r w:rsidR="001B4422" w:rsidRPr="0015154B">
        <w:rPr>
          <w:rFonts w:ascii="Times New Roman" w:eastAsia="Calibri" w:hAnsi="Times New Roman" w:cs="Times New Roman"/>
          <w:iCs/>
          <w:color w:val="000000"/>
          <w:sz w:val="24"/>
          <w:szCs w:val="24"/>
        </w:rPr>
        <w:t>Lai gan bezdarbnieku apmācība pozitīvi ietekmē darba tirgus rezultātus, tomēr šo pasākumu nozīmi ierobežo zemais darba meklētāju reģistrācijas līmenis NVA un  salīdzinoši zemais līdzdalības līmenis (6,8 uz 100 personām, kas vēlas strādāt, 2017. gads).</w:t>
      </w:r>
      <w:r w:rsidR="00BD038B" w:rsidRPr="007157D3">
        <w:rPr>
          <w:rStyle w:val="FootnoteReference"/>
          <w:rFonts w:ascii="Times New Roman" w:eastAsia="Calibri" w:hAnsi="Times New Roman" w:cs="Times New Roman"/>
          <w:iCs/>
          <w:color w:val="000000"/>
          <w:sz w:val="24"/>
          <w:szCs w:val="24"/>
        </w:rPr>
        <w:footnoteReference w:id="171"/>
      </w:r>
      <w:r w:rsidR="001B4422" w:rsidRPr="007157D3">
        <w:rPr>
          <w:rFonts w:ascii="Times New Roman" w:eastAsia="Calibri" w:hAnsi="Times New Roman" w:cs="Times New Roman"/>
          <w:iCs/>
          <w:color w:val="000000"/>
          <w:sz w:val="24"/>
          <w:szCs w:val="24"/>
        </w:rPr>
        <w:t xml:space="preserve"> </w:t>
      </w:r>
      <w:r w:rsidR="00BD038B" w:rsidRPr="00D51FFF">
        <w:rPr>
          <w:rFonts w:ascii="Times New Roman" w:hAnsi="Times New Roman"/>
          <w:sz w:val="24"/>
          <w:szCs w:val="24"/>
        </w:rPr>
        <w:t xml:space="preserve">Tāpēc daudzi bezdarbnieki nav sasniedzami, lai palīdzētu viņiem atrast darbu vai piedalīties aktivizācijas pasākumos </w:t>
      </w:r>
      <w:r w:rsidRPr="0015154B">
        <w:rPr>
          <w:rFonts w:ascii="Times New Roman" w:eastAsia="Calibri" w:hAnsi="Times New Roman" w:cs="Times New Roman"/>
          <w:iCs/>
          <w:color w:val="000000"/>
          <w:sz w:val="24"/>
          <w:szCs w:val="24"/>
        </w:rPr>
        <w:t>Darba tirgus dalībnieku zināšanas un prasmes ir būtisks priekšnosacījums produktivitātes pieaugumam tautsaimniecībā, ietverot arī darba metožu un tehnoloģiskus uzlabojumus Latvijas uzņēmumos. Pašreiz Latvijā darba tirgus dalībnieku iesaiste dažādos pieaugušo izglītības pasākumos ir vērtējama kā nepietiekama.</w:t>
      </w:r>
    </w:p>
    <w:p w14:paraId="7827DAE9" w14:textId="6CA6AC7B" w:rsidR="00FE1751" w:rsidRPr="0015154B" w:rsidRDefault="001B4422" w:rsidP="00BD038B">
      <w:pPr>
        <w:spacing w:after="0" w:line="240" w:lineRule="auto"/>
        <w:ind w:firstLine="720"/>
        <w:jc w:val="both"/>
        <w:rPr>
          <w:rFonts w:ascii="Times New Roman" w:eastAsia="Calibri" w:hAnsi="Times New Roman" w:cs="Times New Roman"/>
          <w:iCs/>
          <w:color w:val="000000"/>
          <w:sz w:val="24"/>
          <w:szCs w:val="24"/>
        </w:rPr>
      </w:pPr>
      <w:r w:rsidRPr="00D51FFF">
        <w:rPr>
          <w:rFonts w:ascii="Times New Roman" w:hAnsi="Times New Roman"/>
          <w:sz w:val="20"/>
        </w:rPr>
        <w:t xml:space="preserve"> </w:t>
      </w:r>
    </w:p>
    <w:p w14:paraId="00B5EC35" w14:textId="041DE6D6" w:rsidR="00FE1751" w:rsidRPr="0015154B" w:rsidRDefault="002E4D66" w:rsidP="00DA5144">
      <w:pPr>
        <w:pStyle w:val="Heading2"/>
      </w:pPr>
      <w:bookmarkStart w:id="91" w:name="_Toc55316119"/>
      <w:r>
        <w:t xml:space="preserve"> </w:t>
      </w:r>
      <w:r w:rsidR="00FE1751" w:rsidRPr="0015154B">
        <w:t>NVA veiktspēj</w:t>
      </w:r>
      <w:r w:rsidR="00355DF1" w:rsidRPr="0015154B">
        <w:t>as</w:t>
      </w:r>
      <w:r w:rsidR="00FE1751" w:rsidRPr="0015154B">
        <w:t xml:space="preserve"> stiprināšana</w:t>
      </w:r>
      <w:bookmarkEnd w:id="91"/>
      <w:r w:rsidR="00FE1751" w:rsidRPr="0015154B">
        <w:t xml:space="preserve"> </w:t>
      </w:r>
    </w:p>
    <w:p w14:paraId="5E336274" w14:textId="1A04EEAA" w:rsidR="00FE1751" w:rsidRPr="0015154B" w:rsidRDefault="00FE1751" w:rsidP="00724B79">
      <w:pPr>
        <w:spacing w:before="120" w:after="0" w:line="240" w:lineRule="auto"/>
        <w:ind w:firstLine="7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 xml:space="preserve">Būtiska loma iekļaujoša darba tirgus, kvalitatīvu un ilgtspējīgu darba vietu veidošanā ir mūsdienīgām darba tirgus institūcijām. </w:t>
      </w:r>
      <w:r w:rsidR="00495259" w:rsidRPr="0015154B">
        <w:rPr>
          <w:rFonts w:ascii="Times New Roman" w:eastAsia="Calibri" w:hAnsi="Times New Roman" w:cs="Times New Roman"/>
          <w:iCs/>
          <w:color w:val="000000"/>
          <w:sz w:val="24"/>
          <w:szCs w:val="24"/>
        </w:rPr>
        <w:t>NVA</w:t>
      </w:r>
      <w:r w:rsidRPr="0015154B">
        <w:rPr>
          <w:rFonts w:ascii="Times New Roman" w:eastAsia="Calibri" w:hAnsi="Times New Roman" w:cs="Times New Roman"/>
          <w:iCs/>
          <w:color w:val="000000"/>
          <w:sz w:val="24"/>
          <w:szCs w:val="24"/>
        </w:rPr>
        <w:t xml:space="preserve"> sniedz indivīdam atbalstu ātrākai viņa fiziskajām un garīgajām spējām, kvalifikācijai piemērota darba atrašanai. </w:t>
      </w:r>
    </w:p>
    <w:p w14:paraId="57755DB5" w14:textId="090A5766" w:rsidR="00495259" w:rsidRDefault="00A732F2" w:rsidP="00724B79">
      <w:pPr>
        <w:spacing w:before="120" w:after="0" w:line="240" w:lineRule="auto"/>
        <w:ind w:firstLine="7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Atbilstoši starptautiskajai praksei, kas paredz labas informācijas, konsultāciju un karjeras vadības prasmju nodrošinājumu pieaugušo izglītības ietvaros, NVA to klientu informētāka un mērķētāka pakalpojuma izvēlē nodrošina</w:t>
      </w:r>
      <w:r w:rsidR="00495259" w:rsidRPr="0015154B">
        <w:rPr>
          <w:rFonts w:ascii="Times New Roman" w:eastAsia="Calibri" w:hAnsi="Times New Roman" w:cs="Times New Roman"/>
          <w:iCs/>
          <w:color w:val="000000"/>
          <w:sz w:val="24"/>
          <w:szCs w:val="24"/>
        </w:rPr>
        <w:t>:</w:t>
      </w:r>
    </w:p>
    <w:p w14:paraId="6CC78B77" w14:textId="3A014035" w:rsidR="00D51FFF" w:rsidRDefault="00D51FFF" w:rsidP="00724B79">
      <w:pPr>
        <w:spacing w:before="120" w:after="0" w:line="240" w:lineRule="auto"/>
        <w:ind w:firstLine="720"/>
        <w:jc w:val="both"/>
        <w:rPr>
          <w:rFonts w:ascii="Times New Roman" w:eastAsia="Calibri" w:hAnsi="Times New Roman" w:cs="Times New Roman"/>
          <w:iCs/>
          <w:color w:val="000000"/>
          <w:sz w:val="24"/>
          <w:szCs w:val="24"/>
        </w:rPr>
      </w:pPr>
    </w:p>
    <w:tbl>
      <w:tblPr>
        <w:tblStyle w:val="TableGrid"/>
        <w:tblW w:w="8080" w:type="dxa"/>
        <w:tblInd w:w="562" w:type="dxa"/>
        <w:tblBorders>
          <w:top w:val="single" w:sz="18" w:space="0" w:color="549E39" w:themeColor="accent1"/>
          <w:left w:val="none" w:sz="0" w:space="0" w:color="auto"/>
          <w:bottom w:val="single" w:sz="18" w:space="0" w:color="549E39" w:themeColor="accent1"/>
          <w:right w:val="none" w:sz="0" w:space="0" w:color="auto"/>
          <w:insideH w:val="single" w:sz="18" w:space="0" w:color="549E39" w:themeColor="accent1"/>
          <w:insideV w:val="single" w:sz="18" w:space="0" w:color="549E39" w:themeColor="accent1"/>
        </w:tblBorders>
        <w:tblLook w:val="04A0" w:firstRow="1" w:lastRow="0" w:firstColumn="1" w:lastColumn="0" w:noHBand="0" w:noVBand="1"/>
      </w:tblPr>
      <w:tblGrid>
        <w:gridCol w:w="8080"/>
      </w:tblGrid>
      <w:tr w:rsidR="00D51FFF" w14:paraId="3306A858" w14:textId="77777777" w:rsidTr="00ED028B">
        <w:tc>
          <w:tcPr>
            <w:tcW w:w="8080" w:type="dxa"/>
          </w:tcPr>
          <w:p w14:paraId="6E8658B9" w14:textId="38E5EC07" w:rsidR="00D51FFF" w:rsidRDefault="00D51FFF" w:rsidP="00ED028B">
            <w:pPr>
              <w:spacing w:before="120" w:after="1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lastRenderedPageBreak/>
              <w:t>e-vides risinājumus: darba tirgus monitoringa sistēma (IKT darba tirgus prognožu rīks; informācija par vidējo atlīdzību profesijā; “Izglītības iestāžu meklētāja rīks”; informācija par iepriekšējo izglītojamo mācību novērtējumu; e-apmācība “Finanšu pratība”; “Tests zināšanu pārbaudei angļu valodā”)</w:t>
            </w:r>
          </w:p>
        </w:tc>
      </w:tr>
      <w:tr w:rsidR="00D51FFF" w14:paraId="2225104A" w14:textId="77777777" w:rsidTr="00ED028B">
        <w:tc>
          <w:tcPr>
            <w:tcW w:w="8080" w:type="dxa"/>
          </w:tcPr>
          <w:p w14:paraId="21750A9E" w14:textId="3942A8B5" w:rsidR="00D51FFF" w:rsidRDefault="00D51FFF" w:rsidP="00ED028B">
            <w:pPr>
              <w:spacing w:before="120" w:after="1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bezdarbnieku profilēšanu, karjeras konsultācijas</w:t>
            </w:r>
          </w:p>
        </w:tc>
      </w:tr>
      <w:tr w:rsidR="00D51FFF" w14:paraId="185F392E" w14:textId="77777777" w:rsidTr="00ED028B">
        <w:tc>
          <w:tcPr>
            <w:tcW w:w="8080" w:type="dxa"/>
          </w:tcPr>
          <w:p w14:paraId="02EEA5E7" w14:textId="37A02328" w:rsidR="00D51FFF" w:rsidRDefault="00D51FFF" w:rsidP="00ED028B">
            <w:pPr>
              <w:spacing w:before="120" w:after="1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tiešo komunikāciju ar bezdarbniekiem un darba devējiem, t.sk. NVA stratēģijas ar darba devējiem ietvaros, NVA filiālēs, to zvanu centrā, oficiālajā e-pastā un portālā Latvija.lv</w:t>
            </w:r>
          </w:p>
        </w:tc>
      </w:tr>
      <w:tr w:rsidR="00D51FFF" w14:paraId="532A75A0" w14:textId="77777777" w:rsidTr="00ED028B">
        <w:tc>
          <w:tcPr>
            <w:tcW w:w="8080" w:type="dxa"/>
          </w:tcPr>
          <w:p w14:paraId="18215E47" w14:textId="7D1C97D6" w:rsidR="00D51FFF" w:rsidRDefault="00D51FFF" w:rsidP="00ED028B">
            <w:pPr>
              <w:spacing w:before="120" w:after="1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par mācību iespējām sabiedrība tiek informēta: sabiedrisko attiecību ietvaros, izmantojot informāciju NVA mājaslapā; sociālajos tīklos, informatīvajos materiālos (bukleti, baneri); mediju attiecības (bezmaksas publicitāte TV, radio, presē, kas izriet no žurnālistu veidotiem sižetiem un raidījumiem); publiskajos pasākumos (NVA vakanču gadatirgi, semināri darba devējiem, izglītības iestādēm)</w:t>
            </w:r>
          </w:p>
        </w:tc>
      </w:tr>
    </w:tbl>
    <w:p w14:paraId="4FF2E6AD" w14:textId="219481BA" w:rsidR="00495259" w:rsidRPr="0015154B" w:rsidRDefault="00495259" w:rsidP="00D51FFF">
      <w:pPr>
        <w:spacing w:before="120" w:after="0" w:line="240" w:lineRule="auto"/>
        <w:jc w:val="both"/>
        <w:rPr>
          <w:rFonts w:ascii="Times New Roman" w:eastAsia="Calibri" w:hAnsi="Times New Roman" w:cs="Times New Roman"/>
          <w:iCs/>
          <w:color w:val="000000"/>
          <w:sz w:val="24"/>
          <w:szCs w:val="24"/>
        </w:rPr>
      </w:pPr>
    </w:p>
    <w:p w14:paraId="0F8C64C6" w14:textId="77777777" w:rsidR="00495259" w:rsidRPr="0015154B" w:rsidRDefault="00A732F2" w:rsidP="00724B79">
      <w:pPr>
        <w:spacing w:before="120" w:after="0" w:line="240" w:lineRule="auto"/>
        <w:ind w:firstLine="68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Reaģējot uz Covid-19 nelabvēlīgo seku uz darba tirgu mazināšanu, bezdarbniekiem paredzēts sniegt atbalstu bezdarbnieku prasmju pilnveidei un pārkvalifikācijai, īstenojot attālinātās mācības profesionālās pilnveides izglītības programmās un modulārajās profesionālās izglītības programmās, piedāvājot iespēju apgūt arī augstākās izglītības iestāžu studiju profesionālās pilnveides un neformālās izglītības moduļus. Vienlaikus kopš 2020.gada augusta bezdarbniekiem tiek sniegta iespēja iegūt starptautisku sertifikātu tiešsaistes mācību platformās (piemēram, coursera.com u.c.), kuru ietvaros iespējams apgūt arī tādas prasmes kā datu apkopošana, apstrāde un analītika, digitālās prasmes, ar programmēšanu saistītās prasmes u.c.</w:t>
      </w:r>
      <w:r w:rsidR="00495259" w:rsidRPr="0015154B">
        <w:rPr>
          <w:rFonts w:ascii="Times New Roman" w:eastAsia="Calibri" w:hAnsi="Times New Roman" w:cs="Times New Roman"/>
          <w:iCs/>
          <w:color w:val="000000"/>
          <w:sz w:val="24"/>
          <w:szCs w:val="24"/>
        </w:rPr>
        <w:t xml:space="preserve"> </w:t>
      </w:r>
    </w:p>
    <w:p w14:paraId="401D758E" w14:textId="523C78A8" w:rsidR="00FE1751" w:rsidRPr="0015154B" w:rsidRDefault="00FE1751" w:rsidP="00724B79">
      <w:pPr>
        <w:spacing w:before="120" w:after="0" w:line="240" w:lineRule="auto"/>
        <w:ind w:firstLine="680"/>
        <w:jc w:val="both"/>
        <w:rPr>
          <w:rFonts w:ascii="Times New Roman" w:hAnsi="Times New Roman" w:cs="Times New Roman"/>
          <w:b/>
          <w:color w:val="000000" w:themeColor="text1"/>
          <w:sz w:val="24"/>
          <w:szCs w:val="24"/>
        </w:rPr>
      </w:pPr>
      <w:r w:rsidRPr="0015154B">
        <w:rPr>
          <w:rFonts w:ascii="Times New Roman" w:eastAsia="Calibri" w:hAnsi="Times New Roman" w:cs="Times New Roman"/>
          <w:iCs/>
          <w:color w:val="000000"/>
          <w:sz w:val="24"/>
          <w:szCs w:val="24"/>
        </w:rPr>
        <w:t>NVA apkopo lielu datu apjomu, izmantojot savu mijiedarbību ar bezdarbniekiem, kā arī darba devējiem un uzraugot ADTP pasākumus. Šie dati ievērojami iet</w:t>
      </w:r>
      <w:r w:rsidR="00495259" w:rsidRPr="0015154B">
        <w:rPr>
          <w:rFonts w:ascii="Times New Roman" w:eastAsia="Calibri" w:hAnsi="Times New Roman" w:cs="Times New Roman"/>
          <w:iCs/>
          <w:color w:val="000000"/>
          <w:sz w:val="24"/>
          <w:szCs w:val="24"/>
        </w:rPr>
        <w:t>ek</w:t>
      </w:r>
      <w:r w:rsidRPr="0015154B">
        <w:rPr>
          <w:rFonts w:ascii="Times New Roman" w:eastAsia="Calibri" w:hAnsi="Times New Roman" w:cs="Times New Roman"/>
          <w:iCs/>
          <w:color w:val="000000"/>
          <w:sz w:val="24"/>
          <w:szCs w:val="24"/>
        </w:rPr>
        <w:t xml:space="preserve">mē NVA darbu vairākos veidos, proti, labāk koncentrējot ADTP pasākumus konkrētiem bezdarbniekiem, paaugstinot sniegto pakalpojumu kvalitāti un vadot iekšējās darbības pārvaldību. </w:t>
      </w:r>
      <w:r w:rsidR="00495259" w:rsidRPr="0015154B">
        <w:rPr>
          <w:rFonts w:ascii="Times New Roman" w:eastAsia="Calibri" w:hAnsi="Times New Roman" w:cs="Times New Roman"/>
          <w:iCs/>
          <w:color w:val="000000"/>
          <w:sz w:val="24"/>
          <w:szCs w:val="24"/>
        </w:rPr>
        <w:t>S</w:t>
      </w:r>
      <w:r w:rsidRPr="0015154B">
        <w:rPr>
          <w:rFonts w:ascii="Times New Roman" w:eastAsia="Calibri" w:hAnsi="Times New Roman" w:cs="Times New Roman"/>
          <w:iCs/>
          <w:color w:val="000000"/>
          <w:sz w:val="24"/>
          <w:szCs w:val="24"/>
        </w:rPr>
        <w:t xml:space="preserve">varīgs atbalsts arī turpmāk saglabāsies </w:t>
      </w:r>
      <w:r w:rsidRPr="0015154B">
        <w:rPr>
          <w:rFonts w:ascii="Times New Roman" w:hAnsi="Times New Roman" w:cs="Times New Roman"/>
          <w:color w:val="000000" w:themeColor="text1"/>
          <w:sz w:val="24"/>
          <w:szCs w:val="24"/>
        </w:rPr>
        <w:t xml:space="preserve">trešo valstu darbinieku darba migrācijas monitoringam, sadarbības stiprināšana starp darba migrācijas jomā iesaistītajām institūcijām, komersantu-darbiekārtošanas pakalpojumu sniedzēju licencēšanas un uzraudzības sistēmas veiktspējas stiprināšanai. </w:t>
      </w:r>
    </w:p>
    <w:p w14:paraId="662DA0D3" w14:textId="51240D48" w:rsidR="00FE1751" w:rsidRPr="002F5278" w:rsidRDefault="00495259" w:rsidP="00724B79">
      <w:pPr>
        <w:spacing w:before="120" w:after="0" w:line="240" w:lineRule="auto"/>
        <w:ind w:firstLine="7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Kā norādīts</w:t>
      </w:r>
      <w:r w:rsidR="00FE1751" w:rsidRPr="0015154B">
        <w:rPr>
          <w:rFonts w:ascii="Times New Roman" w:eastAsia="Calibri" w:hAnsi="Times New Roman" w:cs="Times New Roman"/>
          <w:iCs/>
          <w:color w:val="000000"/>
          <w:sz w:val="24"/>
          <w:szCs w:val="24"/>
        </w:rPr>
        <w:t xml:space="preserve"> OECD pētījum</w:t>
      </w:r>
      <w:r w:rsidRPr="0015154B">
        <w:rPr>
          <w:rFonts w:ascii="Times New Roman" w:eastAsia="Calibri" w:hAnsi="Times New Roman" w:cs="Times New Roman"/>
          <w:iCs/>
          <w:color w:val="000000"/>
          <w:sz w:val="24"/>
          <w:szCs w:val="24"/>
        </w:rPr>
        <w:t>ā</w:t>
      </w:r>
      <w:r w:rsidR="00BA60B7" w:rsidRPr="0015154B">
        <w:rPr>
          <w:rFonts w:ascii="Times New Roman" w:eastAsia="Calibri" w:hAnsi="Times New Roman" w:cs="Times New Roman"/>
          <w:iCs/>
          <w:color w:val="000000"/>
          <w:sz w:val="24"/>
          <w:szCs w:val="24"/>
        </w:rPr>
        <w:t>,</w:t>
      </w:r>
      <w:r w:rsidRPr="0015154B">
        <w:rPr>
          <w:rFonts w:ascii="Times New Roman" w:eastAsia="Calibri" w:hAnsi="Times New Roman" w:cs="Times New Roman"/>
          <w:iCs/>
          <w:color w:val="000000"/>
          <w:sz w:val="24"/>
          <w:szCs w:val="24"/>
        </w:rPr>
        <w:t xml:space="preserve"> NVA konsultantu noslogojums saglabājas augsts un ir nepieciešama papildu konsultantu piesaiste.</w:t>
      </w:r>
      <w:r w:rsidR="00FE1751" w:rsidRPr="007157D3">
        <w:rPr>
          <w:rFonts w:ascii="Times New Roman" w:eastAsia="Calibri" w:hAnsi="Times New Roman" w:cs="Times New Roman"/>
          <w:iCs/>
          <w:color w:val="000000"/>
          <w:sz w:val="24"/>
          <w:szCs w:val="24"/>
          <w:vertAlign w:val="superscript"/>
        </w:rPr>
        <w:footnoteReference w:id="172"/>
      </w:r>
      <w:r w:rsidR="00FE1751" w:rsidRPr="007157D3">
        <w:rPr>
          <w:rFonts w:ascii="Times New Roman" w:eastAsia="Calibri" w:hAnsi="Times New Roman" w:cs="Times New Roman"/>
          <w:iCs/>
          <w:color w:val="000000"/>
          <w:sz w:val="24"/>
          <w:szCs w:val="24"/>
        </w:rPr>
        <w:t xml:space="preserve"> 2019.gada sākumā apmeklējumu skaits uz vienu NVA aģentu mēnesī veidoja līdz pat 544 reizēm (rādītājs atšķiras filiāļu griezumā, mazākais apmeklējumu skaits bija 175)</w:t>
      </w:r>
      <w:r w:rsidR="00077F84" w:rsidRPr="007157D3">
        <w:rPr>
          <w:rFonts w:ascii="Times New Roman" w:eastAsia="Calibri" w:hAnsi="Times New Roman" w:cs="Times New Roman"/>
          <w:iCs/>
          <w:color w:val="000000"/>
          <w:sz w:val="24"/>
          <w:szCs w:val="24"/>
        </w:rPr>
        <w:t xml:space="preserve"> (</w:t>
      </w:r>
      <w:r w:rsidR="00077F84" w:rsidRPr="002E4D66">
        <w:rPr>
          <w:rFonts w:ascii="Times New Roman" w:eastAsia="Calibri" w:hAnsi="Times New Roman" w:cs="Times New Roman"/>
          <w:iCs/>
          <w:color w:val="000000"/>
          <w:sz w:val="24"/>
          <w:szCs w:val="24"/>
          <w:highlight w:val="yellow"/>
        </w:rPr>
        <w:t>skat. 2</w:t>
      </w:r>
      <w:r w:rsidR="002E4D66">
        <w:rPr>
          <w:rFonts w:ascii="Times New Roman" w:eastAsia="Calibri" w:hAnsi="Times New Roman" w:cs="Times New Roman"/>
          <w:iCs/>
          <w:color w:val="000000"/>
          <w:sz w:val="24"/>
          <w:szCs w:val="24"/>
          <w:highlight w:val="yellow"/>
        </w:rPr>
        <w:t>6</w:t>
      </w:r>
      <w:r w:rsidR="00077F84" w:rsidRPr="002E4D66">
        <w:rPr>
          <w:rFonts w:ascii="Times New Roman" w:eastAsia="Calibri" w:hAnsi="Times New Roman" w:cs="Times New Roman"/>
          <w:iCs/>
          <w:color w:val="000000"/>
          <w:sz w:val="24"/>
          <w:szCs w:val="24"/>
          <w:highlight w:val="yellow"/>
        </w:rPr>
        <w:t>.tabulu</w:t>
      </w:r>
      <w:r w:rsidR="00077F84" w:rsidRPr="007157D3">
        <w:rPr>
          <w:rFonts w:ascii="Times New Roman" w:eastAsia="Calibri" w:hAnsi="Times New Roman" w:cs="Times New Roman"/>
          <w:iCs/>
          <w:color w:val="000000"/>
          <w:sz w:val="24"/>
          <w:szCs w:val="24"/>
        </w:rPr>
        <w:t>)</w:t>
      </w:r>
      <w:r w:rsidR="00FE1751" w:rsidRPr="007157D3">
        <w:rPr>
          <w:rFonts w:ascii="Times New Roman" w:eastAsia="Calibri" w:hAnsi="Times New Roman" w:cs="Times New Roman"/>
          <w:iCs/>
          <w:color w:val="000000"/>
          <w:sz w:val="24"/>
          <w:szCs w:val="24"/>
        </w:rPr>
        <w:t xml:space="preserve">. Viena konsultācija </w:t>
      </w:r>
      <w:r w:rsidR="00FE1751" w:rsidRPr="002F5278">
        <w:rPr>
          <w:rFonts w:ascii="Times New Roman" w:eastAsia="Calibri" w:hAnsi="Times New Roman" w:cs="Times New Roman"/>
          <w:iCs/>
          <w:color w:val="000000"/>
          <w:sz w:val="24"/>
          <w:szCs w:val="24"/>
        </w:rPr>
        <w:t>bezdarbniekam ilgst no 15 līdz 45 minūtēm.</w:t>
      </w:r>
    </w:p>
    <w:p w14:paraId="7F7FA021" w14:textId="4741D452" w:rsidR="00FE1751" w:rsidRPr="00573B49" w:rsidRDefault="00FE1751" w:rsidP="00077F84">
      <w:pPr>
        <w:spacing w:after="0" w:line="240" w:lineRule="auto"/>
        <w:jc w:val="both"/>
        <w:rPr>
          <w:rFonts w:ascii="Times New Roman" w:eastAsia="Calibri" w:hAnsi="Times New Roman" w:cs="Times New Roman"/>
          <w:iCs/>
          <w:color w:val="000000"/>
          <w:sz w:val="24"/>
          <w:szCs w:val="24"/>
        </w:rPr>
      </w:pPr>
    </w:p>
    <w:p w14:paraId="4C01ED51" w14:textId="77777777" w:rsidR="005E5CD1" w:rsidRDefault="005E5CD1">
      <w:pPr>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br w:type="page"/>
      </w:r>
    </w:p>
    <w:p w14:paraId="437B34D1" w14:textId="022B239D" w:rsidR="00077F84" w:rsidRPr="00573B49" w:rsidRDefault="00077F84" w:rsidP="00077F84">
      <w:pPr>
        <w:spacing w:after="0" w:line="240" w:lineRule="auto"/>
        <w:jc w:val="both"/>
        <w:rPr>
          <w:rFonts w:ascii="Times New Roman" w:eastAsia="Calibri" w:hAnsi="Times New Roman" w:cs="Times New Roman"/>
          <w:iCs/>
          <w:color w:val="000000"/>
          <w:sz w:val="24"/>
          <w:szCs w:val="24"/>
        </w:rPr>
      </w:pPr>
      <w:r w:rsidRPr="00573B49">
        <w:rPr>
          <w:rFonts w:ascii="Times New Roman" w:eastAsia="Calibri" w:hAnsi="Times New Roman" w:cs="Times New Roman"/>
          <w:iCs/>
          <w:color w:val="000000"/>
          <w:sz w:val="24"/>
          <w:szCs w:val="24"/>
        </w:rPr>
        <w:lastRenderedPageBreak/>
        <w:t>2</w:t>
      </w:r>
      <w:r w:rsidR="002E4D66">
        <w:rPr>
          <w:rFonts w:ascii="Times New Roman" w:eastAsia="Calibri" w:hAnsi="Times New Roman" w:cs="Times New Roman"/>
          <w:iCs/>
          <w:color w:val="000000"/>
          <w:sz w:val="24"/>
          <w:szCs w:val="24"/>
        </w:rPr>
        <w:t>6</w:t>
      </w:r>
      <w:r w:rsidRPr="00573B49">
        <w:rPr>
          <w:rFonts w:ascii="Times New Roman" w:eastAsia="Calibri" w:hAnsi="Times New Roman" w:cs="Times New Roman"/>
          <w:iCs/>
          <w:color w:val="000000"/>
          <w:sz w:val="24"/>
          <w:szCs w:val="24"/>
        </w:rPr>
        <w:t>.tabula</w:t>
      </w:r>
    </w:p>
    <w:p w14:paraId="5E2F1E41" w14:textId="77777777" w:rsidR="00FE1751" w:rsidRPr="0025422D" w:rsidRDefault="00FE1751" w:rsidP="00747C36">
      <w:pPr>
        <w:spacing w:after="0" w:line="240" w:lineRule="auto"/>
        <w:jc w:val="center"/>
        <w:rPr>
          <w:rFonts w:ascii="Times New Roman" w:eastAsia="Times New Roman" w:hAnsi="Times New Roman" w:cs="Times New Roman"/>
          <w:b/>
          <w:color w:val="002060"/>
          <w:sz w:val="24"/>
          <w:szCs w:val="24"/>
          <w:lang w:eastAsia="lv-LV"/>
        </w:rPr>
      </w:pPr>
      <w:r w:rsidRPr="00573B49">
        <w:rPr>
          <w:rFonts w:ascii="Times New Roman" w:eastAsia="Times New Roman" w:hAnsi="Times New Roman" w:cs="Times New Roman"/>
          <w:b/>
          <w:color w:val="002060"/>
          <w:sz w:val="24"/>
          <w:szCs w:val="24"/>
          <w:lang w:eastAsia="lv-LV"/>
        </w:rPr>
        <w:t xml:space="preserve">Nodarbinātības valsts aģentūrā apkalpoto klientu </w:t>
      </w:r>
      <w:r w:rsidRPr="0025422D">
        <w:rPr>
          <w:rFonts w:ascii="Times New Roman" w:eastAsia="Times New Roman" w:hAnsi="Times New Roman" w:cs="Times New Roman"/>
          <w:b/>
          <w:color w:val="002060"/>
          <w:sz w:val="24"/>
          <w:szCs w:val="24"/>
          <w:lang w:eastAsia="lv-LV"/>
        </w:rPr>
        <w:t>skaits</w:t>
      </w:r>
    </w:p>
    <w:p w14:paraId="50A87EA7" w14:textId="77777777" w:rsidR="00FE1751" w:rsidRPr="00A857F2" w:rsidRDefault="00FE1751" w:rsidP="00747C36">
      <w:pPr>
        <w:spacing w:after="0" w:line="240" w:lineRule="auto"/>
        <w:jc w:val="center"/>
        <w:rPr>
          <w:rFonts w:ascii="Times New Roman" w:eastAsia="Times New Roman" w:hAnsi="Times New Roman" w:cs="Times New Roman"/>
          <w:b/>
          <w:sz w:val="24"/>
          <w:szCs w:val="24"/>
          <w:highlight w:val="yellow"/>
          <w:lang w:eastAsia="lv-LV"/>
        </w:rPr>
      </w:pPr>
    </w:p>
    <w:tbl>
      <w:tblPr>
        <w:tblW w:w="8788" w:type="dxa"/>
        <w:tblInd w:w="137" w:type="dxa"/>
        <w:tblLook w:val="04A0" w:firstRow="1" w:lastRow="0" w:firstColumn="1" w:lastColumn="0" w:noHBand="0" w:noVBand="1"/>
      </w:tblPr>
      <w:tblGrid>
        <w:gridCol w:w="3119"/>
        <w:gridCol w:w="1134"/>
        <w:gridCol w:w="1134"/>
        <w:gridCol w:w="1133"/>
        <w:gridCol w:w="1134"/>
        <w:gridCol w:w="1134"/>
      </w:tblGrid>
      <w:tr w:rsidR="00FE1751" w:rsidRPr="0015154B" w14:paraId="37AD73D0" w14:textId="77777777" w:rsidTr="00ED028B">
        <w:trPr>
          <w:trHeight w:val="729"/>
        </w:trPr>
        <w:tc>
          <w:tcPr>
            <w:tcW w:w="3119"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6B0F9ABE" w14:textId="77777777" w:rsidR="00FE1751" w:rsidRPr="00662D1E" w:rsidRDefault="00FE1751" w:rsidP="00747C36">
            <w:pPr>
              <w:spacing w:after="0" w:line="240" w:lineRule="auto"/>
              <w:jc w:val="center"/>
              <w:rPr>
                <w:rFonts w:ascii="Times New Roman" w:eastAsia="Times New Roman" w:hAnsi="Times New Roman" w:cs="Times New Roman"/>
                <w:b/>
                <w:sz w:val="24"/>
                <w:szCs w:val="24"/>
                <w:lang w:eastAsia="lv-LV"/>
              </w:rPr>
            </w:pPr>
            <w:bookmarkStart w:id="92" w:name="_Hlk36538854"/>
          </w:p>
        </w:tc>
        <w:tc>
          <w:tcPr>
            <w:tcW w:w="1134" w:type="dxa"/>
            <w:tcBorders>
              <w:top w:val="single" w:sz="4" w:space="0" w:color="auto"/>
              <w:left w:val="nil"/>
              <w:bottom w:val="single" w:sz="4" w:space="0" w:color="auto"/>
              <w:right w:val="single" w:sz="4" w:space="0" w:color="auto"/>
            </w:tcBorders>
            <w:shd w:val="clear" w:color="auto" w:fill="E8F3D3" w:themeFill="accent2" w:themeFillTint="33"/>
            <w:vAlign w:val="center"/>
            <w:hideMark/>
          </w:tcPr>
          <w:p w14:paraId="50B04F34" w14:textId="2667DA6C" w:rsidR="00FE1751" w:rsidRPr="009703E6" w:rsidRDefault="00FE1751" w:rsidP="00747C36">
            <w:pPr>
              <w:spacing w:after="0" w:line="240" w:lineRule="auto"/>
              <w:jc w:val="center"/>
              <w:rPr>
                <w:rFonts w:ascii="Times New Roman" w:eastAsia="Times New Roman" w:hAnsi="Times New Roman" w:cs="Times New Roman"/>
                <w:b/>
                <w:color w:val="002060"/>
                <w:sz w:val="24"/>
                <w:szCs w:val="24"/>
                <w:lang w:eastAsia="lv-LV"/>
              </w:rPr>
            </w:pPr>
            <w:r w:rsidRPr="009703E6">
              <w:rPr>
                <w:rFonts w:ascii="Times New Roman" w:eastAsia="Times New Roman" w:hAnsi="Times New Roman" w:cs="Times New Roman"/>
                <w:b/>
                <w:color w:val="002060"/>
                <w:sz w:val="24"/>
                <w:szCs w:val="24"/>
                <w:lang w:eastAsia="lv-LV"/>
              </w:rPr>
              <w:t xml:space="preserve">2015 </w:t>
            </w:r>
          </w:p>
        </w:tc>
        <w:tc>
          <w:tcPr>
            <w:tcW w:w="1134" w:type="dxa"/>
            <w:tcBorders>
              <w:top w:val="single" w:sz="4" w:space="0" w:color="auto"/>
              <w:left w:val="nil"/>
              <w:bottom w:val="single" w:sz="4" w:space="0" w:color="auto"/>
              <w:right w:val="single" w:sz="4" w:space="0" w:color="auto"/>
            </w:tcBorders>
            <w:shd w:val="clear" w:color="auto" w:fill="E8F3D3" w:themeFill="accent2" w:themeFillTint="33"/>
            <w:vAlign w:val="center"/>
            <w:hideMark/>
          </w:tcPr>
          <w:p w14:paraId="76ECBC2C" w14:textId="6931C291" w:rsidR="00FE1751" w:rsidRPr="0015154B" w:rsidRDefault="00FE1751" w:rsidP="00ED028B">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 xml:space="preserve">2016 </w:t>
            </w:r>
          </w:p>
        </w:tc>
        <w:tc>
          <w:tcPr>
            <w:tcW w:w="1133" w:type="dxa"/>
            <w:tcBorders>
              <w:top w:val="single" w:sz="4" w:space="0" w:color="auto"/>
              <w:left w:val="nil"/>
              <w:bottom w:val="single" w:sz="4" w:space="0" w:color="auto"/>
              <w:right w:val="single" w:sz="4" w:space="0" w:color="auto"/>
            </w:tcBorders>
            <w:shd w:val="clear" w:color="auto" w:fill="E8F3D3" w:themeFill="accent2" w:themeFillTint="33"/>
            <w:vAlign w:val="center"/>
            <w:hideMark/>
          </w:tcPr>
          <w:p w14:paraId="72FBE1C9" w14:textId="3B9479D3" w:rsidR="00FE1751" w:rsidRPr="0015154B" w:rsidRDefault="00FE1751" w:rsidP="00747C36">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2017</w:t>
            </w:r>
          </w:p>
        </w:tc>
        <w:tc>
          <w:tcPr>
            <w:tcW w:w="1134" w:type="dxa"/>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4411DB53" w14:textId="25EC0A2C" w:rsidR="00FE1751" w:rsidRPr="0015154B" w:rsidRDefault="00FE1751" w:rsidP="00747C36">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 xml:space="preserve">2018 </w:t>
            </w:r>
          </w:p>
        </w:tc>
        <w:tc>
          <w:tcPr>
            <w:tcW w:w="1134" w:type="dxa"/>
            <w:tcBorders>
              <w:top w:val="single" w:sz="4" w:space="0" w:color="auto"/>
              <w:left w:val="nil"/>
              <w:bottom w:val="single" w:sz="4" w:space="0" w:color="auto"/>
              <w:right w:val="single" w:sz="4" w:space="0" w:color="auto"/>
            </w:tcBorders>
            <w:shd w:val="clear" w:color="auto" w:fill="E8F3D3" w:themeFill="accent2" w:themeFillTint="33"/>
            <w:vAlign w:val="center"/>
          </w:tcPr>
          <w:p w14:paraId="7C17CA01" w14:textId="54960D23" w:rsidR="00FE1751" w:rsidRPr="0015154B" w:rsidRDefault="00FE1751" w:rsidP="00747C36">
            <w:pPr>
              <w:spacing w:after="0" w:line="240" w:lineRule="auto"/>
              <w:jc w:val="center"/>
              <w:rPr>
                <w:rFonts w:ascii="Times New Roman" w:eastAsia="Times New Roman" w:hAnsi="Times New Roman" w:cs="Times New Roman"/>
                <w:b/>
                <w:color w:val="002060"/>
                <w:sz w:val="24"/>
                <w:szCs w:val="24"/>
                <w:lang w:eastAsia="lv-LV"/>
              </w:rPr>
            </w:pPr>
            <w:r w:rsidRPr="0015154B">
              <w:rPr>
                <w:rFonts w:ascii="Times New Roman" w:eastAsia="Times New Roman" w:hAnsi="Times New Roman" w:cs="Times New Roman"/>
                <w:b/>
                <w:color w:val="002060"/>
                <w:sz w:val="24"/>
                <w:szCs w:val="24"/>
                <w:lang w:eastAsia="lv-LV"/>
              </w:rPr>
              <w:t xml:space="preserve">2019 </w:t>
            </w:r>
          </w:p>
        </w:tc>
      </w:tr>
      <w:bookmarkEnd w:id="92"/>
      <w:tr w:rsidR="00FE1751" w:rsidRPr="0015154B" w14:paraId="380484E9" w14:textId="77777777" w:rsidTr="00ED028B">
        <w:trPr>
          <w:trHeight w:val="97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0B853" w14:textId="77777777" w:rsidR="00FE1751" w:rsidRPr="007157D3" w:rsidRDefault="00FE1751" w:rsidP="00747C36">
            <w:pPr>
              <w:spacing w:after="0" w:line="240" w:lineRule="auto"/>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Klātienē apkalpotie Nodarbinātības valsts aģentūras klienti (skaits vidēji mēnesī)</w:t>
            </w:r>
            <w:r w:rsidRPr="007157D3">
              <w:rPr>
                <w:rFonts w:ascii="Times New Roman" w:eastAsia="Times New Roman" w:hAnsi="Times New Roman" w:cs="Times New Roman"/>
                <w:sz w:val="24"/>
                <w:szCs w:val="24"/>
                <w:vertAlign w:val="superscript"/>
                <w:lang w:eastAsia="lv-LV"/>
              </w:rPr>
              <w:footnoteReference w:id="173"/>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1EBFFC1" w14:textId="77777777" w:rsidR="00FE1751" w:rsidRPr="007157D3" w:rsidRDefault="00FE1751" w:rsidP="00747C36">
            <w:pPr>
              <w:spacing w:after="0" w:line="240" w:lineRule="auto"/>
              <w:jc w:val="center"/>
              <w:rPr>
                <w:rFonts w:ascii="Times New Roman" w:eastAsia="Times New Roman" w:hAnsi="Times New Roman" w:cs="Times New Roman"/>
                <w:sz w:val="24"/>
                <w:szCs w:val="24"/>
                <w:lang w:eastAsia="lv-LV"/>
              </w:rPr>
            </w:pPr>
            <w:r w:rsidRPr="007157D3">
              <w:rPr>
                <w:rFonts w:ascii="Times New Roman" w:eastAsia="Times New Roman" w:hAnsi="Times New Roman" w:cs="Times New Roman"/>
                <w:sz w:val="24"/>
                <w:szCs w:val="24"/>
                <w:lang w:eastAsia="lv-LV"/>
              </w:rPr>
              <w:t>74 549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5BF3A0D" w14:textId="77777777" w:rsidR="00FE1751" w:rsidRPr="007157D3" w:rsidRDefault="00FE1751" w:rsidP="00747C36">
            <w:pPr>
              <w:spacing w:after="0" w:line="240" w:lineRule="auto"/>
              <w:jc w:val="center"/>
              <w:rPr>
                <w:rFonts w:ascii="Times New Roman" w:eastAsia="Times New Roman" w:hAnsi="Times New Roman" w:cs="Times New Roman"/>
                <w:sz w:val="24"/>
                <w:szCs w:val="24"/>
                <w:lang w:eastAsia="lv-LV"/>
              </w:rPr>
            </w:pPr>
            <w:r w:rsidRPr="007157D3">
              <w:rPr>
                <w:rFonts w:ascii="Times New Roman" w:eastAsia="Times New Roman" w:hAnsi="Times New Roman" w:cs="Times New Roman"/>
                <w:sz w:val="24"/>
                <w:szCs w:val="24"/>
                <w:lang w:eastAsia="lv-LV"/>
              </w:rPr>
              <w:t>68 281</w:t>
            </w:r>
          </w:p>
        </w:tc>
        <w:tc>
          <w:tcPr>
            <w:tcW w:w="1133" w:type="dxa"/>
            <w:tcBorders>
              <w:top w:val="single" w:sz="4" w:space="0" w:color="auto"/>
              <w:left w:val="nil"/>
              <w:bottom w:val="single" w:sz="4" w:space="0" w:color="auto"/>
              <w:right w:val="single" w:sz="4" w:space="0" w:color="auto"/>
            </w:tcBorders>
            <w:shd w:val="clear" w:color="auto" w:fill="auto"/>
            <w:noWrap/>
            <w:vAlign w:val="center"/>
            <w:hideMark/>
          </w:tcPr>
          <w:p w14:paraId="3422BB46" w14:textId="77777777" w:rsidR="00FE1751" w:rsidRPr="002F5278" w:rsidRDefault="00FE1751" w:rsidP="00747C36">
            <w:pPr>
              <w:spacing w:after="0" w:line="240" w:lineRule="auto"/>
              <w:jc w:val="center"/>
              <w:rPr>
                <w:rFonts w:ascii="Times New Roman" w:eastAsia="Times New Roman" w:hAnsi="Times New Roman" w:cs="Times New Roman"/>
                <w:sz w:val="24"/>
                <w:szCs w:val="24"/>
                <w:lang w:eastAsia="lv-LV"/>
              </w:rPr>
            </w:pPr>
            <w:r w:rsidRPr="002F5278">
              <w:rPr>
                <w:rFonts w:ascii="Times New Roman" w:eastAsia="Times New Roman" w:hAnsi="Times New Roman" w:cs="Times New Roman"/>
                <w:sz w:val="24"/>
                <w:szCs w:val="24"/>
                <w:lang w:eastAsia="lv-LV"/>
              </w:rPr>
              <w:t>66 008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7728E6" w14:textId="77777777" w:rsidR="00FE1751" w:rsidRPr="00573B49" w:rsidRDefault="00FE1751" w:rsidP="00747C36">
            <w:pPr>
              <w:spacing w:after="0" w:line="240" w:lineRule="auto"/>
              <w:jc w:val="center"/>
              <w:rPr>
                <w:rFonts w:ascii="Times New Roman" w:eastAsia="Times New Roman" w:hAnsi="Times New Roman" w:cs="Times New Roman"/>
                <w:sz w:val="24"/>
                <w:szCs w:val="24"/>
                <w:lang w:eastAsia="lv-LV"/>
              </w:rPr>
            </w:pPr>
            <w:r w:rsidRPr="00573B49">
              <w:rPr>
                <w:rFonts w:ascii="Times New Roman" w:eastAsia="Times New Roman" w:hAnsi="Times New Roman" w:cs="Times New Roman"/>
                <w:sz w:val="24"/>
                <w:szCs w:val="24"/>
                <w:lang w:eastAsia="lv-LV"/>
              </w:rPr>
              <w:t>59 118</w:t>
            </w:r>
          </w:p>
        </w:tc>
        <w:tc>
          <w:tcPr>
            <w:tcW w:w="1134" w:type="dxa"/>
            <w:tcBorders>
              <w:top w:val="single" w:sz="4" w:space="0" w:color="auto"/>
              <w:left w:val="nil"/>
              <w:bottom w:val="single" w:sz="4" w:space="0" w:color="auto"/>
              <w:right w:val="single" w:sz="4" w:space="0" w:color="auto"/>
            </w:tcBorders>
            <w:shd w:val="clear" w:color="auto" w:fill="auto"/>
            <w:vAlign w:val="center"/>
          </w:tcPr>
          <w:p w14:paraId="7D68C96E" w14:textId="77777777" w:rsidR="00FE1751" w:rsidRPr="00573B49" w:rsidRDefault="00FE1751" w:rsidP="00747C36">
            <w:pPr>
              <w:spacing w:after="0" w:line="240" w:lineRule="auto"/>
              <w:jc w:val="center"/>
              <w:rPr>
                <w:rFonts w:ascii="Times New Roman" w:eastAsia="Times New Roman" w:hAnsi="Times New Roman" w:cs="Times New Roman"/>
                <w:sz w:val="24"/>
                <w:szCs w:val="24"/>
                <w:lang w:eastAsia="lv-LV"/>
              </w:rPr>
            </w:pPr>
            <w:r w:rsidRPr="00573B49">
              <w:rPr>
                <w:rFonts w:ascii="Times New Roman" w:eastAsia="Times New Roman" w:hAnsi="Times New Roman" w:cs="Times New Roman"/>
                <w:sz w:val="24"/>
                <w:szCs w:val="24"/>
                <w:lang w:eastAsia="lv-LV"/>
              </w:rPr>
              <w:t>47 698</w:t>
            </w:r>
          </w:p>
        </w:tc>
      </w:tr>
      <w:tr w:rsidR="00FE1751" w:rsidRPr="0015154B" w14:paraId="25DC15F2" w14:textId="77777777" w:rsidTr="00ED028B">
        <w:trPr>
          <w:trHeight w:val="557"/>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206BB38A" w14:textId="77777777" w:rsidR="00FE1751" w:rsidRPr="007157D3" w:rsidRDefault="00FE1751" w:rsidP="00747C36">
            <w:pPr>
              <w:spacing w:after="0" w:line="240" w:lineRule="auto"/>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Apkalpotie klienti uz vienu klientu apkalpošanā nodarbināto (skaits vidēji mēnesī)</w:t>
            </w:r>
            <w:r w:rsidRPr="007157D3">
              <w:rPr>
                <w:rFonts w:ascii="Times New Roman" w:eastAsia="Times New Roman" w:hAnsi="Times New Roman" w:cs="Times New Roman"/>
                <w:sz w:val="24"/>
                <w:szCs w:val="24"/>
                <w:vertAlign w:val="superscript"/>
                <w:lang w:eastAsia="lv-LV"/>
              </w:rPr>
              <w:footnoteReference w:id="174"/>
            </w:r>
          </w:p>
        </w:tc>
        <w:tc>
          <w:tcPr>
            <w:tcW w:w="1134" w:type="dxa"/>
            <w:tcBorders>
              <w:top w:val="nil"/>
              <w:left w:val="nil"/>
              <w:bottom w:val="single" w:sz="4" w:space="0" w:color="auto"/>
              <w:right w:val="single" w:sz="4" w:space="0" w:color="auto"/>
            </w:tcBorders>
            <w:shd w:val="clear" w:color="auto" w:fill="auto"/>
            <w:noWrap/>
            <w:vAlign w:val="center"/>
            <w:hideMark/>
          </w:tcPr>
          <w:p w14:paraId="5ED38741" w14:textId="77777777" w:rsidR="00FE1751" w:rsidRPr="007157D3" w:rsidRDefault="00FE1751" w:rsidP="00747C36">
            <w:pPr>
              <w:spacing w:after="0" w:line="240" w:lineRule="auto"/>
              <w:jc w:val="center"/>
              <w:rPr>
                <w:rFonts w:ascii="Times New Roman" w:eastAsia="Times New Roman" w:hAnsi="Times New Roman" w:cs="Times New Roman"/>
                <w:sz w:val="24"/>
                <w:szCs w:val="24"/>
                <w:lang w:eastAsia="lv-LV"/>
              </w:rPr>
            </w:pPr>
            <w:r w:rsidRPr="007157D3">
              <w:rPr>
                <w:rFonts w:ascii="Times New Roman" w:eastAsia="Times New Roman" w:hAnsi="Times New Roman" w:cs="Times New Roman"/>
                <w:sz w:val="24"/>
                <w:szCs w:val="24"/>
                <w:lang w:eastAsia="lv-LV"/>
              </w:rPr>
              <w:t>132</w:t>
            </w:r>
          </w:p>
        </w:tc>
        <w:tc>
          <w:tcPr>
            <w:tcW w:w="1134" w:type="dxa"/>
            <w:tcBorders>
              <w:top w:val="nil"/>
              <w:left w:val="nil"/>
              <w:bottom w:val="single" w:sz="4" w:space="0" w:color="auto"/>
              <w:right w:val="single" w:sz="4" w:space="0" w:color="auto"/>
            </w:tcBorders>
            <w:shd w:val="clear" w:color="auto" w:fill="auto"/>
            <w:noWrap/>
            <w:vAlign w:val="center"/>
            <w:hideMark/>
          </w:tcPr>
          <w:p w14:paraId="73F8A572" w14:textId="77777777" w:rsidR="00FE1751" w:rsidRPr="007157D3" w:rsidRDefault="00FE1751" w:rsidP="00747C36">
            <w:pPr>
              <w:spacing w:after="0" w:line="240" w:lineRule="auto"/>
              <w:jc w:val="center"/>
              <w:rPr>
                <w:rFonts w:ascii="Times New Roman" w:eastAsia="Times New Roman" w:hAnsi="Times New Roman" w:cs="Times New Roman"/>
                <w:sz w:val="24"/>
                <w:szCs w:val="24"/>
                <w:lang w:eastAsia="lv-LV"/>
              </w:rPr>
            </w:pPr>
            <w:r w:rsidRPr="007157D3">
              <w:rPr>
                <w:rFonts w:ascii="Times New Roman" w:eastAsia="Times New Roman" w:hAnsi="Times New Roman" w:cs="Times New Roman"/>
                <w:sz w:val="24"/>
                <w:szCs w:val="24"/>
                <w:lang w:eastAsia="lv-LV"/>
              </w:rPr>
              <w:t>114</w:t>
            </w:r>
          </w:p>
        </w:tc>
        <w:tc>
          <w:tcPr>
            <w:tcW w:w="1133" w:type="dxa"/>
            <w:tcBorders>
              <w:top w:val="nil"/>
              <w:left w:val="nil"/>
              <w:bottom w:val="single" w:sz="4" w:space="0" w:color="auto"/>
              <w:right w:val="single" w:sz="4" w:space="0" w:color="auto"/>
            </w:tcBorders>
            <w:shd w:val="clear" w:color="auto" w:fill="auto"/>
            <w:noWrap/>
            <w:vAlign w:val="center"/>
            <w:hideMark/>
          </w:tcPr>
          <w:p w14:paraId="24F008A4" w14:textId="77777777" w:rsidR="00FE1751" w:rsidRPr="002F5278" w:rsidRDefault="00FE1751" w:rsidP="00747C36">
            <w:pPr>
              <w:spacing w:after="0" w:line="240" w:lineRule="auto"/>
              <w:jc w:val="center"/>
              <w:rPr>
                <w:rFonts w:ascii="Times New Roman" w:eastAsia="Times New Roman" w:hAnsi="Times New Roman" w:cs="Times New Roman"/>
                <w:sz w:val="24"/>
                <w:szCs w:val="24"/>
                <w:lang w:eastAsia="lv-LV"/>
              </w:rPr>
            </w:pPr>
            <w:r w:rsidRPr="002F5278">
              <w:rPr>
                <w:rFonts w:ascii="Times New Roman" w:eastAsia="Times New Roman" w:hAnsi="Times New Roman" w:cs="Times New Roman"/>
                <w:sz w:val="24"/>
                <w:szCs w:val="24"/>
                <w:lang w:eastAsia="lv-LV"/>
              </w:rPr>
              <w:t>108</w:t>
            </w:r>
          </w:p>
        </w:tc>
        <w:tc>
          <w:tcPr>
            <w:tcW w:w="1134" w:type="dxa"/>
            <w:tcBorders>
              <w:top w:val="nil"/>
              <w:left w:val="single" w:sz="4" w:space="0" w:color="auto"/>
              <w:bottom w:val="single" w:sz="4" w:space="0" w:color="auto"/>
              <w:right w:val="single" w:sz="4" w:space="0" w:color="auto"/>
            </w:tcBorders>
            <w:shd w:val="clear" w:color="auto" w:fill="auto"/>
            <w:vAlign w:val="center"/>
          </w:tcPr>
          <w:p w14:paraId="278849BB" w14:textId="290901B9" w:rsidR="00FE1751" w:rsidRPr="00573B49" w:rsidRDefault="00FE1751" w:rsidP="00747C36">
            <w:pPr>
              <w:spacing w:after="0" w:line="240" w:lineRule="auto"/>
              <w:jc w:val="center"/>
              <w:rPr>
                <w:rFonts w:ascii="Times New Roman" w:eastAsia="Times New Roman" w:hAnsi="Times New Roman" w:cs="Times New Roman"/>
                <w:sz w:val="24"/>
                <w:szCs w:val="24"/>
                <w:lang w:eastAsia="lv-LV"/>
              </w:rPr>
            </w:pPr>
            <w:r w:rsidRPr="00573B49">
              <w:rPr>
                <w:rFonts w:ascii="Times New Roman" w:eastAsia="Times New Roman" w:hAnsi="Times New Roman" w:cs="Times New Roman"/>
                <w:sz w:val="24"/>
                <w:szCs w:val="24"/>
                <w:lang w:eastAsia="lv-LV"/>
              </w:rPr>
              <w:t>120</w:t>
            </w:r>
            <w:r w:rsidR="00495259" w:rsidRPr="00573B49">
              <w:rPr>
                <w:rFonts w:ascii="Times New Roman" w:eastAsia="Times New Roman" w:hAnsi="Times New Roman" w:cs="Times New Roman"/>
                <w:sz w:val="24"/>
                <w:szCs w:val="24"/>
                <w:lang w:eastAsia="lv-LV"/>
              </w:rPr>
              <w:t>,</w:t>
            </w:r>
            <w:r w:rsidRPr="00573B49">
              <w:rPr>
                <w:rFonts w:ascii="Times New Roman" w:eastAsia="Times New Roman" w:hAnsi="Times New Roman" w:cs="Times New Roman"/>
                <w:sz w:val="24"/>
                <w:szCs w:val="24"/>
                <w:lang w:eastAsia="lv-LV"/>
              </w:rPr>
              <w:t>7</w:t>
            </w:r>
          </w:p>
        </w:tc>
        <w:tc>
          <w:tcPr>
            <w:tcW w:w="1134" w:type="dxa"/>
            <w:tcBorders>
              <w:top w:val="nil"/>
              <w:left w:val="nil"/>
              <w:bottom w:val="single" w:sz="4" w:space="0" w:color="auto"/>
              <w:right w:val="single" w:sz="4" w:space="0" w:color="auto"/>
            </w:tcBorders>
            <w:shd w:val="clear" w:color="auto" w:fill="auto"/>
            <w:vAlign w:val="center"/>
          </w:tcPr>
          <w:p w14:paraId="32814FB8" w14:textId="77777777" w:rsidR="00FE1751" w:rsidRPr="0025422D" w:rsidRDefault="00FE1751" w:rsidP="00747C36">
            <w:pPr>
              <w:spacing w:after="0" w:line="240" w:lineRule="auto"/>
              <w:jc w:val="center"/>
              <w:rPr>
                <w:rFonts w:ascii="Times New Roman" w:eastAsia="Times New Roman" w:hAnsi="Times New Roman" w:cs="Times New Roman"/>
                <w:sz w:val="24"/>
                <w:szCs w:val="24"/>
                <w:lang w:eastAsia="lv-LV"/>
              </w:rPr>
            </w:pPr>
            <w:r w:rsidRPr="0025422D">
              <w:rPr>
                <w:rFonts w:ascii="Times New Roman" w:eastAsia="Times New Roman" w:hAnsi="Times New Roman" w:cs="Times New Roman"/>
                <w:sz w:val="24"/>
                <w:szCs w:val="24"/>
                <w:lang w:eastAsia="lv-LV"/>
              </w:rPr>
              <w:t>110</w:t>
            </w:r>
          </w:p>
        </w:tc>
      </w:tr>
      <w:tr w:rsidR="00FE1751" w:rsidRPr="0015154B" w14:paraId="234FF7C3" w14:textId="77777777" w:rsidTr="00ED028B">
        <w:trPr>
          <w:trHeight w:val="559"/>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07429F10" w14:textId="77777777" w:rsidR="00FE1751" w:rsidRPr="007157D3" w:rsidRDefault="00FE1751" w:rsidP="00747C36">
            <w:pPr>
              <w:spacing w:after="0" w:line="240" w:lineRule="auto"/>
              <w:rPr>
                <w:rFonts w:ascii="Times New Roman" w:eastAsia="Times New Roman" w:hAnsi="Times New Roman" w:cs="Times New Roman"/>
                <w:sz w:val="24"/>
                <w:szCs w:val="24"/>
                <w:lang w:eastAsia="lv-LV"/>
              </w:rPr>
            </w:pPr>
            <w:r w:rsidRPr="0015154B">
              <w:rPr>
                <w:rFonts w:ascii="Times New Roman" w:eastAsia="Times New Roman" w:hAnsi="Times New Roman" w:cs="Times New Roman"/>
                <w:sz w:val="24"/>
                <w:szCs w:val="24"/>
                <w:lang w:eastAsia="lv-LV"/>
              </w:rPr>
              <w:t>Attālināti apkalpoto klientu skaits</w:t>
            </w:r>
            <w:r w:rsidRPr="007157D3">
              <w:rPr>
                <w:rFonts w:ascii="Times New Roman" w:eastAsia="Times New Roman" w:hAnsi="Times New Roman" w:cs="Times New Roman"/>
                <w:sz w:val="24"/>
                <w:szCs w:val="24"/>
                <w:vertAlign w:val="superscript"/>
                <w:lang w:eastAsia="lv-LV"/>
              </w:rPr>
              <w:footnoteReference w:id="175"/>
            </w:r>
          </w:p>
        </w:tc>
        <w:tc>
          <w:tcPr>
            <w:tcW w:w="1134" w:type="dxa"/>
            <w:tcBorders>
              <w:top w:val="nil"/>
              <w:left w:val="nil"/>
              <w:bottom w:val="single" w:sz="4" w:space="0" w:color="auto"/>
              <w:right w:val="single" w:sz="4" w:space="0" w:color="auto"/>
            </w:tcBorders>
            <w:shd w:val="clear" w:color="auto" w:fill="auto"/>
            <w:noWrap/>
            <w:vAlign w:val="center"/>
            <w:hideMark/>
          </w:tcPr>
          <w:p w14:paraId="21DCDA7E" w14:textId="77777777" w:rsidR="00FE1751" w:rsidRPr="007157D3" w:rsidRDefault="00FE1751" w:rsidP="00747C36">
            <w:pPr>
              <w:spacing w:after="0" w:line="240" w:lineRule="auto"/>
              <w:jc w:val="center"/>
              <w:rPr>
                <w:rFonts w:ascii="Times New Roman" w:eastAsia="Times New Roman" w:hAnsi="Times New Roman" w:cs="Times New Roman"/>
                <w:sz w:val="24"/>
                <w:szCs w:val="24"/>
                <w:lang w:eastAsia="lv-LV"/>
              </w:rPr>
            </w:pPr>
            <w:r w:rsidRPr="007157D3">
              <w:rPr>
                <w:rFonts w:ascii="Times New Roman" w:eastAsia="Times New Roman" w:hAnsi="Times New Roman" w:cs="Times New Roman"/>
                <w:sz w:val="24"/>
                <w:szCs w:val="24"/>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30B6D7A9" w14:textId="77777777" w:rsidR="00FE1751" w:rsidRPr="007157D3" w:rsidRDefault="00FE1751" w:rsidP="00747C36">
            <w:pPr>
              <w:spacing w:after="0" w:line="240" w:lineRule="auto"/>
              <w:jc w:val="center"/>
              <w:rPr>
                <w:rFonts w:ascii="Times New Roman" w:eastAsia="Times New Roman" w:hAnsi="Times New Roman" w:cs="Times New Roman"/>
                <w:sz w:val="24"/>
                <w:szCs w:val="24"/>
                <w:lang w:eastAsia="lv-LV"/>
              </w:rPr>
            </w:pPr>
            <w:r w:rsidRPr="007157D3">
              <w:rPr>
                <w:rFonts w:ascii="Times New Roman" w:eastAsia="Times New Roman" w:hAnsi="Times New Roman" w:cs="Times New Roman"/>
                <w:sz w:val="24"/>
                <w:szCs w:val="24"/>
                <w:lang w:eastAsia="lv-LV"/>
              </w:rPr>
              <w:t>0</w:t>
            </w:r>
          </w:p>
        </w:tc>
        <w:tc>
          <w:tcPr>
            <w:tcW w:w="1133" w:type="dxa"/>
            <w:tcBorders>
              <w:top w:val="nil"/>
              <w:left w:val="nil"/>
              <w:bottom w:val="single" w:sz="4" w:space="0" w:color="auto"/>
              <w:right w:val="single" w:sz="4" w:space="0" w:color="auto"/>
            </w:tcBorders>
            <w:shd w:val="clear" w:color="auto" w:fill="auto"/>
            <w:noWrap/>
            <w:vAlign w:val="center"/>
            <w:hideMark/>
          </w:tcPr>
          <w:p w14:paraId="717C3799" w14:textId="77777777" w:rsidR="00FE1751" w:rsidRPr="002F5278" w:rsidRDefault="00FE1751" w:rsidP="00747C36">
            <w:pPr>
              <w:spacing w:after="0" w:line="240" w:lineRule="auto"/>
              <w:jc w:val="center"/>
              <w:rPr>
                <w:rFonts w:ascii="Times New Roman" w:eastAsia="Times New Roman" w:hAnsi="Times New Roman" w:cs="Times New Roman"/>
                <w:sz w:val="24"/>
                <w:szCs w:val="24"/>
                <w:lang w:eastAsia="lv-LV"/>
              </w:rPr>
            </w:pPr>
            <w:r w:rsidRPr="002F5278">
              <w:rPr>
                <w:rFonts w:ascii="Times New Roman" w:eastAsia="Times New Roman" w:hAnsi="Times New Roman" w:cs="Times New Roman"/>
                <w:sz w:val="24"/>
                <w:szCs w:val="24"/>
                <w:lang w:eastAsia="lv-LV"/>
              </w:rPr>
              <w:t>29 368</w:t>
            </w:r>
          </w:p>
        </w:tc>
        <w:tc>
          <w:tcPr>
            <w:tcW w:w="1134" w:type="dxa"/>
            <w:tcBorders>
              <w:top w:val="nil"/>
              <w:left w:val="single" w:sz="4" w:space="0" w:color="auto"/>
              <w:bottom w:val="single" w:sz="4" w:space="0" w:color="auto"/>
              <w:right w:val="single" w:sz="4" w:space="0" w:color="auto"/>
            </w:tcBorders>
            <w:shd w:val="clear" w:color="auto" w:fill="auto"/>
            <w:vAlign w:val="center"/>
          </w:tcPr>
          <w:p w14:paraId="456DD42E" w14:textId="77777777" w:rsidR="00FE1751" w:rsidRPr="00573B49" w:rsidRDefault="00FE1751" w:rsidP="00747C36">
            <w:pPr>
              <w:spacing w:after="0" w:line="240" w:lineRule="auto"/>
              <w:jc w:val="center"/>
              <w:rPr>
                <w:rFonts w:ascii="Times New Roman" w:eastAsia="Times New Roman" w:hAnsi="Times New Roman" w:cs="Times New Roman"/>
                <w:sz w:val="24"/>
                <w:szCs w:val="24"/>
                <w:lang w:eastAsia="lv-LV"/>
              </w:rPr>
            </w:pPr>
            <w:r w:rsidRPr="00573B49">
              <w:rPr>
                <w:rFonts w:ascii="Times New Roman" w:eastAsia="Times New Roman" w:hAnsi="Times New Roman" w:cs="Times New Roman"/>
                <w:sz w:val="24"/>
                <w:szCs w:val="24"/>
                <w:lang w:eastAsia="lv-LV"/>
              </w:rPr>
              <w:t>63 007</w:t>
            </w:r>
          </w:p>
        </w:tc>
        <w:tc>
          <w:tcPr>
            <w:tcW w:w="1134" w:type="dxa"/>
            <w:tcBorders>
              <w:top w:val="nil"/>
              <w:left w:val="nil"/>
              <w:bottom w:val="single" w:sz="4" w:space="0" w:color="auto"/>
              <w:right w:val="single" w:sz="4" w:space="0" w:color="auto"/>
            </w:tcBorders>
            <w:shd w:val="clear" w:color="auto" w:fill="auto"/>
            <w:vAlign w:val="center"/>
          </w:tcPr>
          <w:p w14:paraId="2171BC42" w14:textId="77777777" w:rsidR="00FE1751" w:rsidRPr="00573B49" w:rsidRDefault="00FE1751" w:rsidP="00747C36">
            <w:pPr>
              <w:spacing w:after="0" w:line="240" w:lineRule="auto"/>
              <w:jc w:val="center"/>
              <w:rPr>
                <w:rFonts w:ascii="Times New Roman" w:eastAsia="Times New Roman" w:hAnsi="Times New Roman" w:cs="Times New Roman"/>
                <w:sz w:val="24"/>
                <w:szCs w:val="24"/>
                <w:lang w:eastAsia="lv-LV"/>
              </w:rPr>
            </w:pPr>
            <w:r w:rsidRPr="00573B49">
              <w:rPr>
                <w:rFonts w:ascii="Times New Roman" w:eastAsia="Times New Roman" w:hAnsi="Times New Roman" w:cs="Times New Roman"/>
                <w:sz w:val="24"/>
                <w:szCs w:val="24"/>
                <w:lang w:eastAsia="lv-LV"/>
              </w:rPr>
              <w:t>60 408</w:t>
            </w:r>
          </w:p>
        </w:tc>
      </w:tr>
    </w:tbl>
    <w:p w14:paraId="4DE0A7C4" w14:textId="49186CF6" w:rsidR="00FE1751" w:rsidRPr="0015154B" w:rsidRDefault="00495259" w:rsidP="00747C36">
      <w:pPr>
        <w:spacing w:after="0" w:line="240" w:lineRule="auto"/>
        <w:ind w:left="-142"/>
        <w:jc w:val="both"/>
        <w:rPr>
          <w:rFonts w:ascii="Times New Roman" w:eastAsia="Times New Roman" w:hAnsi="Times New Roman" w:cs="Times New Roman"/>
          <w:sz w:val="20"/>
          <w:szCs w:val="20"/>
          <w:lang w:eastAsia="lv-LV"/>
        </w:rPr>
      </w:pPr>
      <w:r w:rsidRPr="0015154B">
        <w:rPr>
          <w:rFonts w:ascii="Times New Roman" w:eastAsia="Times New Roman" w:hAnsi="Times New Roman" w:cs="Times New Roman"/>
          <w:sz w:val="20"/>
          <w:szCs w:val="20"/>
          <w:lang w:eastAsia="lv-LV"/>
        </w:rPr>
        <w:t>Datu a</w:t>
      </w:r>
      <w:r w:rsidR="00FE1751" w:rsidRPr="0015154B">
        <w:rPr>
          <w:rFonts w:ascii="Times New Roman" w:eastAsia="Times New Roman" w:hAnsi="Times New Roman" w:cs="Times New Roman"/>
          <w:sz w:val="20"/>
          <w:szCs w:val="20"/>
          <w:lang w:eastAsia="lv-LV"/>
        </w:rPr>
        <w:t>vots: NVA</w:t>
      </w:r>
    </w:p>
    <w:p w14:paraId="3E90DF52" w14:textId="77777777" w:rsidR="00FE1751" w:rsidRPr="0015154B" w:rsidRDefault="00FE1751" w:rsidP="00747C36">
      <w:pPr>
        <w:spacing w:after="0" w:line="240" w:lineRule="auto"/>
        <w:ind w:firstLine="720"/>
        <w:jc w:val="both"/>
        <w:rPr>
          <w:rFonts w:ascii="Times New Roman" w:eastAsia="Calibri" w:hAnsi="Times New Roman" w:cs="Times New Roman"/>
          <w:iCs/>
          <w:color w:val="000000"/>
          <w:sz w:val="24"/>
          <w:szCs w:val="24"/>
        </w:rPr>
      </w:pPr>
    </w:p>
    <w:p w14:paraId="56D433D0" w14:textId="77777777" w:rsidR="00FE1751" w:rsidRPr="0015154B" w:rsidRDefault="00FE1751" w:rsidP="00724B79">
      <w:pPr>
        <w:spacing w:before="120" w:after="0" w:line="240" w:lineRule="auto"/>
        <w:ind w:firstLine="7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Ņemot vērā NVA konsultantu nozīmi NVA klientu turpmākajai integrācijai darba tirgū, nepieciešams stiprināt NVA kapacitāti, noturot un piesaistot kvalificētus speciālistus, lai nodrošinātu kvalitatīvu klientu apkalpošanu, ES fondu projektu īstenošanu, pamatdarbības procesu pilnveidi un pārmaiņu ieviešanu.</w:t>
      </w:r>
    </w:p>
    <w:p w14:paraId="2A05467F" w14:textId="77777777" w:rsidR="00BA60B7" w:rsidRPr="0015154B" w:rsidRDefault="00FE1751" w:rsidP="00724B79">
      <w:pPr>
        <w:spacing w:before="120" w:after="0" w:line="240" w:lineRule="auto"/>
        <w:ind w:firstLine="7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 xml:space="preserve">Attīstoties informācijas apstrādes tehnoloģijām un mākslīgajam intelektam, pieaug nepieciešamība virknei e- vides pakalpojumu ieviešanai un nodrošināšanai. </w:t>
      </w:r>
      <w:r w:rsidR="00BA60B7" w:rsidRPr="0015154B">
        <w:rPr>
          <w:rFonts w:ascii="Times New Roman" w:eastAsia="Calibri" w:hAnsi="Times New Roman" w:cs="Times New Roman"/>
          <w:iCs/>
          <w:color w:val="000000"/>
          <w:sz w:val="24"/>
          <w:szCs w:val="24"/>
        </w:rPr>
        <w:t xml:space="preserve">Attīstot un nodrošinot e-pakalpojumu pieejamību, būtiski ir palielinājies NVA apkalpoto klientu skaits attālināti- ja 2016.gadā attālināti apkalpoto klientu skaits bija 27 966, tad 2019.gadā tas jau bija palielinājies līdz 60 408. </w:t>
      </w:r>
      <w:r w:rsidRPr="0015154B">
        <w:rPr>
          <w:rFonts w:ascii="Times New Roman" w:eastAsia="Calibri" w:hAnsi="Times New Roman" w:cs="Times New Roman"/>
          <w:iCs/>
          <w:color w:val="000000"/>
          <w:sz w:val="24"/>
          <w:szCs w:val="24"/>
        </w:rPr>
        <w:t>Tiešsaistes pakalpojumi būtiski samazin</w:t>
      </w:r>
      <w:r w:rsidR="00BA60B7" w:rsidRPr="0015154B">
        <w:rPr>
          <w:rFonts w:ascii="Times New Roman" w:eastAsia="Calibri" w:hAnsi="Times New Roman" w:cs="Times New Roman"/>
          <w:iCs/>
          <w:color w:val="000000"/>
          <w:sz w:val="24"/>
          <w:szCs w:val="24"/>
        </w:rPr>
        <w:t>a</w:t>
      </w:r>
      <w:r w:rsidRPr="0015154B">
        <w:rPr>
          <w:rFonts w:ascii="Times New Roman" w:eastAsia="Calibri" w:hAnsi="Times New Roman" w:cs="Times New Roman"/>
          <w:iCs/>
          <w:color w:val="000000"/>
          <w:sz w:val="24"/>
          <w:szCs w:val="24"/>
        </w:rPr>
        <w:t xml:space="preserve"> pirmdatu manuālo apstrādi, </w:t>
      </w:r>
      <w:r w:rsidR="00BA60B7" w:rsidRPr="0015154B">
        <w:rPr>
          <w:rFonts w:ascii="Times New Roman" w:eastAsia="Calibri" w:hAnsi="Times New Roman" w:cs="Times New Roman"/>
          <w:iCs/>
          <w:color w:val="000000"/>
          <w:sz w:val="24"/>
          <w:szCs w:val="24"/>
        </w:rPr>
        <w:t>NVA</w:t>
      </w:r>
      <w:r w:rsidRPr="0015154B">
        <w:rPr>
          <w:rFonts w:ascii="Times New Roman" w:eastAsia="Calibri" w:hAnsi="Times New Roman" w:cs="Times New Roman"/>
          <w:iCs/>
          <w:color w:val="000000"/>
          <w:sz w:val="24"/>
          <w:szCs w:val="24"/>
        </w:rPr>
        <w:t xml:space="preserve"> taupot laika un citus resursus atbalsta sniegšanai konkrētajam indivīdam, to motivējot pēc iespējas ātrāk atrast atbilstošu darba tirgus risinājumu. Digitālās platformas ļauj darba intervijas un karjeras konsultācijas sniegt attālināti, tādejādi sekmējot NVA reģionālo darbinieku lielāku iesaisti, t.sk. sekmējot citu filiāļu iesaisti un palīdzību visvairāk noslogotajām NVA filiālēm. </w:t>
      </w:r>
    </w:p>
    <w:p w14:paraId="6DA9E86E" w14:textId="7C83418E" w:rsidR="00FE1751" w:rsidRPr="0015154B" w:rsidRDefault="00BA60B7" w:rsidP="00724B79">
      <w:pPr>
        <w:spacing w:before="120" w:after="0" w:line="240" w:lineRule="auto"/>
        <w:ind w:firstLine="7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t>Ņemot vērā būtiskas nodarbinātības un bezdarba reģionālās atšķirības, ir svarīgi, lai informācija par darba vietām būtu pieejama visā valstī. NVA CV un vakanču portāls ir pašreiz plašākā vakanču datu bāze valstī, kurā tiek reģistrētas arī valsts pārvaldes vakances. NVA portālu izmanto ne tikai bezdarbnieki, bet arī citi darba tirgus pašreizējie un nākotnes dalībnieki, tajā skaitā iespējamie re</w:t>
      </w:r>
      <w:r w:rsidR="002E4D66">
        <w:rPr>
          <w:rFonts w:ascii="Times New Roman" w:eastAsia="Calibri" w:hAnsi="Times New Roman" w:cs="Times New Roman"/>
          <w:iCs/>
          <w:color w:val="000000"/>
          <w:sz w:val="24"/>
          <w:szCs w:val="24"/>
        </w:rPr>
        <w:t>e</w:t>
      </w:r>
      <w:r w:rsidRPr="0015154B">
        <w:rPr>
          <w:rFonts w:ascii="Times New Roman" w:eastAsia="Calibri" w:hAnsi="Times New Roman" w:cs="Times New Roman"/>
          <w:iCs/>
          <w:color w:val="000000"/>
          <w:sz w:val="24"/>
          <w:szCs w:val="24"/>
        </w:rPr>
        <w:t>migranti, kas NVA portālam no mītnes valsts pieslēdzas arvien biežāk. T</w:t>
      </w:r>
      <w:r w:rsidR="00FE1751" w:rsidRPr="0015154B">
        <w:rPr>
          <w:rFonts w:ascii="Times New Roman" w:eastAsia="Calibri" w:hAnsi="Times New Roman" w:cs="Times New Roman"/>
          <w:iCs/>
          <w:color w:val="000000"/>
          <w:sz w:val="24"/>
          <w:szCs w:val="24"/>
        </w:rPr>
        <w:t xml:space="preserve">āpēc NVA CV un vakanču portāls kā pašreiz plašākā vakanču datu bāze būtu attīstāma kā darbaspēka pieprasījuma un piedāvājuma salāgošanas instruments, ieviešot digitālos un mākslīgā intelekta risinājumus, kā arī pilnveidojot esošās darba metodes un sadarbības mehānismus, attīstot jaunus pakalpojumus, modernizējot infrastruktūru. </w:t>
      </w:r>
    </w:p>
    <w:p w14:paraId="74DDF3A9" w14:textId="5276CE4F" w:rsidR="00FE1751" w:rsidRPr="0015154B" w:rsidRDefault="00FE1751" w:rsidP="00724B79">
      <w:pPr>
        <w:spacing w:before="120" w:after="0" w:line="240" w:lineRule="auto"/>
        <w:ind w:firstLine="720"/>
        <w:jc w:val="both"/>
        <w:rPr>
          <w:rFonts w:ascii="Times New Roman" w:eastAsia="Calibri" w:hAnsi="Times New Roman" w:cs="Times New Roman"/>
          <w:iCs/>
          <w:color w:val="000000"/>
          <w:sz w:val="24"/>
          <w:szCs w:val="24"/>
        </w:rPr>
      </w:pPr>
      <w:r w:rsidRPr="0015154B">
        <w:rPr>
          <w:rFonts w:ascii="Times New Roman" w:eastAsia="Calibri" w:hAnsi="Times New Roman" w:cs="Times New Roman"/>
          <w:iCs/>
          <w:color w:val="000000"/>
          <w:sz w:val="24"/>
          <w:szCs w:val="24"/>
        </w:rPr>
        <w:lastRenderedPageBreak/>
        <w:t>NVA kā darbaspēka piedāvājuma un pieprasījuma salāgošanas centrālās institūcijas loma tuvākajos gados varētu būtiski pieaugt, tāpēc nepieciešams piesaistīt resursus atbilstošas kapacitātes izveidei, lai NVA varētu piedāvāt / izstrādāt dažādus tehnoloģiskus rīkus darba devēju prasību un darba meklētāju spēju salāgošanai, digitalizēt pakalpojumus, organizēt satikšanās platformas starp darba devējiem un darba meklētājiem (vakanču gadatirgi, CV un vakanču portāla pilnveide, personāla atlase atbilstoši darba devēju definētajām prasībām uz konkrētām vakancēm u.c.).</w:t>
      </w:r>
    </w:p>
    <w:p w14:paraId="13D0541F" w14:textId="77777777" w:rsidR="00FE1751" w:rsidRPr="0015154B" w:rsidRDefault="00FE1751" w:rsidP="00FE1751">
      <w:pPr>
        <w:spacing w:after="0" w:line="240" w:lineRule="auto"/>
        <w:ind w:firstLine="720"/>
        <w:jc w:val="both"/>
        <w:rPr>
          <w:rFonts w:ascii="Times New Roman" w:eastAsia="Calibri" w:hAnsi="Times New Roman" w:cs="Times New Roman"/>
          <w:iCs/>
          <w:color w:val="000000"/>
          <w:sz w:val="24"/>
          <w:szCs w:val="24"/>
        </w:rPr>
      </w:pPr>
    </w:p>
    <w:p w14:paraId="3A37F40B" w14:textId="32D591EE" w:rsidR="00FE1751" w:rsidRPr="0015154B" w:rsidRDefault="002E4D66" w:rsidP="00DA5144">
      <w:pPr>
        <w:pStyle w:val="Heading2"/>
      </w:pPr>
      <w:bookmarkStart w:id="93" w:name="_Toc55316120"/>
      <w:r>
        <w:t xml:space="preserve"> </w:t>
      </w:r>
      <w:r w:rsidR="00FE1751" w:rsidRPr="0015154B">
        <w:t>Sociālā uzņēmējdarbība</w:t>
      </w:r>
      <w:bookmarkEnd w:id="93"/>
    </w:p>
    <w:p w14:paraId="0F9A1F1E" w14:textId="77777777" w:rsidR="00FE1751" w:rsidRPr="0015154B"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Sociālā uzņēmējdarbība ir uzskatāma par neatņemamu Eiropas daudzveidīgās sociālās tirgus ekonomikas sastāvdaļu. Tā balstās uz solidaritātes un atbildības principiem, uz indivīda un sociālo mērķu prioritāti, sekmē sociālo atbildību, sociālo kohēziju un sociālo iekļaušanu. Sociālā uzņēmējdarbība gan ir tikai neliela daļa no sociālās ekonomikas, kas ietver arī iekļaujošu un sociāli atbildīgu uzņēmējdarbību u.c. Sociālie uzņēmumi, kas tiek veidoti dažādu jomu pilnveidei, var darboties kā sociālo pārmaiņu dzinējspēks, piedāvājot arī inovatīvus risinājumus, veicinot iekļaujošu darba tirgu un sociālo pakalpojumu pieejamību.</w:t>
      </w:r>
    </w:p>
    <w:p w14:paraId="26A88290" w14:textId="77777777" w:rsidR="00FE1751" w:rsidRPr="0015154B"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Atbilstoši vispārpieņemtai starptautiskai praksei sociālais uzņēmums ir uzņēmums, kura galvenais mērķis ir sociālas ietekmes radīšana, nevis peļņas nodrošināšana īpašniekiem un iesaistītajām pusēm. Tas darbojas tirgū, ražojot preces un sniedzot pakalpojumus saimnieciskā veidā, kā arī izmanto peļņu sociālo mērķu sasniegšanai. Mainoties sabiedrībai un tajā pastāvošajām sociālajām problēmām Eiropā, pēdējos gados tālāk attīstījies un mainījies arī sociālā uzņēmuma jēdziens. Sociālie uzņēmumi vairs nav tikai darba integrācijas uzņēmumi jeb uzņēmumi, kas rada darba vietas īpašām personu grupām. Mūsdienās par sociāliem uzņēmumiem tiek uzskatīti uzņēmumi, kas atbilst noteiktiem kritērijiem, un to darbības spektrs un risināmo problēmu loks ir daudzveidīgs.</w:t>
      </w:r>
    </w:p>
    <w:p w14:paraId="29A59ECA" w14:textId="02982B3C" w:rsidR="00FE1751" w:rsidRPr="002F5278"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Calibri" w:hAnsi="Times New Roman"/>
          <w:iCs/>
          <w:color w:val="000000"/>
          <w:sz w:val="24"/>
          <w:szCs w:val="24"/>
        </w:rPr>
        <w:t>Sociālās uzņēmējdarbības ekosistēmas veidošana Latvijā sākās jau pirms vairākiem gadiem, pateicoties nevalstisko organizāciju iniciatīvai. 2014. gada 14. oktobrī Ministru kabinets (turpmāk – MK) atbalstīja LM izstrādāto koncepciju “Par sociālās uzņēmējdarbības ieviešanas iespējām Latvijā” (turpmāk – koncepcija), kas paredzēja LM uzsākt jaunu politikas iniciatīvu sociālās uzņēmējdarbības (kā īpašas grupas) atzīšanai un attīstībai. Šajā koncepcijā tika rosināts 2014. – 2020. gada Eiropas Savienības fondu plānošanas periodā īstenot pasākumu sociālās uzņēmējdarbības atbalstam un aprobēt praksē iespējamos atbalsta mehānismus. ESF līdzfinansēto atbalsta pasākumu mērķis ir noteikt un pārbaudīt optimālus risinājumus sociālo uzņēmumu izveidei un attīstībai, veicināt darba integrācijas iespējas uzņēmumos nelabvēlīgākā situācijā esošiem bezdarbniekiem, personām ar invaliditāti un personām ar garīga rakstura traucējumiem, tādējādi palielinot nodarbinātības iespējas.</w:t>
      </w:r>
      <w:r w:rsidRPr="007157D3">
        <w:rPr>
          <w:rStyle w:val="FootnoteReference"/>
          <w:rFonts w:ascii="Times New Roman" w:eastAsia="Calibri" w:hAnsi="Times New Roman"/>
          <w:iCs/>
          <w:color w:val="000000"/>
          <w:sz w:val="24"/>
          <w:szCs w:val="24"/>
        </w:rPr>
        <w:footnoteReference w:id="176"/>
      </w:r>
      <w:r w:rsidRPr="007157D3">
        <w:rPr>
          <w:rFonts w:ascii="Times New Roman" w:eastAsia="Calibri" w:hAnsi="Times New Roman"/>
          <w:iCs/>
          <w:color w:val="000000"/>
          <w:sz w:val="24"/>
          <w:szCs w:val="24"/>
        </w:rPr>
        <w:t xml:space="preserve"> ESF projekta “Atbalsts sociālajai uzņēmējdarbībai” ietvaros tika uzsākts izmēģinājumprojekts, kura laikā izskatīti 136 pretendentu iesniegumi un par pasākuma dalībniekiem atzīti 98 pretendenti, un ar 33 u</w:t>
      </w:r>
      <w:r w:rsidRPr="002F5278">
        <w:rPr>
          <w:rFonts w:ascii="Times New Roman" w:eastAsia="Calibri" w:hAnsi="Times New Roman"/>
          <w:iCs/>
          <w:color w:val="000000"/>
          <w:sz w:val="24"/>
          <w:szCs w:val="24"/>
        </w:rPr>
        <w:t>zņēmumiem un nevalstiskajām organizācijām tika noslēgti granta līgumi par 2,6 milj. eiro dažādu sociālo problēmu risināšanai un mērķa grupu nodarbināšanai.</w:t>
      </w:r>
    </w:p>
    <w:p w14:paraId="51C96201" w14:textId="77777777" w:rsidR="00FE1751" w:rsidRPr="00573B49" w:rsidRDefault="00FE1751" w:rsidP="00724B79">
      <w:pPr>
        <w:spacing w:before="120" w:after="0" w:line="240" w:lineRule="auto"/>
        <w:ind w:firstLine="720"/>
        <w:jc w:val="both"/>
        <w:rPr>
          <w:rFonts w:ascii="Times New Roman" w:eastAsia="Calibri" w:hAnsi="Times New Roman"/>
          <w:iCs/>
          <w:color w:val="000000"/>
          <w:sz w:val="24"/>
          <w:szCs w:val="24"/>
        </w:rPr>
      </w:pPr>
      <w:r w:rsidRPr="00573B49">
        <w:rPr>
          <w:rFonts w:ascii="Times New Roman" w:eastAsia="Calibri" w:hAnsi="Times New Roman"/>
          <w:iCs/>
          <w:color w:val="000000"/>
          <w:sz w:val="24"/>
          <w:szCs w:val="24"/>
        </w:rPr>
        <w:t>2015.gada rudenī darbu uzsāka Saeimas Sociālo un darba lietu komisijas darba grupa, kuras mērķis bija izveidot Latvijas situācijai piemērotu sociālās uzņēmējdarbības tiesisko regulējumu, un virzīt to tālākai pieņemšanai Saeimā. Darba grupā bija iesaistīti pārstāvji no nozaru ministrijām, nevalstiskā sektora un sociālās uzņēmējdarbības jomas pārstāvji. Sociālā uzņēmuma likums Saeimā tika pieņemts 2017.gada 12.oktobrī.</w:t>
      </w:r>
    </w:p>
    <w:p w14:paraId="35C1AA2A" w14:textId="77777777" w:rsidR="00FE1751" w:rsidRPr="009703E6" w:rsidRDefault="00FE1751" w:rsidP="00724B79">
      <w:pPr>
        <w:spacing w:before="120" w:after="0" w:line="240" w:lineRule="auto"/>
        <w:ind w:firstLine="720"/>
        <w:jc w:val="both"/>
        <w:rPr>
          <w:rFonts w:ascii="Times New Roman" w:eastAsia="Calibri" w:hAnsi="Times New Roman"/>
          <w:iCs/>
          <w:color w:val="000000"/>
          <w:sz w:val="24"/>
          <w:szCs w:val="24"/>
        </w:rPr>
      </w:pPr>
      <w:r w:rsidRPr="0025422D">
        <w:rPr>
          <w:rFonts w:ascii="Times New Roman" w:eastAsia="Calibri" w:hAnsi="Times New Roman"/>
          <w:iCs/>
          <w:color w:val="000000"/>
          <w:sz w:val="24"/>
          <w:szCs w:val="24"/>
        </w:rPr>
        <w:t>Saskaņā ar Sociālā uzņēmuma likumu (stājās spēkā 2018.gada 1.aprīlī)  sociālais uzņēmums ir sabiedrība ar ierobež</w:t>
      </w:r>
      <w:r w:rsidRPr="00A857F2">
        <w:rPr>
          <w:rFonts w:ascii="Times New Roman" w:eastAsia="Calibri" w:hAnsi="Times New Roman"/>
          <w:iCs/>
          <w:color w:val="000000"/>
          <w:sz w:val="24"/>
          <w:szCs w:val="24"/>
        </w:rPr>
        <w:t xml:space="preserve">otu atbildību (turpmāk – SIA), kurai piešķirts sociālā </w:t>
      </w:r>
      <w:r w:rsidRPr="00A857F2">
        <w:rPr>
          <w:rFonts w:ascii="Times New Roman" w:eastAsia="Calibri" w:hAnsi="Times New Roman"/>
          <w:iCs/>
          <w:color w:val="000000"/>
          <w:sz w:val="24"/>
          <w:szCs w:val="24"/>
        </w:rPr>
        <w:lastRenderedPageBreak/>
        <w:t>uzņēmuma statuss un kura veic labvēlīgu sociālo ietekmi radošu saimniecisko darbību, piemēram, sociālo pakalpojumu sniegšana, iekļaujošas pilsoniskas sabiedrības veidošana, izglītības veicināšana, atba</w:t>
      </w:r>
      <w:r w:rsidRPr="00662D1E">
        <w:rPr>
          <w:rFonts w:ascii="Times New Roman" w:eastAsia="Calibri" w:hAnsi="Times New Roman"/>
          <w:iCs/>
          <w:color w:val="000000"/>
          <w:sz w:val="24"/>
          <w:szCs w:val="24"/>
        </w:rPr>
        <w:t xml:space="preserve">lsts zinātnei, vides aizsardzība un saglabāšana, dzīvnieku aizsardzība, kultūras daudzveidības nodrošināšana. Tas nozīmē, ka sociālais uzņēmums darbojas uz biznesa pamatiem, tas var gūt peļņu, tomēr Latvijas gadījumā iegūto peļņu SIA nedrīkst sadalīt, bet </w:t>
      </w:r>
      <w:r w:rsidRPr="009703E6">
        <w:rPr>
          <w:rFonts w:ascii="Times New Roman" w:eastAsia="Calibri" w:hAnsi="Times New Roman"/>
          <w:iCs/>
          <w:color w:val="000000"/>
          <w:sz w:val="24"/>
          <w:szCs w:val="24"/>
        </w:rPr>
        <w:t>tā jāiegulda statūtos noteikto mērķu sasniegšanai.</w:t>
      </w:r>
    </w:p>
    <w:p w14:paraId="61A9D304" w14:textId="580B01B7" w:rsidR="00FE1751" w:rsidRPr="0015154B" w:rsidRDefault="00FE1751" w:rsidP="00724B79">
      <w:pPr>
        <w:spacing w:before="120" w:after="0" w:line="240" w:lineRule="auto"/>
        <w:ind w:firstLine="720"/>
        <w:jc w:val="both"/>
        <w:rPr>
          <w:rFonts w:ascii="Times New Roman" w:eastAsia="Calibri" w:hAnsi="Times New Roman"/>
          <w:iCs/>
          <w:color w:val="000000"/>
          <w:sz w:val="24"/>
          <w:szCs w:val="24"/>
        </w:rPr>
      </w:pPr>
      <w:r w:rsidRPr="0015154B">
        <w:rPr>
          <w:rFonts w:ascii="Times New Roman" w:eastAsia="Times New Roman" w:hAnsi="Times New Roman"/>
          <w:color w:val="000000" w:themeColor="text1"/>
          <w:sz w:val="24"/>
          <w:szCs w:val="24"/>
          <w:lang w:eastAsia="lv-LV"/>
        </w:rPr>
        <w:t>Kopš Sociālā uzņēmuma likuma spēkā stāšanās 2 gadu laikā reģistrēti 97 sociālie uzņēmumi, bet līdz 2020.gada 30.jūnijam bija reģistrēti 109 sociālie uzņēmumi. Ņemot vērā, ka Sociālā uzņēmuma likuma pirmā darbības gada laikā bija reģistrēti 49 uzņēmumi, kuriem tika piešķirts sociālā uzņēmuma statuss, un otrā gada laikā reģistrēto sociālo uzņēmumu skaits ir dubultojies, ir pamats uzskatīt, ka, turpinoties sociālo uzņēmumu atbalsta mehānismu īstenošanai, sociālo uzņēmumu skaits līdz 2022.gada beigām varētu dubultoties.</w:t>
      </w:r>
    </w:p>
    <w:p w14:paraId="4B111E6A" w14:textId="394DB59A" w:rsidR="00FE1751" w:rsidRPr="0015154B" w:rsidRDefault="00FE1751" w:rsidP="00724B79">
      <w:pPr>
        <w:spacing w:before="120" w:after="0" w:line="240" w:lineRule="auto"/>
        <w:ind w:firstLine="720"/>
        <w:jc w:val="both"/>
        <w:rPr>
          <w:rFonts w:ascii="Times New Roman" w:eastAsia="Times New Roman" w:hAnsi="Times New Roman"/>
          <w:color w:val="000000" w:themeColor="text1"/>
          <w:sz w:val="24"/>
          <w:szCs w:val="24"/>
          <w:lang w:eastAsia="lv-LV"/>
        </w:rPr>
      </w:pPr>
      <w:r w:rsidRPr="0015154B">
        <w:rPr>
          <w:rFonts w:ascii="Times New Roman" w:eastAsia="Times New Roman" w:hAnsi="Times New Roman"/>
          <w:color w:val="000000" w:themeColor="text1"/>
          <w:sz w:val="24"/>
          <w:szCs w:val="24"/>
          <w:lang w:eastAsia="lv-LV"/>
        </w:rPr>
        <w:t>Vispopulārākā darbības joma sociālo uzņēmēju vidū ir darba integrācija (dati 30.06.2020.), kurā darbojas 33% uzņēmumu, izglītības joma - 23% un iekļaujoša pilsoniskā sabiedrība, kultūras daudzveidība - 11%. No visiem sociālajiem uzņēmumiem lielākā daļa atrodas Rīgā (56%) un Pierīgā (14%), Kurzemē darbojas 13 %, savukārt Zemgalē 7%, Vidzemē 6% un Latgalē 4%. Labklājības ministrijas sadarbības partneris ALTUM sociālajiem uzņēmumiem sniedz finansiālu atbalstu dažādu biznesa projektu īstenošanai granta veidā. Sociālie uzņēmumi var pretendēt uz grantu līdz 200 000 eiro līdz 2 gadu biznesa projektu īstenošanai, ja biznesa plāns atbilst izvirzītajām prasībām, tai skaitā attiecībā uz ilgtspēju un sociālās ietekmes radīšanu. Līdz 30.jūnijam ALTUM bija noslēdzis 79 granta līgumus par kopējo summu 4,8 milj.eiro.</w:t>
      </w:r>
    </w:p>
    <w:p w14:paraId="6AC899CD" w14:textId="2883D047" w:rsidR="00FE1751" w:rsidRPr="0015154B" w:rsidRDefault="00FE1751" w:rsidP="00724B79">
      <w:pPr>
        <w:spacing w:before="120" w:after="0" w:line="240" w:lineRule="auto"/>
        <w:ind w:firstLine="720"/>
        <w:jc w:val="both"/>
        <w:rPr>
          <w:rFonts w:ascii="Times New Roman" w:eastAsia="Times New Roman" w:hAnsi="Times New Roman"/>
          <w:color w:val="000000" w:themeColor="text1"/>
          <w:sz w:val="24"/>
          <w:szCs w:val="24"/>
          <w:lang w:eastAsia="lv-LV"/>
        </w:rPr>
      </w:pPr>
      <w:r w:rsidRPr="0015154B">
        <w:rPr>
          <w:rFonts w:ascii="Times New Roman" w:eastAsia="Times New Roman" w:hAnsi="Times New Roman"/>
          <w:color w:val="000000" w:themeColor="text1"/>
          <w:sz w:val="24"/>
          <w:szCs w:val="24"/>
          <w:lang w:eastAsia="lv-LV"/>
        </w:rPr>
        <w:t xml:space="preserve">Kopš ESF projekta “Atbalsts sociālajai uzņēmējdarbībai” uzsākšanas 2016.gadā ir mērķtiecīgi organizēti sabiedrības informēšanas un izglītošanas pasākumi, lai veicinātu sabiedrības izpratni par sociālajiem uzņēmumiem, to nozīmi un iespējamo ieguldījumu sabiedrības attīstības veicināšanā. Ir organizētas apmācības potenciālajiem sociālajiem uzņēmējiem par sociālās uzņēmējdarbības būtību, tiesisko regulējumu, mārketingu, komunikāciju, uzņēmuma zīmolu, grāmatvedību un nodokļiem, finanšu vadību, dažādiem attīstības modeļiem un to, kā sagatavot granta pieteikumu. Līdztekus tiek organizēti sociālās uzņēmējdarbības uzsācēju ideju konkursi, lai veicinātu jaunu uzņēmumu piesaisti sociālās uzņēmējdarbības formai, kā arī organizētas konsultācijas biznesa plānu sagatavošanai sociālajiem uzņēmumiem par tādiem jautājumiem kā finanses, grāmatvedība un nodokļi, mārketings. </w:t>
      </w:r>
    </w:p>
    <w:p w14:paraId="2CC150C0" w14:textId="753CB2E7" w:rsidR="00FE1751" w:rsidRPr="00662D1E" w:rsidRDefault="00FE1751" w:rsidP="00724B79">
      <w:pPr>
        <w:spacing w:before="120" w:after="0" w:line="240" w:lineRule="auto"/>
        <w:ind w:firstLine="720"/>
        <w:jc w:val="both"/>
        <w:rPr>
          <w:rFonts w:ascii="Times New Roman" w:eastAsia="Times New Roman" w:hAnsi="Times New Roman"/>
          <w:color w:val="000000" w:themeColor="text1"/>
          <w:sz w:val="24"/>
          <w:szCs w:val="24"/>
          <w:lang w:eastAsia="lv-LV"/>
        </w:rPr>
      </w:pPr>
      <w:r w:rsidRPr="0015154B">
        <w:rPr>
          <w:rFonts w:ascii="Times New Roman" w:eastAsia="Times New Roman" w:hAnsi="Times New Roman"/>
          <w:color w:val="000000" w:themeColor="text1"/>
          <w:sz w:val="24"/>
          <w:szCs w:val="24"/>
          <w:lang w:eastAsia="lv-LV"/>
        </w:rPr>
        <w:t>Sākotnējais sociālās uzņēmējdarbības attīstības Latvijā novērtējums</w:t>
      </w:r>
      <w:r w:rsidRPr="007157D3">
        <w:rPr>
          <w:rStyle w:val="FootnoteReference"/>
          <w:rFonts w:ascii="Times New Roman" w:eastAsia="Times New Roman" w:hAnsi="Times New Roman"/>
          <w:color w:val="000000" w:themeColor="text1"/>
          <w:sz w:val="24"/>
          <w:szCs w:val="24"/>
          <w:lang w:eastAsia="lv-LV"/>
        </w:rPr>
        <w:footnoteReference w:id="177"/>
      </w:r>
      <w:r w:rsidRPr="007157D3">
        <w:rPr>
          <w:rFonts w:ascii="Times New Roman" w:eastAsia="Times New Roman" w:hAnsi="Times New Roman"/>
          <w:color w:val="000000" w:themeColor="text1"/>
          <w:sz w:val="24"/>
          <w:szCs w:val="24"/>
          <w:lang w:eastAsia="lv-LV"/>
        </w:rPr>
        <w:t xml:space="preserve"> ļauj secināt, ka izveidotā atbalsta sistēma</w:t>
      </w:r>
      <w:r w:rsidRPr="002F5278">
        <w:rPr>
          <w:rFonts w:ascii="Times New Roman" w:eastAsia="Times New Roman" w:hAnsi="Times New Roman"/>
          <w:color w:val="000000" w:themeColor="text1"/>
          <w:sz w:val="24"/>
          <w:szCs w:val="24"/>
          <w:lang w:eastAsia="lv-LV"/>
        </w:rPr>
        <w:t xml:space="preserve"> ļāvusi attīstīties sociālajiem uzņēmumiem un interese no potenciālajiem sociālajiem uzņēmējiem saglabājas samērā liela. Tāpat pozitīvi vērtējams izveidotais valsts institūciju un nevalsti</w:t>
      </w:r>
      <w:r w:rsidRPr="00573B49">
        <w:rPr>
          <w:rFonts w:ascii="Times New Roman" w:eastAsia="Times New Roman" w:hAnsi="Times New Roman"/>
          <w:color w:val="000000" w:themeColor="text1"/>
          <w:sz w:val="24"/>
          <w:szCs w:val="24"/>
          <w:lang w:eastAsia="lv-LV"/>
        </w:rPr>
        <w:t>skā sektora sadarbības formāts – Sociālo uzņēmumu komisija, kura izskata potenciālo sociālo uzņēmumu pieteikumus un sniedz savu atzinumu LM. Kā vēl viens pozitīvs aspekts vērtējams Sociālo uzņēmumu reģistrs, kurā tiek uzkrāta informācija par sociālajiem uzņēmumiem un kuru plānots pilnveidot, lai nodrošinātu operatīvāku datu apmaiņu ar citiem valsts reģistriem un datu bāzēm, un tas būtu lietotājiem ērtāks informācijas ieguves rīks par sociālajiem uzņēmumiem un to darbības jomām. Lai gan sabiedrības, esošo un potenciālo sociālo uzņēmēju izpratne par sociālo uzņēmējdarbību pakāpeniski uzlabojas, tam ir nepieciešams nepārtraukts un mērķtiecīgs darbs. Lai veicinātu sabiedrības izpratni un interesi iesaistīties sociālajā uzņēmējdarbībā, LM regulāri organizē sabied</w:t>
      </w:r>
      <w:r w:rsidRPr="0025422D">
        <w:rPr>
          <w:rFonts w:ascii="Times New Roman" w:eastAsia="Times New Roman" w:hAnsi="Times New Roman"/>
          <w:color w:val="000000" w:themeColor="text1"/>
          <w:sz w:val="24"/>
          <w:szCs w:val="24"/>
          <w:lang w:eastAsia="lv-LV"/>
        </w:rPr>
        <w:t xml:space="preserve">rības informēšanas pasākumus (seminārus, konferences, diskusijas, apmācības, publikācijas medijos un sociālajos tīklos), ir iedibināta jauna tradīcija - sociālās uzņēmējdarbības nedēļa. Tāpat LM tīmekļa vietnē ir publicēta gan vispārēja informācija par </w:t>
      </w:r>
      <w:r w:rsidRPr="0025422D">
        <w:rPr>
          <w:rFonts w:ascii="Times New Roman" w:eastAsia="Times New Roman" w:hAnsi="Times New Roman"/>
          <w:color w:val="000000" w:themeColor="text1"/>
          <w:sz w:val="24"/>
          <w:szCs w:val="24"/>
          <w:lang w:eastAsia="lv-LV"/>
        </w:rPr>
        <w:lastRenderedPageBreak/>
        <w:t>soc</w:t>
      </w:r>
      <w:r w:rsidRPr="00A857F2">
        <w:rPr>
          <w:rFonts w:ascii="Times New Roman" w:eastAsia="Times New Roman" w:hAnsi="Times New Roman"/>
          <w:color w:val="000000" w:themeColor="text1"/>
          <w:sz w:val="24"/>
          <w:szCs w:val="24"/>
          <w:lang w:eastAsia="lv-LV"/>
        </w:rPr>
        <w:t>iālo uzņēmējdarbību un tās regulējumu Latvijā, gan praktiska informācija sociālajiem uzņēmējiem – iesnieguma sociālā uzņēmuma statusa piešķiršanai un darbības pārskata veidlapas un to aizpildīšanas vadlīnijas. Konsultatīvā atbalsta sniegšanai LM nodrošina</w:t>
      </w:r>
      <w:r w:rsidRPr="00662D1E">
        <w:rPr>
          <w:rFonts w:ascii="Times New Roman" w:eastAsia="Times New Roman" w:hAnsi="Times New Roman"/>
          <w:color w:val="000000" w:themeColor="text1"/>
          <w:sz w:val="24"/>
          <w:szCs w:val="24"/>
          <w:lang w:eastAsia="lv-LV"/>
        </w:rPr>
        <w:t xml:space="preserve"> informatīvā tālruņa darbību. Tiek organizētas mācības sociālās uzņēmējdarbības uzsācējiem, un, lai atvieglotu sociāliem uzņēmumiem biznesa projektu sagatavošanu, sociālajiem uzņēmumiem tiek piedāvātas konsultācijas biznesa plāna izstrādei. </w:t>
      </w:r>
    </w:p>
    <w:p w14:paraId="0F439238" w14:textId="77777777" w:rsidR="00FE1751" w:rsidRPr="0015154B" w:rsidRDefault="00FE1751" w:rsidP="00724B79">
      <w:pPr>
        <w:spacing w:before="120" w:after="0" w:line="240" w:lineRule="auto"/>
        <w:ind w:firstLine="720"/>
        <w:jc w:val="both"/>
        <w:rPr>
          <w:rFonts w:ascii="Times New Roman" w:eastAsia="Times New Roman" w:hAnsi="Times New Roman"/>
          <w:color w:val="000000" w:themeColor="text1"/>
          <w:sz w:val="24"/>
          <w:szCs w:val="24"/>
          <w:lang w:eastAsia="lv-LV"/>
        </w:rPr>
      </w:pPr>
      <w:r w:rsidRPr="009703E6">
        <w:rPr>
          <w:rFonts w:ascii="Times New Roman" w:eastAsia="Times New Roman" w:hAnsi="Times New Roman"/>
          <w:color w:val="000000" w:themeColor="text1"/>
          <w:sz w:val="24"/>
          <w:szCs w:val="24"/>
          <w:lang w:eastAsia="lv-LV"/>
        </w:rPr>
        <w:t>Lai pilnveidot</w:t>
      </w:r>
      <w:r w:rsidRPr="0015154B">
        <w:rPr>
          <w:rFonts w:ascii="Times New Roman" w:eastAsia="Times New Roman" w:hAnsi="Times New Roman"/>
          <w:color w:val="000000" w:themeColor="text1"/>
          <w:sz w:val="24"/>
          <w:szCs w:val="24"/>
          <w:lang w:eastAsia="lv-LV"/>
        </w:rPr>
        <w:t xml:space="preserve">u sociālās uzņēmējdarbības regulējumu saskaņā ar informatīvajā ziņojumā “Par sociālo uzņēmumu darbību un attīstību” minētajiem secinājumiem un izstrādātajiem priekšlikumiem, 2020.gadā plānots izstrādāt grozījumus Sociālā uzņēmuma likumā, pilnveidojot sociālā uzņēmuma statusa piešķiršanai izvirzītās prasības. Tāpat plānots izstrādāt grozījumus regulējumā, lai precizētu sociālā uzņēmuma statusa piešķiršanas un uzraudzības kārtību, pilnveidotu Sociālo uzņēmumu komisijas darba organizāciju, paplašinātu Labklājības ministrijas iespējas saņemt informāciju no valsts institūciju datubāzēm u.c., tādējādi pilnveidojot kopējo sociālās uzņēmējdarbības ekosistēmu Latvijā. </w:t>
      </w:r>
    </w:p>
    <w:p w14:paraId="2E4D3839" w14:textId="77777777" w:rsidR="00FE1751" w:rsidRPr="0015154B" w:rsidRDefault="00FE1751" w:rsidP="00724B79">
      <w:pPr>
        <w:spacing w:before="120" w:after="0" w:line="240" w:lineRule="auto"/>
        <w:ind w:firstLine="720"/>
        <w:jc w:val="both"/>
        <w:rPr>
          <w:rFonts w:ascii="Times New Roman" w:eastAsia="Times New Roman" w:hAnsi="Times New Roman"/>
          <w:color w:val="000000" w:themeColor="text1"/>
          <w:sz w:val="24"/>
          <w:szCs w:val="24"/>
          <w:lang w:eastAsia="lv-LV"/>
        </w:rPr>
      </w:pPr>
      <w:r w:rsidRPr="0015154B">
        <w:rPr>
          <w:rFonts w:ascii="Times New Roman" w:eastAsia="Times New Roman" w:hAnsi="Times New Roman"/>
          <w:color w:val="000000" w:themeColor="text1"/>
          <w:sz w:val="24"/>
          <w:szCs w:val="24"/>
          <w:lang w:eastAsia="lv-LV"/>
        </w:rPr>
        <w:t xml:space="preserve">Ņemot vērā informatīvajā ziņojumā “Par sociālo uzņēmumu darbību un attīstību” apkopotos secinājumus un atziņas par līdzšinējo pieredzi un rezultātiem sociālās uzņēmējdarbības jomā, ir nepieciešams turpināt atbalstīt sociālās uzņēmējdarbības ekosistēmu Latvijā, lai arī turpmāk sociālie uzņēmumi varētu integrēt darba tirgū mērķa grupas, sniegt pakalpojumus mērķa grupām un risināt sabiedrībai nozīmīgas problēmas, tādējādi radot labvēlīgu un nozīmīgu sociālo ietekmi. </w:t>
      </w:r>
    </w:p>
    <w:p w14:paraId="6372C04A" w14:textId="13B845C8" w:rsidR="00FE1751" w:rsidRPr="0015154B" w:rsidRDefault="00FE1751" w:rsidP="00724B79">
      <w:pPr>
        <w:spacing w:before="120" w:after="0" w:line="240" w:lineRule="auto"/>
        <w:ind w:firstLine="720"/>
        <w:jc w:val="both"/>
        <w:rPr>
          <w:rFonts w:ascii="Times New Roman" w:eastAsia="Times New Roman" w:hAnsi="Times New Roman"/>
          <w:color w:val="000000" w:themeColor="text1"/>
          <w:sz w:val="24"/>
          <w:szCs w:val="24"/>
          <w:lang w:eastAsia="lv-LV"/>
        </w:rPr>
      </w:pPr>
      <w:r w:rsidRPr="0015154B">
        <w:rPr>
          <w:rFonts w:ascii="Times New Roman" w:eastAsia="Times New Roman" w:hAnsi="Times New Roman"/>
          <w:color w:val="000000" w:themeColor="text1"/>
          <w:sz w:val="24"/>
          <w:szCs w:val="24"/>
          <w:lang w:eastAsia="lv-LV"/>
        </w:rPr>
        <w:t>Turpmākās prioritātes sociālo uzņēmumu atbalstam būtu šādos vi</w:t>
      </w:r>
      <w:r w:rsidR="008B55B7" w:rsidRPr="0015154B">
        <w:rPr>
          <w:rFonts w:ascii="Times New Roman" w:eastAsia="Times New Roman" w:hAnsi="Times New Roman"/>
          <w:color w:val="000000" w:themeColor="text1"/>
          <w:sz w:val="24"/>
          <w:szCs w:val="24"/>
          <w:lang w:eastAsia="lv-LV"/>
        </w:rPr>
        <w:t>r</w:t>
      </w:r>
      <w:r w:rsidRPr="0015154B">
        <w:rPr>
          <w:rFonts w:ascii="Times New Roman" w:eastAsia="Times New Roman" w:hAnsi="Times New Roman"/>
          <w:color w:val="000000" w:themeColor="text1"/>
          <w:sz w:val="24"/>
          <w:szCs w:val="24"/>
          <w:lang w:eastAsia="lv-LV"/>
        </w:rPr>
        <w:t xml:space="preserve">zienos - sabiedrības informēšanas un izglītošanas pasākumi, lai veicinātu sabiedrības izpratni un interesi iesaistīties sociālajā uzņēmējdarbībā, atbalsta instrumentu pilnveide mērķa grupu iekļaušanai darba tirgū, apmācības un konsultācijas potenciālajiem sociālajiem uzņēmējiem, sociālās uzņēmējdarbības uzsācēju ideju konkursu organizēšana, grantu piešķiršanas sistēmas pilnveide, izskatot iespējas piemērot arī finanšu instrumentus vai kombinēt grantus ar finanšu instrumentiem, sociālo uzņēmumu reģistra pilnveide, veiktspējas stiprināšana sociālo uzņēmumu atbalsta sistēmā iesaistītajām institūcijām un sadarbības partneriem. </w:t>
      </w:r>
    </w:p>
    <w:p w14:paraId="4447D211" w14:textId="77777777" w:rsidR="00FE1751" w:rsidRPr="0015154B" w:rsidRDefault="00FE1751" w:rsidP="00FE1751">
      <w:pPr>
        <w:spacing w:after="0" w:line="240" w:lineRule="auto"/>
        <w:jc w:val="both"/>
        <w:rPr>
          <w:rFonts w:ascii="Times New Roman" w:eastAsia="Times New Roman" w:hAnsi="Times New Roman" w:cs="Times New Roman"/>
          <w:color w:val="000000" w:themeColor="text1"/>
          <w:sz w:val="24"/>
          <w:szCs w:val="24"/>
          <w:lang w:eastAsia="lv-LV"/>
        </w:rPr>
      </w:pPr>
    </w:p>
    <w:p w14:paraId="1252A155" w14:textId="464C1A26" w:rsidR="00FE1751" w:rsidRPr="0015154B" w:rsidRDefault="002E4D66" w:rsidP="00DA5144">
      <w:pPr>
        <w:pStyle w:val="Heading2"/>
      </w:pPr>
      <w:bookmarkStart w:id="94" w:name="_Toc55316121"/>
      <w:r>
        <w:t xml:space="preserve"> </w:t>
      </w:r>
      <w:r w:rsidR="00FE1751" w:rsidRPr="0015154B">
        <w:t>Darba samaksa un minimālā darba alga</w:t>
      </w:r>
      <w:bookmarkEnd w:id="94"/>
    </w:p>
    <w:p w14:paraId="0703F47A" w14:textId="6364B40A" w:rsidR="00FE1751" w:rsidRPr="0015154B" w:rsidRDefault="00FE1751" w:rsidP="00724B79">
      <w:pPr>
        <w:pStyle w:val="FootnoteText"/>
        <w:spacing w:before="120" w:after="0" w:line="240" w:lineRule="auto"/>
        <w:ind w:firstLine="720"/>
        <w:jc w:val="both"/>
        <w:rPr>
          <w:rFonts w:ascii="Times New Roman" w:hAnsi="Times New Roman"/>
          <w:sz w:val="24"/>
          <w:szCs w:val="24"/>
          <w:lang w:val="lv-LV"/>
        </w:rPr>
      </w:pPr>
      <w:r w:rsidRPr="0015154B">
        <w:rPr>
          <w:rFonts w:ascii="Times New Roman" w:hAnsi="Times New Roman"/>
          <w:sz w:val="24"/>
          <w:szCs w:val="24"/>
          <w:lang w:val="lv-LV"/>
        </w:rPr>
        <w:t>Alga ir būtisks mājsaimniecības ienākumu veids. Minimālā mēneša darba alga ir instruments mazkvalificētu darbinieku aizsardzībai (nosakot minimālo cenu šāda veida darbam), nevienlīdzības mazināšanai un vienlaicīgi darbojas arī kā kopējā pieprasījuma uzturētājs. Minimālās mēneša darba algas pieaugums tiešā veidā palielina mazo algu saņēmēju pirktspēju, pozitīvi ietekmējot iekšējo pieprasījumu, tādējādi balstot arī ekonomikas izaugsmi.</w:t>
      </w:r>
    </w:p>
    <w:p w14:paraId="3DC6A172" w14:textId="77777777" w:rsidR="00FE1751" w:rsidRPr="0015154B" w:rsidRDefault="00FE1751" w:rsidP="00724B79">
      <w:pPr>
        <w:spacing w:before="120"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hAnsi="Times New Roman"/>
          <w:sz w:val="24"/>
          <w:szCs w:val="24"/>
        </w:rPr>
        <w:t>Viens no Latvijas ratificētās Starptautiskās Darba organizācijas konvencijas Nr.131 „Par minimālās darba algas noteikšanu” mērķiem ir aizsargāt strādājošos no nepamatoti zemām algām. Tas uzliek valstij pienākumu, nosakot minimālās darba algas līmeni, ņemt vērā strādājošo un viņu ģimenes vajadzības, vispārējo darba algu līmeni valstī, dzīvošanas izmaksas, sociālos pabalstus, citu sociālo grupu relatīvo dzīves līmeni, kā arī ekonomiskos faktorus, ieskaitot ekonomiskās attīstības prasības, darba ražīguma līmeni un vēlamību sasniegt un uzturēt augstu nodarbinātības līmeni. Tāpat ANO Vispārējā cilvēka tiesību deklarācijā ir noteikts, ka „katram strādājošajam ir tiesības uz taisnīgu un pienācīgu darba algu, kas nodrošina cilvēka cienīgu dzīvi viņam un viņa ģimenei”. Pamatojoties uz iepriekš minētajiem starptautiskajiem līgumiem, Latvijai ir uzliktas zināmas saistības attiecībā uz darba samaksas regulējumu, tāpēc svarīgi ir turpināt darbu pie minimālās darba algas regulāras pārskatīšanas.</w:t>
      </w:r>
    </w:p>
    <w:p w14:paraId="082C63F1" w14:textId="76824B1D" w:rsidR="00FE1751" w:rsidRPr="0015154B" w:rsidRDefault="00FE1751" w:rsidP="00724B79">
      <w:pPr>
        <w:spacing w:before="120" w:after="0" w:line="240" w:lineRule="auto"/>
        <w:ind w:firstLine="720"/>
        <w:jc w:val="both"/>
        <w:rPr>
          <w:rFonts w:ascii="Times New Roman" w:hAnsi="Times New Roman" w:cs="Times New Roman"/>
          <w:sz w:val="24"/>
          <w:szCs w:val="24"/>
        </w:rPr>
      </w:pPr>
      <w:r w:rsidRPr="0015154B">
        <w:rPr>
          <w:rFonts w:ascii="Times New Roman" w:eastAsia="Times New Roman" w:hAnsi="Times New Roman" w:cs="Times New Roman"/>
          <w:color w:val="000000" w:themeColor="text1"/>
          <w:sz w:val="24"/>
          <w:szCs w:val="24"/>
          <w:lang w:eastAsia="lv-LV"/>
        </w:rPr>
        <w:lastRenderedPageBreak/>
        <w:t xml:space="preserve">Stabilizējoties ekonomiskajai situācijai pēc 2008.gada pasaules finanšu krīzes, kopš 2010. gada beigām atsākās </w:t>
      </w:r>
      <w:r w:rsidRPr="0015154B">
        <w:rPr>
          <w:rFonts w:ascii="Times New Roman" w:eastAsia="Times New Roman" w:hAnsi="Times New Roman" w:cs="Times New Roman"/>
          <w:b/>
          <w:color w:val="000000" w:themeColor="text1"/>
          <w:sz w:val="24"/>
          <w:szCs w:val="24"/>
          <w:lang w:eastAsia="lv-LV"/>
        </w:rPr>
        <w:t>atalgojuma pieaugums</w:t>
      </w:r>
      <w:r w:rsidRPr="0015154B">
        <w:rPr>
          <w:rFonts w:ascii="Times New Roman" w:eastAsia="Times New Roman" w:hAnsi="Times New Roman" w:cs="Times New Roman"/>
          <w:color w:val="000000" w:themeColor="text1"/>
          <w:sz w:val="24"/>
          <w:szCs w:val="24"/>
          <w:lang w:eastAsia="lv-LV"/>
        </w:rPr>
        <w:t>.</w:t>
      </w:r>
      <w:r w:rsidR="00EB50F4" w:rsidRPr="0015154B">
        <w:rPr>
          <w:rFonts w:ascii="Times New Roman" w:eastAsia="Times New Roman" w:hAnsi="Times New Roman" w:cs="Times New Roman"/>
          <w:color w:val="000000" w:themeColor="text1"/>
          <w:sz w:val="24"/>
          <w:szCs w:val="24"/>
          <w:lang w:eastAsia="lv-LV"/>
        </w:rPr>
        <w:t xml:space="preserve"> (</w:t>
      </w:r>
      <w:r w:rsidR="00EB50F4" w:rsidRPr="00ED028B">
        <w:rPr>
          <w:rFonts w:ascii="Times New Roman" w:eastAsia="Times New Roman" w:hAnsi="Times New Roman" w:cs="Times New Roman"/>
          <w:color w:val="000000" w:themeColor="text1"/>
          <w:sz w:val="24"/>
          <w:szCs w:val="24"/>
          <w:highlight w:val="yellow"/>
          <w:lang w:eastAsia="lv-LV"/>
        </w:rPr>
        <w:t xml:space="preserve">skat </w:t>
      </w:r>
      <w:r w:rsidR="007F3D1D" w:rsidRPr="00ED028B">
        <w:rPr>
          <w:rFonts w:ascii="Times New Roman" w:eastAsia="Times New Roman" w:hAnsi="Times New Roman" w:cs="Times New Roman"/>
          <w:color w:val="000000" w:themeColor="text1"/>
          <w:sz w:val="24"/>
          <w:szCs w:val="24"/>
          <w:highlight w:val="yellow"/>
          <w:lang w:eastAsia="lv-LV"/>
        </w:rPr>
        <w:t>2</w:t>
      </w:r>
      <w:r w:rsidR="002E4D66">
        <w:rPr>
          <w:rFonts w:ascii="Times New Roman" w:eastAsia="Times New Roman" w:hAnsi="Times New Roman" w:cs="Times New Roman"/>
          <w:color w:val="000000" w:themeColor="text1"/>
          <w:sz w:val="24"/>
          <w:szCs w:val="24"/>
          <w:highlight w:val="yellow"/>
          <w:lang w:eastAsia="lv-LV"/>
        </w:rPr>
        <w:t>7</w:t>
      </w:r>
      <w:r w:rsidR="007F3D1D" w:rsidRPr="00ED028B">
        <w:rPr>
          <w:rFonts w:ascii="Times New Roman" w:eastAsia="Times New Roman" w:hAnsi="Times New Roman" w:cs="Times New Roman"/>
          <w:color w:val="000000" w:themeColor="text1"/>
          <w:sz w:val="24"/>
          <w:szCs w:val="24"/>
          <w:highlight w:val="yellow"/>
          <w:lang w:eastAsia="lv-LV"/>
        </w:rPr>
        <w:t>.</w:t>
      </w:r>
      <w:r w:rsidR="00EB50F4" w:rsidRPr="00ED028B">
        <w:rPr>
          <w:rFonts w:ascii="Times New Roman" w:eastAsia="Times New Roman" w:hAnsi="Times New Roman" w:cs="Times New Roman"/>
          <w:color w:val="000000" w:themeColor="text1"/>
          <w:sz w:val="24"/>
          <w:szCs w:val="24"/>
          <w:highlight w:val="yellow"/>
          <w:lang w:eastAsia="lv-LV"/>
        </w:rPr>
        <w:t>tabulu</w:t>
      </w:r>
      <w:r w:rsidR="00EB50F4" w:rsidRPr="0015154B">
        <w:rPr>
          <w:rFonts w:ascii="Times New Roman" w:eastAsia="Times New Roman" w:hAnsi="Times New Roman" w:cs="Times New Roman"/>
          <w:color w:val="000000" w:themeColor="text1"/>
          <w:sz w:val="24"/>
          <w:szCs w:val="24"/>
          <w:lang w:eastAsia="lv-LV"/>
        </w:rPr>
        <w:t>)</w:t>
      </w:r>
      <w:r w:rsidRPr="0015154B">
        <w:rPr>
          <w:rFonts w:ascii="Times New Roman" w:eastAsia="Times New Roman" w:hAnsi="Times New Roman" w:cs="Times New Roman"/>
          <w:color w:val="000000" w:themeColor="text1"/>
          <w:sz w:val="24"/>
          <w:szCs w:val="24"/>
          <w:lang w:eastAsia="lv-LV"/>
        </w:rPr>
        <w:t xml:space="preserve"> </w:t>
      </w:r>
      <w:r w:rsidRPr="0015154B">
        <w:rPr>
          <w:rFonts w:ascii="Times New Roman" w:hAnsi="Times New Roman" w:cs="Times New Roman"/>
          <w:sz w:val="24"/>
          <w:szCs w:val="24"/>
        </w:rPr>
        <w:t xml:space="preserve">Darba algu pieaugums 2014.-2019.gadā saglabājies virs 5% gadā. </w:t>
      </w:r>
    </w:p>
    <w:p w14:paraId="2A02B9A4" w14:textId="77777777" w:rsidR="00FE1751" w:rsidRPr="0015154B" w:rsidRDefault="00FE1751" w:rsidP="00FE1751">
      <w:pPr>
        <w:spacing w:after="0" w:line="240" w:lineRule="auto"/>
        <w:jc w:val="both"/>
        <w:rPr>
          <w:rFonts w:ascii="Times New Roman" w:hAnsi="Times New Roman" w:cs="Times New Roman"/>
          <w:sz w:val="24"/>
          <w:szCs w:val="24"/>
        </w:rPr>
      </w:pPr>
    </w:p>
    <w:p w14:paraId="45989F0C" w14:textId="345A949E" w:rsidR="00FE1751" w:rsidRPr="0015154B" w:rsidRDefault="007F3D1D" w:rsidP="00FE1751">
      <w:pPr>
        <w:spacing w:after="0" w:line="240" w:lineRule="auto"/>
        <w:jc w:val="both"/>
        <w:rPr>
          <w:rFonts w:ascii="Times New Roman" w:hAnsi="Times New Roman" w:cs="Times New Roman"/>
          <w:sz w:val="24"/>
          <w:szCs w:val="24"/>
        </w:rPr>
      </w:pPr>
      <w:r w:rsidRPr="002E4D66">
        <w:rPr>
          <w:rFonts w:ascii="Times New Roman" w:hAnsi="Times New Roman" w:cs="Times New Roman"/>
          <w:sz w:val="24"/>
          <w:szCs w:val="24"/>
        </w:rPr>
        <w:t>2</w:t>
      </w:r>
      <w:r w:rsidR="002E4D66" w:rsidRPr="002E4D66">
        <w:rPr>
          <w:rFonts w:ascii="Times New Roman" w:hAnsi="Times New Roman" w:cs="Times New Roman"/>
          <w:sz w:val="24"/>
          <w:szCs w:val="24"/>
        </w:rPr>
        <w:t>7</w:t>
      </w:r>
      <w:r w:rsidR="00FE1751" w:rsidRPr="002E4D66">
        <w:rPr>
          <w:rFonts w:ascii="Times New Roman" w:hAnsi="Times New Roman" w:cs="Times New Roman"/>
          <w:sz w:val="24"/>
          <w:szCs w:val="24"/>
        </w:rPr>
        <w:t>.tabula</w:t>
      </w:r>
    </w:p>
    <w:p w14:paraId="0B1A5A5E" w14:textId="269107A8" w:rsidR="00FE1751" w:rsidRPr="0015154B" w:rsidRDefault="00FE1751" w:rsidP="001E0240">
      <w:pPr>
        <w:spacing w:after="0" w:line="240" w:lineRule="auto"/>
        <w:jc w:val="center"/>
        <w:rPr>
          <w:rFonts w:ascii="Times New Roman" w:eastAsia="Times New Roman" w:hAnsi="Times New Roman" w:cs="Times New Roman"/>
          <w:b/>
          <w:iCs/>
          <w:color w:val="002060"/>
          <w:sz w:val="24"/>
          <w:szCs w:val="24"/>
          <w:lang w:eastAsia="lv-LV"/>
        </w:rPr>
      </w:pPr>
      <w:r w:rsidRPr="0015154B">
        <w:rPr>
          <w:rFonts w:ascii="Times New Roman" w:eastAsia="Times New Roman" w:hAnsi="Times New Roman" w:cs="Times New Roman"/>
          <w:b/>
          <w:iCs/>
          <w:color w:val="002060"/>
          <w:sz w:val="24"/>
          <w:szCs w:val="24"/>
          <w:lang w:eastAsia="lv-LV"/>
        </w:rPr>
        <w:t>Darbinieku sadalījums pēc mēneša neto darba samaksas lieluma pamatdarbā, %</w:t>
      </w:r>
    </w:p>
    <w:p w14:paraId="24DF6F55" w14:textId="77777777" w:rsidR="001E0240" w:rsidRPr="0015154B" w:rsidRDefault="001E0240" w:rsidP="001E0240">
      <w:pPr>
        <w:spacing w:after="0" w:line="240" w:lineRule="auto"/>
        <w:jc w:val="center"/>
        <w:rPr>
          <w:rFonts w:ascii="Times New Roman" w:eastAsia="Times New Roman" w:hAnsi="Times New Roman" w:cs="Times New Roman"/>
          <w:b/>
          <w:iCs/>
          <w:sz w:val="24"/>
          <w:szCs w:val="24"/>
          <w:lang w:eastAsia="lv-LV"/>
        </w:rPr>
      </w:pPr>
    </w:p>
    <w:tbl>
      <w:tblPr>
        <w:tblStyle w:val="TableGrid"/>
        <w:tblW w:w="0" w:type="auto"/>
        <w:tblLook w:val="04A0" w:firstRow="1" w:lastRow="0" w:firstColumn="1" w:lastColumn="0" w:noHBand="0" w:noVBand="1"/>
      </w:tblPr>
      <w:tblGrid>
        <w:gridCol w:w="1536"/>
        <w:gridCol w:w="1126"/>
        <w:gridCol w:w="1126"/>
        <w:gridCol w:w="1127"/>
        <w:gridCol w:w="1127"/>
        <w:gridCol w:w="1127"/>
        <w:gridCol w:w="1127"/>
      </w:tblGrid>
      <w:tr w:rsidR="00FE1751" w:rsidRPr="0015154B" w14:paraId="1A4E1967" w14:textId="77777777" w:rsidTr="00033452">
        <w:tc>
          <w:tcPr>
            <w:tcW w:w="1536" w:type="dxa"/>
            <w:shd w:val="clear" w:color="auto" w:fill="E8F3D3" w:themeFill="accent2" w:themeFillTint="33"/>
          </w:tcPr>
          <w:p w14:paraId="0D0974CF" w14:textId="77777777" w:rsidR="00FE1751" w:rsidRPr="0015154B" w:rsidRDefault="00FE1751" w:rsidP="003077EC">
            <w:pPr>
              <w:jc w:val="both"/>
              <w:rPr>
                <w:rFonts w:ascii="Times New Roman" w:hAnsi="Times New Roman" w:cs="Times New Roman"/>
                <w:b/>
                <w:bCs/>
                <w:color w:val="002060"/>
                <w:sz w:val="24"/>
                <w:szCs w:val="24"/>
              </w:rPr>
            </w:pPr>
          </w:p>
        </w:tc>
        <w:tc>
          <w:tcPr>
            <w:tcW w:w="1126" w:type="dxa"/>
            <w:shd w:val="clear" w:color="auto" w:fill="E8F3D3" w:themeFill="accent2" w:themeFillTint="33"/>
          </w:tcPr>
          <w:p w14:paraId="3ED2E691" w14:textId="77777777" w:rsidR="00FE1751" w:rsidRPr="0015154B" w:rsidRDefault="00FE1751" w:rsidP="003077EC">
            <w:pPr>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2014.g. 4.cet.</w:t>
            </w:r>
          </w:p>
        </w:tc>
        <w:tc>
          <w:tcPr>
            <w:tcW w:w="1126" w:type="dxa"/>
            <w:shd w:val="clear" w:color="auto" w:fill="E8F3D3" w:themeFill="accent2" w:themeFillTint="33"/>
          </w:tcPr>
          <w:p w14:paraId="3BE41973" w14:textId="77777777" w:rsidR="00FE1751" w:rsidRPr="0015154B" w:rsidRDefault="00FE1751" w:rsidP="003077EC">
            <w:pPr>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2015.g. 4.cet.</w:t>
            </w:r>
          </w:p>
        </w:tc>
        <w:tc>
          <w:tcPr>
            <w:tcW w:w="1127" w:type="dxa"/>
            <w:shd w:val="clear" w:color="auto" w:fill="E8F3D3" w:themeFill="accent2" w:themeFillTint="33"/>
          </w:tcPr>
          <w:p w14:paraId="38B12346" w14:textId="77777777" w:rsidR="00FE1751" w:rsidRPr="0015154B" w:rsidRDefault="00FE1751" w:rsidP="003077EC">
            <w:pPr>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2016.g. 4.cet.</w:t>
            </w:r>
          </w:p>
        </w:tc>
        <w:tc>
          <w:tcPr>
            <w:tcW w:w="1127" w:type="dxa"/>
            <w:shd w:val="clear" w:color="auto" w:fill="E8F3D3" w:themeFill="accent2" w:themeFillTint="33"/>
          </w:tcPr>
          <w:p w14:paraId="7EA30DBE" w14:textId="77777777" w:rsidR="00FE1751" w:rsidRPr="0015154B" w:rsidRDefault="00FE1751" w:rsidP="003077EC">
            <w:pPr>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2017.g. 4.cet.</w:t>
            </w:r>
          </w:p>
        </w:tc>
        <w:tc>
          <w:tcPr>
            <w:tcW w:w="1127" w:type="dxa"/>
            <w:shd w:val="clear" w:color="auto" w:fill="E8F3D3" w:themeFill="accent2" w:themeFillTint="33"/>
          </w:tcPr>
          <w:p w14:paraId="50531FA5" w14:textId="77777777" w:rsidR="00FE1751" w:rsidRPr="0015154B" w:rsidRDefault="00FE1751" w:rsidP="003077EC">
            <w:pPr>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2018.g. 4.cet.</w:t>
            </w:r>
          </w:p>
        </w:tc>
        <w:tc>
          <w:tcPr>
            <w:tcW w:w="1127" w:type="dxa"/>
            <w:shd w:val="clear" w:color="auto" w:fill="E8F3D3" w:themeFill="accent2" w:themeFillTint="33"/>
          </w:tcPr>
          <w:p w14:paraId="1FF1CCE4" w14:textId="77777777" w:rsidR="00FE1751" w:rsidRPr="0015154B" w:rsidRDefault="00FE1751" w:rsidP="003077EC">
            <w:pPr>
              <w:jc w:val="center"/>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2019.g. 4.cet.</w:t>
            </w:r>
          </w:p>
        </w:tc>
      </w:tr>
      <w:tr w:rsidR="00FE1751" w:rsidRPr="0015154B" w14:paraId="2843EF78" w14:textId="77777777" w:rsidTr="00AF6D84">
        <w:tc>
          <w:tcPr>
            <w:tcW w:w="1536" w:type="dxa"/>
            <w:shd w:val="clear" w:color="auto" w:fill="E8F3D3" w:themeFill="accent2" w:themeFillTint="33"/>
          </w:tcPr>
          <w:p w14:paraId="41313E56" w14:textId="77777777" w:rsidR="00FE1751" w:rsidRPr="0015154B" w:rsidRDefault="00FE1751" w:rsidP="003077EC">
            <w:pPr>
              <w:jc w:val="both"/>
              <w:rPr>
                <w:rFonts w:ascii="Times New Roman" w:hAnsi="Times New Roman" w:cs="Times New Roman"/>
                <w:b/>
                <w:bCs/>
                <w:color w:val="002060"/>
                <w:sz w:val="24"/>
                <w:szCs w:val="24"/>
              </w:rPr>
            </w:pPr>
            <w:r w:rsidRPr="0015154B">
              <w:rPr>
                <w:rFonts w:ascii="Times New Roman" w:hAnsi="Times New Roman" w:cs="Times New Roman"/>
                <w:b/>
                <w:bCs/>
                <w:color w:val="002060"/>
                <w:sz w:val="24"/>
                <w:szCs w:val="24"/>
              </w:rPr>
              <w:t>Darbinieki</w:t>
            </w:r>
          </w:p>
        </w:tc>
        <w:tc>
          <w:tcPr>
            <w:tcW w:w="1126" w:type="dxa"/>
          </w:tcPr>
          <w:p w14:paraId="193152BE"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b/>
                <w:bCs/>
                <w:color w:val="000000"/>
                <w:sz w:val="24"/>
                <w:szCs w:val="24"/>
              </w:rPr>
              <w:t>100</w:t>
            </w:r>
          </w:p>
        </w:tc>
        <w:tc>
          <w:tcPr>
            <w:tcW w:w="1126" w:type="dxa"/>
          </w:tcPr>
          <w:p w14:paraId="14401346"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b/>
                <w:bCs/>
                <w:color w:val="000000"/>
                <w:sz w:val="24"/>
                <w:szCs w:val="24"/>
              </w:rPr>
              <w:t>100</w:t>
            </w:r>
          </w:p>
        </w:tc>
        <w:tc>
          <w:tcPr>
            <w:tcW w:w="1127" w:type="dxa"/>
          </w:tcPr>
          <w:p w14:paraId="79302C82"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b/>
                <w:bCs/>
                <w:color w:val="000000"/>
                <w:sz w:val="24"/>
                <w:szCs w:val="24"/>
              </w:rPr>
              <w:t>100</w:t>
            </w:r>
          </w:p>
        </w:tc>
        <w:tc>
          <w:tcPr>
            <w:tcW w:w="1127" w:type="dxa"/>
          </w:tcPr>
          <w:p w14:paraId="48286D63"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b/>
                <w:bCs/>
                <w:color w:val="000000"/>
                <w:sz w:val="24"/>
                <w:szCs w:val="24"/>
              </w:rPr>
              <w:t>100</w:t>
            </w:r>
          </w:p>
        </w:tc>
        <w:tc>
          <w:tcPr>
            <w:tcW w:w="1127" w:type="dxa"/>
          </w:tcPr>
          <w:p w14:paraId="51F95A09"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b/>
                <w:bCs/>
                <w:color w:val="000000"/>
                <w:sz w:val="24"/>
                <w:szCs w:val="24"/>
              </w:rPr>
              <w:t>100</w:t>
            </w:r>
          </w:p>
        </w:tc>
        <w:tc>
          <w:tcPr>
            <w:tcW w:w="1127" w:type="dxa"/>
          </w:tcPr>
          <w:p w14:paraId="65FFFAC3"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b/>
                <w:bCs/>
                <w:color w:val="000000"/>
                <w:sz w:val="24"/>
                <w:szCs w:val="24"/>
              </w:rPr>
              <w:t>100</w:t>
            </w:r>
          </w:p>
        </w:tc>
      </w:tr>
      <w:tr w:rsidR="00FE1751" w:rsidRPr="0015154B" w14:paraId="506FA8BE" w14:textId="77777777" w:rsidTr="00AF6D84">
        <w:tc>
          <w:tcPr>
            <w:tcW w:w="1536" w:type="dxa"/>
            <w:shd w:val="clear" w:color="auto" w:fill="E8F3D3" w:themeFill="accent2" w:themeFillTint="33"/>
            <w:vAlign w:val="bottom"/>
          </w:tcPr>
          <w:p w14:paraId="5146A642" w14:textId="77777777" w:rsidR="00FE1751" w:rsidRPr="0015154B" w:rsidRDefault="00FE1751" w:rsidP="003077EC">
            <w:pPr>
              <w:jc w:val="both"/>
              <w:rPr>
                <w:rFonts w:ascii="Times New Roman" w:hAnsi="Times New Roman" w:cs="Times New Roman"/>
                <w:b/>
                <w:bCs/>
                <w:color w:val="002060"/>
                <w:sz w:val="24"/>
                <w:szCs w:val="24"/>
              </w:rPr>
            </w:pPr>
            <w:r w:rsidRPr="0015154B">
              <w:rPr>
                <w:rFonts w:ascii="Times New Roman" w:hAnsi="Times New Roman" w:cs="Times New Roman"/>
                <w:color w:val="002060"/>
                <w:sz w:val="24"/>
                <w:szCs w:val="24"/>
              </w:rPr>
              <w:t>līdz 450,00 EUR</w:t>
            </w:r>
          </w:p>
        </w:tc>
        <w:tc>
          <w:tcPr>
            <w:tcW w:w="1126" w:type="dxa"/>
          </w:tcPr>
          <w:p w14:paraId="1E651FC0"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30,5</w:t>
            </w:r>
          </w:p>
        </w:tc>
        <w:tc>
          <w:tcPr>
            <w:tcW w:w="1126" w:type="dxa"/>
          </w:tcPr>
          <w:p w14:paraId="287FC033"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25,8</w:t>
            </w:r>
          </w:p>
        </w:tc>
        <w:tc>
          <w:tcPr>
            <w:tcW w:w="1127" w:type="dxa"/>
          </w:tcPr>
          <w:p w14:paraId="47FD27E3"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29,0</w:t>
            </w:r>
          </w:p>
        </w:tc>
        <w:tc>
          <w:tcPr>
            <w:tcW w:w="1127" w:type="dxa"/>
          </w:tcPr>
          <w:p w14:paraId="55F0149E"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27,7</w:t>
            </w:r>
          </w:p>
        </w:tc>
        <w:tc>
          <w:tcPr>
            <w:tcW w:w="1127" w:type="dxa"/>
          </w:tcPr>
          <w:p w14:paraId="7653D37A"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23,0</w:t>
            </w:r>
          </w:p>
        </w:tc>
        <w:tc>
          <w:tcPr>
            <w:tcW w:w="1127" w:type="dxa"/>
          </w:tcPr>
          <w:p w14:paraId="08E4E69C"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sz w:val="24"/>
                <w:szCs w:val="24"/>
              </w:rPr>
              <w:t>23,7</w:t>
            </w:r>
          </w:p>
        </w:tc>
      </w:tr>
      <w:tr w:rsidR="00FE1751" w:rsidRPr="0015154B" w14:paraId="0E34CC89" w14:textId="77777777" w:rsidTr="00AF6D84">
        <w:tc>
          <w:tcPr>
            <w:tcW w:w="1536" w:type="dxa"/>
            <w:shd w:val="clear" w:color="auto" w:fill="E8F3D3" w:themeFill="accent2" w:themeFillTint="33"/>
            <w:vAlign w:val="bottom"/>
          </w:tcPr>
          <w:p w14:paraId="66A95218" w14:textId="77777777" w:rsidR="00FE1751" w:rsidRPr="0015154B" w:rsidRDefault="00FE1751" w:rsidP="003077EC">
            <w:pPr>
              <w:jc w:val="both"/>
              <w:rPr>
                <w:rFonts w:ascii="Times New Roman" w:hAnsi="Times New Roman" w:cs="Times New Roman"/>
                <w:b/>
                <w:bCs/>
                <w:color w:val="002060"/>
                <w:sz w:val="24"/>
                <w:szCs w:val="24"/>
              </w:rPr>
            </w:pPr>
            <w:r w:rsidRPr="0015154B">
              <w:rPr>
                <w:rFonts w:ascii="Times New Roman" w:hAnsi="Times New Roman" w:cs="Times New Roman"/>
                <w:color w:val="002060"/>
                <w:sz w:val="24"/>
                <w:szCs w:val="24"/>
              </w:rPr>
              <w:t>darbinieki, kuri saņēma minimālo darba algu vai mazāk</w:t>
            </w:r>
          </w:p>
        </w:tc>
        <w:tc>
          <w:tcPr>
            <w:tcW w:w="1126" w:type="dxa"/>
          </w:tcPr>
          <w:p w14:paraId="08BF5118"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16,9</w:t>
            </w:r>
          </w:p>
        </w:tc>
        <w:tc>
          <w:tcPr>
            <w:tcW w:w="1126" w:type="dxa"/>
          </w:tcPr>
          <w:p w14:paraId="2E96A830"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14,4</w:t>
            </w:r>
          </w:p>
        </w:tc>
        <w:tc>
          <w:tcPr>
            <w:tcW w:w="1127" w:type="dxa"/>
          </w:tcPr>
          <w:p w14:paraId="64BF0231"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15,3</w:t>
            </w:r>
          </w:p>
        </w:tc>
        <w:tc>
          <w:tcPr>
            <w:tcW w:w="1127" w:type="dxa"/>
          </w:tcPr>
          <w:p w14:paraId="0EC3F9F4"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15,6</w:t>
            </w:r>
          </w:p>
        </w:tc>
        <w:tc>
          <w:tcPr>
            <w:tcW w:w="1127" w:type="dxa"/>
          </w:tcPr>
          <w:p w14:paraId="0F58CB8D"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12,4</w:t>
            </w:r>
          </w:p>
        </w:tc>
        <w:tc>
          <w:tcPr>
            <w:tcW w:w="1127" w:type="dxa"/>
          </w:tcPr>
          <w:p w14:paraId="5C85A5C1"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sz w:val="24"/>
                <w:szCs w:val="24"/>
              </w:rPr>
              <w:t>14,3</w:t>
            </w:r>
          </w:p>
        </w:tc>
      </w:tr>
      <w:tr w:rsidR="00FE1751" w:rsidRPr="0015154B" w14:paraId="66E91985" w14:textId="77777777" w:rsidTr="00AF6D84">
        <w:tc>
          <w:tcPr>
            <w:tcW w:w="1536" w:type="dxa"/>
            <w:shd w:val="clear" w:color="auto" w:fill="E8F3D3" w:themeFill="accent2" w:themeFillTint="33"/>
            <w:vAlign w:val="bottom"/>
          </w:tcPr>
          <w:p w14:paraId="1A975B12" w14:textId="77777777" w:rsidR="00FE1751" w:rsidRPr="0015154B" w:rsidRDefault="00FE1751" w:rsidP="003077EC">
            <w:pPr>
              <w:jc w:val="both"/>
              <w:rPr>
                <w:rFonts w:ascii="Times New Roman" w:hAnsi="Times New Roman" w:cs="Times New Roman"/>
                <w:b/>
                <w:bCs/>
                <w:color w:val="002060"/>
                <w:sz w:val="24"/>
                <w:szCs w:val="24"/>
              </w:rPr>
            </w:pPr>
            <w:r w:rsidRPr="0015154B">
              <w:rPr>
                <w:rFonts w:ascii="Times New Roman" w:hAnsi="Times New Roman" w:cs="Times New Roman"/>
                <w:color w:val="002060"/>
                <w:sz w:val="24"/>
                <w:szCs w:val="24"/>
              </w:rPr>
              <w:t>450,01–700,00 EUR</w:t>
            </w:r>
          </w:p>
        </w:tc>
        <w:tc>
          <w:tcPr>
            <w:tcW w:w="1126" w:type="dxa"/>
          </w:tcPr>
          <w:p w14:paraId="3B8D76F7"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34,4</w:t>
            </w:r>
          </w:p>
        </w:tc>
        <w:tc>
          <w:tcPr>
            <w:tcW w:w="1126" w:type="dxa"/>
          </w:tcPr>
          <w:p w14:paraId="3D19A8C3"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34,0</w:t>
            </w:r>
          </w:p>
        </w:tc>
        <w:tc>
          <w:tcPr>
            <w:tcW w:w="1127" w:type="dxa"/>
          </w:tcPr>
          <w:p w14:paraId="1C6C222D"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34,8</w:t>
            </w:r>
          </w:p>
        </w:tc>
        <w:tc>
          <w:tcPr>
            <w:tcW w:w="1127" w:type="dxa"/>
          </w:tcPr>
          <w:p w14:paraId="7B67C9F2"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31,5</w:t>
            </w:r>
          </w:p>
        </w:tc>
        <w:tc>
          <w:tcPr>
            <w:tcW w:w="1127" w:type="dxa"/>
          </w:tcPr>
          <w:p w14:paraId="57BB528E"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34,3</w:t>
            </w:r>
          </w:p>
        </w:tc>
        <w:tc>
          <w:tcPr>
            <w:tcW w:w="1127" w:type="dxa"/>
          </w:tcPr>
          <w:p w14:paraId="485B055A"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sz w:val="24"/>
                <w:szCs w:val="24"/>
              </w:rPr>
              <w:t>35,3</w:t>
            </w:r>
          </w:p>
        </w:tc>
      </w:tr>
      <w:tr w:rsidR="00FE1751" w:rsidRPr="0015154B" w14:paraId="69CD5D77" w14:textId="77777777" w:rsidTr="00AF6D84">
        <w:tc>
          <w:tcPr>
            <w:tcW w:w="1536" w:type="dxa"/>
            <w:shd w:val="clear" w:color="auto" w:fill="E8F3D3" w:themeFill="accent2" w:themeFillTint="33"/>
            <w:vAlign w:val="bottom"/>
          </w:tcPr>
          <w:p w14:paraId="1784FCA1" w14:textId="77777777" w:rsidR="00FE1751" w:rsidRPr="0015154B" w:rsidRDefault="00FE1751" w:rsidP="003077EC">
            <w:pPr>
              <w:jc w:val="both"/>
              <w:rPr>
                <w:rFonts w:ascii="Times New Roman" w:hAnsi="Times New Roman" w:cs="Times New Roman"/>
                <w:b/>
                <w:bCs/>
                <w:color w:val="002060"/>
                <w:sz w:val="24"/>
                <w:szCs w:val="24"/>
              </w:rPr>
            </w:pPr>
            <w:r w:rsidRPr="0015154B">
              <w:rPr>
                <w:rFonts w:ascii="Times New Roman" w:hAnsi="Times New Roman" w:cs="Times New Roman"/>
                <w:color w:val="002060"/>
                <w:sz w:val="24"/>
                <w:szCs w:val="24"/>
              </w:rPr>
              <w:t>700,01–1400,00 EUR</w:t>
            </w:r>
          </w:p>
        </w:tc>
        <w:tc>
          <w:tcPr>
            <w:tcW w:w="1126" w:type="dxa"/>
          </w:tcPr>
          <w:p w14:paraId="63DC62E2"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25,7</w:t>
            </w:r>
          </w:p>
        </w:tc>
        <w:tc>
          <w:tcPr>
            <w:tcW w:w="1126" w:type="dxa"/>
          </w:tcPr>
          <w:p w14:paraId="18CA735C"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29,9</w:t>
            </w:r>
          </w:p>
        </w:tc>
        <w:tc>
          <w:tcPr>
            <w:tcW w:w="1127" w:type="dxa"/>
          </w:tcPr>
          <w:p w14:paraId="29B8628C"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26,4</w:t>
            </w:r>
          </w:p>
        </w:tc>
        <w:tc>
          <w:tcPr>
            <w:tcW w:w="1127" w:type="dxa"/>
          </w:tcPr>
          <w:p w14:paraId="21A94B56"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30,2</w:t>
            </w:r>
          </w:p>
        </w:tc>
        <w:tc>
          <w:tcPr>
            <w:tcW w:w="1127" w:type="dxa"/>
          </w:tcPr>
          <w:p w14:paraId="76BBD7BD"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31,8</w:t>
            </w:r>
          </w:p>
        </w:tc>
        <w:tc>
          <w:tcPr>
            <w:tcW w:w="1127" w:type="dxa"/>
          </w:tcPr>
          <w:p w14:paraId="1F506207"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sz w:val="24"/>
                <w:szCs w:val="24"/>
              </w:rPr>
              <w:t>31,1</w:t>
            </w:r>
          </w:p>
        </w:tc>
      </w:tr>
      <w:tr w:rsidR="00FE1751" w:rsidRPr="0015154B" w14:paraId="0392E446" w14:textId="77777777" w:rsidTr="00AF6D84">
        <w:tc>
          <w:tcPr>
            <w:tcW w:w="1536" w:type="dxa"/>
            <w:shd w:val="clear" w:color="auto" w:fill="E8F3D3" w:themeFill="accent2" w:themeFillTint="33"/>
            <w:vAlign w:val="bottom"/>
          </w:tcPr>
          <w:p w14:paraId="06877D8B" w14:textId="77777777" w:rsidR="00FE1751" w:rsidRPr="0015154B" w:rsidRDefault="00FE1751" w:rsidP="003077EC">
            <w:pPr>
              <w:jc w:val="both"/>
              <w:rPr>
                <w:rFonts w:ascii="Times New Roman" w:hAnsi="Times New Roman" w:cs="Times New Roman"/>
                <w:b/>
                <w:bCs/>
                <w:color w:val="002060"/>
                <w:sz w:val="24"/>
                <w:szCs w:val="24"/>
              </w:rPr>
            </w:pPr>
            <w:r w:rsidRPr="0015154B">
              <w:rPr>
                <w:rFonts w:ascii="Times New Roman" w:hAnsi="Times New Roman" w:cs="Times New Roman"/>
                <w:color w:val="002060"/>
                <w:sz w:val="24"/>
                <w:szCs w:val="24"/>
              </w:rPr>
              <w:t>1400,01 EUR un vairāk</w:t>
            </w:r>
          </w:p>
        </w:tc>
        <w:tc>
          <w:tcPr>
            <w:tcW w:w="1126" w:type="dxa"/>
          </w:tcPr>
          <w:p w14:paraId="16E7F2C6"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4,1</w:t>
            </w:r>
          </w:p>
        </w:tc>
        <w:tc>
          <w:tcPr>
            <w:tcW w:w="1126" w:type="dxa"/>
          </w:tcPr>
          <w:p w14:paraId="5B594F06"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5,3</w:t>
            </w:r>
          </w:p>
        </w:tc>
        <w:tc>
          <w:tcPr>
            <w:tcW w:w="1127" w:type="dxa"/>
          </w:tcPr>
          <w:p w14:paraId="0C3982C2"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4,4</w:t>
            </w:r>
          </w:p>
        </w:tc>
        <w:tc>
          <w:tcPr>
            <w:tcW w:w="1127" w:type="dxa"/>
          </w:tcPr>
          <w:p w14:paraId="1559FD55"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5,3</w:t>
            </w:r>
          </w:p>
        </w:tc>
        <w:tc>
          <w:tcPr>
            <w:tcW w:w="1127" w:type="dxa"/>
          </w:tcPr>
          <w:p w14:paraId="385869D7"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5,9</w:t>
            </w:r>
          </w:p>
        </w:tc>
        <w:tc>
          <w:tcPr>
            <w:tcW w:w="1127" w:type="dxa"/>
          </w:tcPr>
          <w:p w14:paraId="32E12D48"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sz w:val="24"/>
                <w:szCs w:val="24"/>
              </w:rPr>
              <w:t>5,5</w:t>
            </w:r>
          </w:p>
        </w:tc>
      </w:tr>
      <w:tr w:rsidR="00FE1751" w:rsidRPr="0015154B" w14:paraId="24261FCB" w14:textId="77777777" w:rsidTr="00AF6D84">
        <w:tc>
          <w:tcPr>
            <w:tcW w:w="1536" w:type="dxa"/>
            <w:shd w:val="clear" w:color="auto" w:fill="E8F3D3" w:themeFill="accent2" w:themeFillTint="33"/>
            <w:vAlign w:val="bottom"/>
          </w:tcPr>
          <w:p w14:paraId="354BFEFD" w14:textId="77777777" w:rsidR="00FE1751" w:rsidRPr="0015154B" w:rsidRDefault="00FE1751" w:rsidP="003077EC">
            <w:pPr>
              <w:jc w:val="both"/>
              <w:rPr>
                <w:rFonts w:ascii="Times New Roman" w:hAnsi="Times New Roman" w:cs="Times New Roman"/>
                <w:b/>
                <w:bCs/>
                <w:color w:val="002060"/>
                <w:sz w:val="24"/>
                <w:szCs w:val="24"/>
              </w:rPr>
            </w:pPr>
            <w:r w:rsidRPr="0015154B">
              <w:rPr>
                <w:rFonts w:ascii="Times New Roman" w:hAnsi="Times New Roman" w:cs="Times New Roman"/>
                <w:color w:val="002060"/>
                <w:sz w:val="24"/>
                <w:szCs w:val="24"/>
              </w:rPr>
              <w:t>netika aprēķināta vai izmaksāta</w:t>
            </w:r>
          </w:p>
        </w:tc>
        <w:tc>
          <w:tcPr>
            <w:tcW w:w="1126" w:type="dxa"/>
          </w:tcPr>
          <w:p w14:paraId="3F81F42C"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2,6</w:t>
            </w:r>
          </w:p>
        </w:tc>
        <w:tc>
          <w:tcPr>
            <w:tcW w:w="1126" w:type="dxa"/>
          </w:tcPr>
          <w:p w14:paraId="778101AA"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2,7</w:t>
            </w:r>
          </w:p>
        </w:tc>
        <w:tc>
          <w:tcPr>
            <w:tcW w:w="1127" w:type="dxa"/>
          </w:tcPr>
          <w:p w14:paraId="2B29D41D"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2,8</w:t>
            </w:r>
          </w:p>
        </w:tc>
        <w:tc>
          <w:tcPr>
            <w:tcW w:w="1127" w:type="dxa"/>
          </w:tcPr>
          <w:p w14:paraId="7EBB3206"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2,9</w:t>
            </w:r>
          </w:p>
        </w:tc>
        <w:tc>
          <w:tcPr>
            <w:tcW w:w="1127" w:type="dxa"/>
          </w:tcPr>
          <w:p w14:paraId="6E7B1A0C"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2,4</w:t>
            </w:r>
          </w:p>
        </w:tc>
        <w:tc>
          <w:tcPr>
            <w:tcW w:w="1127" w:type="dxa"/>
          </w:tcPr>
          <w:p w14:paraId="03A32098"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sz w:val="24"/>
                <w:szCs w:val="24"/>
              </w:rPr>
              <w:t>2,6</w:t>
            </w:r>
          </w:p>
        </w:tc>
      </w:tr>
      <w:tr w:rsidR="00FE1751" w:rsidRPr="0015154B" w14:paraId="1F16C8A0" w14:textId="77777777" w:rsidTr="00AF6D84">
        <w:tc>
          <w:tcPr>
            <w:tcW w:w="1536" w:type="dxa"/>
            <w:shd w:val="clear" w:color="auto" w:fill="E8F3D3" w:themeFill="accent2" w:themeFillTint="33"/>
            <w:vAlign w:val="bottom"/>
          </w:tcPr>
          <w:p w14:paraId="659E678A" w14:textId="77777777" w:rsidR="00FE1751" w:rsidRPr="0015154B" w:rsidRDefault="00FE1751" w:rsidP="003077EC">
            <w:pPr>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netika norādīta</w:t>
            </w:r>
          </w:p>
        </w:tc>
        <w:tc>
          <w:tcPr>
            <w:tcW w:w="1126" w:type="dxa"/>
          </w:tcPr>
          <w:p w14:paraId="08F70D33"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2,7</w:t>
            </w:r>
          </w:p>
        </w:tc>
        <w:tc>
          <w:tcPr>
            <w:tcW w:w="1126" w:type="dxa"/>
          </w:tcPr>
          <w:p w14:paraId="08C21EDE"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2,3</w:t>
            </w:r>
          </w:p>
        </w:tc>
        <w:tc>
          <w:tcPr>
            <w:tcW w:w="1127" w:type="dxa"/>
          </w:tcPr>
          <w:p w14:paraId="1A26ED1D"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2,6</w:t>
            </w:r>
          </w:p>
        </w:tc>
        <w:tc>
          <w:tcPr>
            <w:tcW w:w="1127" w:type="dxa"/>
          </w:tcPr>
          <w:p w14:paraId="6263296E"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2,4</w:t>
            </w:r>
          </w:p>
        </w:tc>
        <w:tc>
          <w:tcPr>
            <w:tcW w:w="1127" w:type="dxa"/>
          </w:tcPr>
          <w:p w14:paraId="11394E22" w14:textId="77777777" w:rsidR="00FE1751" w:rsidRPr="0015154B" w:rsidRDefault="00FE1751" w:rsidP="003077EC">
            <w:pPr>
              <w:jc w:val="center"/>
              <w:rPr>
                <w:rFonts w:ascii="Times New Roman" w:hAnsi="Times New Roman" w:cs="Times New Roman"/>
                <w:bCs/>
                <w:color w:val="000000"/>
                <w:sz w:val="24"/>
                <w:szCs w:val="24"/>
              </w:rPr>
            </w:pPr>
            <w:r w:rsidRPr="0015154B">
              <w:rPr>
                <w:rFonts w:ascii="Times New Roman" w:hAnsi="Times New Roman" w:cs="Times New Roman"/>
                <w:bCs/>
                <w:color w:val="000000"/>
                <w:sz w:val="24"/>
                <w:szCs w:val="24"/>
              </w:rPr>
              <w:t>2,6</w:t>
            </w:r>
          </w:p>
        </w:tc>
        <w:tc>
          <w:tcPr>
            <w:tcW w:w="1127" w:type="dxa"/>
          </w:tcPr>
          <w:p w14:paraId="5E773AC7" w14:textId="77777777" w:rsidR="00FE1751" w:rsidRPr="0015154B" w:rsidRDefault="00FE1751" w:rsidP="003077EC">
            <w:pPr>
              <w:jc w:val="center"/>
              <w:rPr>
                <w:rFonts w:ascii="Times New Roman" w:hAnsi="Times New Roman" w:cs="Times New Roman"/>
                <w:b/>
                <w:bCs/>
                <w:color w:val="000000"/>
                <w:sz w:val="24"/>
                <w:szCs w:val="24"/>
              </w:rPr>
            </w:pPr>
            <w:r w:rsidRPr="0015154B">
              <w:rPr>
                <w:rFonts w:ascii="Times New Roman" w:hAnsi="Times New Roman" w:cs="Times New Roman"/>
                <w:sz w:val="24"/>
                <w:szCs w:val="24"/>
              </w:rPr>
              <w:t>1,8</w:t>
            </w:r>
          </w:p>
        </w:tc>
      </w:tr>
    </w:tbl>
    <w:p w14:paraId="481B5DEB" w14:textId="2495655E" w:rsidR="00FE1751" w:rsidRPr="0034525F" w:rsidRDefault="00FE1751" w:rsidP="00FE1751">
      <w:pPr>
        <w:spacing w:after="0" w:line="240" w:lineRule="auto"/>
        <w:jc w:val="both"/>
        <w:rPr>
          <w:rFonts w:ascii="Times New Roman" w:hAnsi="Times New Roman" w:cs="Times New Roman"/>
          <w:bCs/>
          <w:sz w:val="20"/>
          <w:szCs w:val="20"/>
        </w:rPr>
      </w:pPr>
      <w:r w:rsidRPr="0034525F">
        <w:rPr>
          <w:rFonts w:ascii="Times New Roman" w:hAnsi="Times New Roman" w:cs="Times New Roman"/>
          <w:bCs/>
          <w:color w:val="000000"/>
          <w:sz w:val="20"/>
          <w:szCs w:val="20"/>
        </w:rPr>
        <w:t>Datu avots: CSP</w:t>
      </w:r>
      <w:r w:rsidR="007F3D1D" w:rsidRPr="0034525F">
        <w:rPr>
          <w:rFonts w:ascii="Times New Roman" w:hAnsi="Times New Roman" w:cs="Times New Roman"/>
          <w:bCs/>
          <w:color w:val="000000"/>
          <w:sz w:val="20"/>
          <w:szCs w:val="20"/>
        </w:rPr>
        <w:t xml:space="preserve"> datu bāze, </w:t>
      </w:r>
      <w:r w:rsidR="007F3D1D" w:rsidRPr="0034525F">
        <w:rPr>
          <w:rFonts w:ascii="Times New Roman" w:hAnsi="Times New Roman" w:cs="Times New Roman"/>
          <w:bCs/>
          <w:sz w:val="20"/>
          <w:szCs w:val="20"/>
        </w:rPr>
        <w:t>datu tabula</w:t>
      </w:r>
      <w:r w:rsidR="0034525F" w:rsidRPr="0034525F">
        <w:rPr>
          <w:rFonts w:ascii="Times New Roman" w:hAnsi="Times New Roman" w:cs="Times New Roman"/>
          <w:bCs/>
          <w:sz w:val="20"/>
          <w:szCs w:val="20"/>
        </w:rPr>
        <w:t xml:space="preserve"> </w:t>
      </w:r>
      <w:r w:rsidR="0034525F" w:rsidRPr="0034525F">
        <w:rPr>
          <w:rFonts w:ascii="Times New Roman" w:hAnsi="Times New Roman" w:cs="Times New Roman"/>
          <w:sz w:val="20"/>
          <w:szCs w:val="20"/>
        </w:rPr>
        <w:t>NB141c</w:t>
      </w:r>
    </w:p>
    <w:p w14:paraId="5CEED843" w14:textId="77777777" w:rsidR="00FE1751" w:rsidRPr="0015154B" w:rsidRDefault="00FE1751" w:rsidP="00FE1751">
      <w:pPr>
        <w:spacing w:after="0" w:line="240" w:lineRule="auto"/>
        <w:jc w:val="both"/>
        <w:rPr>
          <w:rFonts w:ascii="Times New Roman" w:hAnsi="Times New Roman" w:cs="Times New Roman"/>
          <w:sz w:val="24"/>
          <w:szCs w:val="24"/>
        </w:rPr>
      </w:pPr>
    </w:p>
    <w:p w14:paraId="5CDFE70E" w14:textId="57975AEB" w:rsidR="00EB50F4" w:rsidRPr="0015154B" w:rsidRDefault="00FE1751" w:rsidP="00534E1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2019. gadā mēneša vidējā bruto alga</w:t>
      </w:r>
      <w:r w:rsidR="00B64023" w:rsidRPr="0015154B">
        <w:rPr>
          <w:rFonts w:ascii="Times New Roman" w:hAnsi="Times New Roman" w:cs="Times New Roman"/>
          <w:sz w:val="24"/>
          <w:szCs w:val="24"/>
        </w:rPr>
        <w:t>, salīdzinot ar 2018.gadu,</w:t>
      </w:r>
      <w:r w:rsidRPr="0015154B">
        <w:rPr>
          <w:rFonts w:ascii="Times New Roman" w:hAnsi="Times New Roman" w:cs="Times New Roman"/>
          <w:sz w:val="24"/>
          <w:szCs w:val="24"/>
        </w:rPr>
        <w:t xml:space="preserve"> pieauga par 72 eiro jeb 7,2%, gada beigās sasniedzot 1076 eiro. </w:t>
      </w:r>
      <w:r w:rsidR="00BF5451" w:rsidRPr="0015154B">
        <w:rPr>
          <w:rFonts w:ascii="Times New Roman" w:hAnsi="Times New Roman" w:cs="Times New Roman"/>
          <w:sz w:val="24"/>
          <w:szCs w:val="24"/>
        </w:rPr>
        <w:t>Savukārt v</w:t>
      </w:r>
      <w:r w:rsidRPr="0015154B">
        <w:rPr>
          <w:rFonts w:ascii="Times New Roman" w:hAnsi="Times New Roman" w:cs="Times New Roman"/>
          <w:sz w:val="24"/>
          <w:szCs w:val="24"/>
        </w:rPr>
        <w:t>idējā</w:t>
      </w:r>
      <w:r w:rsidR="00BF5451" w:rsidRPr="0015154B">
        <w:rPr>
          <w:rFonts w:ascii="Times New Roman" w:hAnsi="Times New Roman" w:cs="Times New Roman"/>
          <w:sz w:val="24"/>
          <w:szCs w:val="24"/>
        </w:rPr>
        <w:t>s</w:t>
      </w:r>
      <w:r w:rsidRPr="0015154B">
        <w:rPr>
          <w:rFonts w:ascii="Times New Roman" w:hAnsi="Times New Roman" w:cs="Times New Roman"/>
          <w:sz w:val="24"/>
          <w:szCs w:val="24"/>
        </w:rPr>
        <w:t xml:space="preserve"> neto darba samaksa</w:t>
      </w:r>
      <w:r w:rsidR="00BF5451" w:rsidRPr="0015154B">
        <w:rPr>
          <w:rFonts w:ascii="Times New Roman" w:hAnsi="Times New Roman" w:cs="Times New Roman"/>
          <w:sz w:val="24"/>
          <w:szCs w:val="24"/>
        </w:rPr>
        <w:t>s pieaugums</w:t>
      </w:r>
      <w:r w:rsidRPr="0015154B">
        <w:rPr>
          <w:rFonts w:ascii="Times New Roman" w:hAnsi="Times New Roman" w:cs="Times New Roman"/>
          <w:sz w:val="24"/>
          <w:szCs w:val="24"/>
        </w:rPr>
        <w:t xml:space="preserve"> </w:t>
      </w:r>
      <w:r w:rsidR="00BF5451" w:rsidRPr="0015154B">
        <w:rPr>
          <w:rFonts w:ascii="Times New Roman" w:hAnsi="Times New Roman" w:cs="Times New Roman"/>
          <w:sz w:val="24"/>
          <w:szCs w:val="24"/>
        </w:rPr>
        <w:t xml:space="preserve">temps bija zemāks – 6,8%, neto samaksai sasniedzot </w:t>
      </w:r>
      <w:r w:rsidRPr="0015154B">
        <w:rPr>
          <w:rFonts w:ascii="Times New Roman" w:hAnsi="Times New Roman" w:cs="Times New Roman"/>
          <w:sz w:val="24"/>
          <w:szCs w:val="24"/>
        </w:rPr>
        <w:t>793 eiro</w:t>
      </w:r>
      <w:r w:rsidR="00BF5451" w:rsidRPr="0015154B">
        <w:rPr>
          <w:rFonts w:ascii="Times New Roman" w:hAnsi="Times New Roman" w:cs="Times New Roman"/>
          <w:sz w:val="24"/>
          <w:szCs w:val="24"/>
        </w:rPr>
        <w:t>.</w:t>
      </w:r>
      <w:r w:rsidRPr="0015154B">
        <w:rPr>
          <w:rFonts w:ascii="Times New Roman" w:hAnsi="Times New Roman" w:cs="Times New Roman"/>
          <w:sz w:val="24"/>
          <w:szCs w:val="24"/>
        </w:rPr>
        <w:t xml:space="preserve"> Bruto darba samaksas mediāna 2019.gadā bija 832 eiro</w:t>
      </w:r>
      <w:r w:rsidR="00EB50F4" w:rsidRPr="0015154B">
        <w:rPr>
          <w:rFonts w:ascii="Times New Roman" w:hAnsi="Times New Roman" w:cs="Times New Roman"/>
          <w:sz w:val="24"/>
          <w:szCs w:val="24"/>
        </w:rPr>
        <w:t>, bet d</w:t>
      </w:r>
      <w:r w:rsidRPr="0015154B">
        <w:rPr>
          <w:rFonts w:ascii="Times New Roman" w:hAnsi="Times New Roman" w:cs="Times New Roman"/>
          <w:sz w:val="24"/>
          <w:szCs w:val="24"/>
        </w:rPr>
        <w:t xml:space="preserve">arba samaksas mediāna pēc darba nodokļu nomaksas (neto) </w:t>
      </w:r>
      <w:r w:rsidR="00EB50F4" w:rsidRPr="0015154B">
        <w:rPr>
          <w:rFonts w:ascii="Times New Roman" w:hAnsi="Times New Roman" w:cs="Times New Roman"/>
          <w:sz w:val="24"/>
          <w:szCs w:val="24"/>
        </w:rPr>
        <w:t>-</w:t>
      </w:r>
      <w:r w:rsidRPr="0015154B">
        <w:rPr>
          <w:rFonts w:ascii="Times New Roman" w:hAnsi="Times New Roman" w:cs="Times New Roman"/>
          <w:sz w:val="24"/>
          <w:szCs w:val="24"/>
        </w:rPr>
        <w:t xml:space="preserve"> 613 eiro. </w:t>
      </w:r>
      <w:r w:rsidR="00EB50F4" w:rsidRPr="0015154B">
        <w:rPr>
          <w:rFonts w:ascii="Times New Roman" w:hAnsi="Times New Roman" w:cs="Times New Roman"/>
          <w:sz w:val="24"/>
          <w:szCs w:val="24"/>
        </w:rPr>
        <w:t>Vidējās darba samaksas kāpumu līdz 2020. gada 1. ceturksnim, sasniedzot 1091 e</w:t>
      </w:r>
      <w:r w:rsidR="00E07E75">
        <w:rPr>
          <w:rFonts w:ascii="Times New Roman" w:hAnsi="Times New Roman" w:cs="Times New Roman"/>
          <w:sz w:val="24"/>
          <w:szCs w:val="24"/>
        </w:rPr>
        <w:t>i</w:t>
      </w:r>
      <w:r w:rsidR="00EB50F4" w:rsidRPr="0015154B">
        <w:rPr>
          <w:rFonts w:ascii="Times New Roman" w:hAnsi="Times New Roman" w:cs="Times New Roman"/>
          <w:sz w:val="24"/>
          <w:szCs w:val="24"/>
        </w:rPr>
        <w:t xml:space="preserve">ro mēnesī, negatīvi ietekmēja COVID-19 pandēmija. </w:t>
      </w:r>
    </w:p>
    <w:p w14:paraId="4E138962" w14:textId="399DD23F" w:rsidR="00FE1751" w:rsidRPr="0015154B" w:rsidRDefault="00FE1751" w:rsidP="00534E1A">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Salīdzinot ar pārējām ES valstīm, vidējais atalgojums Latvijā ir viens no zemākajiem (</w:t>
      </w:r>
      <w:r w:rsidR="003E0FDE" w:rsidRPr="0015154B">
        <w:rPr>
          <w:rFonts w:ascii="Times New Roman" w:hAnsi="Times New Roman" w:cs="Times New Roman"/>
          <w:sz w:val="24"/>
          <w:szCs w:val="24"/>
        </w:rPr>
        <w:t>4</w:t>
      </w:r>
      <w:r w:rsidRPr="0015154B">
        <w:rPr>
          <w:rFonts w:ascii="Times New Roman" w:hAnsi="Times New Roman" w:cs="Times New Roman"/>
          <w:sz w:val="24"/>
          <w:szCs w:val="24"/>
        </w:rPr>
        <w:t>.vieta starp ES dalībvalstīm).</w:t>
      </w:r>
      <w:r w:rsidR="003E0FDE" w:rsidRPr="0015154B">
        <w:rPr>
          <w:rFonts w:ascii="Times New Roman" w:hAnsi="Times New Roman" w:cs="Times New Roman"/>
          <w:sz w:val="24"/>
          <w:szCs w:val="24"/>
        </w:rPr>
        <w:t xml:space="preserve"> (</w:t>
      </w:r>
      <w:r w:rsidR="003E0FDE" w:rsidRPr="002E4D66">
        <w:rPr>
          <w:rFonts w:ascii="Times New Roman" w:hAnsi="Times New Roman" w:cs="Times New Roman"/>
          <w:sz w:val="24"/>
          <w:szCs w:val="24"/>
          <w:highlight w:val="yellow"/>
        </w:rPr>
        <w:t>skat</w:t>
      </w:r>
      <w:r w:rsidR="007F3D1D" w:rsidRPr="002E4D66">
        <w:rPr>
          <w:rFonts w:ascii="Times New Roman" w:hAnsi="Times New Roman" w:cs="Times New Roman"/>
          <w:sz w:val="24"/>
          <w:szCs w:val="24"/>
          <w:highlight w:val="yellow"/>
        </w:rPr>
        <w:t>. 2</w:t>
      </w:r>
      <w:r w:rsidR="002E4D66">
        <w:rPr>
          <w:rFonts w:ascii="Times New Roman" w:hAnsi="Times New Roman" w:cs="Times New Roman"/>
          <w:sz w:val="24"/>
          <w:szCs w:val="24"/>
          <w:highlight w:val="yellow"/>
        </w:rPr>
        <w:t>4</w:t>
      </w:r>
      <w:r w:rsidR="007F3D1D" w:rsidRPr="002E4D66">
        <w:rPr>
          <w:rFonts w:ascii="Times New Roman" w:hAnsi="Times New Roman" w:cs="Times New Roman"/>
          <w:sz w:val="24"/>
          <w:szCs w:val="24"/>
          <w:highlight w:val="yellow"/>
        </w:rPr>
        <w:t>.</w:t>
      </w:r>
      <w:r w:rsidR="003E0FDE" w:rsidRPr="002E4D66">
        <w:rPr>
          <w:rFonts w:ascii="Times New Roman" w:hAnsi="Times New Roman" w:cs="Times New Roman"/>
          <w:sz w:val="24"/>
          <w:szCs w:val="24"/>
          <w:highlight w:val="yellow"/>
        </w:rPr>
        <w:t>attēlu</w:t>
      </w:r>
      <w:r w:rsidR="003E0FDE" w:rsidRPr="0015154B">
        <w:rPr>
          <w:rFonts w:ascii="Times New Roman" w:hAnsi="Times New Roman" w:cs="Times New Roman"/>
          <w:sz w:val="24"/>
          <w:szCs w:val="24"/>
        </w:rPr>
        <w:t>)</w:t>
      </w:r>
      <w:r w:rsidRPr="0015154B">
        <w:rPr>
          <w:rFonts w:ascii="Times New Roman" w:hAnsi="Times New Roman" w:cs="Times New Roman"/>
          <w:sz w:val="24"/>
          <w:szCs w:val="24"/>
        </w:rPr>
        <w:t xml:space="preserve"> </w:t>
      </w:r>
    </w:p>
    <w:p w14:paraId="5E8A4F30" w14:textId="77777777" w:rsidR="00FE1751" w:rsidRPr="0015154B" w:rsidRDefault="00FE1751" w:rsidP="00FE1751">
      <w:pPr>
        <w:spacing w:after="0" w:line="240" w:lineRule="auto"/>
        <w:ind w:firstLine="720"/>
        <w:jc w:val="both"/>
        <w:rPr>
          <w:rFonts w:ascii="Times New Roman" w:hAnsi="Times New Roman" w:cs="Times New Roman"/>
          <w:i/>
          <w:iCs/>
          <w:sz w:val="24"/>
          <w:szCs w:val="24"/>
        </w:rPr>
      </w:pPr>
    </w:p>
    <w:p w14:paraId="12FED0DC" w14:textId="77777777" w:rsidR="005E5CD1" w:rsidRDefault="005E5CD1">
      <w:pP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br w:type="page"/>
      </w:r>
    </w:p>
    <w:p w14:paraId="7B0CD56D" w14:textId="00FA0783" w:rsidR="00FE1751" w:rsidRPr="0015154B" w:rsidRDefault="007F3D1D" w:rsidP="00FE1751">
      <w:pPr>
        <w:spacing w:after="0" w:line="240" w:lineRule="auto"/>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lastRenderedPageBreak/>
        <w:t>2</w:t>
      </w:r>
      <w:r w:rsidR="002E4D66">
        <w:rPr>
          <w:rFonts w:ascii="Times New Roman" w:eastAsia="Times New Roman" w:hAnsi="Times New Roman" w:cs="Times New Roman"/>
          <w:iCs/>
          <w:sz w:val="24"/>
          <w:szCs w:val="24"/>
          <w:lang w:eastAsia="lv-LV"/>
        </w:rPr>
        <w:t>4</w:t>
      </w:r>
      <w:r w:rsidRPr="0015154B">
        <w:rPr>
          <w:rFonts w:ascii="Times New Roman" w:eastAsia="Times New Roman" w:hAnsi="Times New Roman" w:cs="Times New Roman"/>
          <w:iCs/>
          <w:sz w:val="24"/>
          <w:szCs w:val="24"/>
          <w:lang w:eastAsia="lv-LV"/>
        </w:rPr>
        <w:t>.a</w:t>
      </w:r>
      <w:r w:rsidR="00FE1751" w:rsidRPr="0015154B">
        <w:rPr>
          <w:rFonts w:ascii="Times New Roman" w:eastAsia="Times New Roman" w:hAnsi="Times New Roman" w:cs="Times New Roman"/>
          <w:iCs/>
          <w:sz w:val="24"/>
          <w:szCs w:val="24"/>
          <w:lang w:eastAsia="lv-LV"/>
        </w:rPr>
        <w:t>ttēls</w:t>
      </w:r>
    </w:p>
    <w:p w14:paraId="3664B381" w14:textId="77777777" w:rsidR="00FE1751" w:rsidRPr="0015154B" w:rsidRDefault="00FE1751" w:rsidP="00FE1751">
      <w:pPr>
        <w:spacing w:after="0" w:line="240" w:lineRule="auto"/>
        <w:jc w:val="center"/>
        <w:rPr>
          <w:rFonts w:ascii="Times New Roman" w:eastAsia="Times New Roman" w:hAnsi="Times New Roman" w:cs="Times New Roman"/>
          <w:b/>
          <w:iCs/>
          <w:color w:val="002060"/>
          <w:sz w:val="24"/>
          <w:szCs w:val="24"/>
          <w:lang w:eastAsia="lv-LV"/>
        </w:rPr>
      </w:pPr>
      <w:r w:rsidRPr="0015154B">
        <w:rPr>
          <w:rFonts w:ascii="Times New Roman" w:eastAsia="Times New Roman" w:hAnsi="Times New Roman" w:cs="Times New Roman"/>
          <w:b/>
          <w:iCs/>
          <w:color w:val="002060"/>
          <w:sz w:val="24"/>
          <w:szCs w:val="24"/>
          <w:lang w:eastAsia="lv-LV"/>
        </w:rPr>
        <w:t>Darba samaksa nostrādātā stundā 2017.gadā ES-28 valstīm</w:t>
      </w:r>
    </w:p>
    <w:p w14:paraId="50472DE9" w14:textId="77777777" w:rsidR="00FE1751" w:rsidRPr="007157D3" w:rsidRDefault="00FE1751" w:rsidP="00FE1751">
      <w:pPr>
        <w:spacing w:after="0" w:line="240" w:lineRule="auto"/>
        <w:rPr>
          <w:rFonts w:ascii="Times New Roman" w:hAnsi="Times New Roman" w:cs="Times New Roman"/>
          <w:sz w:val="24"/>
          <w:szCs w:val="24"/>
        </w:rPr>
      </w:pPr>
      <w:r w:rsidRPr="00ED028B">
        <w:rPr>
          <w:rFonts w:ascii="Times New Roman" w:hAnsi="Times New Roman" w:cs="Times New Roman"/>
          <w:noProof/>
          <w:lang w:eastAsia="lv-LV"/>
        </w:rPr>
        <w:drawing>
          <wp:inline distT="0" distB="0" distL="0" distR="0" wp14:anchorId="4D838102" wp14:editId="54811433">
            <wp:extent cx="5924550" cy="2325370"/>
            <wp:effectExtent l="0" t="0" r="0" b="17780"/>
            <wp:docPr id="19" name="Chart 19">
              <a:extLst xmlns:a="http://schemas.openxmlformats.org/drawingml/2006/main">
                <a:ext uri="{FF2B5EF4-FFF2-40B4-BE49-F238E27FC236}">
                  <a16:creationId xmlns:a16="http://schemas.microsoft.com/office/drawing/2014/main" id="{8A8F8CDE-B0BC-4E85-8763-C948B1D16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5B91983" w14:textId="71C3E5AE" w:rsidR="00FE1751" w:rsidRPr="00573B49" w:rsidRDefault="003E0FDE" w:rsidP="00FE1751">
      <w:pPr>
        <w:spacing w:after="0" w:line="240" w:lineRule="auto"/>
        <w:jc w:val="both"/>
        <w:rPr>
          <w:rFonts w:ascii="Times New Roman" w:hAnsi="Times New Roman" w:cs="Times New Roman"/>
          <w:sz w:val="20"/>
          <w:szCs w:val="20"/>
        </w:rPr>
      </w:pPr>
      <w:r w:rsidRPr="007157D3">
        <w:rPr>
          <w:rFonts w:ascii="Times New Roman" w:hAnsi="Times New Roman" w:cs="Times New Roman"/>
          <w:sz w:val="20"/>
          <w:szCs w:val="20"/>
        </w:rPr>
        <w:t>Datu a</w:t>
      </w:r>
      <w:r w:rsidR="00FE1751" w:rsidRPr="007157D3">
        <w:rPr>
          <w:rFonts w:ascii="Times New Roman" w:hAnsi="Times New Roman" w:cs="Times New Roman"/>
          <w:sz w:val="20"/>
          <w:szCs w:val="20"/>
        </w:rPr>
        <w:t xml:space="preserve">vots: </w:t>
      </w:r>
      <w:r w:rsidR="00FE1751" w:rsidRPr="00552513">
        <w:rPr>
          <w:rFonts w:ascii="Times New Roman" w:hAnsi="Times New Roman" w:cs="Times New Roman"/>
          <w:sz w:val="20"/>
          <w:szCs w:val="20"/>
        </w:rPr>
        <w:t>E</w:t>
      </w:r>
      <w:r w:rsidR="00E07E75" w:rsidRPr="00552513">
        <w:rPr>
          <w:rFonts w:ascii="Times New Roman" w:hAnsi="Times New Roman" w:cs="Times New Roman"/>
          <w:sz w:val="20"/>
          <w:szCs w:val="20"/>
        </w:rPr>
        <w:t>i</w:t>
      </w:r>
      <w:r w:rsidR="00FE1751" w:rsidRPr="00552513">
        <w:rPr>
          <w:rFonts w:ascii="Times New Roman" w:hAnsi="Times New Roman" w:cs="Times New Roman"/>
          <w:sz w:val="20"/>
          <w:szCs w:val="20"/>
        </w:rPr>
        <w:t>rostat</w:t>
      </w:r>
      <w:r w:rsidR="00552513" w:rsidRPr="00552513">
        <w:rPr>
          <w:rFonts w:ascii="Times New Roman" w:hAnsi="Times New Roman" w:cs="Times New Roman"/>
          <w:sz w:val="20"/>
          <w:szCs w:val="20"/>
        </w:rPr>
        <w:t xml:space="preserve"> datu bāze</w:t>
      </w:r>
      <w:r w:rsidRPr="00552513">
        <w:rPr>
          <w:rFonts w:ascii="Times New Roman" w:hAnsi="Times New Roman" w:cs="Times New Roman"/>
          <w:sz w:val="20"/>
          <w:szCs w:val="20"/>
        </w:rPr>
        <w:t xml:space="preserve">, datu </w:t>
      </w:r>
      <w:r w:rsidR="00552513" w:rsidRPr="00552513">
        <w:rPr>
          <w:rFonts w:ascii="Times New Roman" w:hAnsi="Times New Roman" w:cs="Times New Roman"/>
          <w:sz w:val="20"/>
          <w:szCs w:val="20"/>
        </w:rPr>
        <w:t>kods TPS00173</w:t>
      </w:r>
    </w:p>
    <w:p w14:paraId="39149693" w14:textId="77777777" w:rsidR="00FE1751" w:rsidRPr="0025422D" w:rsidRDefault="00FE1751" w:rsidP="00FE1751">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103B1447" w14:textId="22C3EFF4" w:rsidR="00FE1751" w:rsidRPr="0015154B" w:rsidRDefault="00FE1751" w:rsidP="00FE1751">
      <w:pPr>
        <w:spacing w:after="0" w:line="240" w:lineRule="auto"/>
        <w:ind w:firstLine="720"/>
        <w:jc w:val="both"/>
        <w:rPr>
          <w:rFonts w:ascii="Times New Roman" w:hAnsi="Times New Roman" w:cs="Times New Roman"/>
          <w:sz w:val="24"/>
          <w:szCs w:val="24"/>
        </w:rPr>
      </w:pPr>
      <w:r w:rsidRPr="00A857F2">
        <w:rPr>
          <w:rFonts w:ascii="Times New Roman" w:hAnsi="Times New Roman" w:cs="Times New Roman"/>
          <w:sz w:val="24"/>
          <w:szCs w:val="24"/>
        </w:rPr>
        <w:t>Latvijā, tāpat kā citās ES valstīs, sievietes, kas strādā algotu darbu, vidēji pelna mazāk nekā vīrieši. Atbilstoši CSP statistikai 2017.gadā Latvijā sieviešu un vīriešu stundas atalgojuma atšķirības rādītājs bija 15,3 %, bet 2018. ga</w:t>
      </w:r>
      <w:r w:rsidRPr="00662D1E">
        <w:rPr>
          <w:rFonts w:ascii="Times New Roman" w:hAnsi="Times New Roman" w:cs="Times New Roman"/>
          <w:sz w:val="24"/>
          <w:szCs w:val="24"/>
        </w:rPr>
        <w:t>dā par 0,1 procentpunktu mazāks jeb 15,2% (</w:t>
      </w:r>
      <w:r w:rsidRPr="002E4D66">
        <w:rPr>
          <w:rFonts w:ascii="Times New Roman" w:hAnsi="Times New Roman" w:cs="Times New Roman"/>
          <w:sz w:val="24"/>
          <w:szCs w:val="24"/>
          <w:highlight w:val="yellow"/>
        </w:rPr>
        <w:t xml:space="preserve">skat. </w:t>
      </w:r>
      <w:r w:rsidR="007F3D1D" w:rsidRPr="002E4D66">
        <w:rPr>
          <w:rFonts w:ascii="Times New Roman" w:hAnsi="Times New Roman" w:cs="Times New Roman"/>
          <w:sz w:val="24"/>
          <w:szCs w:val="24"/>
          <w:highlight w:val="yellow"/>
        </w:rPr>
        <w:t>2</w:t>
      </w:r>
      <w:r w:rsidR="002E4D66">
        <w:rPr>
          <w:rFonts w:ascii="Times New Roman" w:hAnsi="Times New Roman" w:cs="Times New Roman"/>
          <w:sz w:val="24"/>
          <w:szCs w:val="24"/>
          <w:highlight w:val="yellow"/>
        </w:rPr>
        <w:t>5</w:t>
      </w:r>
      <w:r w:rsidRPr="002E4D66">
        <w:rPr>
          <w:rFonts w:ascii="Times New Roman" w:hAnsi="Times New Roman" w:cs="Times New Roman"/>
          <w:sz w:val="24"/>
          <w:szCs w:val="24"/>
          <w:highlight w:val="yellow"/>
        </w:rPr>
        <w:t>.attēlu</w:t>
      </w:r>
      <w:r w:rsidRPr="0015154B">
        <w:rPr>
          <w:rFonts w:ascii="Times New Roman" w:hAnsi="Times New Roman" w:cs="Times New Roman"/>
          <w:sz w:val="24"/>
          <w:szCs w:val="24"/>
        </w:rPr>
        <w:t xml:space="preserve">). </w:t>
      </w:r>
    </w:p>
    <w:p w14:paraId="4585AE60" w14:textId="77777777" w:rsidR="00FE1751" w:rsidRPr="0015154B" w:rsidRDefault="00FE1751" w:rsidP="00FE1751">
      <w:pPr>
        <w:spacing w:after="0" w:line="240" w:lineRule="auto"/>
        <w:rPr>
          <w:rFonts w:ascii="Times New Roman" w:eastAsia="Times New Roman" w:hAnsi="Times New Roman" w:cs="Times New Roman"/>
          <w:i/>
          <w:iCs/>
          <w:sz w:val="24"/>
          <w:szCs w:val="24"/>
          <w:lang w:eastAsia="lv-LV"/>
        </w:rPr>
      </w:pPr>
    </w:p>
    <w:p w14:paraId="347F76C3" w14:textId="13D3CEFC" w:rsidR="00FE1751" w:rsidRPr="0015154B" w:rsidRDefault="007F3D1D" w:rsidP="00FE1751">
      <w:pPr>
        <w:spacing w:after="0" w:line="240" w:lineRule="auto"/>
        <w:rPr>
          <w:rFonts w:ascii="Times New Roman" w:eastAsia="Times New Roman" w:hAnsi="Times New Roman" w:cs="Times New Roman"/>
          <w:iCs/>
          <w:sz w:val="24"/>
          <w:szCs w:val="24"/>
          <w:lang w:eastAsia="lv-LV"/>
        </w:rPr>
      </w:pPr>
      <w:r w:rsidRPr="0015154B">
        <w:rPr>
          <w:rFonts w:ascii="Times New Roman" w:eastAsia="Times New Roman" w:hAnsi="Times New Roman" w:cs="Times New Roman"/>
          <w:iCs/>
          <w:sz w:val="24"/>
          <w:szCs w:val="24"/>
          <w:lang w:eastAsia="lv-LV"/>
        </w:rPr>
        <w:t>2</w:t>
      </w:r>
      <w:r w:rsidR="002E4D66">
        <w:rPr>
          <w:rFonts w:ascii="Times New Roman" w:eastAsia="Times New Roman" w:hAnsi="Times New Roman" w:cs="Times New Roman"/>
          <w:iCs/>
          <w:sz w:val="24"/>
          <w:szCs w:val="24"/>
          <w:lang w:eastAsia="lv-LV"/>
        </w:rPr>
        <w:t>5</w:t>
      </w:r>
      <w:r w:rsidR="00FE1751" w:rsidRPr="0015154B">
        <w:rPr>
          <w:rFonts w:ascii="Times New Roman" w:eastAsia="Times New Roman" w:hAnsi="Times New Roman" w:cs="Times New Roman"/>
          <w:iCs/>
          <w:sz w:val="24"/>
          <w:szCs w:val="24"/>
          <w:lang w:eastAsia="lv-LV"/>
        </w:rPr>
        <w:t>.</w:t>
      </w:r>
      <w:r w:rsidRPr="0015154B">
        <w:rPr>
          <w:rFonts w:ascii="Times New Roman" w:eastAsia="Times New Roman" w:hAnsi="Times New Roman" w:cs="Times New Roman"/>
          <w:iCs/>
          <w:sz w:val="24"/>
          <w:szCs w:val="24"/>
          <w:lang w:eastAsia="lv-LV"/>
        </w:rPr>
        <w:t>a</w:t>
      </w:r>
      <w:r w:rsidR="00FE1751" w:rsidRPr="0015154B">
        <w:rPr>
          <w:rFonts w:ascii="Times New Roman" w:eastAsia="Times New Roman" w:hAnsi="Times New Roman" w:cs="Times New Roman"/>
          <w:iCs/>
          <w:sz w:val="24"/>
          <w:szCs w:val="24"/>
          <w:lang w:eastAsia="lv-LV"/>
        </w:rPr>
        <w:t>ttēls</w:t>
      </w:r>
    </w:p>
    <w:p w14:paraId="18FBE12C" w14:textId="682617E0" w:rsidR="00FE1751" w:rsidRPr="0015154B" w:rsidRDefault="00FE1751" w:rsidP="00FE1751">
      <w:pPr>
        <w:spacing w:after="0" w:line="240" w:lineRule="auto"/>
        <w:jc w:val="center"/>
        <w:rPr>
          <w:rFonts w:ascii="Times New Roman" w:eastAsia="Times New Roman" w:hAnsi="Times New Roman" w:cs="Times New Roman"/>
          <w:b/>
          <w:iCs/>
          <w:color w:val="002060"/>
          <w:sz w:val="24"/>
          <w:szCs w:val="24"/>
          <w:lang w:eastAsia="lv-LV"/>
        </w:rPr>
      </w:pPr>
      <w:r w:rsidRPr="0015154B">
        <w:rPr>
          <w:rFonts w:ascii="Times New Roman" w:eastAsia="Times New Roman" w:hAnsi="Times New Roman" w:cs="Times New Roman"/>
          <w:b/>
          <w:iCs/>
          <w:color w:val="002060"/>
          <w:sz w:val="24"/>
          <w:szCs w:val="24"/>
          <w:lang w:eastAsia="lv-LV"/>
        </w:rPr>
        <w:t>Sieviešu un vīriešu vidējās darba samaksas pieaugums bruto</w:t>
      </w:r>
      <w:r w:rsidR="00FC203B">
        <w:rPr>
          <w:rFonts w:ascii="Times New Roman" w:eastAsia="Times New Roman" w:hAnsi="Times New Roman" w:cs="Times New Roman"/>
          <w:b/>
          <w:iCs/>
          <w:color w:val="002060"/>
          <w:sz w:val="24"/>
          <w:szCs w:val="24"/>
          <w:lang w:eastAsia="lv-LV"/>
        </w:rPr>
        <w:t>,</w:t>
      </w:r>
      <w:r w:rsidRPr="0015154B">
        <w:rPr>
          <w:rFonts w:ascii="Times New Roman" w:eastAsia="Times New Roman" w:hAnsi="Times New Roman" w:cs="Times New Roman"/>
          <w:b/>
          <w:iCs/>
          <w:color w:val="002060"/>
          <w:sz w:val="24"/>
          <w:szCs w:val="24"/>
          <w:lang w:eastAsia="lv-LV"/>
        </w:rPr>
        <w:t xml:space="preserve"> EUR </w:t>
      </w:r>
    </w:p>
    <w:p w14:paraId="11FA0FA8" w14:textId="32B86C78" w:rsidR="00FE1751" w:rsidRPr="0015154B" w:rsidRDefault="00FE1751" w:rsidP="00FE1751">
      <w:pPr>
        <w:spacing w:after="0" w:line="240" w:lineRule="auto"/>
        <w:jc w:val="center"/>
        <w:rPr>
          <w:rFonts w:ascii="Times New Roman" w:eastAsia="Times New Roman" w:hAnsi="Times New Roman" w:cs="Times New Roman"/>
          <w:b/>
          <w:iCs/>
          <w:sz w:val="24"/>
          <w:szCs w:val="24"/>
          <w:lang w:eastAsia="lv-LV"/>
        </w:rPr>
      </w:pPr>
    </w:p>
    <w:p w14:paraId="41375C20" w14:textId="77777777" w:rsidR="00FE1751" w:rsidRPr="007157D3" w:rsidRDefault="00FE1751" w:rsidP="00FE1751">
      <w:pPr>
        <w:spacing w:after="0" w:line="240" w:lineRule="auto"/>
        <w:rPr>
          <w:rFonts w:ascii="Times New Roman" w:hAnsi="Times New Roman" w:cs="Times New Roman"/>
          <w:sz w:val="24"/>
          <w:szCs w:val="24"/>
        </w:rPr>
      </w:pPr>
      <w:r w:rsidRPr="00ED028B">
        <w:rPr>
          <w:rFonts w:ascii="Times New Roman" w:hAnsi="Times New Roman" w:cs="Times New Roman"/>
          <w:noProof/>
          <w:lang w:eastAsia="lv-LV"/>
        </w:rPr>
        <w:drawing>
          <wp:inline distT="0" distB="0" distL="0" distR="0" wp14:anchorId="1352ABA1" wp14:editId="76F0D924">
            <wp:extent cx="5196371" cy="2378765"/>
            <wp:effectExtent l="0" t="0" r="4445" b="2540"/>
            <wp:docPr id="20" name="Chart 20">
              <a:extLst xmlns:a="http://schemas.openxmlformats.org/drawingml/2006/main">
                <a:ext uri="{FF2B5EF4-FFF2-40B4-BE49-F238E27FC236}">
                  <a16:creationId xmlns:a16="http://schemas.microsoft.com/office/drawing/2014/main" id="{C235E0FE-2C54-40B6-9309-629A8DCF10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3D60508" w14:textId="00DC822F" w:rsidR="00FE1751" w:rsidRPr="007E00E5" w:rsidRDefault="007F3D1D" w:rsidP="00FE1751">
      <w:pPr>
        <w:spacing w:after="0" w:line="240" w:lineRule="auto"/>
        <w:rPr>
          <w:rFonts w:ascii="Times New Roman" w:hAnsi="Times New Roman" w:cs="Times New Roman"/>
          <w:sz w:val="20"/>
          <w:szCs w:val="20"/>
        </w:rPr>
      </w:pPr>
      <w:r w:rsidRPr="007E00E5">
        <w:rPr>
          <w:rFonts w:ascii="Times New Roman" w:hAnsi="Times New Roman" w:cs="Times New Roman"/>
          <w:sz w:val="20"/>
          <w:szCs w:val="20"/>
        </w:rPr>
        <w:t>Datu a</w:t>
      </w:r>
      <w:r w:rsidR="00FE1751" w:rsidRPr="007E00E5">
        <w:rPr>
          <w:rFonts w:ascii="Times New Roman" w:hAnsi="Times New Roman" w:cs="Times New Roman"/>
          <w:sz w:val="20"/>
          <w:szCs w:val="20"/>
        </w:rPr>
        <w:t>vots: CSP</w:t>
      </w:r>
      <w:r w:rsidR="007E00E5" w:rsidRPr="007E00E5">
        <w:rPr>
          <w:rFonts w:ascii="Times New Roman" w:hAnsi="Times New Roman" w:cs="Times New Roman"/>
          <w:sz w:val="20"/>
          <w:szCs w:val="20"/>
        </w:rPr>
        <w:t xml:space="preserve"> datu bāze, datu tabula DAG050</w:t>
      </w:r>
    </w:p>
    <w:p w14:paraId="448BA95F" w14:textId="6EA41396" w:rsidR="00FE1751" w:rsidRDefault="00FE1751" w:rsidP="00FE1751">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6B6DB535" w14:textId="1780EEC3" w:rsidR="00FB2295" w:rsidRPr="00FB2295" w:rsidRDefault="002E4D66" w:rsidP="00FB2295">
      <w:pPr>
        <w:spacing w:before="120" w:after="0" w:line="240" w:lineRule="auto"/>
        <w:ind w:firstLine="720"/>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ES</w:t>
      </w:r>
      <w:r w:rsidR="00FB2295" w:rsidRPr="00FB2295">
        <w:rPr>
          <w:rFonts w:ascii="Times New Roman" w:eastAsia="Times New Roman" w:hAnsi="Times New Roman" w:cs="Times New Roman"/>
          <w:color w:val="000000" w:themeColor="text1"/>
          <w:sz w:val="24"/>
          <w:szCs w:val="24"/>
          <w:lang w:eastAsia="lv-LV"/>
        </w:rPr>
        <w:t xml:space="preserve"> Nodarbinātības, sociālās politikas, veselības un patērētāju lietu ministru padomē 2019.gada 13.jūnijā tika pieņemti secinājumi, kuros tiek norādīts, ka joprojām pastāv darba samaksas atšķirības starp sievietēm un vīriešiem. Turklāt šīs atšķirības samazinās ļoti lēnām, un tās rodas nevis izglītības līmeņa, bet gan citu iemeslu dēļ, piemēram, dzimumu segregācija izglītībā, apmācībās un nodarbinātībā, sieviešu iesaiste nepilnā darba laikā u.c.</w:t>
      </w:r>
    </w:p>
    <w:p w14:paraId="27904693" w14:textId="6ACD91C9" w:rsidR="00FB2295" w:rsidRPr="00573B49" w:rsidRDefault="00FB2295" w:rsidP="00FB2295">
      <w:pPr>
        <w:spacing w:before="120" w:after="0" w:line="240" w:lineRule="auto"/>
        <w:ind w:firstLine="720"/>
        <w:jc w:val="both"/>
        <w:rPr>
          <w:rFonts w:ascii="Times New Roman" w:eastAsia="Times New Roman" w:hAnsi="Times New Roman" w:cs="Times New Roman"/>
          <w:color w:val="000000" w:themeColor="text1"/>
          <w:sz w:val="24"/>
          <w:szCs w:val="24"/>
          <w:lang w:eastAsia="lv-LV"/>
        </w:rPr>
      </w:pPr>
      <w:r w:rsidRPr="00FB2295">
        <w:rPr>
          <w:rFonts w:ascii="Times New Roman" w:eastAsia="Times New Roman" w:hAnsi="Times New Roman" w:cs="Times New Roman"/>
          <w:color w:val="000000" w:themeColor="text1"/>
          <w:sz w:val="24"/>
          <w:szCs w:val="24"/>
          <w:lang w:eastAsia="lv-LV"/>
        </w:rPr>
        <w:t xml:space="preserve">Secinājumos dalībvalstis tiek aicinātas apzināt esošos pasākumus, pilnveidot tos vai ieviest jaunus pasākumus ar mērķi sekmēt vienādas darba samaksas principa ieviešanu, īstenot pasākumus, lai veicinātu līdztiesību izglītībā un nodarbinātībā,  sekmēt darba un ģimenes dzīves saskaņošanu u.c. Vienlaikus Komisija un dalībvalstis tiek aicinātas mazināt dzimumu stereotipus, sekmēt organizāciju un darba vietu kultūru, kas ļautu saskaņot darba un ģimenes </w:t>
      </w:r>
      <w:r w:rsidRPr="00FB2295">
        <w:rPr>
          <w:rFonts w:ascii="Times New Roman" w:eastAsia="Times New Roman" w:hAnsi="Times New Roman" w:cs="Times New Roman"/>
          <w:color w:val="000000" w:themeColor="text1"/>
          <w:sz w:val="24"/>
          <w:szCs w:val="24"/>
          <w:lang w:eastAsia="lv-LV"/>
        </w:rPr>
        <w:lastRenderedPageBreak/>
        <w:t>dzīvi u.c. Savukārt Komisija tiek aicināta pieņemt atsevišķu stratēģiju dzimumu līdztiesības jomā pēc 2019.gada, vērtēt digitalizācijas ietekmi, kā arī sekmēt labākās pieredzes apmaiņu starp dalībvalstīm.</w:t>
      </w:r>
    </w:p>
    <w:p w14:paraId="21BEF434" w14:textId="68860C82" w:rsidR="00EB50F4" w:rsidRPr="0025422D" w:rsidRDefault="001E0240" w:rsidP="00FB2295">
      <w:pPr>
        <w:pStyle w:val="FootnoteText"/>
        <w:spacing w:before="120" w:after="0" w:line="240" w:lineRule="auto"/>
        <w:ind w:firstLine="720"/>
        <w:jc w:val="both"/>
        <w:rPr>
          <w:rFonts w:ascii="Times New Roman" w:hAnsi="Times New Roman"/>
          <w:sz w:val="24"/>
          <w:szCs w:val="24"/>
          <w:lang w:val="lv-LV"/>
        </w:rPr>
      </w:pPr>
      <w:r w:rsidRPr="00ED028B">
        <w:rPr>
          <w:rFonts w:ascii="Times New Roman" w:eastAsia="Times New Roman" w:hAnsi="Times New Roman"/>
          <w:color w:val="000000" w:themeColor="text1"/>
          <w:sz w:val="24"/>
          <w:szCs w:val="24"/>
          <w:lang w:val="lv-LV" w:eastAsia="lv-LV"/>
        </w:rPr>
        <w:t>Minimālā darba alga pēdējos trīs gadus (2018.-2020.g). ir nemainīgā 430 eiro apmērā</w:t>
      </w:r>
      <w:r w:rsidR="00EB50F4" w:rsidRPr="00ED028B">
        <w:rPr>
          <w:rFonts w:ascii="Times New Roman" w:eastAsia="Times New Roman" w:hAnsi="Times New Roman"/>
          <w:color w:val="000000" w:themeColor="text1"/>
          <w:sz w:val="24"/>
          <w:szCs w:val="24"/>
          <w:lang w:val="lv-LV" w:eastAsia="lv-LV"/>
        </w:rPr>
        <w:t xml:space="preserve"> </w:t>
      </w:r>
      <w:r w:rsidR="00EB50F4" w:rsidRPr="002E4D66">
        <w:rPr>
          <w:rFonts w:ascii="Times New Roman" w:eastAsia="Times New Roman" w:hAnsi="Times New Roman"/>
          <w:color w:val="000000" w:themeColor="text1"/>
          <w:sz w:val="24"/>
          <w:szCs w:val="24"/>
          <w:highlight w:val="yellow"/>
          <w:lang w:val="lv-LV" w:eastAsia="lv-LV"/>
        </w:rPr>
        <w:t>(skat</w:t>
      </w:r>
      <w:r w:rsidR="007F3D1D" w:rsidRPr="002E4D66">
        <w:rPr>
          <w:rFonts w:ascii="Times New Roman" w:eastAsia="Times New Roman" w:hAnsi="Times New Roman"/>
          <w:color w:val="000000" w:themeColor="text1"/>
          <w:sz w:val="24"/>
          <w:szCs w:val="24"/>
          <w:highlight w:val="yellow"/>
          <w:lang w:val="lv-LV" w:eastAsia="lv-LV"/>
        </w:rPr>
        <w:t>. 2</w:t>
      </w:r>
      <w:r w:rsidR="002E4D66">
        <w:rPr>
          <w:rFonts w:ascii="Times New Roman" w:eastAsia="Times New Roman" w:hAnsi="Times New Roman"/>
          <w:color w:val="000000" w:themeColor="text1"/>
          <w:sz w:val="24"/>
          <w:szCs w:val="24"/>
          <w:highlight w:val="yellow"/>
          <w:lang w:val="lv-LV" w:eastAsia="lv-LV"/>
        </w:rPr>
        <w:t>8</w:t>
      </w:r>
      <w:r w:rsidR="007F3D1D" w:rsidRPr="002E4D66">
        <w:rPr>
          <w:rFonts w:ascii="Times New Roman" w:eastAsia="Times New Roman" w:hAnsi="Times New Roman"/>
          <w:color w:val="000000" w:themeColor="text1"/>
          <w:sz w:val="24"/>
          <w:szCs w:val="24"/>
          <w:highlight w:val="yellow"/>
          <w:lang w:val="lv-LV" w:eastAsia="lv-LV"/>
        </w:rPr>
        <w:t>.</w:t>
      </w:r>
      <w:r w:rsidR="00EB50F4" w:rsidRPr="002E4D66">
        <w:rPr>
          <w:rFonts w:ascii="Times New Roman" w:eastAsia="Times New Roman" w:hAnsi="Times New Roman"/>
          <w:color w:val="000000" w:themeColor="text1"/>
          <w:sz w:val="24"/>
          <w:szCs w:val="24"/>
          <w:highlight w:val="yellow"/>
          <w:lang w:val="lv-LV" w:eastAsia="lv-LV"/>
        </w:rPr>
        <w:t>tabulu</w:t>
      </w:r>
      <w:r w:rsidR="00EB50F4" w:rsidRPr="00ED028B">
        <w:rPr>
          <w:rFonts w:ascii="Times New Roman" w:eastAsia="Times New Roman" w:hAnsi="Times New Roman"/>
          <w:color w:val="000000" w:themeColor="text1"/>
          <w:sz w:val="24"/>
          <w:szCs w:val="24"/>
          <w:lang w:val="lv-LV" w:eastAsia="lv-LV"/>
        </w:rPr>
        <w:t>).</w:t>
      </w:r>
      <w:r w:rsidR="00EB50F4" w:rsidRPr="007157D3">
        <w:rPr>
          <w:rFonts w:ascii="Times New Roman" w:hAnsi="Times New Roman"/>
          <w:sz w:val="24"/>
          <w:szCs w:val="24"/>
          <w:lang w:val="lv-LV"/>
        </w:rPr>
        <w:t xml:space="preserve"> Pirms pēdējā</w:t>
      </w:r>
      <w:r w:rsidR="00EB50F4" w:rsidRPr="002F5278">
        <w:rPr>
          <w:rFonts w:ascii="Times New Roman" w:hAnsi="Times New Roman"/>
          <w:sz w:val="24"/>
          <w:szCs w:val="24"/>
          <w:lang w:val="lv-LV"/>
        </w:rPr>
        <w:t xml:space="preserve"> minimālās algas paaugstinājuma 2018.gadā, valdība ar sociālajiem partneriem 2017.gadā vienojās, ka pēc tam nākamo trīs gadu laikā minimālā alga nemainīsies. Šāds minimālās algas pie</w:t>
      </w:r>
      <w:r w:rsidR="00EB50F4" w:rsidRPr="00573B49">
        <w:rPr>
          <w:rFonts w:ascii="Times New Roman" w:hAnsi="Times New Roman"/>
          <w:sz w:val="24"/>
          <w:szCs w:val="24"/>
          <w:lang w:val="lv-LV"/>
        </w:rPr>
        <w:t>augums vidējā termiņā bija atbilstošs tobrīd prognozētajam produktivitātes kāpumam šajā laika periodā. Jāatzīmē, ka ekonomikas izaugsme, produktivitātes pieaugums un vidējās algas pieaugums 2017.gadā un 2018.gadā bija straujāks par tobrīd prognozēto. Tād</w:t>
      </w:r>
      <w:r w:rsidR="003E0FDE" w:rsidRPr="00573B49">
        <w:rPr>
          <w:rFonts w:ascii="Times New Roman" w:hAnsi="Times New Roman"/>
          <w:sz w:val="24"/>
          <w:szCs w:val="24"/>
          <w:lang w:val="lv-LV"/>
        </w:rPr>
        <w:t>ē</w:t>
      </w:r>
      <w:r w:rsidR="00EB50F4" w:rsidRPr="00573B49">
        <w:rPr>
          <w:rFonts w:ascii="Times New Roman" w:hAnsi="Times New Roman"/>
          <w:sz w:val="24"/>
          <w:szCs w:val="24"/>
          <w:lang w:val="lv-LV"/>
        </w:rPr>
        <w:t>j</w:t>
      </w:r>
      <w:r w:rsidR="00EB50F4" w:rsidRPr="0025422D">
        <w:rPr>
          <w:rFonts w:ascii="Times New Roman" w:hAnsi="Times New Roman"/>
          <w:sz w:val="24"/>
          <w:szCs w:val="24"/>
          <w:lang w:val="lv-LV"/>
        </w:rPr>
        <w:t xml:space="preserve">ādi turpmāks minimālās darba algas paaugstinājums līdz 500 eiro būtu tuvu produktivitātes pieaugumam laika periodā no 2016.gada līdz 2020.gadam. </w:t>
      </w:r>
    </w:p>
    <w:p w14:paraId="28D9C01E" w14:textId="44AC0D0C" w:rsidR="00EB50F4" w:rsidRPr="00A857F2" w:rsidRDefault="00EB50F4" w:rsidP="001E0240">
      <w:pPr>
        <w:spacing w:after="0" w:line="240" w:lineRule="auto"/>
        <w:ind w:firstLine="720"/>
        <w:jc w:val="both"/>
        <w:rPr>
          <w:rFonts w:ascii="Times New Roman" w:eastAsia="Times New Roman" w:hAnsi="Times New Roman" w:cs="Times New Roman"/>
          <w:color w:val="000000" w:themeColor="text1"/>
          <w:sz w:val="24"/>
          <w:szCs w:val="24"/>
          <w:highlight w:val="yellow"/>
          <w:lang w:eastAsia="lv-LV"/>
        </w:rPr>
      </w:pPr>
    </w:p>
    <w:p w14:paraId="2BC77699" w14:textId="435BB33D" w:rsidR="00EB50F4" w:rsidRPr="009703E6" w:rsidRDefault="007F3D1D" w:rsidP="00EB50F4">
      <w:pPr>
        <w:spacing w:after="0" w:line="240" w:lineRule="auto"/>
        <w:jc w:val="both"/>
        <w:rPr>
          <w:rFonts w:ascii="Times New Roman" w:eastAsia="Times New Roman" w:hAnsi="Times New Roman" w:cs="Times New Roman"/>
          <w:color w:val="000000" w:themeColor="text1"/>
          <w:sz w:val="24"/>
          <w:szCs w:val="24"/>
          <w:lang w:eastAsia="lv-LV"/>
        </w:rPr>
      </w:pPr>
      <w:r w:rsidRPr="00662D1E">
        <w:rPr>
          <w:rFonts w:ascii="Times New Roman" w:eastAsia="Times New Roman" w:hAnsi="Times New Roman" w:cs="Times New Roman"/>
          <w:color w:val="000000" w:themeColor="text1"/>
          <w:sz w:val="24"/>
          <w:szCs w:val="24"/>
          <w:lang w:eastAsia="lv-LV"/>
        </w:rPr>
        <w:t>2</w:t>
      </w:r>
      <w:r w:rsidR="002E4D66">
        <w:rPr>
          <w:rFonts w:ascii="Times New Roman" w:eastAsia="Times New Roman" w:hAnsi="Times New Roman" w:cs="Times New Roman"/>
          <w:color w:val="000000" w:themeColor="text1"/>
          <w:sz w:val="24"/>
          <w:szCs w:val="24"/>
          <w:lang w:eastAsia="lv-LV"/>
        </w:rPr>
        <w:t>8</w:t>
      </w:r>
      <w:r w:rsidR="00EB50F4" w:rsidRPr="009703E6">
        <w:rPr>
          <w:rFonts w:ascii="Times New Roman" w:eastAsia="Times New Roman" w:hAnsi="Times New Roman" w:cs="Times New Roman"/>
          <w:color w:val="000000" w:themeColor="text1"/>
          <w:sz w:val="24"/>
          <w:szCs w:val="24"/>
          <w:lang w:eastAsia="lv-LV"/>
        </w:rPr>
        <w:t>.tabula</w:t>
      </w:r>
    </w:p>
    <w:p w14:paraId="1E1D8534" w14:textId="77777777" w:rsidR="00EB50F4" w:rsidRPr="0015154B" w:rsidRDefault="00EB50F4" w:rsidP="00EB50F4">
      <w:pPr>
        <w:spacing w:after="0" w:line="240" w:lineRule="auto"/>
        <w:ind w:firstLine="720"/>
        <w:jc w:val="center"/>
        <w:rPr>
          <w:rFonts w:ascii="Times New Roman" w:eastAsia="Times New Roman" w:hAnsi="Times New Roman" w:cs="Times New Roman"/>
          <w:b/>
          <w:color w:val="000000" w:themeColor="text1"/>
          <w:sz w:val="24"/>
          <w:szCs w:val="24"/>
          <w:lang w:eastAsia="lv-LV"/>
        </w:rPr>
      </w:pPr>
      <w:r w:rsidRPr="0015154B">
        <w:rPr>
          <w:rFonts w:ascii="Times New Roman" w:eastAsia="Times New Roman" w:hAnsi="Times New Roman" w:cs="Times New Roman"/>
          <w:b/>
          <w:color w:val="002060"/>
          <w:sz w:val="24"/>
          <w:szCs w:val="24"/>
          <w:lang w:eastAsia="lv-LV"/>
        </w:rPr>
        <w:t>Minimālā alga un mēneša vidējā darba samaksa pa gadiem</w:t>
      </w:r>
    </w:p>
    <w:p w14:paraId="6D8BE984" w14:textId="77777777" w:rsidR="00EB50F4" w:rsidRPr="0015154B" w:rsidRDefault="00EB50F4" w:rsidP="00EB50F4">
      <w:pPr>
        <w:spacing w:after="0" w:line="240" w:lineRule="auto"/>
        <w:ind w:firstLine="720"/>
        <w:jc w:val="both"/>
        <w:rPr>
          <w:rFonts w:ascii="Times New Roman" w:eastAsia="Times New Roman" w:hAnsi="Times New Roman" w:cs="Times New Roman"/>
          <w:b/>
          <w:color w:val="000000" w:themeColor="text1"/>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2127"/>
        <w:gridCol w:w="1953"/>
        <w:gridCol w:w="2800"/>
      </w:tblGrid>
      <w:tr w:rsidR="00D272D9" w:rsidRPr="0015154B" w14:paraId="7AB33D51" w14:textId="77777777" w:rsidTr="00D272D9">
        <w:tc>
          <w:tcPr>
            <w:tcW w:w="1129" w:type="dxa"/>
            <w:shd w:val="clear" w:color="auto" w:fill="E8F3D3" w:themeFill="accent2" w:themeFillTint="33"/>
          </w:tcPr>
          <w:p w14:paraId="2B8A4DB0" w14:textId="77777777" w:rsidR="00EB50F4" w:rsidRPr="0015154B" w:rsidRDefault="00EB50F4" w:rsidP="006B303C">
            <w:pPr>
              <w:spacing w:after="0" w:line="240" w:lineRule="auto"/>
              <w:jc w:val="both"/>
              <w:rPr>
                <w:rFonts w:ascii="Times New Roman" w:eastAsia="Times New Roman" w:hAnsi="Times New Roman" w:cs="Times New Roman"/>
                <w:bCs/>
                <w:color w:val="002060"/>
                <w:lang w:eastAsia="lv-LV"/>
              </w:rPr>
            </w:pPr>
            <w:r w:rsidRPr="0015154B">
              <w:rPr>
                <w:rFonts w:ascii="Times New Roman" w:eastAsia="Times New Roman" w:hAnsi="Times New Roman" w:cs="Times New Roman"/>
                <w:b/>
                <w:bCs/>
                <w:color w:val="002060"/>
                <w:lang w:eastAsia="lv-LV"/>
              </w:rPr>
              <w:t>Gads</w:t>
            </w:r>
          </w:p>
        </w:tc>
        <w:tc>
          <w:tcPr>
            <w:tcW w:w="2127" w:type="dxa"/>
            <w:shd w:val="clear" w:color="auto" w:fill="E8F3D3" w:themeFill="accent2" w:themeFillTint="33"/>
          </w:tcPr>
          <w:p w14:paraId="73D31F98" w14:textId="77777777" w:rsidR="00EB50F4" w:rsidRPr="0015154B" w:rsidRDefault="00EB50F4" w:rsidP="006B303C">
            <w:pPr>
              <w:spacing w:after="0" w:line="240" w:lineRule="auto"/>
              <w:ind w:hanging="29"/>
              <w:jc w:val="both"/>
              <w:rPr>
                <w:rFonts w:ascii="Times New Roman" w:eastAsia="Times New Roman" w:hAnsi="Times New Roman" w:cs="Times New Roman"/>
                <w:b/>
                <w:color w:val="002060"/>
                <w:lang w:eastAsia="lv-LV"/>
              </w:rPr>
            </w:pPr>
            <w:r w:rsidRPr="0015154B">
              <w:rPr>
                <w:rFonts w:ascii="Times New Roman" w:eastAsia="Times New Roman" w:hAnsi="Times New Roman" w:cs="Times New Roman"/>
                <w:b/>
                <w:color w:val="002060"/>
                <w:lang w:eastAsia="lv-LV"/>
              </w:rPr>
              <w:t>Minimālā alga vidēji gadā, EUR</w:t>
            </w:r>
          </w:p>
        </w:tc>
        <w:tc>
          <w:tcPr>
            <w:tcW w:w="1953" w:type="dxa"/>
            <w:shd w:val="clear" w:color="auto" w:fill="E8F3D3" w:themeFill="accent2" w:themeFillTint="33"/>
          </w:tcPr>
          <w:p w14:paraId="056FEF13" w14:textId="77777777" w:rsidR="00EB50F4" w:rsidRPr="0015154B" w:rsidRDefault="00EB50F4" w:rsidP="006B303C">
            <w:pPr>
              <w:spacing w:after="0" w:line="240" w:lineRule="auto"/>
              <w:jc w:val="both"/>
              <w:rPr>
                <w:rFonts w:ascii="Times New Roman" w:eastAsia="Times New Roman" w:hAnsi="Times New Roman" w:cs="Times New Roman"/>
                <w:b/>
                <w:color w:val="002060"/>
                <w:lang w:eastAsia="lv-LV"/>
              </w:rPr>
            </w:pPr>
            <w:r w:rsidRPr="0015154B">
              <w:rPr>
                <w:rFonts w:ascii="Times New Roman" w:eastAsia="Times New Roman" w:hAnsi="Times New Roman" w:cs="Times New Roman"/>
                <w:b/>
                <w:bCs/>
                <w:color w:val="002060"/>
                <w:lang w:eastAsia="lv-LV"/>
              </w:rPr>
              <w:t>Strādājošo mēneša vidējā bruto darba samaksa, EUR</w:t>
            </w:r>
          </w:p>
        </w:tc>
        <w:tc>
          <w:tcPr>
            <w:tcW w:w="2800" w:type="dxa"/>
            <w:shd w:val="clear" w:color="auto" w:fill="E8F3D3" w:themeFill="accent2" w:themeFillTint="33"/>
          </w:tcPr>
          <w:p w14:paraId="32337243" w14:textId="77777777" w:rsidR="00EB50F4" w:rsidRPr="0015154B" w:rsidRDefault="00EB50F4" w:rsidP="006B303C">
            <w:pPr>
              <w:spacing w:after="0" w:line="240" w:lineRule="auto"/>
              <w:ind w:hanging="27"/>
              <w:jc w:val="both"/>
              <w:rPr>
                <w:rFonts w:ascii="Times New Roman" w:eastAsia="Times New Roman" w:hAnsi="Times New Roman" w:cs="Times New Roman"/>
                <w:b/>
                <w:color w:val="002060"/>
                <w:lang w:eastAsia="lv-LV"/>
              </w:rPr>
            </w:pPr>
            <w:r w:rsidRPr="0015154B">
              <w:rPr>
                <w:rFonts w:ascii="Times New Roman" w:eastAsia="Times New Roman" w:hAnsi="Times New Roman" w:cs="Times New Roman"/>
                <w:b/>
                <w:bCs/>
                <w:color w:val="002060"/>
                <w:lang w:eastAsia="lv-LV"/>
              </w:rPr>
              <w:t>Minimālā alga % no strādājošo mēneša vidējās bruto darba samaksas par iepriekšējo gadu</w:t>
            </w:r>
          </w:p>
        </w:tc>
      </w:tr>
      <w:tr w:rsidR="00EB50F4" w:rsidRPr="0015154B" w14:paraId="55749FD8" w14:textId="77777777" w:rsidTr="00AF6D84">
        <w:tc>
          <w:tcPr>
            <w:tcW w:w="1129" w:type="dxa"/>
            <w:shd w:val="clear" w:color="auto" w:fill="E8F3D3" w:themeFill="accent2" w:themeFillTint="33"/>
          </w:tcPr>
          <w:p w14:paraId="4944497B" w14:textId="77777777" w:rsidR="00EB50F4" w:rsidRPr="0015154B" w:rsidRDefault="00EB50F4" w:rsidP="006B303C">
            <w:pPr>
              <w:spacing w:after="0" w:line="240" w:lineRule="auto"/>
              <w:ind w:firstLine="22"/>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2014</w:t>
            </w:r>
          </w:p>
        </w:tc>
        <w:tc>
          <w:tcPr>
            <w:tcW w:w="2127" w:type="dxa"/>
            <w:shd w:val="clear" w:color="auto" w:fill="auto"/>
          </w:tcPr>
          <w:p w14:paraId="5BC3D3AA"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320,00</w:t>
            </w:r>
          </w:p>
        </w:tc>
        <w:tc>
          <w:tcPr>
            <w:tcW w:w="1953" w:type="dxa"/>
            <w:shd w:val="clear" w:color="auto" w:fill="auto"/>
          </w:tcPr>
          <w:p w14:paraId="029C14C0"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765</w:t>
            </w:r>
          </w:p>
        </w:tc>
        <w:tc>
          <w:tcPr>
            <w:tcW w:w="2800" w:type="dxa"/>
            <w:shd w:val="clear" w:color="auto" w:fill="auto"/>
          </w:tcPr>
          <w:p w14:paraId="38D4C41F"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44,7</w:t>
            </w:r>
          </w:p>
        </w:tc>
      </w:tr>
      <w:tr w:rsidR="00EB50F4" w:rsidRPr="0015154B" w14:paraId="36186171" w14:textId="77777777" w:rsidTr="00AF6D84">
        <w:tc>
          <w:tcPr>
            <w:tcW w:w="1129" w:type="dxa"/>
            <w:shd w:val="clear" w:color="auto" w:fill="E8F3D3" w:themeFill="accent2" w:themeFillTint="33"/>
          </w:tcPr>
          <w:p w14:paraId="7625165B" w14:textId="77777777" w:rsidR="00EB50F4" w:rsidRPr="0015154B" w:rsidRDefault="00EB50F4" w:rsidP="006B303C">
            <w:pPr>
              <w:spacing w:after="0" w:line="240" w:lineRule="auto"/>
              <w:ind w:firstLine="22"/>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2015</w:t>
            </w:r>
          </w:p>
        </w:tc>
        <w:tc>
          <w:tcPr>
            <w:tcW w:w="2127" w:type="dxa"/>
            <w:shd w:val="clear" w:color="auto" w:fill="auto"/>
          </w:tcPr>
          <w:p w14:paraId="07D788B0"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360,00</w:t>
            </w:r>
          </w:p>
        </w:tc>
        <w:tc>
          <w:tcPr>
            <w:tcW w:w="1953" w:type="dxa"/>
            <w:shd w:val="clear" w:color="auto" w:fill="auto"/>
          </w:tcPr>
          <w:p w14:paraId="72A38381"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818</w:t>
            </w:r>
          </w:p>
        </w:tc>
        <w:tc>
          <w:tcPr>
            <w:tcW w:w="2800" w:type="dxa"/>
            <w:shd w:val="clear" w:color="auto" w:fill="auto"/>
          </w:tcPr>
          <w:p w14:paraId="05F8D537"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47,1</w:t>
            </w:r>
          </w:p>
        </w:tc>
      </w:tr>
      <w:tr w:rsidR="00EB50F4" w:rsidRPr="0015154B" w14:paraId="1ED87CB0" w14:textId="77777777" w:rsidTr="00AF6D84">
        <w:tc>
          <w:tcPr>
            <w:tcW w:w="1129" w:type="dxa"/>
            <w:shd w:val="clear" w:color="auto" w:fill="E8F3D3" w:themeFill="accent2" w:themeFillTint="33"/>
          </w:tcPr>
          <w:p w14:paraId="605F0A4F" w14:textId="77777777" w:rsidR="00EB50F4" w:rsidRPr="0015154B" w:rsidRDefault="00EB50F4" w:rsidP="006B303C">
            <w:pPr>
              <w:spacing w:after="0" w:line="240" w:lineRule="auto"/>
              <w:ind w:firstLine="22"/>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2016</w:t>
            </w:r>
          </w:p>
        </w:tc>
        <w:tc>
          <w:tcPr>
            <w:tcW w:w="2127" w:type="dxa"/>
            <w:shd w:val="clear" w:color="auto" w:fill="auto"/>
          </w:tcPr>
          <w:p w14:paraId="391B65DF"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370,00</w:t>
            </w:r>
          </w:p>
        </w:tc>
        <w:tc>
          <w:tcPr>
            <w:tcW w:w="1953" w:type="dxa"/>
            <w:shd w:val="clear" w:color="auto" w:fill="auto"/>
          </w:tcPr>
          <w:p w14:paraId="6B1FE870"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859</w:t>
            </w:r>
          </w:p>
        </w:tc>
        <w:tc>
          <w:tcPr>
            <w:tcW w:w="2800" w:type="dxa"/>
            <w:shd w:val="clear" w:color="auto" w:fill="auto"/>
          </w:tcPr>
          <w:p w14:paraId="4224F504"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45,2</w:t>
            </w:r>
          </w:p>
        </w:tc>
      </w:tr>
      <w:tr w:rsidR="00EB50F4" w:rsidRPr="0015154B" w14:paraId="122461DA" w14:textId="77777777" w:rsidTr="00AF6D84">
        <w:tc>
          <w:tcPr>
            <w:tcW w:w="1129" w:type="dxa"/>
            <w:shd w:val="clear" w:color="auto" w:fill="E8F3D3" w:themeFill="accent2" w:themeFillTint="33"/>
          </w:tcPr>
          <w:p w14:paraId="7234246E" w14:textId="77777777" w:rsidR="00EB50F4" w:rsidRPr="0015154B" w:rsidRDefault="00EB50F4" w:rsidP="006B303C">
            <w:pPr>
              <w:spacing w:after="0" w:line="240" w:lineRule="auto"/>
              <w:ind w:firstLine="22"/>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2017</w:t>
            </w:r>
          </w:p>
        </w:tc>
        <w:tc>
          <w:tcPr>
            <w:tcW w:w="2127" w:type="dxa"/>
            <w:shd w:val="clear" w:color="auto" w:fill="auto"/>
          </w:tcPr>
          <w:p w14:paraId="55668E84"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380,00</w:t>
            </w:r>
          </w:p>
        </w:tc>
        <w:tc>
          <w:tcPr>
            <w:tcW w:w="1953" w:type="dxa"/>
            <w:shd w:val="clear" w:color="auto" w:fill="auto"/>
          </w:tcPr>
          <w:p w14:paraId="5A762FD9"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926</w:t>
            </w:r>
          </w:p>
        </w:tc>
        <w:tc>
          <w:tcPr>
            <w:tcW w:w="2800" w:type="dxa"/>
            <w:shd w:val="clear" w:color="auto" w:fill="auto"/>
          </w:tcPr>
          <w:p w14:paraId="03168621"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44,2</w:t>
            </w:r>
          </w:p>
        </w:tc>
      </w:tr>
      <w:tr w:rsidR="00EB50F4" w:rsidRPr="0015154B" w14:paraId="0960FA9D" w14:textId="77777777" w:rsidTr="00AF6D84">
        <w:tc>
          <w:tcPr>
            <w:tcW w:w="1129" w:type="dxa"/>
            <w:shd w:val="clear" w:color="auto" w:fill="E8F3D3" w:themeFill="accent2" w:themeFillTint="33"/>
          </w:tcPr>
          <w:p w14:paraId="18CAB514" w14:textId="77777777" w:rsidR="00EB50F4" w:rsidRPr="0015154B" w:rsidRDefault="00EB50F4" w:rsidP="006B303C">
            <w:pPr>
              <w:spacing w:after="0" w:line="240" w:lineRule="auto"/>
              <w:ind w:firstLine="22"/>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2018</w:t>
            </w:r>
          </w:p>
        </w:tc>
        <w:tc>
          <w:tcPr>
            <w:tcW w:w="2127" w:type="dxa"/>
            <w:shd w:val="clear" w:color="auto" w:fill="auto"/>
          </w:tcPr>
          <w:p w14:paraId="33917252"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430,00</w:t>
            </w:r>
          </w:p>
        </w:tc>
        <w:tc>
          <w:tcPr>
            <w:tcW w:w="1953" w:type="dxa"/>
            <w:shd w:val="clear" w:color="auto" w:fill="auto"/>
          </w:tcPr>
          <w:p w14:paraId="6DDB7426"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1004</w:t>
            </w:r>
          </w:p>
        </w:tc>
        <w:tc>
          <w:tcPr>
            <w:tcW w:w="2800" w:type="dxa"/>
            <w:shd w:val="clear" w:color="auto" w:fill="auto"/>
          </w:tcPr>
          <w:p w14:paraId="1703D722"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46,4</w:t>
            </w:r>
          </w:p>
        </w:tc>
      </w:tr>
      <w:tr w:rsidR="00EB50F4" w:rsidRPr="0015154B" w14:paraId="17225693" w14:textId="77777777" w:rsidTr="00AF6D84">
        <w:tc>
          <w:tcPr>
            <w:tcW w:w="1129" w:type="dxa"/>
            <w:shd w:val="clear" w:color="auto" w:fill="E8F3D3" w:themeFill="accent2" w:themeFillTint="33"/>
          </w:tcPr>
          <w:p w14:paraId="687B028B" w14:textId="77777777" w:rsidR="00EB50F4" w:rsidRPr="0015154B" w:rsidRDefault="00EB50F4" w:rsidP="006B303C">
            <w:pPr>
              <w:spacing w:after="0" w:line="240" w:lineRule="auto"/>
              <w:ind w:firstLine="22"/>
              <w:jc w:val="both"/>
              <w:rPr>
                <w:rFonts w:ascii="Times New Roman" w:eastAsia="Times New Roman" w:hAnsi="Times New Roman" w:cs="Times New Roman"/>
                <w:color w:val="002060"/>
                <w:sz w:val="24"/>
                <w:szCs w:val="24"/>
                <w:lang w:eastAsia="lv-LV"/>
              </w:rPr>
            </w:pPr>
            <w:r w:rsidRPr="0015154B">
              <w:rPr>
                <w:rFonts w:ascii="Times New Roman" w:eastAsia="Times New Roman" w:hAnsi="Times New Roman" w:cs="Times New Roman"/>
                <w:color w:val="002060"/>
                <w:sz w:val="24"/>
                <w:szCs w:val="24"/>
                <w:lang w:eastAsia="lv-LV"/>
              </w:rPr>
              <w:t>2019</w:t>
            </w:r>
          </w:p>
        </w:tc>
        <w:tc>
          <w:tcPr>
            <w:tcW w:w="2127" w:type="dxa"/>
            <w:shd w:val="clear" w:color="auto" w:fill="auto"/>
          </w:tcPr>
          <w:p w14:paraId="521D8076"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430,00</w:t>
            </w:r>
          </w:p>
        </w:tc>
        <w:tc>
          <w:tcPr>
            <w:tcW w:w="1953" w:type="dxa"/>
            <w:shd w:val="clear" w:color="auto" w:fill="auto"/>
          </w:tcPr>
          <w:p w14:paraId="50D61345"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1076</w:t>
            </w:r>
          </w:p>
        </w:tc>
        <w:tc>
          <w:tcPr>
            <w:tcW w:w="2800" w:type="dxa"/>
            <w:shd w:val="clear" w:color="auto" w:fill="auto"/>
          </w:tcPr>
          <w:p w14:paraId="3FAE2731" w14:textId="77777777" w:rsidR="00EB50F4" w:rsidRPr="0015154B" w:rsidRDefault="00EB50F4" w:rsidP="006B303C">
            <w:pPr>
              <w:spacing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42,8</w:t>
            </w:r>
          </w:p>
        </w:tc>
      </w:tr>
    </w:tbl>
    <w:p w14:paraId="1B5FFBBA" w14:textId="6F5F46AF" w:rsidR="00EB50F4" w:rsidRPr="0015154B" w:rsidRDefault="00EB50F4" w:rsidP="00EB50F4">
      <w:pPr>
        <w:spacing w:after="0" w:line="240" w:lineRule="auto"/>
        <w:ind w:firstLine="720"/>
        <w:jc w:val="both"/>
        <w:rPr>
          <w:rFonts w:ascii="Times New Roman" w:eastAsia="Times New Roman" w:hAnsi="Times New Roman" w:cs="Times New Roman"/>
          <w:color w:val="000000" w:themeColor="text1"/>
          <w:sz w:val="20"/>
          <w:szCs w:val="20"/>
          <w:lang w:eastAsia="lv-LV"/>
        </w:rPr>
      </w:pPr>
      <w:r w:rsidRPr="00C710A1">
        <w:rPr>
          <w:rFonts w:ascii="Times New Roman" w:eastAsia="Times New Roman" w:hAnsi="Times New Roman" w:cs="Times New Roman"/>
          <w:color w:val="000000" w:themeColor="text1"/>
          <w:sz w:val="20"/>
          <w:szCs w:val="20"/>
          <w:lang w:eastAsia="lv-LV"/>
        </w:rPr>
        <w:t>Datu avots: CSP</w:t>
      </w:r>
      <w:r w:rsidR="005754C2" w:rsidRPr="00C710A1">
        <w:rPr>
          <w:rFonts w:ascii="Times New Roman" w:eastAsia="Times New Roman" w:hAnsi="Times New Roman" w:cs="Times New Roman"/>
          <w:color w:val="000000" w:themeColor="text1"/>
          <w:sz w:val="20"/>
          <w:szCs w:val="20"/>
          <w:lang w:eastAsia="lv-LV"/>
        </w:rPr>
        <w:t xml:space="preserve"> datu bāze</w:t>
      </w:r>
      <w:r w:rsidRPr="00C710A1">
        <w:rPr>
          <w:rFonts w:ascii="Times New Roman" w:eastAsia="Times New Roman" w:hAnsi="Times New Roman" w:cs="Times New Roman"/>
          <w:color w:val="000000" w:themeColor="text1"/>
          <w:sz w:val="20"/>
          <w:szCs w:val="20"/>
          <w:lang w:eastAsia="lv-LV"/>
        </w:rPr>
        <w:t>, datu tabul</w:t>
      </w:r>
      <w:r w:rsidR="005754C2" w:rsidRPr="00C710A1">
        <w:rPr>
          <w:rFonts w:ascii="Times New Roman" w:eastAsia="Times New Roman" w:hAnsi="Times New Roman" w:cs="Times New Roman"/>
          <w:color w:val="000000" w:themeColor="text1"/>
          <w:sz w:val="20"/>
          <w:szCs w:val="20"/>
          <w:lang w:eastAsia="lv-LV"/>
        </w:rPr>
        <w:t xml:space="preserve">a DSG001, </w:t>
      </w:r>
      <w:r w:rsidR="00C710A1" w:rsidRPr="00C710A1">
        <w:rPr>
          <w:rFonts w:ascii="Times New Roman" w:eastAsia="Times New Roman" w:hAnsi="Times New Roman" w:cs="Times New Roman"/>
          <w:color w:val="000000" w:themeColor="text1"/>
          <w:sz w:val="20"/>
          <w:szCs w:val="20"/>
          <w:lang w:eastAsia="lv-LV"/>
        </w:rPr>
        <w:t>DSG050</w:t>
      </w:r>
    </w:p>
    <w:p w14:paraId="177D7082" w14:textId="77777777" w:rsidR="00EB50F4" w:rsidRPr="0015154B" w:rsidRDefault="00EB50F4" w:rsidP="001E0240">
      <w:pPr>
        <w:spacing w:after="0" w:line="240" w:lineRule="auto"/>
        <w:ind w:firstLine="720"/>
        <w:jc w:val="both"/>
        <w:rPr>
          <w:rFonts w:ascii="Times New Roman" w:eastAsia="Times New Roman" w:hAnsi="Times New Roman" w:cs="Times New Roman"/>
          <w:color w:val="000000" w:themeColor="text1"/>
          <w:sz w:val="24"/>
          <w:szCs w:val="24"/>
          <w:highlight w:val="yellow"/>
          <w:lang w:eastAsia="lv-LV"/>
        </w:rPr>
      </w:pPr>
    </w:p>
    <w:p w14:paraId="24A5920A" w14:textId="3CC9C7C0" w:rsidR="003E0FDE" w:rsidRPr="0015154B" w:rsidRDefault="003E0FDE" w:rsidP="00724B79">
      <w:pPr>
        <w:spacing w:before="120"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hAnsi="Times New Roman"/>
          <w:sz w:val="24"/>
          <w:szCs w:val="24"/>
        </w:rPr>
        <w:t>Latvijā minimālā alga pēdējos 10 gados bijusi vidēji 40-44% līmenī no vidējās algas, un 2021.gadā, paaugstinot minimālo algu līdz 500 eiro, šis līmenis saglabātos.</w:t>
      </w:r>
      <w:bookmarkStart w:id="95" w:name="_Hlk13556291"/>
      <w:r w:rsidRPr="0015154B">
        <w:rPr>
          <w:rFonts w:ascii="Times New Roman" w:eastAsia="Times New Roman" w:hAnsi="Times New Roman" w:cs="Times New Roman"/>
          <w:color w:val="000000" w:themeColor="text1"/>
          <w:sz w:val="24"/>
          <w:szCs w:val="24"/>
          <w:lang w:eastAsia="lv-LV"/>
        </w:rPr>
        <w:t xml:space="preserve"> Ņemot vērā iepriekšminēto, joprojām minimālās algas apmērs valstī nav sasniedzis Eiropas Sociālās hartas 4.panta „Tiesības uz taisnīgu atalgojumu” 1.daļā noteikto „atzīt strādājošo tiesības uz atalgojumu, kas nodrošinātu tiem un to ģimenēm pienācīgus dzīves apstākļus”, kas pēc ekspertu aprēķiniem ir 66% no nacionālā ienākuma uz vienu iedzīvotāju vai 68% no nacionālās vidējās algas.</w:t>
      </w:r>
    </w:p>
    <w:bookmarkEnd w:id="95"/>
    <w:p w14:paraId="7C8B3780" w14:textId="34A83F94" w:rsidR="001E0240" w:rsidRPr="0015154B" w:rsidRDefault="001E0240" w:rsidP="00724B79">
      <w:pPr>
        <w:spacing w:before="120"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Pēdējie pieejamie CSP statistikas dati uz 2020. gada maiju rāda, ka darba ņēmēju skaits, kuriem darba ienākumi ir minimālās mēneša darba algas apmērā 430 eiro un mazāk, bija 133,8 tūkst. cilvēku, tai skaitā privātajā sektorā – 107,9 tūkst. cilvēku un sabiedriskajā sektorā – 23,2 tūkst. cilvēku. Savukārt darba ņēmēju skaits, kuriem darba ienākumi bija tieši minimālās mēneša darba algas apmērā, bija 16,3 tūkst. cilvēku, tai skaitā privātajā sektorā – 12,2 tūkst. cilvēku un sabiedriskajā sektorā – 3,9 tūkst cilvēku.</w:t>
      </w:r>
    </w:p>
    <w:p w14:paraId="061CB414" w14:textId="29A573A3" w:rsidR="00FE1751" w:rsidRPr="0015154B" w:rsidRDefault="00FE1751" w:rsidP="00724B79">
      <w:pPr>
        <w:spacing w:before="120" w:after="0" w:line="240" w:lineRule="auto"/>
        <w:ind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Ekonomikas ministrija prognozē, ka COVID-19 pandēmijas ietekmē kopumā 2020. gadā IKP var sarukt par 8%, salīdzinot ar 2019.gadu, bezdarba līmenim pieaugot līdz 12%. Darba vietu kvalitāte, kas ietver arī darba algas apmēru, ir būtisks elements izaugsmei augstākas produktivitātes tautsaimniecībās. Vienlaikus 2020.gadā kā atbilde uz Covid-19 krīzi ir stiprināts sociālās drošības tīkls bez darba palikušajiem. Gan bezdarba situācija ar nepietiekamu sociālo nodrošinājumu, gan nepietiekams ienākums no darba var būt iemesl</w:t>
      </w:r>
      <w:r w:rsidR="00865001">
        <w:rPr>
          <w:rFonts w:ascii="Times New Roman" w:eastAsia="Times New Roman" w:hAnsi="Times New Roman" w:cs="Times New Roman"/>
          <w:color w:val="000000" w:themeColor="text1"/>
          <w:sz w:val="24"/>
          <w:szCs w:val="24"/>
          <w:lang w:eastAsia="lv-LV"/>
        </w:rPr>
        <w:t>i</w:t>
      </w:r>
      <w:r w:rsidRPr="0015154B">
        <w:rPr>
          <w:rFonts w:ascii="Times New Roman" w:eastAsia="Times New Roman" w:hAnsi="Times New Roman" w:cs="Times New Roman"/>
          <w:color w:val="000000" w:themeColor="text1"/>
          <w:sz w:val="24"/>
          <w:szCs w:val="24"/>
          <w:lang w:eastAsia="lv-LV"/>
        </w:rPr>
        <w:t xml:space="preserve"> emigrācijai, jo īpaši reģionos. Tādēļ svarīgi turpināt radīt apstākļus, kas mazina paaugstinātu emigrācijas risku un vienlaikus veicina tautsaimniecības produktivitātes izaugsmi. Tas ietver arī pakāpenisku un samērīgu minimālās algas paaugstināšanu.</w:t>
      </w:r>
    </w:p>
    <w:p w14:paraId="16350882" w14:textId="77777777" w:rsidR="00FE1751" w:rsidRPr="0015154B" w:rsidRDefault="00FE1751" w:rsidP="00724B79">
      <w:pPr>
        <w:pStyle w:val="FootnoteText"/>
        <w:spacing w:before="120" w:after="0" w:line="240" w:lineRule="auto"/>
        <w:ind w:firstLine="720"/>
        <w:jc w:val="both"/>
        <w:rPr>
          <w:rFonts w:ascii="Times New Roman" w:hAnsi="Times New Roman"/>
          <w:sz w:val="24"/>
          <w:szCs w:val="24"/>
          <w:lang w:val="lv-LV"/>
        </w:rPr>
      </w:pPr>
      <w:r w:rsidRPr="0015154B">
        <w:rPr>
          <w:rFonts w:ascii="Times New Roman" w:hAnsi="Times New Roman"/>
          <w:sz w:val="24"/>
          <w:szCs w:val="24"/>
          <w:lang w:val="lv-LV"/>
        </w:rPr>
        <w:lastRenderedPageBreak/>
        <w:t>Salīdzinot ar pārējām ES valstīm, minimālā darba alga (tāpat kā vidējais atalgojums) ir viena no zemākajām visā ES, un tas ir viens no galvenajiem faktoriem, kas veicina Latvijas darbaspēka aizplūšanu uz citām ES dalībvalstīm, kur salīdzinoši gan darba alga, gan dzīves apstākļi ir daudz augstāki nekā Latvijā. Darbaspēka aizplūšana negatīvi ietekmē tautsaimniecības nozaru attīstību un ekonomisko izaugsmi. Lai mazinātu darbaspēka trūkuma riskus nākotnē un mazinātu spiedienu uz imigrācijas risinājumiem, lai apmierinātu darba devēju pieprasījumu pēc nepieciešamā darbaspēka, svarīgi turpināt radīt apstākļus, kas mazina paaugstinātu emigrācijas risku un vienlaikus veicina tautsaimniecības produktivitātes izaugsmi. Tas ietver arī pakāpenisku un samērīgu minimālās algas paaugstināšanu.</w:t>
      </w:r>
    </w:p>
    <w:p w14:paraId="0B942145" w14:textId="57B9B01F" w:rsidR="00FE1751" w:rsidRPr="0015154B" w:rsidRDefault="00FE1751" w:rsidP="00ED028B">
      <w:pPr>
        <w:spacing w:before="120" w:after="0" w:line="240" w:lineRule="auto"/>
        <w:ind w:right="-1" w:firstLine="720"/>
        <w:jc w:val="both"/>
        <w:rPr>
          <w:rFonts w:ascii="Times New Roman" w:eastAsia="Times New Roman" w:hAnsi="Times New Roman" w:cs="Times New Roman"/>
          <w:color w:val="000000" w:themeColor="text1"/>
          <w:sz w:val="24"/>
          <w:szCs w:val="24"/>
          <w:lang w:eastAsia="lv-LV"/>
        </w:rPr>
      </w:pPr>
      <w:r w:rsidRPr="0015154B">
        <w:rPr>
          <w:rFonts w:ascii="Times New Roman" w:eastAsia="Times New Roman" w:hAnsi="Times New Roman" w:cs="Times New Roman"/>
          <w:color w:val="000000" w:themeColor="text1"/>
          <w:sz w:val="24"/>
          <w:szCs w:val="24"/>
          <w:lang w:eastAsia="lv-LV"/>
        </w:rPr>
        <w:t>Minimālās algas pieaugums laika posmā no 2016.gada līdz 2019.gadam ir novērojams astoņās Austrumeiropas valstīs, vienīgi Latvijā 2019.gadā minimālā alga netika paaugstināta (</w:t>
      </w:r>
      <w:r w:rsidRPr="00ED028B">
        <w:rPr>
          <w:rFonts w:ascii="Times New Roman" w:eastAsia="Times New Roman" w:hAnsi="Times New Roman" w:cs="Times New Roman"/>
          <w:color w:val="000000" w:themeColor="text1"/>
          <w:sz w:val="24"/>
          <w:szCs w:val="24"/>
          <w:highlight w:val="yellow"/>
          <w:lang w:eastAsia="lv-LV"/>
        </w:rPr>
        <w:t xml:space="preserve">skat. </w:t>
      </w:r>
      <w:r w:rsidR="007F3D1D" w:rsidRPr="00ED028B">
        <w:rPr>
          <w:rFonts w:ascii="Times New Roman" w:eastAsia="Times New Roman" w:hAnsi="Times New Roman" w:cs="Times New Roman"/>
          <w:color w:val="000000" w:themeColor="text1"/>
          <w:sz w:val="24"/>
          <w:szCs w:val="24"/>
          <w:highlight w:val="yellow"/>
          <w:lang w:eastAsia="lv-LV"/>
        </w:rPr>
        <w:t>2</w:t>
      </w:r>
      <w:r w:rsidR="002E4D66">
        <w:rPr>
          <w:rFonts w:ascii="Times New Roman" w:eastAsia="Times New Roman" w:hAnsi="Times New Roman" w:cs="Times New Roman"/>
          <w:color w:val="000000" w:themeColor="text1"/>
          <w:sz w:val="24"/>
          <w:szCs w:val="24"/>
          <w:highlight w:val="yellow"/>
          <w:lang w:eastAsia="lv-LV"/>
        </w:rPr>
        <w:t>9</w:t>
      </w:r>
      <w:r w:rsidR="007F3D1D" w:rsidRPr="00ED028B">
        <w:rPr>
          <w:rFonts w:ascii="Times New Roman" w:eastAsia="Times New Roman" w:hAnsi="Times New Roman" w:cs="Times New Roman"/>
          <w:color w:val="000000" w:themeColor="text1"/>
          <w:sz w:val="24"/>
          <w:szCs w:val="24"/>
          <w:highlight w:val="yellow"/>
          <w:lang w:eastAsia="lv-LV"/>
        </w:rPr>
        <w:t>.</w:t>
      </w:r>
      <w:r w:rsidRPr="00ED028B">
        <w:rPr>
          <w:rFonts w:ascii="Times New Roman" w:eastAsia="Times New Roman" w:hAnsi="Times New Roman" w:cs="Times New Roman"/>
          <w:color w:val="000000" w:themeColor="text1"/>
          <w:sz w:val="24"/>
          <w:szCs w:val="24"/>
          <w:highlight w:val="yellow"/>
          <w:lang w:eastAsia="lv-LV"/>
        </w:rPr>
        <w:t>tabulu</w:t>
      </w:r>
      <w:r w:rsidRPr="0015154B">
        <w:rPr>
          <w:rFonts w:ascii="Times New Roman" w:eastAsia="Times New Roman" w:hAnsi="Times New Roman" w:cs="Times New Roman"/>
          <w:color w:val="000000" w:themeColor="text1"/>
          <w:sz w:val="24"/>
          <w:szCs w:val="24"/>
          <w:lang w:eastAsia="lv-LV"/>
        </w:rPr>
        <w:t>).</w:t>
      </w:r>
    </w:p>
    <w:p w14:paraId="4CCD16D4" w14:textId="77777777" w:rsidR="00FE1751" w:rsidRPr="0015154B" w:rsidRDefault="00FE1751" w:rsidP="00724B79">
      <w:pPr>
        <w:spacing w:before="120" w:after="0" w:line="240" w:lineRule="auto"/>
        <w:jc w:val="both"/>
        <w:rPr>
          <w:rFonts w:ascii="Times New Roman" w:eastAsia="Times New Roman" w:hAnsi="Times New Roman" w:cs="Times New Roman"/>
          <w:color w:val="000000" w:themeColor="text1"/>
          <w:sz w:val="24"/>
          <w:szCs w:val="24"/>
          <w:lang w:eastAsia="lv-LV"/>
        </w:rPr>
      </w:pPr>
    </w:p>
    <w:p w14:paraId="72F196C8" w14:textId="51ECBF83" w:rsidR="00FE1751" w:rsidRPr="0015154B" w:rsidRDefault="007F3D1D" w:rsidP="00724B79">
      <w:pPr>
        <w:spacing w:before="120" w:after="0" w:line="240" w:lineRule="auto"/>
        <w:jc w:val="both"/>
        <w:rPr>
          <w:rFonts w:ascii="Times New Roman" w:eastAsia="Times New Roman" w:hAnsi="Times New Roman" w:cs="Times New Roman"/>
          <w:color w:val="000000" w:themeColor="text1"/>
          <w:sz w:val="24"/>
          <w:szCs w:val="24"/>
          <w:lang w:eastAsia="lv-LV"/>
        </w:rPr>
      </w:pPr>
      <w:r w:rsidRPr="002E4D66">
        <w:rPr>
          <w:rFonts w:ascii="Times New Roman" w:eastAsia="Times New Roman" w:hAnsi="Times New Roman" w:cs="Times New Roman"/>
          <w:color w:val="000000" w:themeColor="text1"/>
          <w:sz w:val="24"/>
          <w:szCs w:val="24"/>
          <w:lang w:eastAsia="lv-LV"/>
        </w:rPr>
        <w:t>2</w:t>
      </w:r>
      <w:r w:rsidR="002E4D66" w:rsidRPr="002E4D66">
        <w:rPr>
          <w:rFonts w:ascii="Times New Roman" w:eastAsia="Times New Roman" w:hAnsi="Times New Roman" w:cs="Times New Roman"/>
          <w:color w:val="000000" w:themeColor="text1"/>
          <w:sz w:val="24"/>
          <w:szCs w:val="24"/>
          <w:lang w:eastAsia="lv-LV"/>
        </w:rPr>
        <w:t>9</w:t>
      </w:r>
      <w:r w:rsidRPr="002E4D66">
        <w:rPr>
          <w:rFonts w:ascii="Times New Roman" w:eastAsia="Times New Roman" w:hAnsi="Times New Roman" w:cs="Times New Roman"/>
          <w:color w:val="000000" w:themeColor="text1"/>
          <w:sz w:val="24"/>
          <w:szCs w:val="24"/>
          <w:lang w:eastAsia="lv-LV"/>
        </w:rPr>
        <w:t>.</w:t>
      </w:r>
      <w:r w:rsidR="00FE1751" w:rsidRPr="002E4D66">
        <w:rPr>
          <w:rFonts w:ascii="Times New Roman" w:eastAsia="Times New Roman" w:hAnsi="Times New Roman" w:cs="Times New Roman"/>
          <w:color w:val="000000" w:themeColor="text1"/>
          <w:sz w:val="24"/>
          <w:szCs w:val="24"/>
          <w:lang w:eastAsia="lv-LV"/>
        </w:rPr>
        <w:t>tabula</w:t>
      </w:r>
    </w:p>
    <w:p w14:paraId="393279B5" w14:textId="725E21B0" w:rsidR="00FE1751" w:rsidRPr="0015154B" w:rsidRDefault="00FE1751" w:rsidP="00724B79">
      <w:pPr>
        <w:spacing w:before="120" w:after="0"/>
        <w:jc w:val="center"/>
        <w:rPr>
          <w:rFonts w:ascii="Times New Roman" w:hAnsi="Times New Roman" w:cs="Times New Roman"/>
          <w:b/>
          <w:color w:val="002060"/>
        </w:rPr>
      </w:pPr>
      <w:r w:rsidRPr="0015154B">
        <w:rPr>
          <w:rFonts w:ascii="Times New Roman" w:hAnsi="Times New Roman" w:cs="Times New Roman"/>
          <w:b/>
          <w:color w:val="002060"/>
        </w:rPr>
        <w:t>Minimālā mēneša darba alga salīdzināmās situācijās Baltijas valstīs un citās Austrumeiropas valstīs, EUR</w:t>
      </w:r>
    </w:p>
    <w:tbl>
      <w:tblPr>
        <w:tblStyle w:val="TableGrid3"/>
        <w:tblW w:w="0" w:type="auto"/>
        <w:tblInd w:w="535" w:type="dxa"/>
        <w:tblLook w:val="04A0" w:firstRow="1" w:lastRow="0" w:firstColumn="1" w:lastColumn="0" w:noHBand="0" w:noVBand="1"/>
      </w:tblPr>
      <w:tblGrid>
        <w:gridCol w:w="1294"/>
        <w:gridCol w:w="1188"/>
        <w:gridCol w:w="1188"/>
        <w:gridCol w:w="1188"/>
        <w:gridCol w:w="1188"/>
      </w:tblGrid>
      <w:tr w:rsidR="00D272D9" w:rsidRPr="0015154B" w14:paraId="5A66EE06" w14:textId="77777777" w:rsidTr="00D272D9">
        <w:trPr>
          <w:tblHeader/>
        </w:trPr>
        <w:tc>
          <w:tcPr>
            <w:tcW w:w="1294" w:type="dxa"/>
            <w:shd w:val="clear" w:color="auto" w:fill="E8F3D3" w:themeFill="accent2" w:themeFillTint="33"/>
          </w:tcPr>
          <w:p w14:paraId="6073E2C1" w14:textId="77777777" w:rsidR="00892542" w:rsidRPr="0015154B" w:rsidRDefault="00892542" w:rsidP="00724B79">
            <w:pPr>
              <w:spacing w:before="120"/>
              <w:rPr>
                <w:rFonts w:ascii="Times New Roman" w:hAnsi="Times New Roman" w:cs="Times New Roman"/>
                <w:b/>
                <w:color w:val="002060"/>
              </w:rPr>
            </w:pPr>
          </w:p>
        </w:tc>
        <w:tc>
          <w:tcPr>
            <w:tcW w:w="1188" w:type="dxa"/>
            <w:shd w:val="clear" w:color="auto" w:fill="E8F3D3" w:themeFill="accent2" w:themeFillTint="33"/>
          </w:tcPr>
          <w:p w14:paraId="58CEE353" w14:textId="77777777" w:rsidR="00892542" w:rsidRPr="0015154B" w:rsidRDefault="00892542" w:rsidP="00724B79">
            <w:pPr>
              <w:spacing w:before="120"/>
              <w:jc w:val="center"/>
              <w:rPr>
                <w:rFonts w:ascii="Times New Roman" w:hAnsi="Times New Roman" w:cs="Times New Roman"/>
                <w:b/>
                <w:color w:val="002060"/>
              </w:rPr>
            </w:pPr>
            <w:r w:rsidRPr="0015154B">
              <w:rPr>
                <w:rFonts w:ascii="Times New Roman" w:hAnsi="Times New Roman" w:cs="Times New Roman"/>
                <w:b/>
                <w:color w:val="002060"/>
              </w:rPr>
              <w:t>2016.gada 1.janvāris</w:t>
            </w:r>
          </w:p>
        </w:tc>
        <w:tc>
          <w:tcPr>
            <w:tcW w:w="1188" w:type="dxa"/>
            <w:shd w:val="clear" w:color="auto" w:fill="E8F3D3" w:themeFill="accent2" w:themeFillTint="33"/>
          </w:tcPr>
          <w:p w14:paraId="13F3BF7F" w14:textId="77777777" w:rsidR="00892542" w:rsidRPr="0015154B" w:rsidRDefault="00892542" w:rsidP="00724B79">
            <w:pPr>
              <w:spacing w:before="120"/>
              <w:jc w:val="center"/>
              <w:rPr>
                <w:rFonts w:ascii="Times New Roman" w:hAnsi="Times New Roman" w:cs="Times New Roman"/>
                <w:b/>
                <w:color w:val="002060"/>
              </w:rPr>
            </w:pPr>
            <w:r w:rsidRPr="0015154B">
              <w:rPr>
                <w:rFonts w:ascii="Times New Roman" w:hAnsi="Times New Roman" w:cs="Times New Roman"/>
                <w:b/>
                <w:color w:val="002060"/>
              </w:rPr>
              <w:t>2017.gada 1.janvāris</w:t>
            </w:r>
          </w:p>
        </w:tc>
        <w:tc>
          <w:tcPr>
            <w:tcW w:w="1188" w:type="dxa"/>
            <w:shd w:val="clear" w:color="auto" w:fill="E8F3D3" w:themeFill="accent2" w:themeFillTint="33"/>
          </w:tcPr>
          <w:p w14:paraId="09062489" w14:textId="77777777" w:rsidR="00892542" w:rsidRPr="0015154B" w:rsidRDefault="00892542" w:rsidP="00724B79">
            <w:pPr>
              <w:spacing w:before="120"/>
              <w:jc w:val="center"/>
              <w:rPr>
                <w:rFonts w:ascii="Times New Roman" w:hAnsi="Times New Roman" w:cs="Times New Roman"/>
                <w:b/>
                <w:color w:val="002060"/>
              </w:rPr>
            </w:pPr>
            <w:r w:rsidRPr="0015154B">
              <w:rPr>
                <w:rFonts w:ascii="Times New Roman" w:hAnsi="Times New Roman" w:cs="Times New Roman"/>
                <w:b/>
                <w:color w:val="002060"/>
              </w:rPr>
              <w:t>2018.gada 1.janvāris</w:t>
            </w:r>
          </w:p>
        </w:tc>
        <w:tc>
          <w:tcPr>
            <w:tcW w:w="1188" w:type="dxa"/>
            <w:shd w:val="clear" w:color="auto" w:fill="E8F3D3" w:themeFill="accent2" w:themeFillTint="33"/>
          </w:tcPr>
          <w:p w14:paraId="4BB4547D" w14:textId="77777777" w:rsidR="00892542" w:rsidRPr="0015154B" w:rsidRDefault="00892542" w:rsidP="00724B79">
            <w:pPr>
              <w:spacing w:before="120"/>
              <w:jc w:val="center"/>
              <w:rPr>
                <w:rFonts w:ascii="Times New Roman" w:hAnsi="Times New Roman" w:cs="Times New Roman"/>
                <w:b/>
                <w:color w:val="002060"/>
              </w:rPr>
            </w:pPr>
            <w:r w:rsidRPr="0015154B">
              <w:rPr>
                <w:rFonts w:ascii="Times New Roman" w:hAnsi="Times New Roman" w:cs="Times New Roman"/>
                <w:b/>
                <w:color w:val="002060"/>
              </w:rPr>
              <w:t>2019.gada 1.janvāris</w:t>
            </w:r>
          </w:p>
        </w:tc>
      </w:tr>
      <w:tr w:rsidR="00892542" w:rsidRPr="0015154B" w14:paraId="14222A8F" w14:textId="77777777" w:rsidTr="00AF6D84">
        <w:tc>
          <w:tcPr>
            <w:tcW w:w="1294" w:type="dxa"/>
            <w:shd w:val="clear" w:color="auto" w:fill="E8F3D3" w:themeFill="accent2" w:themeFillTint="33"/>
          </w:tcPr>
          <w:p w14:paraId="39C63DF6" w14:textId="77777777" w:rsidR="00892542" w:rsidRPr="0015154B" w:rsidRDefault="00892542" w:rsidP="00724B79">
            <w:pPr>
              <w:spacing w:before="120"/>
              <w:rPr>
                <w:rFonts w:ascii="Times New Roman" w:hAnsi="Times New Roman" w:cs="Times New Roman"/>
                <w:b/>
                <w:color w:val="002060"/>
              </w:rPr>
            </w:pPr>
            <w:r w:rsidRPr="0015154B">
              <w:rPr>
                <w:rFonts w:ascii="Times New Roman" w:hAnsi="Times New Roman" w:cs="Times New Roman"/>
                <w:b/>
                <w:color w:val="002060"/>
              </w:rPr>
              <w:t>Latvija</w:t>
            </w:r>
          </w:p>
        </w:tc>
        <w:tc>
          <w:tcPr>
            <w:tcW w:w="1188" w:type="dxa"/>
          </w:tcPr>
          <w:p w14:paraId="0543E1C9"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370</w:t>
            </w:r>
          </w:p>
        </w:tc>
        <w:tc>
          <w:tcPr>
            <w:tcW w:w="1188" w:type="dxa"/>
          </w:tcPr>
          <w:p w14:paraId="18398036"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380,00</w:t>
            </w:r>
          </w:p>
        </w:tc>
        <w:tc>
          <w:tcPr>
            <w:tcW w:w="1188" w:type="dxa"/>
          </w:tcPr>
          <w:p w14:paraId="70F86730"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430</w:t>
            </w:r>
          </w:p>
        </w:tc>
        <w:tc>
          <w:tcPr>
            <w:tcW w:w="1188" w:type="dxa"/>
          </w:tcPr>
          <w:p w14:paraId="049B98E6"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430</w:t>
            </w:r>
          </w:p>
        </w:tc>
      </w:tr>
      <w:tr w:rsidR="00892542" w:rsidRPr="0015154B" w14:paraId="0B299D1B" w14:textId="77777777" w:rsidTr="00AF6D84">
        <w:tc>
          <w:tcPr>
            <w:tcW w:w="1294" w:type="dxa"/>
            <w:shd w:val="clear" w:color="auto" w:fill="E8F3D3" w:themeFill="accent2" w:themeFillTint="33"/>
          </w:tcPr>
          <w:p w14:paraId="7DC76C57" w14:textId="77777777" w:rsidR="00892542" w:rsidRPr="0015154B" w:rsidRDefault="00892542" w:rsidP="00724B79">
            <w:pPr>
              <w:spacing w:before="120"/>
              <w:rPr>
                <w:rFonts w:ascii="Times New Roman" w:hAnsi="Times New Roman" w:cs="Times New Roman"/>
                <w:b/>
                <w:color w:val="002060"/>
              </w:rPr>
            </w:pPr>
            <w:r w:rsidRPr="0015154B">
              <w:rPr>
                <w:rFonts w:ascii="Times New Roman" w:hAnsi="Times New Roman" w:cs="Times New Roman"/>
                <w:b/>
                <w:color w:val="002060"/>
              </w:rPr>
              <w:t>Igaunija</w:t>
            </w:r>
          </w:p>
        </w:tc>
        <w:tc>
          <w:tcPr>
            <w:tcW w:w="1188" w:type="dxa"/>
          </w:tcPr>
          <w:p w14:paraId="66942EE1"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430</w:t>
            </w:r>
          </w:p>
        </w:tc>
        <w:tc>
          <w:tcPr>
            <w:tcW w:w="1188" w:type="dxa"/>
          </w:tcPr>
          <w:p w14:paraId="5DD74F85"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470,00</w:t>
            </w:r>
          </w:p>
        </w:tc>
        <w:tc>
          <w:tcPr>
            <w:tcW w:w="1188" w:type="dxa"/>
          </w:tcPr>
          <w:p w14:paraId="28127CBB"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500</w:t>
            </w:r>
          </w:p>
        </w:tc>
        <w:tc>
          <w:tcPr>
            <w:tcW w:w="1188" w:type="dxa"/>
          </w:tcPr>
          <w:p w14:paraId="6847DC7C"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540</w:t>
            </w:r>
          </w:p>
        </w:tc>
      </w:tr>
      <w:tr w:rsidR="00892542" w:rsidRPr="0015154B" w14:paraId="3CBF6C3F" w14:textId="77777777" w:rsidTr="00AF6D84">
        <w:tc>
          <w:tcPr>
            <w:tcW w:w="1294" w:type="dxa"/>
            <w:shd w:val="clear" w:color="auto" w:fill="E8F3D3" w:themeFill="accent2" w:themeFillTint="33"/>
          </w:tcPr>
          <w:p w14:paraId="567CD612" w14:textId="77777777" w:rsidR="00892542" w:rsidRPr="0015154B" w:rsidRDefault="00892542" w:rsidP="00724B79">
            <w:pPr>
              <w:spacing w:before="120"/>
              <w:rPr>
                <w:rFonts w:ascii="Times New Roman" w:hAnsi="Times New Roman" w:cs="Times New Roman"/>
                <w:b/>
                <w:color w:val="002060"/>
              </w:rPr>
            </w:pPr>
            <w:r w:rsidRPr="0015154B">
              <w:rPr>
                <w:rFonts w:ascii="Times New Roman" w:hAnsi="Times New Roman" w:cs="Times New Roman"/>
                <w:b/>
                <w:color w:val="002060"/>
              </w:rPr>
              <w:t>Lietuva</w:t>
            </w:r>
          </w:p>
        </w:tc>
        <w:tc>
          <w:tcPr>
            <w:tcW w:w="1188" w:type="dxa"/>
          </w:tcPr>
          <w:p w14:paraId="0E2D5266"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350</w:t>
            </w:r>
          </w:p>
        </w:tc>
        <w:tc>
          <w:tcPr>
            <w:tcW w:w="1188" w:type="dxa"/>
          </w:tcPr>
          <w:p w14:paraId="7BBECF12"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380,00</w:t>
            </w:r>
          </w:p>
        </w:tc>
        <w:tc>
          <w:tcPr>
            <w:tcW w:w="1188" w:type="dxa"/>
          </w:tcPr>
          <w:p w14:paraId="621AD255"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400</w:t>
            </w:r>
          </w:p>
        </w:tc>
        <w:tc>
          <w:tcPr>
            <w:tcW w:w="1188" w:type="dxa"/>
          </w:tcPr>
          <w:p w14:paraId="3A03FD31"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555</w:t>
            </w:r>
          </w:p>
        </w:tc>
      </w:tr>
      <w:tr w:rsidR="00892542" w:rsidRPr="0015154B" w14:paraId="56802A81" w14:textId="77777777" w:rsidTr="00AF6D84">
        <w:tc>
          <w:tcPr>
            <w:tcW w:w="1294" w:type="dxa"/>
            <w:shd w:val="clear" w:color="auto" w:fill="E8F3D3" w:themeFill="accent2" w:themeFillTint="33"/>
          </w:tcPr>
          <w:p w14:paraId="16A87D23" w14:textId="77777777" w:rsidR="00892542" w:rsidRPr="0015154B" w:rsidRDefault="00892542" w:rsidP="00724B79">
            <w:pPr>
              <w:spacing w:before="120"/>
              <w:rPr>
                <w:rFonts w:ascii="Times New Roman" w:hAnsi="Times New Roman" w:cs="Times New Roman"/>
                <w:b/>
                <w:color w:val="002060"/>
              </w:rPr>
            </w:pPr>
            <w:r w:rsidRPr="0015154B">
              <w:rPr>
                <w:rFonts w:ascii="Times New Roman" w:hAnsi="Times New Roman" w:cs="Times New Roman"/>
                <w:b/>
                <w:color w:val="002060"/>
              </w:rPr>
              <w:t>Ungārija</w:t>
            </w:r>
          </w:p>
        </w:tc>
        <w:tc>
          <w:tcPr>
            <w:tcW w:w="1188" w:type="dxa"/>
          </w:tcPr>
          <w:p w14:paraId="58D56FCB"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358</w:t>
            </w:r>
          </w:p>
        </w:tc>
        <w:tc>
          <w:tcPr>
            <w:tcW w:w="1188" w:type="dxa"/>
          </w:tcPr>
          <w:p w14:paraId="0F2EB4E9"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412,91</w:t>
            </w:r>
          </w:p>
        </w:tc>
        <w:tc>
          <w:tcPr>
            <w:tcW w:w="1188" w:type="dxa"/>
          </w:tcPr>
          <w:p w14:paraId="0DDF1348"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445</w:t>
            </w:r>
          </w:p>
        </w:tc>
        <w:tc>
          <w:tcPr>
            <w:tcW w:w="1188" w:type="dxa"/>
          </w:tcPr>
          <w:p w14:paraId="41F37351"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464</w:t>
            </w:r>
          </w:p>
        </w:tc>
      </w:tr>
      <w:tr w:rsidR="00892542" w:rsidRPr="0015154B" w14:paraId="001D86F4" w14:textId="77777777" w:rsidTr="00AF6D84">
        <w:trPr>
          <w:trHeight w:val="106"/>
        </w:trPr>
        <w:tc>
          <w:tcPr>
            <w:tcW w:w="1294" w:type="dxa"/>
            <w:shd w:val="clear" w:color="auto" w:fill="E8F3D3" w:themeFill="accent2" w:themeFillTint="33"/>
          </w:tcPr>
          <w:p w14:paraId="0DEB8948" w14:textId="77777777" w:rsidR="00892542" w:rsidRPr="0015154B" w:rsidRDefault="00892542" w:rsidP="00724B79">
            <w:pPr>
              <w:spacing w:before="120"/>
              <w:rPr>
                <w:rFonts w:ascii="Times New Roman" w:hAnsi="Times New Roman" w:cs="Times New Roman"/>
                <w:b/>
                <w:color w:val="002060"/>
              </w:rPr>
            </w:pPr>
            <w:r w:rsidRPr="0015154B">
              <w:rPr>
                <w:rFonts w:ascii="Times New Roman" w:hAnsi="Times New Roman" w:cs="Times New Roman"/>
                <w:b/>
                <w:color w:val="002060"/>
              </w:rPr>
              <w:t>Slovākija</w:t>
            </w:r>
          </w:p>
        </w:tc>
        <w:tc>
          <w:tcPr>
            <w:tcW w:w="1188" w:type="dxa"/>
          </w:tcPr>
          <w:p w14:paraId="1FFE50A5"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405</w:t>
            </w:r>
          </w:p>
        </w:tc>
        <w:tc>
          <w:tcPr>
            <w:tcW w:w="1188" w:type="dxa"/>
          </w:tcPr>
          <w:p w14:paraId="7A689A56"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435,00</w:t>
            </w:r>
          </w:p>
        </w:tc>
        <w:tc>
          <w:tcPr>
            <w:tcW w:w="1188" w:type="dxa"/>
          </w:tcPr>
          <w:p w14:paraId="19F5D1A0"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480</w:t>
            </w:r>
          </w:p>
        </w:tc>
        <w:tc>
          <w:tcPr>
            <w:tcW w:w="1188" w:type="dxa"/>
          </w:tcPr>
          <w:p w14:paraId="0677AEAF"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520</w:t>
            </w:r>
          </w:p>
        </w:tc>
      </w:tr>
      <w:tr w:rsidR="00892542" w:rsidRPr="0015154B" w14:paraId="2EBEA347" w14:textId="77777777" w:rsidTr="00AF6D84">
        <w:tc>
          <w:tcPr>
            <w:tcW w:w="1294" w:type="dxa"/>
            <w:shd w:val="clear" w:color="auto" w:fill="E8F3D3" w:themeFill="accent2" w:themeFillTint="33"/>
          </w:tcPr>
          <w:p w14:paraId="07CEF352" w14:textId="77777777" w:rsidR="00892542" w:rsidRPr="0015154B" w:rsidRDefault="00892542" w:rsidP="00724B79">
            <w:pPr>
              <w:spacing w:before="120"/>
              <w:rPr>
                <w:rFonts w:ascii="Times New Roman" w:hAnsi="Times New Roman" w:cs="Times New Roman"/>
                <w:b/>
                <w:color w:val="002060"/>
              </w:rPr>
            </w:pPr>
            <w:r w:rsidRPr="0015154B">
              <w:rPr>
                <w:rFonts w:ascii="Times New Roman" w:hAnsi="Times New Roman" w:cs="Times New Roman"/>
                <w:b/>
                <w:color w:val="002060"/>
              </w:rPr>
              <w:t>Bulgārija</w:t>
            </w:r>
          </w:p>
        </w:tc>
        <w:tc>
          <w:tcPr>
            <w:tcW w:w="1188" w:type="dxa"/>
          </w:tcPr>
          <w:p w14:paraId="29593881"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215</w:t>
            </w:r>
          </w:p>
        </w:tc>
        <w:tc>
          <w:tcPr>
            <w:tcW w:w="1188" w:type="dxa"/>
          </w:tcPr>
          <w:p w14:paraId="5ED9790E"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235,62</w:t>
            </w:r>
          </w:p>
        </w:tc>
        <w:tc>
          <w:tcPr>
            <w:tcW w:w="1188" w:type="dxa"/>
          </w:tcPr>
          <w:p w14:paraId="5805F4A0"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261</w:t>
            </w:r>
          </w:p>
        </w:tc>
        <w:tc>
          <w:tcPr>
            <w:tcW w:w="1188" w:type="dxa"/>
          </w:tcPr>
          <w:p w14:paraId="77867AE2"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286</w:t>
            </w:r>
          </w:p>
        </w:tc>
      </w:tr>
      <w:tr w:rsidR="00892542" w:rsidRPr="0015154B" w14:paraId="78D86736" w14:textId="77777777" w:rsidTr="00AF6D84">
        <w:tc>
          <w:tcPr>
            <w:tcW w:w="1294" w:type="dxa"/>
            <w:shd w:val="clear" w:color="auto" w:fill="E8F3D3" w:themeFill="accent2" w:themeFillTint="33"/>
          </w:tcPr>
          <w:p w14:paraId="628AB980" w14:textId="77777777" w:rsidR="00892542" w:rsidRPr="0015154B" w:rsidRDefault="00892542" w:rsidP="00724B79">
            <w:pPr>
              <w:spacing w:before="120"/>
              <w:rPr>
                <w:rFonts w:ascii="Times New Roman" w:hAnsi="Times New Roman" w:cs="Times New Roman"/>
                <w:b/>
                <w:color w:val="002060"/>
              </w:rPr>
            </w:pPr>
            <w:r w:rsidRPr="0015154B">
              <w:rPr>
                <w:rFonts w:ascii="Times New Roman" w:hAnsi="Times New Roman" w:cs="Times New Roman"/>
                <w:b/>
                <w:color w:val="002060"/>
              </w:rPr>
              <w:t>Čehijas Republika</w:t>
            </w:r>
          </w:p>
        </w:tc>
        <w:tc>
          <w:tcPr>
            <w:tcW w:w="1188" w:type="dxa"/>
          </w:tcPr>
          <w:p w14:paraId="7EFB541D"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367</w:t>
            </w:r>
          </w:p>
        </w:tc>
        <w:tc>
          <w:tcPr>
            <w:tcW w:w="1188" w:type="dxa"/>
          </w:tcPr>
          <w:p w14:paraId="0AD6DCF7"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407,64</w:t>
            </w:r>
          </w:p>
        </w:tc>
        <w:tc>
          <w:tcPr>
            <w:tcW w:w="1188" w:type="dxa"/>
          </w:tcPr>
          <w:p w14:paraId="6FE7B017"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478</w:t>
            </w:r>
          </w:p>
        </w:tc>
        <w:tc>
          <w:tcPr>
            <w:tcW w:w="1188" w:type="dxa"/>
          </w:tcPr>
          <w:p w14:paraId="265B63AF"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519</w:t>
            </w:r>
          </w:p>
        </w:tc>
      </w:tr>
      <w:tr w:rsidR="00892542" w:rsidRPr="0015154B" w14:paraId="5DA7F4F0" w14:textId="77777777" w:rsidTr="00AF6D84">
        <w:tc>
          <w:tcPr>
            <w:tcW w:w="1294" w:type="dxa"/>
            <w:shd w:val="clear" w:color="auto" w:fill="E8F3D3" w:themeFill="accent2" w:themeFillTint="33"/>
          </w:tcPr>
          <w:p w14:paraId="20FC8D63" w14:textId="77777777" w:rsidR="00892542" w:rsidRPr="0015154B" w:rsidRDefault="00892542" w:rsidP="00724B79">
            <w:pPr>
              <w:spacing w:before="120"/>
              <w:rPr>
                <w:rFonts w:ascii="Times New Roman" w:hAnsi="Times New Roman" w:cs="Times New Roman"/>
                <w:b/>
                <w:color w:val="002060"/>
              </w:rPr>
            </w:pPr>
            <w:r w:rsidRPr="0015154B">
              <w:rPr>
                <w:rFonts w:ascii="Times New Roman" w:hAnsi="Times New Roman" w:cs="Times New Roman"/>
                <w:b/>
                <w:color w:val="002060"/>
              </w:rPr>
              <w:t>Polija</w:t>
            </w:r>
          </w:p>
        </w:tc>
        <w:tc>
          <w:tcPr>
            <w:tcW w:w="1188" w:type="dxa"/>
          </w:tcPr>
          <w:p w14:paraId="13C8D1BB"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430</w:t>
            </w:r>
          </w:p>
        </w:tc>
        <w:tc>
          <w:tcPr>
            <w:tcW w:w="1188" w:type="dxa"/>
          </w:tcPr>
          <w:p w14:paraId="1A22A058"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454,52</w:t>
            </w:r>
          </w:p>
        </w:tc>
        <w:tc>
          <w:tcPr>
            <w:tcW w:w="1188" w:type="dxa"/>
          </w:tcPr>
          <w:p w14:paraId="3D6E064B"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503</w:t>
            </w:r>
          </w:p>
        </w:tc>
        <w:tc>
          <w:tcPr>
            <w:tcW w:w="1188" w:type="dxa"/>
          </w:tcPr>
          <w:p w14:paraId="40F4392C" w14:textId="77777777" w:rsidR="00892542" w:rsidRPr="0015154B" w:rsidRDefault="00892542" w:rsidP="00724B79">
            <w:pPr>
              <w:spacing w:before="120"/>
              <w:jc w:val="center"/>
              <w:rPr>
                <w:rFonts w:ascii="Times New Roman" w:hAnsi="Times New Roman" w:cs="Times New Roman"/>
              </w:rPr>
            </w:pPr>
            <w:r w:rsidRPr="0015154B">
              <w:rPr>
                <w:rFonts w:ascii="Times New Roman" w:hAnsi="Times New Roman" w:cs="Times New Roman"/>
              </w:rPr>
              <w:t>523</w:t>
            </w:r>
          </w:p>
        </w:tc>
      </w:tr>
    </w:tbl>
    <w:p w14:paraId="0F6C8BBC" w14:textId="180BF448" w:rsidR="00FE1751" w:rsidRPr="005754C2" w:rsidRDefault="00EB50F4" w:rsidP="00724B79">
      <w:pPr>
        <w:spacing w:before="120" w:after="0"/>
        <w:rPr>
          <w:rFonts w:ascii="Times New Roman" w:hAnsi="Times New Roman" w:cs="Times New Roman"/>
          <w:sz w:val="20"/>
          <w:szCs w:val="20"/>
        </w:rPr>
      </w:pPr>
      <w:r w:rsidRPr="005754C2">
        <w:rPr>
          <w:rFonts w:ascii="Times New Roman" w:hAnsi="Times New Roman" w:cs="Times New Roman"/>
          <w:sz w:val="20"/>
          <w:szCs w:val="20"/>
        </w:rPr>
        <w:t>Datu a</w:t>
      </w:r>
      <w:r w:rsidR="00FE1751" w:rsidRPr="005754C2">
        <w:rPr>
          <w:rFonts w:ascii="Times New Roman" w:hAnsi="Times New Roman" w:cs="Times New Roman"/>
          <w:sz w:val="20"/>
          <w:szCs w:val="20"/>
        </w:rPr>
        <w:t>vots: E</w:t>
      </w:r>
      <w:r w:rsidR="00E07E75" w:rsidRPr="005754C2">
        <w:rPr>
          <w:rFonts w:ascii="Times New Roman" w:hAnsi="Times New Roman" w:cs="Times New Roman"/>
          <w:sz w:val="20"/>
          <w:szCs w:val="20"/>
        </w:rPr>
        <w:t>i</w:t>
      </w:r>
      <w:r w:rsidR="00FE1751" w:rsidRPr="005754C2">
        <w:rPr>
          <w:rFonts w:ascii="Times New Roman" w:hAnsi="Times New Roman" w:cs="Times New Roman"/>
          <w:sz w:val="20"/>
          <w:szCs w:val="20"/>
        </w:rPr>
        <w:t>rostat</w:t>
      </w:r>
      <w:r w:rsidR="005754C2" w:rsidRPr="005754C2">
        <w:rPr>
          <w:rFonts w:ascii="Times New Roman" w:hAnsi="Times New Roman" w:cs="Times New Roman"/>
          <w:sz w:val="20"/>
          <w:szCs w:val="20"/>
        </w:rPr>
        <w:t xml:space="preserve"> datu bāze, datu kods</w:t>
      </w:r>
      <w:r w:rsidR="00FE1751" w:rsidRPr="005754C2">
        <w:rPr>
          <w:rFonts w:ascii="Times New Roman" w:hAnsi="Times New Roman" w:cs="Times New Roman"/>
          <w:sz w:val="20"/>
          <w:szCs w:val="20"/>
        </w:rPr>
        <w:t xml:space="preserve"> </w:t>
      </w:r>
      <w:r w:rsidR="005754C2" w:rsidRPr="005754C2">
        <w:rPr>
          <w:rFonts w:ascii="Times New Roman" w:hAnsi="Times New Roman" w:cs="Times New Roman"/>
          <w:sz w:val="20"/>
          <w:szCs w:val="20"/>
        </w:rPr>
        <w:t>EARN_MW_CUR </w:t>
      </w:r>
    </w:p>
    <w:p w14:paraId="15B38E14" w14:textId="6C9C24E0" w:rsidR="003E0FDE" w:rsidRPr="0015154B" w:rsidRDefault="003E0FDE" w:rsidP="00724B79">
      <w:pPr>
        <w:pStyle w:val="FootnoteText"/>
        <w:spacing w:before="120" w:after="0" w:line="240" w:lineRule="auto"/>
        <w:ind w:firstLine="720"/>
        <w:jc w:val="both"/>
        <w:rPr>
          <w:rFonts w:ascii="Times New Roman" w:hAnsi="Times New Roman"/>
          <w:sz w:val="24"/>
          <w:szCs w:val="24"/>
          <w:lang w:val="lv-LV"/>
        </w:rPr>
      </w:pPr>
      <w:r w:rsidRPr="0015154B">
        <w:rPr>
          <w:rFonts w:ascii="Times New Roman" w:hAnsi="Times New Roman"/>
          <w:sz w:val="24"/>
          <w:szCs w:val="24"/>
          <w:lang w:val="lv-LV"/>
        </w:rPr>
        <w:t xml:space="preserve">Pārskatot minimālās mēneša darba algas apmēru, jāņem vērā virkne tautsaimniecības attīstībai svarīgu rādītāju, tai skaitā potenciālā ietekme uz nodarbinātības izmaiņām un bezdarba pieaugumu mazkvalificēto darbinieku sektorā,  produktivitātes izmaiņām, lai nemazinātu uzņēmumu konkurētspēju un attiecīgi neradītu darba vietu samazinājuma draudus. </w:t>
      </w:r>
    </w:p>
    <w:p w14:paraId="52395807" w14:textId="05B0F077" w:rsidR="00FE1751" w:rsidRDefault="00FE1751" w:rsidP="00724B79">
      <w:pPr>
        <w:pStyle w:val="FootnoteText"/>
        <w:spacing w:before="120" w:after="0" w:line="240" w:lineRule="auto"/>
        <w:ind w:firstLine="720"/>
        <w:jc w:val="both"/>
        <w:rPr>
          <w:rFonts w:ascii="Times New Roman" w:hAnsi="Times New Roman"/>
          <w:sz w:val="24"/>
          <w:szCs w:val="24"/>
          <w:lang w:val="lv-LV"/>
        </w:rPr>
      </w:pPr>
      <w:r w:rsidRPr="0015154B">
        <w:rPr>
          <w:rFonts w:ascii="Times New Roman" w:hAnsi="Times New Roman"/>
          <w:sz w:val="24"/>
          <w:szCs w:val="24"/>
          <w:lang w:val="lv-LV"/>
        </w:rPr>
        <w:t>2020.gadā plānots pilnveidot normatīvo regulējumu, izstrādājot jaunus MK noteikumus par minimālās mēneša darba algas noteikšanas un pārskatīšanas kārtību, nosakot, ka turpmāk minimālās mēneša darba algas noteikšanai tiek piesaistīts konkrēts rādītājs - darba samaksas mediāna un minimālo mēneša darba algu nos</w:t>
      </w:r>
      <w:r w:rsidR="007F3D1D" w:rsidRPr="0015154B">
        <w:rPr>
          <w:rFonts w:ascii="Times New Roman" w:hAnsi="Times New Roman"/>
          <w:sz w:val="24"/>
          <w:szCs w:val="24"/>
          <w:lang w:val="lv-LV"/>
        </w:rPr>
        <w:t>a</w:t>
      </w:r>
      <w:r w:rsidRPr="0015154B">
        <w:rPr>
          <w:rFonts w:ascii="Times New Roman" w:hAnsi="Times New Roman"/>
          <w:sz w:val="24"/>
          <w:szCs w:val="24"/>
          <w:lang w:val="lv-LV"/>
        </w:rPr>
        <w:t xml:space="preserve">ka 60% no darba samaksas mediānas pirms diviem gadiem. Minētais regulējums nostiprinātu sistemātiskuma principu, ka minimālā mēneša darba alga tiek pārskatīta ar zināmu regularitāti un jautājumu par minimālās mēneša darba algas apmēra izmaiņām ar sociālajiem partneriem izskata Nacionālajā trīspusējās sadarbības padomē kopā ar jautājumu par valsts budžeta izstrādi. </w:t>
      </w:r>
    </w:p>
    <w:p w14:paraId="7005C01F" w14:textId="0BC8263D" w:rsidR="00A63763" w:rsidRPr="0015154B" w:rsidRDefault="00A63763" w:rsidP="00A63763">
      <w:pPr>
        <w:pStyle w:val="FootnoteText"/>
        <w:spacing w:before="120"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Tāpat jāmin, ka </w:t>
      </w:r>
      <w:r w:rsidR="00865001">
        <w:rPr>
          <w:rFonts w:ascii="Times New Roman" w:hAnsi="Times New Roman"/>
          <w:sz w:val="24"/>
          <w:szCs w:val="24"/>
          <w:lang w:val="lv-LV"/>
        </w:rPr>
        <w:t xml:space="preserve">2020.gada </w:t>
      </w:r>
      <w:r w:rsidRPr="00A63763">
        <w:rPr>
          <w:rFonts w:ascii="Times New Roman" w:hAnsi="Times New Roman"/>
          <w:sz w:val="24"/>
          <w:szCs w:val="24"/>
          <w:lang w:val="lv-LV"/>
        </w:rPr>
        <w:t xml:space="preserve">28.oktobrī </w:t>
      </w:r>
      <w:r w:rsidR="002E4D66">
        <w:rPr>
          <w:rFonts w:ascii="Times New Roman" w:hAnsi="Times New Roman"/>
          <w:sz w:val="24"/>
          <w:szCs w:val="24"/>
          <w:lang w:val="lv-LV"/>
        </w:rPr>
        <w:t>EK</w:t>
      </w:r>
      <w:r w:rsidRPr="00A63763">
        <w:rPr>
          <w:rFonts w:ascii="Times New Roman" w:hAnsi="Times New Roman"/>
          <w:sz w:val="24"/>
          <w:szCs w:val="24"/>
          <w:lang w:val="lv-LV"/>
        </w:rPr>
        <w:t xml:space="preserve"> publicē</w:t>
      </w:r>
      <w:r>
        <w:rPr>
          <w:rFonts w:ascii="Times New Roman" w:hAnsi="Times New Roman"/>
          <w:sz w:val="24"/>
          <w:szCs w:val="24"/>
          <w:lang w:val="lv-LV"/>
        </w:rPr>
        <w:t>ja</w:t>
      </w:r>
      <w:r w:rsidRPr="00A63763">
        <w:rPr>
          <w:rFonts w:ascii="Times New Roman" w:hAnsi="Times New Roman"/>
          <w:sz w:val="24"/>
          <w:szCs w:val="24"/>
          <w:lang w:val="lv-LV"/>
        </w:rPr>
        <w:t xml:space="preserve"> priekšlikumu direktīvai par minimālajām algām, kas izstrādāts pēc konsultācijām ar Eiropas līmeņa sociālo partneru organizācijām. Vācija </w:t>
      </w:r>
      <w:r>
        <w:rPr>
          <w:rFonts w:ascii="Times New Roman" w:hAnsi="Times New Roman"/>
          <w:sz w:val="24"/>
          <w:szCs w:val="24"/>
          <w:lang w:val="lv-LV"/>
        </w:rPr>
        <w:t xml:space="preserve">kā </w:t>
      </w:r>
      <w:r w:rsidRPr="00A63763">
        <w:rPr>
          <w:rFonts w:ascii="Times New Roman" w:hAnsi="Times New Roman"/>
          <w:sz w:val="24"/>
          <w:szCs w:val="24"/>
          <w:lang w:val="lv-LV"/>
        </w:rPr>
        <w:t>ES Padomes prezidentūra plāno ātri uzsākt ES dalībvalstu diskusijas par priekšlikumu, lai panāktu vienošanos.</w:t>
      </w:r>
      <w:r>
        <w:rPr>
          <w:rFonts w:ascii="Times New Roman" w:hAnsi="Times New Roman"/>
          <w:sz w:val="24"/>
          <w:szCs w:val="24"/>
          <w:lang w:val="lv-LV"/>
        </w:rPr>
        <w:t xml:space="preserve"> </w:t>
      </w:r>
      <w:r w:rsidRPr="00A63763">
        <w:rPr>
          <w:rFonts w:ascii="Times New Roman" w:hAnsi="Times New Roman"/>
          <w:sz w:val="24"/>
          <w:szCs w:val="24"/>
          <w:lang w:val="lv-LV"/>
        </w:rPr>
        <w:t xml:space="preserve">Labklājības ministrija vērtēs </w:t>
      </w:r>
      <w:r w:rsidR="002E4D66">
        <w:rPr>
          <w:rFonts w:ascii="Times New Roman" w:hAnsi="Times New Roman"/>
          <w:sz w:val="24"/>
          <w:szCs w:val="24"/>
          <w:lang w:val="lv-LV"/>
        </w:rPr>
        <w:t>EK</w:t>
      </w:r>
      <w:r w:rsidRPr="00A63763">
        <w:rPr>
          <w:rFonts w:ascii="Times New Roman" w:hAnsi="Times New Roman"/>
          <w:sz w:val="24"/>
          <w:szCs w:val="24"/>
          <w:lang w:val="lv-LV"/>
        </w:rPr>
        <w:t xml:space="preserve"> priekšlikumu </w:t>
      </w:r>
      <w:r w:rsidRPr="00A63763">
        <w:rPr>
          <w:rFonts w:ascii="Times New Roman" w:hAnsi="Times New Roman"/>
          <w:sz w:val="24"/>
          <w:szCs w:val="24"/>
          <w:lang w:val="lv-LV"/>
        </w:rPr>
        <w:lastRenderedPageBreak/>
        <w:t>direktīvai, tajā skaitā ņemot vērā to, ka būtiska daļa ES dalībvalstu bija izteikušas vēlmi pēc mazāk saistoša instrumenta minimālo algu regulējumam ES līmenī. Tas saistīts arī ar darba algu noteikšanas sistēmu lielo daudzveidību ES dalībvalstīs un dažādo praksi.</w:t>
      </w:r>
      <w:r>
        <w:rPr>
          <w:rFonts w:ascii="Times New Roman" w:hAnsi="Times New Roman"/>
          <w:sz w:val="24"/>
          <w:szCs w:val="24"/>
          <w:lang w:val="lv-LV"/>
        </w:rPr>
        <w:t xml:space="preserve"> </w:t>
      </w:r>
      <w:r w:rsidRPr="00A63763">
        <w:rPr>
          <w:rFonts w:ascii="Times New Roman" w:hAnsi="Times New Roman"/>
          <w:sz w:val="24"/>
          <w:szCs w:val="24"/>
          <w:lang w:val="lv-LV"/>
        </w:rPr>
        <w:t xml:space="preserve">Saprotams, ka </w:t>
      </w:r>
      <w:r w:rsidR="002E4D66">
        <w:rPr>
          <w:rFonts w:ascii="Times New Roman" w:hAnsi="Times New Roman"/>
          <w:sz w:val="24"/>
          <w:szCs w:val="24"/>
          <w:lang w:val="lv-LV"/>
        </w:rPr>
        <w:t>EK</w:t>
      </w:r>
      <w:r w:rsidRPr="00A63763">
        <w:rPr>
          <w:rFonts w:ascii="Times New Roman" w:hAnsi="Times New Roman"/>
          <w:sz w:val="24"/>
          <w:szCs w:val="24"/>
          <w:lang w:val="lv-LV"/>
        </w:rPr>
        <w:t xml:space="preserve"> priekšlikums nenosaka konkrētu minimālās algas līmeni, piemēram, kā daļu no vidējās algas, bet koncentrējas uz minimālās algas noteikšanas sistēmu. Jau pašreiz Latvijas minimālās algas noteikšanas sistēma daļēji atbilstu direktīvas priekšlikumā izvirzītajiem principiem, tomēr atsevišķi iniciatīvā ietvertie principi nozīmētu nepieciešamību Latvijas sistēmu pilnveidot, tajā skaitā minimālā algas izmaiņu noteikšanā ņemot vērā papildu rādītājus un analīzi.</w:t>
      </w:r>
      <w:r>
        <w:rPr>
          <w:rFonts w:ascii="Times New Roman" w:hAnsi="Times New Roman"/>
          <w:sz w:val="24"/>
          <w:szCs w:val="24"/>
          <w:lang w:val="lv-LV"/>
        </w:rPr>
        <w:t xml:space="preserve"> </w:t>
      </w:r>
      <w:r w:rsidRPr="00A63763">
        <w:rPr>
          <w:rFonts w:ascii="Times New Roman" w:hAnsi="Times New Roman"/>
          <w:sz w:val="24"/>
          <w:szCs w:val="24"/>
          <w:lang w:val="lv-LV"/>
        </w:rPr>
        <w:t xml:space="preserve">Publicējot priekšlikumu, </w:t>
      </w:r>
      <w:r w:rsidR="002E4D66">
        <w:rPr>
          <w:rFonts w:ascii="Times New Roman" w:hAnsi="Times New Roman"/>
          <w:sz w:val="24"/>
          <w:szCs w:val="24"/>
          <w:lang w:val="lv-LV"/>
        </w:rPr>
        <w:t>EK</w:t>
      </w:r>
      <w:r w:rsidRPr="00A63763">
        <w:rPr>
          <w:rFonts w:ascii="Times New Roman" w:hAnsi="Times New Roman"/>
          <w:sz w:val="24"/>
          <w:szCs w:val="24"/>
          <w:lang w:val="lv-LV"/>
        </w:rPr>
        <w:t xml:space="preserve"> uzsver sociālā dialoga nozīmību minimālās darba algas noteikšanā. Sociālo partneru kapacitātē pēdējos gados Latvijā ir ieguldīti būtiski resursi, sociālie partneri ir iesaistīti arī dažādu aktīvās darba tirgus politikas pasākumu īstenošanā. Tomēr, jo īpaši arodbiedrību zemais pārklājums privātajā sektorā un pārklājuma samazinājums pēdējos gados, kā arī tas, cik lielā mērā sociālā dialoga procesos ir pārstāvēti, piemēram, digitālajās platformās nodarbinātie, būs jautājumi, kuriem būs jāturpina pievērsties.</w:t>
      </w:r>
    </w:p>
    <w:p w14:paraId="7CF2EF3D" w14:textId="705E759D" w:rsidR="00FE1751" w:rsidRPr="0015154B" w:rsidRDefault="00FE1751" w:rsidP="00FE1751">
      <w:pPr>
        <w:spacing w:after="0" w:line="240" w:lineRule="auto"/>
        <w:ind w:firstLine="720"/>
        <w:jc w:val="both"/>
        <w:rPr>
          <w:rFonts w:ascii="Times New Roman" w:eastAsia="Times New Roman" w:hAnsi="Times New Roman" w:cs="Times New Roman"/>
          <w:color w:val="000000" w:themeColor="text1"/>
          <w:sz w:val="24"/>
          <w:szCs w:val="24"/>
          <w:lang w:eastAsia="lv-LV"/>
        </w:rPr>
      </w:pPr>
    </w:p>
    <w:p w14:paraId="53846A98" w14:textId="72D2ECF7" w:rsidR="00200837" w:rsidRPr="007157D3" w:rsidRDefault="007F3D1D" w:rsidP="00200837">
      <w:pPr>
        <w:autoSpaceDE w:val="0"/>
        <w:autoSpaceDN w:val="0"/>
        <w:adjustRightInd w:val="0"/>
        <w:spacing w:after="0" w:line="240" w:lineRule="auto"/>
        <w:rPr>
          <w:rFonts w:ascii="Times New Roman" w:hAnsi="Times New Roman" w:cs="Times New Roman"/>
          <w:sz w:val="24"/>
          <w:szCs w:val="24"/>
        </w:rPr>
      </w:pPr>
      <w:r w:rsidRPr="00ED028B">
        <w:rPr>
          <w:rFonts w:ascii="Times New Roman" w:hAnsi="Times New Roman" w:cs="Times New Roman"/>
          <w:noProof/>
          <w:sz w:val="24"/>
          <w:szCs w:val="24"/>
        </w:rPr>
        <mc:AlternateContent>
          <mc:Choice Requires="wpg">
            <w:drawing>
              <wp:inline distT="0" distB="0" distL="0" distR="0" wp14:anchorId="307C75A2" wp14:editId="10C73A82">
                <wp:extent cx="5266944" cy="2946400"/>
                <wp:effectExtent l="0" t="0" r="0" b="6350"/>
                <wp:docPr id="35" name="Group 35"/>
                <wp:cNvGraphicFramePr/>
                <a:graphic xmlns:a="http://schemas.openxmlformats.org/drawingml/2006/main">
                  <a:graphicData uri="http://schemas.microsoft.com/office/word/2010/wordprocessingGroup">
                    <wpg:wgp>
                      <wpg:cNvGrpSpPr/>
                      <wpg:grpSpPr>
                        <a:xfrm>
                          <a:off x="0" y="0"/>
                          <a:ext cx="5266944" cy="2946400"/>
                          <a:chOff x="0" y="0"/>
                          <a:chExt cx="3567448" cy="1539569"/>
                        </a:xfrm>
                      </wpg:grpSpPr>
                      <wps:wsp>
                        <wps:cNvPr id="36" name="Rectangle 36"/>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992DC1" w14:textId="49AEA721" w:rsidR="00D67CF6" w:rsidRPr="00D272D9" w:rsidRDefault="00D67CF6">
                              <w:pPr>
                                <w:jc w:val="center"/>
                                <w:rPr>
                                  <w:rFonts w:ascii="Times New Roman" w:eastAsiaTheme="majorEastAsia" w:hAnsi="Times New Roman" w:cs="Times New Roman"/>
                                  <w:b/>
                                  <w:color w:val="FFFFFF" w:themeColor="background1"/>
                                  <w:sz w:val="28"/>
                                  <w:szCs w:val="28"/>
                                </w:rPr>
                              </w:pPr>
                              <w:r w:rsidRPr="00D272D9">
                                <w:rPr>
                                  <w:rFonts w:ascii="Times New Roman" w:eastAsiaTheme="majorEastAsia" w:hAnsi="Times New Roman" w:cs="Times New Roman"/>
                                  <w:b/>
                                  <w:color w:val="FFFFFF" w:themeColor="background1"/>
                                  <w:sz w:val="28"/>
                                  <w:szCs w:val="28"/>
                                </w:rPr>
                                <w:t>IZAICINĀJUMI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0" y="252695"/>
                            <a:ext cx="3567448" cy="1286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DD6D8F" w14:textId="2DDC64BF" w:rsidR="00D67CF6" w:rsidRPr="008B55B7"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8B55B7">
                                <w:rPr>
                                  <w:rFonts w:ascii="Times New Roman" w:hAnsi="Times New Roman" w:cs="Times New Roman"/>
                                  <w:color w:val="549E39" w:themeColor="accent1"/>
                                  <w:sz w:val="24"/>
                                  <w:szCs w:val="24"/>
                                </w:rPr>
                                <w:t>Izteiktas nodarbinātības un bezdarba līmeņa reģionālās atšķirības</w:t>
                              </w:r>
                            </w:p>
                            <w:p w14:paraId="7B11BE16" w14:textId="11EDA062" w:rsidR="00D67CF6" w:rsidRPr="008B55B7"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8B55B7">
                                <w:rPr>
                                  <w:rFonts w:ascii="Times New Roman" w:hAnsi="Times New Roman" w:cs="Times New Roman"/>
                                  <w:color w:val="549E39" w:themeColor="accent1"/>
                                  <w:sz w:val="24"/>
                                  <w:szCs w:val="24"/>
                                </w:rPr>
                                <w:t>Augsts ilg</w:t>
                              </w:r>
                              <w:r>
                                <w:rPr>
                                  <w:rFonts w:ascii="Times New Roman" w:hAnsi="Times New Roman" w:cs="Times New Roman"/>
                                  <w:color w:val="549E39" w:themeColor="accent1"/>
                                  <w:sz w:val="24"/>
                                  <w:szCs w:val="24"/>
                                </w:rPr>
                                <w:t>s</w:t>
                              </w:r>
                              <w:r w:rsidRPr="008B55B7">
                                <w:rPr>
                                  <w:rFonts w:ascii="Times New Roman" w:hAnsi="Times New Roman" w:cs="Times New Roman"/>
                                  <w:color w:val="549E39" w:themeColor="accent1"/>
                                  <w:sz w:val="24"/>
                                  <w:szCs w:val="24"/>
                                </w:rPr>
                                <w:t xml:space="preserve">tošo bezdarbnieku, gados vecāku personu, personu ar zemām un </w:t>
                              </w:r>
                              <w:r>
                                <w:rPr>
                                  <w:rFonts w:ascii="Times New Roman" w:hAnsi="Times New Roman" w:cs="Times New Roman"/>
                                  <w:color w:val="549E39" w:themeColor="accent1"/>
                                  <w:sz w:val="24"/>
                                  <w:szCs w:val="24"/>
                                </w:rPr>
                                <w:t xml:space="preserve">darba tirgum </w:t>
                              </w:r>
                              <w:r w:rsidRPr="008B55B7">
                                <w:rPr>
                                  <w:rFonts w:ascii="Times New Roman" w:hAnsi="Times New Roman" w:cs="Times New Roman"/>
                                  <w:color w:val="549E39" w:themeColor="accent1"/>
                                  <w:sz w:val="24"/>
                                  <w:szCs w:val="24"/>
                                </w:rPr>
                                <w:t>neatbilstošām prasmēm un izglītības l</w:t>
                              </w:r>
                              <w:r>
                                <w:rPr>
                                  <w:rFonts w:ascii="Times New Roman" w:hAnsi="Times New Roman" w:cs="Times New Roman"/>
                                  <w:color w:val="549E39" w:themeColor="accent1"/>
                                  <w:sz w:val="24"/>
                                  <w:szCs w:val="24"/>
                                </w:rPr>
                                <w:t>ī</w:t>
                              </w:r>
                              <w:r w:rsidRPr="008B55B7">
                                <w:rPr>
                                  <w:rFonts w:ascii="Times New Roman" w:hAnsi="Times New Roman" w:cs="Times New Roman"/>
                                  <w:color w:val="549E39" w:themeColor="accent1"/>
                                  <w:sz w:val="24"/>
                                  <w:szCs w:val="24"/>
                                </w:rPr>
                                <w:t>meni īpatsvars bezdarbnieku kopskaitā</w:t>
                              </w:r>
                            </w:p>
                            <w:p w14:paraId="67793648" w14:textId="6DFAA447" w:rsidR="00D67CF6" w:rsidRPr="008B55B7"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8B55B7">
                                <w:rPr>
                                  <w:rFonts w:ascii="Times New Roman" w:hAnsi="Times New Roman" w:cs="Times New Roman"/>
                                  <w:color w:val="549E39" w:themeColor="accent1"/>
                                  <w:sz w:val="24"/>
                                  <w:szCs w:val="24"/>
                                </w:rPr>
                                <w:t>Zems aktīvo darba tirgus politikas pasākumu finansējums un no tā izrietošs zems bezdarb</w:t>
                              </w:r>
                              <w:r>
                                <w:rPr>
                                  <w:rFonts w:ascii="Times New Roman" w:hAnsi="Times New Roman" w:cs="Times New Roman"/>
                                  <w:color w:val="549E39" w:themeColor="accent1"/>
                                  <w:sz w:val="24"/>
                                  <w:szCs w:val="24"/>
                                </w:rPr>
                                <w:t>n</w:t>
                              </w:r>
                              <w:r w:rsidRPr="008B55B7">
                                <w:rPr>
                                  <w:rFonts w:ascii="Times New Roman" w:hAnsi="Times New Roman" w:cs="Times New Roman"/>
                                  <w:color w:val="549E39" w:themeColor="accent1"/>
                                  <w:sz w:val="24"/>
                                  <w:szCs w:val="24"/>
                                </w:rPr>
                                <w:t>ieku un neaktīvo personu līdzdalības līmenis</w:t>
                              </w:r>
                              <w:r>
                                <w:rPr>
                                  <w:rFonts w:ascii="Times New Roman" w:hAnsi="Times New Roman" w:cs="Times New Roman"/>
                                  <w:color w:val="549E39" w:themeColor="accent1"/>
                                  <w:sz w:val="24"/>
                                  <w:szCs w:val="24"/>
                                </w:rPr>
                                <w:t xml:space="preserve"> aktīvās darba tirgus politikas pasākumos</w:t>
                              </w:r>
                            </w:p>
                            <w:p w14:paraId="180A40E5" w14:textId="1FC68971" w:rsidR="00D67CF6" w:rsidRPr="001802D9"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8B55B7">
                                <w:rPr>
                                  <w:rFonts w:ascii="Times New Roman" w:hAnsi="Times New Roman" w:cs="Times New Roman"/>
                                  <w:color w:val="549E39" w:themeColor="accent1"/>
                                  <w:sz w:val="24"/>
                                  <w:szCs w:val="24"/>
                                </w:rPr>
                                <w:t>Zema personu ar invaliditāte iesaiste darba tirgū un akt</w:t>
                              </w:r>
                              <w:r>
                                <w:rPr>
                                  <w:rFonts w:ascii="Times New Roman" w:hAnsi="Times New Roman" w:cs="Times New Roman"/>
                                  <w:color w:val="549E39" w:themeColor="accent1"/>
                                  <w:sz w:val="24"/>
                                  <w:szCs w:val="24"/>
                                </w:rPr>
                                <w:t>ī</w:t>
                              </w:r>
                              <w:r w:rsidRPr="008B55B7">
                                <w:rPr>
                                  <w:rFonts w:ascii="Times New Roman" w:hAnsi="Times New Roman" w:cs="Times New Roman"/>
                                  <w:color w:val="549E39" w:themeColor="accent1"/>
                                  <w:sz w:val="24"/>
                                  <w:szCs w:val="24"/>
                                </w:rPr>
                                <w:t xml:space="preserve">vās darba tirgus </w:t>
                              </w:r>
                              <w:r w:rsidRPr="001802D9">
                                <w:rPr>
                                  <w:rFonts w:ascii="Times New Roman" w:hAnsi="Times New Roman" w:cs="Times New Roman"/>
                                  <w:color w:val="549E39" w:themeColor="accent1"/>
                                  <w:sz w:val="24"/>
                                  <w:szCs w:val="24"/>
                                </w:rPr>
                                <w:t>politikas pasākumos</w:t>
                              </w:r>
                            </w:p>
                            <w:p w14:paraId="019DA844" w14:textId="0E228638" w:rsidR="00D67CF6" w:rsidRPr="001802D9"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1802D9">
                                <w:rPr>
                                  <w:rFonts w:ascii="Times New Roman" w:hAnsi="Times New Roman" w:cs="Times New Roman"/>
                                  <w:color w:val="549E39" w:themeColor="accent1"/>
                                  <w:sz w:val="24"/>
                                  <w:szCs w:val="24"/>
                                </w:rPr>
                                <w:t xml:space="preserve">Nepietiekama </w:t>
                              </w:r>
                              <w:r>
                                <w:rPr>
                                  <w:rFonts w:ascii="Times New Roman" w:hAnsi="Times New Roman" w:cs="Times New Roman"/>
                                  <w:color w:val="549E39" w:themeColor="accent1"/>
                                  <w:sz w:val="24"/>
                                  <w:szCs w:val="24"/>
                                </w:rPr>
                                <w:t xml:space="preserve">sabiedrības </w:t>
                              </w:r>
                              <w:r w:rsidRPr="001802D9">
                                <w:rPr>
                                  <w:rFonts w:ascii="Times New Roman" w:hAnsi="Times New Roman" w:cs="Times New Roman"/>
                                  <w:color w:val="549E39" w:themeColor="accent1"/>
                                  <w:sz w:val="24"/>
                                  <w:szCs w:val="24"/>
                                </w:rPr>
                                <w:t xml:space="preserve">izpratne </w:t>
                              </w:r>
                              <w:r>
                                <w:rPr>
                                  <w:rFonts w:ascii="Times New Roman" w:hAnsi="Times New Roman" w:cs="Times New Roman"/>
                                  <w:color w:val="549E39" w:themeColor="accent1"/>
                                  <w:sz w:val="24"/>
                                  <w:szCs w:val="24"/>
                                </w:rPr>
                                <w:t xml:space="preserve">un interese </w:t>
                              </w:r>
                              <w:r w:rsidRPr="001802D9">
                                <w:rPr>
                                  <w:rFonts w:ascii="Times New Roman" w:hAnsi="Times New Roman" w:cs="Times New Roman"/>
                                  <w:color w:val="549E39" w:themeColor="accent1"/>
                                  <w:sz w:val="24"/>
                                  <w:szCs w:val="24"/>
                                </w:rPr>
                                <w:t>par sociālās</w:t>
                              </w:r>
                              <w:r>
                                <w:rPr>
                                  <w:rFonts w:ascii="Times New Roman" w:hAnsi="Times New Roman" w:cs="Times New Roman"/>
                                  <w:color w:val="549E39" w:themeColor="accent1"/>
                                  <w:sz w:val="24"/>
                                  <w:szCs w:val="24"/>
                                </w:rPr>
                                <w:t xml:space="preserve"> </w:t>
                              </w:r>
                              <w:r w:rsidRPr="001802D9">
                                <w:rPr>
                                  <w:rFonts w:ascii="Times New Roman" w:hAnsi="Times New Roman" w:cs="Times New Roman"/>
                                  <w:color w:val="549E39" w:themeColor="accent1"/>
                                  <w:sz w:val="24"/>
                                  <w:szCs w:val="24"/>
                                </w:rPr>
                                <w:t xml:space="preserve">uzņēmējdarbības </w:t>
                              </w:r>
                              <w:r>
                                <w:rPr>
                                  <w:rFonts w:ascii="Times New Roman" w:hAnsi="Times New Roman" w:cs="Times New Roman"/>
                                  <w:color w:val="549E39" w:themeColor="accent1"/>
                                  <w:sz w:val="24"/>
                                  <w:szCs w:val="24"/>
                                </w:rPr>
                                <w:t>attīstību</w:t>
                              </w:r>
                            </w:p>
                            <w:p w14:paraId="4F5D8F02" w14:textId="184CF373" w:rsidR="00D67CF6" w:rsidRPr="001802D9"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1802D9">
                                <w:rPr>
                                  <w:rFonts w:ascii="Times New Roman" w:hAnsi="Times New Roman" w:cs="Times New Roman"/>
                                  <w:color w:val="549E39" w:themeColor="accent1"/>
                                  <w:sz w:val="24"/>
                                  <w:szCs w:val="24"/>
                                </w:rPr>
                                <w:t>Minimālās mēneša darba algas noteikšanas nepietiekama balstīšana sociāli-ekonomiskās situācijas analīzē</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307C75A2" id="Group 35" o:spid="_x0000_s1054" style="width:414.7pt;height:232pt;mso-position-horizontal-relative:char;mso-position-vertical-relative:line"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">
                <v:rect id="Rectangle 36" o:spid="_x0000_s1055"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" fillcolor="#549e39 [3204]" stroked="f" strokeweight="1pt">
                  <v:textbox>
                    <w:txbxContent>
                      <w:p w14:paraId="10992DC1" w14:textId="49AEA721" w:rsidR="00D67CF6" w:rsidRPr="00D272D9" w:rsidRDefault="00D67CF6">
                        <w:pPr>
                          <w:jc w:val="center"/>
                          <w:rPr>
                            <w:rFonts w:ascii="Times New Roman" w:eastAsiaTheme="majorEastAsia" w:hAnsi="Times New Roman" w:cs="Times New Roman"/>
                            <w:b/>
                            <w:color w:val="FFFFFF" w:themeColor="background1"/>
                            <w:sz w:val="28"/>
                            <w:szCs w:val="28"/>
                          </w:rPr>
                        </w:pPr>
                        <w:r w:rsidRPr="00D272D9">
                          <w:rPr>
                            <w:rFonts w:ascii="Times New Roman" w:eastAsiaTheme="majorEastAsia" w:hAnsi="Times New Roman" w:cs="Times New Roman"/>
                            <w:b/>
                            <w:color w:val="FFFFFF" w:themeColor="background1"/>
                            <w:sz w:val="28"/>
                            <w:szCs w:val="28"/>
                          </w:rPr>
                          <w:t>IZAICINĀJUMI</w:t>
                        </w:r>
                      </w:p>
                    </w:txbxContent>
                  </v:textbox>
                </v:rect>
                <v:shape id="Text Box 37" o:spid="_x0000_s1056"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" filled="f" stroked="f" strokeweight=".5pt">
                  <v:textbox inset=",7.2pt,,0">
                    <w:txbxContent>
                      <w:p w14:paraId="5ADD6D8F" w14:textId="2DDC64BF" w:rsidR="00D67CF6" w:rsidRPr="008B55B7"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8B55B7">
                          <w:rPr>
                            <w:rFonts w:ascii="Times New Roman" w:hAnsi="Times New Roman" w:cs="Times New Roman"/>
                            <w:color w:val="549E39" w:themeColor="accent1"/>
                            <w:sz w:val="24"/>
                            <w:szCs w:val="24"/>
                          </w:rPr>
                          <w:t>Izteiktas nodarbinātības un bezdarba līmeņa reģionālās atšķirības</w:t>
                        </w:r>
                      </w:p>
                      <w:p w14:paraId="7B11BE16" w14:textId="11EDA062" w:rsidR="00D67CF6" w:rsidRPr="008B55B7"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8B55B7">
                          <w:rPr>
                            <w:rFonts w:ascii="Times New Roman" w:hAnsi="Times New Roman" w:cs="Times New Roman"/>
                            <w:color w:val="549E39" w:themeColor="accent1"/>
                            <w:sz w:val="24"/>
                            <w:szCs w:val="24"/>
                          </w:rPr>
                          <w:t>Augsts ilg</w:t>
                        </w:r>
                        <w:r>
                          <w:rPr>
                            <w:rFonts w:ascii="Times New Roman" w:hAnsi="Times New Roman" w:cs="Times New Roman"/>
                            <w:color w:val="549E39" w:themeColor="accent1"/>
                            <w:sz w:val="24"/>
                            <w:szCs w:val="24"/>
                          </w:rPr>
                          <w:t>s</w:t>
                        </w:r>
                        <w:r w:rsidRPr="008B55B7">
                          <w:rPr>
                            <w:rFonts w:ascii="Times New Roman" w:hAnsi="Times New Roman" w:cs="Times New Roman"/>
                            <w:color w:val="549E39" w:themeColor="accent1"/>
                            <w:sz w:val="24"/>
                            <w:szCs w:val="24"/>
                          </w:rPr>
                          <w:t xml:space="preserve">tošo bezdarbnieku, gados vecāku personu, personu ar zemām un </w:t>
                        </w:r>
                        <w:r>
                          <w:rPr>
                            <w:rFonts w:ascii="Times New Roman" w:hAnsi="Times New Roman" w:cs="Times New Roman"/>
                            <w:color w:val="549E39" w:themeColor="accent1"/>
                            <w:sz w:val="24"/>
                            <w:szCs w:val="24"/>
                          </w:rPr>
                          <w:t xml:space="preserve">darba tirgum </w:t>
                        </w:r>
                        <w:r w:rsidRPr="008B55B7">
                          <w:rPr>
                            <w:rFonts w:ascii="Times New Roman" w:hAnsi="Times New Roman" w:cs="Times New Roman"/>
                            <w:color w:val="549E39" w:themeColor="accent1"/>
                            <w:sz w:val="24"/>
                            <w:szCs w:val="24"/>
                          </w:rPr>
                          <w:t>neatbilstošām prasmēm un izglītības l</w:t>
                        </w:r>
                        <w:r>
                          <w:rPr>
                            <w:rFonts w:ascii="Times New Roman" w:hAnsi="Times New Roman" w:cs="Times New Roman"/>
                            <w:color w:val="549E39" w:themeColor="accent1"/>
                            <w:sz w:val="24"/>
                            <w:szCs w:val="24"/>
                          </w:rPr>
                          <w:t>ī</w:t>
                        </w:r>
                        <w:r w:rsidRPr="008B55B7">
                          <w:rPr>
                            <w:rFonts w:ascii="Times New Roman" w:hAnsi="Times New Roman" w:cs="Times New Roman"/>
                            <w:color w:val="549E39" w:themeColor="accent1"/>
                            <w:sz w:val="24"/>
                            <w:szCs w:val="24"/>
                          </w:rPr>
                          <w:t>meni īpatsvars bezdarbnieku kopskaitā</w:t>
                        </w:r>
                      </w:p>
                      <w:p w14:paraId="67793648" w14:textId="6DFAA447" w:rsidR="00D67CF6" w:rsidRPr="008B55B7"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8B55B7">
                          <w:rPr>
                            <w:rFonts w:ascii="Times New Roman" w:hAnsi="Times New Roman" w:cs="Times New Roman"/>
                            <w:color w:val="549E39" w:themeColor="accent1"/>
                            <w:sz w:val="24"/>
                            <w:szCs w:val="24"/>
                          </w:rPr>
                          <w:t>Zems aktīvo darba tirgus politikas pasākumu finansējums un no tā izrietošs zems bezdarb</w:t>
                        </w:r>
                        <w:r>
                          <w:rPr>
                            <w:rFonts w:ascii="Times New Roman" w:hAnsi="Times New Roman" w:cs="Times New Roman"/>
                            <w:color w:val="549E39" w:themeColor="accent1"/>
                            <w:sz w:val="24"/>
                            <w:szCs w:val="24"/>
                          </w:rPr>
                          <w:t>n</w:t>
                        </w:r>
                        <w:r w:rsidRPr="008B55B7">
                          <w:rPr>
                            <w:rFonts w:ascii="Times New Roman" w:hAnsi="Times New Roman" w:cs="Times New Roman"/>
                            <w:color w:val="549E39" w:themeColor="accent1"/>
                            <w:sz w:val="24"/>
                            <w:szCs w:val="24"/>
                          </w:rPr>
                          <w:t>ieku un neaktīvo personu līdzdalības līmenis</w:t>
                        </w:r>
                        <w:r>
                          <w:rPr>
                            <w:rFonts w:ascii="Times New Roman" w:hAnsi="Times New Roman" w:cs="Times New Roman"/>
                            <w:color w:val="549E39" w:themeColor="accent1"/>
                            <w:sz w:val="24"/>
                            <w:szCs w:val="24"/>
                          </w:rPr>
                          <w:t xml:space="preserve"> aktīvās darba tirgus politikas pasākumos</w:t>
                        </w:r>
                      </w:p>
                      <w:p w14:paraId="180A40E5" w14:textId="1FC68971" w:rsidR="00D67CF6" w:rsidRPr="001802D9"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8B55B7">
                          <w:rPr>
                            <w:rFonts w:ascii="Times New Roman" w:hAnsi="Times New Roman" w:cs="Times New Roman"/>
                            <w:color w:val="549E39" w:themeColor="accent1"/>
                            <w:sz w:val="24"/>
                            <w:szCs w:val="24"/>
                          </w:rPr>
                          <w:t>Zema personu ar invaliditāte iesaiste darba tirgū un akt</w:t>
                        </w:r>
                        <w:r>
                          <w:rPr>
                            <w:rFonts w:ascii="Times New Roman" w:hAnsi="Times New Roman" w:cs="Times New Roman"/>
                            <w:color w:val="549E39" w:themeColor="accent1"/>
                            <w:sz w:val="24"/>
                            <w:szCs w:val="24"/>
                          </w:rPr>
                          <w:t>ī</w:t>
                        </w:r>
                        <w:r w:rsidRPr="008B55B7">
                          <w:rPr>
                            <w:rFonts w:ascii="Times New Roman" w:hAnsi="Times New Roman" w:cs="Times New Roman"/>
                            <w:color w:val="549E39" w:themeColor="accent1"/>
                            <w:sz w:val="24"/>
                            <w:szCs w:val="24"/>
                          </w:rPr>
                          <w:t xml:space="preserve">vās darba tirgus </w:t>
                        </w:r>
                        <w:r w:rsidRPr="001802D9">
                          <w:rPr>
                            <w:rFonts w:ascii="Times New Roman" w:hAnsi="Times New Roman" w:cs="Times New Roman"/>
                            <w:color w:val="549E39" w:themeColor="accent1"/>
                            <w:sz w:val="24"/>
                            <w:szCs w:val="24"/>
                          </w:rPr>
                          <w:t>politikas pasākumos</w:t>
                        </w:r>
                      </w:p>
                      <w:p w14:paraId="019DA844" w14:textId="0E228638" w:rsidR="00D67CF6" w:rsidRPr="001802D9"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1802D9">
                          <w:rPr>
                            <w:rFonts w:ascii="Times New Roman" w:hAnsi="Times New Roman" w:cs="Times New Roman"/>
                            <w:color w:val="549E39" w:themeColor="accent1"/>
                            <w:sz w:val="24"/>
                            <w:szCs w:val="24"/>
                          </w:rPr>
                          <w:t xml:space="preserve">Nepietiekama </w:t>
                        </w:r>
                        <w:r>
                          <w:rPr>
                            <w:rFonts w:ascii="Times New Roman" w:hAnsi="Times New Roman" w:cs="Times New Roman"/>
                            <w:color w:val="549E39" w:themeColor="accent1"/>
                            <w:sz w:val="24"/>
                            <w:szCs w:val="24"/>
                          </w:rPr>
                          <w:t xml:space="preserve">sabiedrības </w:t>
                        </w:r>
                        <w:r w:rsidRPr="001802D9">
                          <w:rPr>
                            <w:rFonts w:ascii="Times New Roman" w:hAnsi="Times New Roman" w:cs="Times New Roman"/>
                            <w:color w:val="549E39" w:themeColor="accent1"/>
                            <w:sz w:val="24"/>
                            <w:szCs w:val="24"/>
                          </w:rPr>
                          <w:t xml:space="preserve">izpratne </w:t>
                        </w:r>
                        <w:r>
                          <w:rPr>
                            <w:rFonts w:ascii="Times New Roman" w:hAnsi="Times New Roman" w:cs="Times New Roman"/>
                            <w:color w:val="549E39" w:themeColor="accent1"/>
                            <w:sz w:val="24"/>
                            <w:szCs w:val="24"/>
                          </w:rPr>
                          <w:t xml:space="preserve">un interese </w:t>
                        </w:r>
                        <w:r w:rsidRPr="001802D9">
                          <w:rPr>
                            <w:rFonts w:ascii="Times New Roman" w:hAnsi="Times New Roman" w:cs="Times New Roman"/>
                            <w:color w:val="549E39" w:themeColor="accent1"/>
                            <w:sz w:val="24"/>
                            <w:szCs w:val="24"/>
                          </w:rPr>
                          <w:t>par sociālās</w:t>
                        </w:r>
                        <w:r>
                          <w:rPr>
                            <w:rFonts w:ascii="Times New Roman" w:hAnsi="Times New Roman" w:cs="Times New Roman"/>
                            <w:color w:val="549E39" w:themeColor="accent1"/>
                            <w:sz w:val="24"/>
                            <w:szCs w:val="24"/>
                          </w:rPr>
                          <w:t xml:space="preserve"> </w:t>
                        </w:r>
                        <w:r w:rsidRPr="001802D9">
                          <w:rPr>
                            <w:rFonts w:ascii="Times New Roman" w:hAnsi="Times New Roman" w:cs="Times New Roman"/>
                            <w:color w:val="549E39" w:themeColor="accent1"/>
                            <w:sz w:val="24"/>
                            <w:szCs w:val="24"/>
                          </w:rPr>
                          <w:t xml:space="preserve">uzņēmējdarbības </w:t>
                        </w:r>
                        <w:r>
                          <w:rPr>
                            <w:rFonts w:ascii="Times New Roman" w:hAnsi="Times New Roman" w:cs="Times New Roman"/>
                            <w:color w:val="549E39" w:themeColor="accent1"/>
                            <w:sz w:val="24"/>
                            <w:szCs w:val="24"/>
                          </w:rPr>
                          <w:t>attīstību</w:t>
                        </w:r>
                      </w:p>
                      <w:p w14:paraId="4F5D8F02" w14:textId="184CF373" w:rsidR="00D67CF6" w:rsidRPr="001802D9" w:rsidRDefault="00D67CF6" w:rsidP="00974071">
                        <w:pPr>
                          <w:pStyle w:val="ListParagraph"/>
                          <w:numPr>
                            <w:ilvl w:val="0"/>
                            <w:numId w:val="42"/>
                          </w:numPr>
                          <w:spacing w:after="0" w:line="240" w:lineRule="auto"/>
                          <w:rPr>
                            <w:rFonts w:ascii="Times New Roman" w:hAnsi="Times New Roman" w:cs="Times New Roman"/>
                            <w:color w:val="549E39" w:themeColor="accent1"/>
                            <w:sz w:val="24"/>
                            <w:szCs w:val="24"/>
                          </w:rPr>
                        </w:pPr>
                        <w:r w:rsidRPr="001802D9">
                          <w:rPr>
                            <w:rFonts w:ascii="Times New Roman" w:hAnsi="Times New Roman" w:cs="Times New Roman"/>
                            <w:color w:val="549E39" w:themeColor="accent1"/>
                            <w:sz w:val="24"/>
                            <w:szCs w:val="24"/>
                          </w:rPr>
                          <w:t>Minimālās mēneša darba algas noteikšanas nepietiekama balstīšana sociāli-ekonomiskās situācijas analīzē</w:t>
                        </w:r>
                      </w:p>
                    </w:txbxContent>
                  </v:textbox>
                </v:shape>
                <w10:anchorlock/>
              </v:group>
            </w:pict>
          </mc:Fallback>
        </mc:AlternateContent>
      </w:r>
    </w:p>
    <w:p w14:paraId="3CB8ECCB" w14:textId="42D66BB6" w:rsidR="007F3D1D" w:rsidRPr="007157D3" w:rsidRDefault="007F3D1D" w:rsidP="00200837">
      <w:pPr>
        <w:autoSpaceDE w:val="0"/>
        <w:autoSpaceDN w:val="0"/>
        <w:adjustRightInd w:val="0"/>
        <w:spacing w:after="0" w:line="240" w:lineRule="auto"/>
        <w:rPr>
          <w:rFonts w:ascii="Times New Roman" w:hAnsi="Times New Roman" w:cs="Times New Roman"/>
          <w:sz w:val="24"/>
          <w:szCs w:val="24"/>
        </w:rPr>
      </w:pPr>
    </w:p>
    <w:p w14:paraId="2C13D9D9" w14:textId="615CB99E" w:rsidR="007F3D1D" w:rsidRPr="007157D3" w:rsidRDefault="007F3D1D" w:rsidP="00200837">
      <w:pPr>
        <w:autoSpaceDE w:val="0"/>
        <w:autoSpaceDN w:val="0"/>
        <w:adjustRightInd w:val="0"/>
        <w:spacing w:after="0" w:line="240" w:lineRule="auto"/>
        <w:rPr>
          <w:rFonts w:ascii="Times New Roman" w:hAnsi="Times New Roman" w:cs="Times New Roman"/>
          <w:sz w:val="24"/>
          <w:szCs w:val="24"/>
        </w:rPr>
      </w:pPr>
    </w:p>
    <w:p w14:paraId="4378E417" w14:textId="77777777" w:rsidR="00DF6C2B" w:rsidRPr="002F5278" w:rsidRDefault="00DF6C2B">
      <w:pPr>
        <w:rPr>
          <w:rFonts w:ascii="Times New Roman" w:hAnsi="Times New Roman"/>
          <w:b/>
          <w:sz w:val="28"/>
          <w:szCs w:val="28"/>
        </w:rPr>
      </w:pPr>
      <w:r w:rsidRPr="002F5278">
        <w:rPr>
          <w:rFonts w:ascii="Times New Roman" w:hAnsi="Times New Roman"/>
          <w:b/>
          <w:sz w:val="28"/>
          <w:szCs w:val="28"/>
        </w:rPr>
        <w:br w:type="page"/>
      </w:r>
    </w:p>
    <w:p w14:paraId="3CB5CEC2" w14:textId="0D7458A2" w:rsidR="00200837" w:rsidRPr="00573B49" w:rsidRDefault="00200837" w:rsidP="00EC7537">
      <w:pPr>
        <w:pStyle w:val="Heading1"/>
      </w:pPr>
      <w:bookmarkStart w:id="96" w:name="_Toc55316122"/>
      <w:r w:rsidRPr="002F5278">
        <w:lastRenderedPageBreak/>
        <w:t>Darba aizsardzība</w:t>
      </w:r>
      <w:r w:rsidR="00B436B8" w:rsidRPr="00573B49">
        <w:t xml:space="preserve"> un darba tiesiskās attiecības</w:t>
      </w:r>
      <w:bookmarkEnd w:id="96"/>
      <w:r w:rsidRPr="00573B49">
        <w:t xml:space="preserve"> </w:t>
      </w:r>
    </w:p>
    <w:p w14:paraId="47BF075A" w14:textId="3C923775" w:rsidR="00200837" w:rsidRPr="0015154B" w:rsidRDefault="00200837" w:rsidP="00724B79">
      <w:pPr>
        <w:spacing w:before="120" w:after="0" w:line="240" w:lineRule="auto"/>
        <w:ind w:firstLine="567"/>
        <w:jc w:val="both"/>
        <w:rPr>
          <w:rFonts w:ascii="Times New Roman" w:hAnsi="Times New Roman" w:cs="Times New Roman"/>
          <w:sz w:val="24"/>
          <w:szCs w:val="24"/>
        </w:rPr>
      </w:pPr>
      <w:r w:rsidRPr="0025422D">
        <w:rPr>
          <w:rFonts w:ascii="Times New Roman" w:hAnsi="Times New Roman" w:cs="Times New Roman"/>
          <w:sz w:val="24"/>
          <w:szCs w:val="24"/>
        </w:rPr>
        <w:t xml:space="preserve">Darba aizsardzības politikas pamatmērķis ir kvalitatīvu darba vietu veidošana un droša un veselībai nekaitīga darba vide, kas veicinātu nodarbināto darba mūža pagarināšanos, valsts un </w:t>
      </w:r>
      <w:r w:rsidRPr="00A857F2">
        <w:rPr>
          <w:rFonts w:ascii="Times New Roman" w:hAnsi="Times New Roman" w:cs="Times New Roman"/>
          <w:sz w:val="24"/>
          <w:szCs w:val="24"/>
        </w:rPr>
        <w:t>uzņēmumu ekonomiskā stāvokļa uzlabošanos un visas sabiedrības labklājības līmeņa paaugstināšanos.</w:t>
      </w:r>
      <w:r w:rsidR="00EF6C67" w:rsidRPr="00662D1E">
        <w:rPr>
          <w:rFonts w:ascii="Times New Roman" w:hAnsi="Times New Roman" w:cs="Times New Roman"/>
          <w:sz w:val="24"/>
          <w:szCs w:val="24"/>
        </w:rPr>
        <w:t xml:space="preserve"> </w:t>
      </w:r>
      <w:r w:rsidRPr="009703E6">
        <w:rPr>
          <w:rFonts w:ascii="Times New Roman" w:hAnsi="Times New Roman" w:cs="Times New Roman"/>
          <w:sz w:val="24"/>
          <w:szCs w:val="24"/>
        </w:rPr>
        <w:t xml:space="preserve">ES </w:t>
      </w:r>
      <w:r w:rsidR="00EF6C67" w:rsidRPr="0015154B">
        <w:rPr>
          <w:rFonts w:ascii="Times New Roman" w:hAnsi="Times New Roman" w:cs="Times New Roman"/>
          <w:sz w:val="24"/>
          <w:szCs w:val="24"/>
        </w:rPr>
        <w:t>un nacionālā līmenī galven</w:t>
      </w:r>
      <w:r w:rsidR="00865F39" w:rsidRPr="0015154B">
        <w:rPr>
          <w:rFonts w:ascii="Times New Roman" w:hAnsi="Times New Roman" w:cs="Times New Roman"/>
          <w:sz w:val="24"/>
          <w:szCs w:val="24"/>
        </w:rPr>
        <w:t>ie</w:t>
      </w:r>
      <w:r w:rsidR="00EF6C67" w:rsidRPr="0015154B">
        <w:rPr>
          <w:rFonts w:ascii="Times New Roman" w:hAnsi="Times New Roman" w:cs="Times New Roman"/>
          <w:sz w:val="24"/>
          <w:szCs w:val="24"/>
        </w:rPr>
        <w:t xml:space="preserve"> rīcības virzien</w:t>
      </w:r>
      <w:r w:rsidR="00865F39" w:rsidRPr="0015154B">
        <w:rPr>
          <w:rFonts w:ascii="Times New Roman" w:hAnsi="Times New Roman" w:cs="Times New Roman"/>
          <w:sz w:val="24"/>
          <w:szCs w:val="24"/>
        </w:rPr>
        <w:t>i</w:t>
      </w:r>
      <w:r w:rsidR="00EF6C67" w:rsidRPr="0015154B">
        <w:rPr>
          <w:rFonts w:ascii="Times New Roman" w:hAnsi="Times New Roman" w:cs="Times New Roman"/>
          <w:sz w:val="24"/>
          <w:szCs w:val="24"/>
        </w:rPr>
        <w:t xml:space="preserve"> darba aizsardzības jomā laika posmā līdz 2020.gadam </w:t>
      </w:r>
      <w:r w:rsidRPr="0015154B">
        <w:rPr>
          <w:rFonts w:ascii="Times New Roman" w:hAnsi="Times New Roman" w:cs="Times New Roman"/>
          <w:sz w:val="24"/>
          <w:szCs w:val="24"/>
        </w:rPr>
        <w:t xml:space="preserve">līmenī </w:t>
      </w:r>
      <w:r w:rsidR="00865F39" w:rsidRPr="0015154B">
        <w:rPr>
          <w:rFonts w:ascii="Times New Roman" w:hAnsi="Times New Roman" w:cs="Times New Roman"/>
          <w:sz w:val="24"/>
          <w:szCs w:val="24"/>
        </w:rPr>
        <w:t>pamatojās uz tādu izaicinājumu un problēmu risināšanu kā: 1) darba aizsardzības tiesisko un administratīvo prasību praktiskā ieviešana, īpaši mikrouzņēmumos un mazajos uzņēmumos, un atbilstošu/ pielāgotu atbalstu sniegšana atkarībā no uzņēmuma veida; 2) ar profesionālo darbību saistīta slimību profilakse, īpašu uzmanību pievēršot jaunajiem un potenciālajiem darba vides riskiem (jauno tehnoloģiju un inovāciju darba organizācijā prognozējamās ietekmes novērtēšana); 3) demogrāfisko pārmaiņu radītās ietekmes uz darbaspēka novecošanos</w:t>
      </w:r>
      <w:r w:rsidR="00C17BD7" w:rsidRPr="0015154B">
        <w:rPr>
          <w:rFonts w:ascii="Times New Roman" w:hAnsi="Times New Roman" w:cs="Times New Roman"/>
          <w:sz w:val="24"/>
          <w:szCs w:val="24"/>
        </w:rPr>
        <w:t xml:space="preserve"> mazināšana, sekmējot aktīvo novecošanos un darba mūžā pagarināšanu, atbilstošas darba vides un darba apstākļu pielāgošanu.</w:t>
      </w:r>
      <w:r w:rsidR="00C17BD7" w:rsidRPr="007157D3">
        <w:rPr>
          <w:rStyle w:val="FootnoteReference"/>
          <w:rFonts w:ascii="Times New Roman" w:hAnsi="Times New Roman" w:cs="Times New Roman"/>
          <w:sz w:val="24"/>
          <w:szCs w:val="24"/>
        </w:rPr>
        <w:footnoteReference w:id="178"/>
      </w:r>
      <w:r w:rsidR="00C17BD7" w:rsidRPr="007157D3">
        <w:rPr>
          <w:rFonts w:ascii="Times New Roman" w:hAnsi="Times New Roman" w:cs="Times New Roman"/>
          <w:sz w:val="24"/>
          <w:szCs w:val="24"/>
        </w:rPr>
        <w:t xml:space="preserve"> ES līmeņa diskusijas par turpmākajiem risināmajiem jautājumiem un būtiskākajiem izaicinājumiem darba aizsardzības jomā vidējā termiņā iezīmē nodarbināto aizsardzības nozīmi, </w:t>
      </w:r>
      <w:r w:rsidR="00C17BD7" w:rsidRPr="00C76E19">
        <w:rPr>
          <w:rFonts w:ascii="Times New Roman" w:hAnsi="Times New Roman" w:cs="Times New Roman"/>
          <w:bCs/>
          <w:sz w:val="24"/>
          <w:szCs w:val="24"/>
        </w:rPr>
        <w:t>jo īpaši akcentējot mainīgo darba vidi, jaunās nodarbinātības formas, psihoemocionālos riska faktorus, muskuļu-skeleta slimības u.c.</w:t>
      </w:r>
      <w:r w:rsidRPr="007157D3">
        <w:rPr>
          <w:rStyle w:val="FootnoteReference"/>
          <w:rFonts w:ascii="Times New Roman" w:hAnsi="Times New Roman" w:cs="Times New Roman"/>
          <w:sz w:val="24"/>
          <w:szCs w:val="24"/>
        </w:rPr>
        <w:footnoteReference w:id="179"/>
      </w:r>
      <w:r w:rsidRPr="00C76E19">
        <w:rPr>
          <w:rFonts w:ascii="Times New Roman" w:hAnsi="Times New Roman" w:cs="Times New Roman"/>
          <w:bCs/>
          <w:sz w:val="24"/>
          <w:szCs w:val="24"/>
        </w:rPr>
        <w:t xml:space="preserve"> </w:t>
      </w:r>
    </w:p>
    <w:p w14:paraId="611888ED" w14:textId="022EC99C" w:rsidR="00200837" w:rsidRPr="0015154B" w:rsidRDefault="00200837" w:rsidP="00724B7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b/>
          <w:sz w:val="24"/>
          <w:szCs w:val="24"/>
        </w:rPr>
        <w:t>Darbā notikušo nelaimes gadījumu</w:t>
      </w:r>
      <w:r w:rsidRPr="0015154B">
        <w:rPr>
          <w:rFonts w:ascii="Times New Roman" w:hAnsi="Times New Roman" w:cs="Times New Roman"/>
          <w:sz w:val="24"/>
          <w:szCs w:val="24"/>
        </w:rPr>
        <w:t xml:space="preserve"> </w:t>
      </w:r>
      <w:r w:rsidRPr="0015154B">
        <w:rPr>
          <w:rFonts w:ascii="Times New Roman" w:hAnsi="Times New Roman" w:cs="Times New Roman"/>
          <w:b/>
          <w:sz w:val="24"/>
          <w:szCs w:val="24"/>
        </w:rPr>
        <w:t>skaits</w:t>
      </w:r>
      <w:r w:rsidRPr="0015154B">
        <w:rPr>
          <w:rFonts w:ascii="Times New Roman" w:hAnsi="Times New Roman" w:cs="Times New Roman"/>
          <w:sz w:val="24"/>
          <w:szCs w:val="24"/>
        </w:rPr>
        <w:t xml:space="preserve"> ir rādītājs, kas tradicionāli vislabāk raksturo situāciju darba aizsardzības jomā un tiek izmantots starptautiskai valstu darba aizsardzības sistēmu salīdzināšanai un situācijas novērtēšanai. Ņemot vērā to, ka kopējais nelaimes gadījumu darbā skaits neatspo</w:t>
      </w:r>
      <w:r w:rsidR="00C17BD7" w:rsidRPr="0015154B">
        <w:rPr>
          <w:rFonts w:ascii="Times New Roman" w:hAnsi="Times New Roman" w:cs="Times New Roman"/>
          <w:sz w:val="24"/>
          <w:szCs w:val="24"/>
        </w:rPr>
        <w:t>g</w:t>
      </w:r>
      <w:r w:rsidRPr="0015154B">
        <w:rPr>
          <w:rFonts w:ascii="Times New Roman" w:hAnsi="Times New Roman" w:cs="Times New Roman"/>
          <w:sz w:val="24"/>
          <w:szCs w:val="24"/>
        </w:rPr>
        <w:t xml:space="preserve">uļo patieso situāciju darba aizsardzības jomā, Latvijā situācijas raksturošanai objektīvāk ir izmantot letālo un smago nelaimes gadījumu skaitu, rēķinot uz 100 000 nodarbinātajiem. </w:t>
      </w:r>
    </w:p>
    <w:p w14:paraId="0549D440" w14:textId="68CB0916" w:rsidR="00200837" w:rsidRPr="0015154B" w:rsidRDefault="00200837" w:rsidP="00724B79">
      <w:pPr>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Kopš 2013.gada, kad uzsākta šī rādītāja izmantošana darba aizsardzības politikas izvērtēšanai, smagos nelaimes gadījumos darbā cietušo un letālos nelaimes gadījumos darbā bojā gājušo kopējais skaits uz 100 000 nodarbinātajiem ir samazinājies, tomēr pēdējos gados atkal ir vērojams šī rādītāja pieaugums</w:t>
      </w:r>
      <w:r w:rsidR="00C17BD7" w:rsidRPr="0015154B">
        <w:rPr>
          <w:rFonts w:ascii="Times New Roman" w:hAnsi="Times New Roman" w:cs="Times New Roman"/>
          <w:sz w:val="24"/>
          <w:szCs w:val="24"/>
        </w:rPr>
        <w:t xml:space="preserve"> (</w:t>
      </w:r>
      <w:r w:rsidR="00C17BD7" w:rsidRPr="00C76E19">
        <w:rPr>
          <w:rFonts w:ascii="Times New Roman" w:hAnsi="Times New Roman" w:cs="Times New Roman"/>
          <w:sz w:val="24"/>
          <w:szCs w:val="24"/>
          <w:highlight w:val="yellow"/>
        </w:rPr>
        <w:t xml:space="preserve">skat. </w:t>
      </w:r>
      <w:r w:rsidR="00C504E4">
        <w:rPr>
          <w:rFonts w:ascii="Times New Roman" w:hAnsi="Times New Roman" w:cs="Times New Roman"/>
          <w:sz w:val="24"/>
          <w:szCs w:val="24"/>
          <w:highlight w:val="yellow"/>
        </w:rPr>
        <w:t>30</w:t>
      </w:r>
      <w:r w:rsidR="00C17BD7" w:rsidRPr="00C76E19">
        <w:rPr>
          <w:rFonts w:ascii="Times New Roman" w:hAnsi="Times New Roman" w:cs="Times New Roman"/>
          <w:sz w:val="24"/>
          <w:szCs w:val="24"/>
          <w:highlight w:val="yellow"/>
        </w:rPr>
        <w:t>.tabulu</w:t>
      </w:r>
      <w:r w:rsidR="00C17BD7" w:rsidRPr="0015154B">
        <w:rPr>
          <w:rFonts w:ascii="Times New Roman" w:hAnsi="Times New Roman" w:cs="Times New Roman"/>
          <w:sz w:val="24"/>
          <w:szCs w:val="24"/>
        </w:rPr>
        <w:t>)</w:t>
      </w:r>
      <w:r w:rsidRPr="0015154B">
        <w:rPr>
          <w:rFonts w:ascii="Times New Roman" w:hAnsi="Times New Roman" w:cs="Times New Roman"/>
          <w:sz w:val="24"/>
          <w:szCs w:val="24"/>
        </w:rPr>
        <w:t xml:space="preserve">. </w:t>
      </w:r>
    </w:p>
    <w:p w14:paraId="5B901679" w14:textId="41BAFA52" w:rsidR="00C17BD7" w:rsidRPr="0015154B" w:rsidRDefault="00C17BD7" w:rsidP="00724B79">
      <w:pPr>
        <w:spacing w:before="120" w:after="0" w:line="240" w:lineRule="auto"/>
        <w:jc w:val="both"/>
        <w:rPr>
          <w:rFonts w:ascii="Times New Roman" w:hAnsi="Times New Roman" w:cs="Times New Roman"/>
          <w:sz w:val="24"/>
          <w:szCs w:val="24"/>
        </w:rPr>
      </w:pPr>
    </w:p>
    <w:p w14:paraId="7C606128" w14:textId="19070ACC" w:rsidR="00200837" w:rsidRPr="0015154B" w:rsidRDefault="00C504E4" w:rsidP="00C17BD7">
      <w:pPr>
        <w:spacing w:after="0" w:line="240" w:lineRule="auto"/>
        <w:jc w:val="both"/>
        <w:rPr>
          <w:rFonts w:ascii="Times New Roman" w:hAnsi="Times New Roman" w:cs="Times New Roman"/>
          <w:sz w:val="24"/>
          <w:szCs w:val="24"/>
        </w:rPr>
      </w:pPr>
      <w:r w:rsidRPr="00C504E4">
        <w:rPr>
          <w:rFonts w:ascii="Times New Roman" w:hAnsi="Times New Roman" w:cs="Times New Roman"/>
          <w:sz w:val="24"/>
          <w:szCs w:val="24"/>
        </w:rPr>
        <w:t>30</w:t>
      </w:r>
      <w:r w:rsidR="00C17BD7" w:rsidRPr="00C504E4">
        <w:rPr>
          <w:rFonts w:ascii="Times New Roman" w:hAnsi="Times New Roman" w:cs="Times New Roman"/>
          <w:sz w:val="24"/>
          <w:szCs w:val="24"/>
        </w:rPr>
        <w:t>.tabula</w:t>
      </w:r>
    </w:p>
    <w:p w14:paraId="187C276E" w14:textId="77777777" w:rsidR="00200837" w:rsidRPr="0015154B" w:rsidRDefault="00200837" w:rsidP="003C4055">
      <w:pPr>
        <w:spacing w:after="0" w:line="240" w:lineRule="auto"/>
        <w:ind w:firstLine="709"/>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Smagos nelaimes gadījumos darbā cietušo un letālos nelaimes gadījumos darbā bojā gājušo skaits uz 100 000 nodarbinātajiem</w:t>
      </w:r>
    </w:p>
    <w:p w14:paraId="6E017003" w14:textId="77777777" w:rsidR="00200837" w:rsidRPr="0015154B" w:rsidRDefault="00200837" w:rsidP="003C4055">
      <w:pPr>
        <w:spacing w:after="0" w:line="240" w:lineRule="auto"/>
        <w:ind w:firstLine="709"/>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57"/>
        <w:gridCol w:w="1030"/>
        <w:gridCol w:w="1030"/>
        <w:gridCol w:w="1030"/>
        <w:gridCol w:w="1030"/>
        <w:gridCol w:w="1028"/>
        <w:gridCol w:w="1028"/>
        <w:gridCol w:w="1028"/>
      </w:tblGrid>
      <w:tr w:rsidR="00D272D9" w:rsidRPr="0015154B" w14:paraId="577BE604" w14:textId="77777777" w:rsidTr="00D272D9">
        <w:tc>
          <w:tcPr>
            <w:tcW w:w="1037" w:type="dxa"/>
            <w:shd w:val="clear" w:color="auto" w:fill="E8F3D3" w:themeFill="accent2" w:themeFillTint="33"/>
          </w:tcPr>
          <w:p w14:paraId="4833271D" w14:textId="77777777" w:rsidR="00200837" w:rsidRPr="0015154B" w:rsidRDefault="00200837" w:rsidP="003C4055">
            <w:pPr>
              <w:jc w:val="both"/>
              <w:rPr>
                <w:rFonts w:ascii="Times New Roman" w:hAnsi="Times New Roman" w:cs="Times New Roman"/>
                <w:b/>
                <w:color w:val="002060"/>
                <w:sz w:val="24"/>
                <w:szCs w:val="24"/>
              </w:rPr>
            </w:pPr>
          </w:p>
        </w:tc>
        <w:tc>
          <w:tcPr>
            <w:tcW w:w="1037" w:type="dxa"/>
            <w:shd w:val="clear" w:color="auto" w:fill="E8F3D3" w:themeFill="accent2" w:themeFillTint="33"/>
            <w:vAlign w:val="center"/>
          </w:tcPr>
          <w:p w14:paraId="6D705F78" w14:textId="77777777" w:rsidR="00200837" w:rsidRPr="0015154B" w:rsidRDefault="00200837" w:rsidP="003C4055">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2013</w:t>
            </w:r>
          </w:p>
        </w:tc>
        <w:tc>
          <w:tcPr>
            <w:tcW w:w="1037" w:type="dxa"/>
            <w:shd w:val="clear" w:color="auto" w:fill="E8F3D3" w:themeFill="accent2" w:themeFillTint="33"/>
            <w:vAlign w:val="center"/>
          </w:tcPr>
          <w:p w14:paraId="0B0B79EE" w14:textId="77777777" w:rsidR="00200837" w:rsidRPr="0015154B" w:rsidRDefault="00200837" w:rsidP="003C4055">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2014</w:t>
            </w:r>
          </w:p>
        </w:tc>
        <w:tc>
          <w:tcPr>
            <w:tcW w:w="1037" w:type="dxa"/>
            <w:shd w:val="clear" w:color="auto" w:fill="E8F3D3" w:themeFill="accent2" w:themeFillTint="33"/>
            <w:vAlign w:val="center"/>
          </w:tcPr>
          <w:p w14:paraId="52515256" w14:textId="77777777" w:rsidR="00200837" w:rsidRPr="0015154B" w:rsidRDefault="00200837" w:rsidP="003C4055">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2015</w:t>
            </w:r>
          </w:p>
        </w:tc>
        <w:tc>
          <w:tcPr>
            <w:tcW w:w="1037" w:type="dxa"/>
            <w:shd w:val="clear" w:color="auto" w:fill="E8F3D3" w:themeFill="accent2" w:themeFillTint="33"/>
            <w:vAlign w:val="center"/>
          </w:tcPr>
          <w:p w14:paraId="14D093E6" w14:textId="77777777" w:rsidR="00200837" w:rsidRPr="0015154B" w:rsidRDefault="00200837" w:rsidP="003C4055">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2016</w:t>
            </w:r>
          </w:p>
        </w:tc>
        <w:tc>
          <w:tcPr>
            <w:tcW w:w="1037" w:type="dxa"/>
            <w:shd w:val="clear" w:color="auto" w:fill="E8F3D3" w:themeFill="accent2" w:themeFillTint="33"/>
            <w:vAlign w:val="center"/>
          </w:tcPr>
          <w:p w14:paraId="20C68C30" w14:textId="77777777" w:rsidR="00200837" w:rsidRPr="0015154B" w:rsidRDefault="00200837" w:rsidP="003C4055">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2017</w:t>
            </w:r>
          </w:p>
        </w:tc>
        <w:tc>
          <w:tcPr>
            <w:tcW w:w="1037" w:type="dxa"/>
            <w:shd w:val="clear" w:color="auto" w:fill="E8F3D3" w:themeFill="accent2" w:themeFillTint="33"/>
            <w:vAlign w:val="center"/>
          </w:tcPr>
          <w:p w14:paraId="7BFCD8AA" w14:textId="77777777" w:rsidR="00200837" w:rsidRPr="0015154B" w:rsidRDefault="00200837" w:rsidP="003C4055">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2018</w:t>
            </w:r>
          </w:p>
        </w:tc>
        <w:tc>
          <w:tcPr>
            <w:tcW w:w="1037" w:type="dxa"/>
            <w:shd w:val="clear" w:color="auto" w:fill="E8F3D3" w:themeFill="accent2" w:themeFillTint="33"/>
            <w:vAlign w:val="center"/>
          </w:tcPr>
          <w:p w14:paraId="2E10D9AF" w14:textId="77777777" w:rsidR="00200837" w:rsidRPr="0015154B" w:rsidRDefault="00200837" w:rsidP="003C4055">
            <w:pPr>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2019</w:t>
            </w:r>
          </w:p>
        </w:tc>
      </w:tr>
      <w:tr w:rsidR="00200837" w:rsidRPr="0015154B" w14:paraId="02FD5F07" w14:textId="77777777" w:rsidTr="00AF6D84">
        <w:tc>
          <w:tcPr>
            <w:tcW w:w="1037" w:type="dxa"/>
            <w:shd w:val="clear" w:color="auto" w:fill="E8F3D3" w:themeFill="accent2" w:themeFillTint="33"/>
          </w:tcPr>
          <w:p w14:paraId="47340051" w14:textId="77777777" w:rsidR="00200837" w:rsidRPr="0015154B" w:rsidRDefault="00200837" w:rsidP="003C4055">
            <w:pPr>
              <w:rPr>
                <w:rFonts w:ascii="Times New Roman" w:hAnsi="Times New Roman" w:cs="Times New Roman"/>
                <w:color w:val="002060"/>
                <w:sz w:val="24"/>
                <w:szCs w:val="24"/>
              </w:rPr>
            </w:pPr>
            <w:r w:rsidRPr="0015154B">
              <w:rPr>
                <w:rFonts w:ascii="Times New Roman" w:hAnsi="Times New Roman" w:cs="Times New Roman"/>
                <w:color w:val="002060"/>
                <w:sz w:val="24"/>
                <w:szCs w:val="24"/>
              </w:rPr>
              <w:t>Smagos nelaimes gadījumos darbā cietušie un letālos nelaimes gadījumos darbā bojā gājušie</w:t>
            </w:r>
            <w:r w:rsidRPr="0015154B">
              <w:rPr>
                <w:rFonts w:ascii="Times New Roman" w:hAnsi="Times New Roman" w:cs="Times New Roman"/>
                <w:color w:val="002060"/>
                <w:sz w:val="24"/>
                <w:szCs w:val="24"/>
              </w:rPr>
              <w:br/>
              <w:t>(kopējais skaits uz 100 000 nodarbinātajiem)</w:t>
            </w:r>
          </w:p>
          <w:p w14:paraId="30FD0D9A" w14:textId="77777777" w:rsidR="00200837" w:rsidRPr="0015154B" w:rsidRDefault="00200837" w:rsidP="003C4055">
            <w:pPr>
              <w:rPr>
                <w:rFonts w:ascii="Times New Roman" w:hAnsi="Times New Roman" w:cs="Times New Roman"/>
                <w:color w:val="002060"/>
                <w:sz w:val="24"/>
                <w:szCs w:val="24"/>
              </w:rPr>
            </w:pPr>
          </w:p>
        </w:tc>
        <w:tc>
          <w:tcPr>
            <w:tcW w:w="1037" w:type="dxa"/>
            <w:vAlign w:val="center"/>
          </w:tcPr>
          <w:p w14:paraId="76FF8F2E"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lastRenderedPageBreak/>
              <w:t>33,02</w:t>
            </w:r>
          </w:p>
        </w:tc>
        <w:tc>
          <w:tcPr>
            <w:tcW w:w="1037" w:type="dxa"/>
            <w:vAlign w:val="center"/>
          </w:tcPr>
          <w:p w14:paraId="4524C76E"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32,59</w:t>
            </w:r>
          </w:p>
        </w:tc>
        <w:tc>
          <w:tcPr>
            <w:tcW w:w="1037" w:type="dxa"/>
            <w:vAlign w:val="center"/>
          </w:tcPr>
          <w:p w14:paraId="2F039A35"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25,00</w:t>
            </w:r>
          </w:p>
        </w:tc>
        <w:tc>
          <w:tcPr>
            <w:tcW w:w="1037" w:type="dxa"/>
            <w:vAlign w:val="center"/>
          </w:tcPr>
          <w:p w14:paraId="383FB587"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28,01</w:t>
            </w:r>
          </w:p>
        </w:tc>
        <w:tc>
          <w:tcPr>
            <w:tcW w:w="1037" w:type="dxa"/>
            <w:vAlign w:val="center"/>
          </w:tcPr>
          <w:p w14:paraId="7F23C073"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28,3</w:t>
            </w:r>
          </w:p>
        </w:tc>
        <w:tc>
          <w:tcPr>
            <w:tcW w:w="1037" w:type="dxa"/>
            <w:vAlign w:val="center"/>
          </w:tcPr>
          <w:p w14:paraId="199AF5C3"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29,7</w:t>
            </w:r>
          </w:p>
        </w:tc>
        <w:tc>
          <w:tcPr>
            <w:tcW w:w="1037" w:type="dxa"/>
            <w:vAlign w:val="center"/>
          </w:tcPr>
          <w:p w14:paraId="68D30896"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31,2</w:t>
            </w:r>
          </w:p>
        </w:tc>
      </w:tr>
    </w:tbl>
    <w:p w14:paraId="4D333EAC" w14:textId="77777777" w:rsidR="00200837" w:rsidRPr="0015154B" w:rsidRDefault="00200837" w:rsidP="00EF6C67">
      <w:pPr>
        <w:spacing w:after="0" w:line="240" w:lineRule="auto"/>
        <w:jc w:val="both"/>
        <w:rPr>
          <w:rFonts w:ascii="Times New Roman" w:hAnsi="Times New Roman" w:cs="Times New Roman"/>
          <w:sz w:val="20"/>
          <w:szCs w:val="20"/>
        </w:rPr>
      </w:pPr>
      <w:r w:rsidRPr="0015154B">
        <w:rPr>
          <w:rFonts w:ascii="Times New Roman" w:hAnsi="Times New Roman" w:cs="Times New Roman"/>
          <w:sz w:val="20"/>
          <w:szCs w:val="20"/>
        </w:rPr>
        <w:t>Datu avots: VDI</w:t>
      </w:r>
    </w:p>
    <w:p w14:paraId="52931C62" w14:textId="77777777" w:rsidR="003C4055" w:rsidRPr="0015154B" w:rsidRDefault="003C4055" w:rsidP="003C4055">
      <w:pPr>
        <w:spacing w:after="0" w:line="240" w:lineRule="auto"/>
        <w:ind w:firstLine="709"/>
        <w:jc w:val="both"/>
        <w:rPr>
          <w:rFonts w:ascii="Times New Roman" w:hAnsi="Times New Roman" w:cs="Times New Roman"/>
          <w:sz w:val="24"/>
          <w:szCs w:val="24"/>
        </w:rPr>
      </w:pPr>
    </w:p>
    <w:p w14:paraId="41F82FFE" w14:textId="5991B956" w:rsidR="00200837" w:rsidRPr="007157D3" w:rsidRDefault="00200837" w:rsidP="003C4055">
      <w:pPr>
        <w:spacing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 xml:space="preserve">Apkopoti dati ES dalībvalstīs ir pieejami par </w:t>
      </w:r>
      <w:r w:rsidRPr="0015154B">
        <w:rPr>
          <w:rFonts w:ascii="Times New Roman" w:hAnsi="Times New Roman" w:cs="Times New Roman"/>
          <w:b/>
          <w:sz w:val="24"/>
          <w:szCs w:val="24"/>
        </w:rPr>
        <w:t>letālo nelaimes gadījumu skaitu</w:t>
      </w:r>
      <w:r w:rsidRPr="0015154B">
        <w:rPr>
          <w:rFonts w:ascii="Times New Roman" w:hAnsi="Times New Roman" w:cs="Times New Roman"/>
          <w:sz w:val="24"/>
          <w:szCs w:val="24"/>
        </w:rPr>
        <w:t xml:space="preserve"> uz 100 000 nodarbinātajiem par laika periodu līdz 2017.gadam, kad Latvijā šis rādītājs pārsniedza vidējo rādītāju ES, tomēr starpība starp ES vidējo un šo rādītāju Latvijā ir mazāka nekā iepriekšējos gados</w:t>
      </w:r>
      <w:r w:rsidR="00363E66" w:rsidRPr="0015154B">
        <w:rPr>
          <w:rFonts w:ascii="Times New Roman" w:hAnsi="Times New Roman" w:cs="Times New Roman"/>
          <w:sz w:val="24"/>
          <w:szCs w:val="24"/>
        </w:rPr>
        <w:t xml:space="preserve"> (skat. </w:t>
      </w:r>
      <w:r w:rsidR="00C504E4">
        <w:rPr>
          <w:rFonts w:ascii="Times New Roman" w:hAnsi="Times New Roman" w:cs="Times New Roman"/>
          <w:sz w:val="24"/>
          <w:szCs w:val="24"/>
          <w:highlight w:val="yellow"/>
        </w:rPr>
        <w:t>31</w:t>
      </w:r>
      <w:r w:rsidR="00363E66" w:rsidRPr="00C76E19">
        <w:rPr>
          <w:rFonts w:ascii="Times New Roman" w:hAnsi="Times New Roman" w:cs="Times New Roman"/>
          <w:sz w:val="24"/>
          <w:szCs w:val="24"/>
          <w:highlight w:val="yellow"/>
        </w:rPr>
        <w:t>.tabulu</w:t>
      </w:r>
      <w:r w:rsidR="00363E66" w:rsidRPr="0015154B">
        <w:rPr>
          <w:rFonts w:ascii="Times New Roman" w:hAnsi="Times New Roman" w:cs="Times New Roman"/>
          <w:sz w:val="24"/>
          <w:szCs w:val="24"/>
        </w:rPr>
        <w:t>)</w:t>
      </w:r>
      <w:r w:rsidRPr="007157D3">
        <w:rPr>
          <w:rFonts w:ascii="Times New Roman" w:hAnsi="Times New Roman" w:cs="Times New Roman"/>
          <w:sz w:val="24"/>
          <w:szCs w:val="24"/>
        </w:rPr>
        <w:t>.</w:t>
      </w:r>
    </w:p>
    <w:p w14:paraId="7703DB5D" w14:textId="6A036C67" w:rsidR="00363E66" w:rsidRPr="007157D3" w:rsidRDefault="00363E66" w:rsidP="00363E66">
      <w:pPr>
        <w:spacing w:after="0" w:line="240" w:lineRule="auto"/>
        <w:jc w:val="both"/>
        <w:rPr>
          <w:rFonts w:ascii="Times New Roman" w:hAnsi="Times New Roman" w:cs="Times New Roman"/>
          <w:sz w:val="24"/>
          <w:szCs w:val="24"/>
        </w:rPr>
      </w:pPr>
    </w:p>
    <w:p w14:paraId="2062A1BB" w14:textId="394F0E9D" w:rsidR="00363E66" w:rsidRPr="002F5278" w:rsidRDefault="00C504E4" w:rsidP="00363E66">
      <w:pPr>
        <w:spacing w:after="0" w:line="240" w:lineRule="auto"/>
        <w:jc w:val="both"/>
        <w:rPr>
          <w:rFonts w:ascii="Times New Roman" w:hAnsi="Times New Roman" w:cs="Times New Roman"/>
          <w:sz w:val="24"/>
          <w:szCs w:val="24"/>
        </w:rPr>
      </w:pPr>
      <w:r w:rsidRPr="00C504E4">
        <w:rPr>
          <w:rFonts w:ascii="Times New Roman" w:hAnsi="Times New Roman" w:cs="Times New Roman"/>
          <w:sz w:val="24"/>
          <w:szCs w:val="24"/>
        </w:rPr>
        <w:t>31</w:t>
      </w:r>
      <w:r w:rsidR="00363E66" w:rsidRPr="00C504E4">
        <w:rPr>
          <w:rFonts w:ascii="Times New Roman" w:hAnsi="Times New Roman" w:cs="Times New Roman"/>
          <w:sz w:val="24"/>
          <w:szCs w:val="24"/>
        </w:rPr>
        <w:t>.tabula</w:t>
      </w:r>
    </w:p>
    <w:p w14:paraId="6955F624" w14:textId="77777777" w:rsidR="00200837" w:rsidRPr="00573B49" w:rsidRDefault="00200837" w:rsidP="003C4055">
      <w:pPr>
        <w:spacing w:after="0" w:line="240" w:lineRule="auto"/>
        <w:ind w:firstLine="709"/>
        <w:jc w:val="center"/>
        <w:rPr>
          <w:rFonts w:ascii="Times New Roman" w:hAnsi="Times New Roman" w:cs="Times New Roman"/>
          <w:b/>
          <w:color w:val="002060"/>
          <w:sz w:val="24"/>
          <w:szCs w:val="24"/>
        </w:rPr>
      </w:pPr>
      <w:r w:rsidRPr="00573B49">
        <w:rPr>
          <w:rFonts w:ascii="Times New Roman" w:hAnsi="Times New Roman" w:cs="Times New Roman"/>
          <w:b/>
          <w:color w:val="002060"/>
          <w:sz w:val="24"/>
          <w:szCs w:val="24"/>
        </w:rPr>
        <w:t>Letālo nelaimes gadījumu darbā skaits uz 100 000 nodarbinātajiem</w:t>
      </w:r>
    </w:p>
    <w:tbl>
      <w:tblPr>
        <w:tblStyle w:val="TableGrid"/>
        <w:tblW w:w="0" w:type="auto"/>
        <w:tblLook w:val="04A0" w:firstRow="1" w:lastRow="0" w:firstColumn="1" w:lastColumn="0" w:noHBand="0" w:noVBand="1"/>
      </w:tblPr>
      <w:tblGrid>
        <w:gridCol w:w="1382"/>
        <w:gridCol w:w="1382"/>
        <w:gridCol w:w="1383"/>
        <w:gridCol w:w="1383"/>
        <w:gridCol w:w="1383"/>
        <w:gridCol w:w="1383"/>
      </w:tblGrid>
      <w:tr w:rsidR="00D272D9" w:rsidRPr="0015154B" w14:paraId="75E811EF" w14:textId="77777777" w:rsidTr="00D272D9">
        <w:tc>
          <w:tcPr>
            <w:tcW w:w="1382" w:type="dxa"/>
            <w:shd w:val="clear" w:color="auto" w:fill="E8F3D3" w:themeFill="accent2" w:themeFillTint="33"/>
          </w:tcPr>
          <w:p w14:paraId="21D0BF3D" w14:textId="77777777" w:rsidR="00200837" w:rsidRPr="00573B49" w:rsidRDefault="00200837" w:rsidP="003C4055">
            <w:pPr>
              <w:jc w:val="both"/>
              <w:rPr>
                <w:rFonts w:ascii="Times New Roman" w:hAnsi="Times New Roman" w:cs="Times New Roman"/>
                <w:b/>
                <w:color w:val="002060"/>
                <w:sz w:val="24"/>
                <w:szCs w:val="24"/>
              </w:rPr>
            </w:pPr>
          </w:p>
        </w:tc>
        <w:tc>
          <w:tcPr>
            <w:tcW w:w="1382" w:type="dxa"/>
            <w:shd w:val="clear" w:color="auto" w:fill="E8F3D3" w:themeFill="accent2" w:themeFillTint="33"/>
          </w:tcPr>
          <w:p w14:paraId="604539CF" w14:textId="77777777" w:rsidR="00200837" w:rsidRPr="00573B49" w:rsidRDefault="00200837" w:rsidP="003C4055">
            <w:pPr>
              <w:jc w:val="center"/>
              <w:rPr>
                <w:rFonts w:ascii="Times New Roman" w:hAnsi="Times New Roman" w:cs="Times New Roman"/>
                <w:b/>
                <w:color w:val="002060"/>
                <w:sz w:val="24"/>
                <w:szCs w:val="24"/>
              </w:rPr>
            </w:pPr>
            <w:r w:rsidRPr="00573B49">
              <w:rPr>
                <w:rFonts w:ascii="Times New Roman" w:hAnsi="Times New Roman" w:cs="Times New Roman"/>
                <w:b/>
                <w:color w:val="002060"/>
                <w:sz w:val="24"/>
                <w:szCs w:val="24"/>
              </w:rPr>
              <w:t>2013</w:t>
            </w:r>
          </w:p>
        </w:tc>
        <w:tc>
          <w:tcPr>
            <w:tcW w:w="1383" w:type="dxa"/>
            <w:shd w:val="clear" w:color="auto" w:fill="E8F3D3" w:themeFill="accent2" w:themeFillTint="33"/>
          </w:tcPr>
          <w:p w14:paraId="5AC7B24F" w14:textId="77777777" w:rsidR="00200837" w:rsidRPr="0025422D" w:rsidRDefault="00200837" w:rsidP="003C4055">
            <w:pPr>
              <w:jc w:val="center"/>
              <w:rPr>
                <w:rFonts w:ascii="Times New Roman" w:hAnsi="Times New Roman" w:cs="Times New Roman"/>
                <w:b/>
                <w:color w:val="002060"/>
                <w:sz w:val="24"/>
                <w:szCs w:val="24"/>
              </w:rPr>
            </w:pPr>
            <w:r w:rsidRPr="0025422D">
              <w:rPr>
                <w:rFonts w:ascii="Times New Roman" w:hAnsi="Times New Roman" w:cs="Times New Roman"/>
                <w:b/>
                <w:color w:val="002060"/>
                <w:sz w:val="24"/>
                <w:szCs w:val="24"/>
              </w:rPr>
              <w:t>2014</w:t>
            </w:r>
          </w:p>
        </w:tc>
        <w:tc>
          <w:tcPr>
            <w:tcW w:w="1383" w:type="dxa"/>
            <w:shd w:val="clear" w:color="auto" w:fill="E8F3D3" w:themeFill="accent2" w:themeFillTint="33"/>
          </w:tcPr>
          <w:p w14:paraId="3A10610F" w14:textId="77777777" w:rsidR="00200837" w:rsidRPr="00A857F2" w:rsidRDefault="00200837" w:rsidP="003C4055">
            <w:pPr>
              <w:jc w:val="center"/>
              <w:rPr>
                <w:rFonts w:ascii="Times New Roman" w:hAnsi="Times New Roman" w:cs="Times New Roman"/>
                <w:b/>
                <w:color w:val="002060"/>
                <w:sz w:val="24"/>
                <w:szCs w:val="24"/>
              </w:rPr>
            </w:pPr>
            <w:r w:rsidRPr="00A857F2">
              <w:rPr>
                <w:rFonts w:ascii="Times New Roman" w:hAnsi="Times New Roman" w:cs="Times New Roman"/>
                <w:b/>
                <w:color w:val="002060"/>
                <w:sz w:val="24"/>
                <w:szCs w:val="24"/>
              </w:rPr>
              <w:t>2015</w:t>
            </w:r>
          </w:p>
        </w:tc>
        <w:tc>
          <w:tcPr>
            <w:tcW w:w="1383" w:type="dxa"/>
            <w:shd w:val="clear" w:color="auto" w:fill="E8F3D3" w:themeFill="accent2" w:themeFillTint="33"/>
          </w:tcPr>
          <w:p w14:paraId="2168468E" w14:textId="77777777" w:rsidR="00200837" w:rsidRPr="00662D1E" w:rsidRDefault="00200837" w:rsidP="003C4055">
            <w:pPr>
              <w:jc w:val="center"/>
              <w:rPr>
                <w:rFonts w:ascii="Times New Roman" w:hAnsi="Times New Roman" w:cs="Times New Roman"/>
                <w:b/>
                <w:color w:val="002060"/>
                <w:sz w:val="24"/>
                <w:szCs w:val="24"/>
              </w:rPr>
            </w:pPr>
            <w:r w:rsidRPr="00662D1E">
              <w:rPr>
                <w:rFonts w:ascii="Times New Roman" w:hAnsi="Times New Roman" w:cs="Times New Roman"/>
                <w:b/>
                <w:color w:val="002060"/>
                <w:sz w:val="24"/>
                <w:szCs w:val="24"/>
              </w:rPr>
              <w:t>2016</w:t>
            </w:r>
          </w:p>
        </w:tc>
        <w:tc>
          <w:tcPr>
            <w:tcW w:w="1383" w:type="dxa"/>
            <w:shd w:val="clear" w:color="auto" w:fill="E8F3D3" w:themeFill="accent2" w:themeFillTint="33"/>
          </w:tcPr>
          <w:p w14:paraId="386781B7" w14:textId="77777777" w:rsidR="00200837" w:rsidRPr="009703E6" w:rsidRDefault="00200837" w:rsidP="003C4055">
            <w:pPr>
              <w:jc w:val="center"/>
              <w:rPr>
                <w:rFonts w:ascii="Times New Roman" w:hAnsi="Times New Roman" w:cs="Times New Roman"/>
                <w:b/>
                <w:color w:val="002060"/>
                <w:sz w:val="24"/>
                <w:szCs w:val="24"/>
              </w:rPr>
            </w:pPr>
            <w:r w:rsidRPr="009703E6">
              <w:rPr>
                <w:rFonts w:ascii="Times New Roman" w:hAnsi="Times New Roman" w:cs="Times New Roman"/>
                <w:b/>
                <w:color w:val="002060"/>
                <w:sz w:val="24"/>
                <w:szCs w:val="24"/>
              </w:rPr>
              <w:t>2017</w:t>
            </w:r>
          </w:p>
        </w:tc>
      </w:tr>
      <w:tr w:rsidR="00200837" w:rsidRPr="0015154B" w14:paraId="6CBF9AAC" w14:textId="77777777" w:rsidTr="00AF6D84">
        <w:tc>
          <w:tcPr>
            <w:tcW w:w="1382" w:type="dxa"/>
            <w:shd w:val="clear" w:color="auto" w:fill="E8F3D3" w:themeFill="accent2" w:themeFillTint="33"/>
          </w:tcPr>
          <w:p w14:paraId="6304F076" w14:textId="77777777" w:rsidR="00200837" w:rsidRPr="0015154B" w:rsidRDefault="00200837" w:rsidP="003C4055">
            <w:pPr>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ES vidēji</w:t>
            </w:r>
          </w:p>
        </w:tc>
        <w:tc>
          <w:tcPr>
            <w:tcW w:w="1382" w:type="dxa"/>
          </w:tcPr>
          <w:p w14:paraId="4F89DBC6"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1,78</w:t>
            </w:r>
          </w:p>
        </w:tc>
        <w:tc>
          <w:tcPr>
            <w:tcW w:w="1383" w:type="dxa"/>
          </w:tcPr>
          <w:p w14:paraId="76C10CE6"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1,83</w:t>
            </w:r>
          </w:p>
        </w:tc>
        <w:tc>
          <w:tcPr>
            <w:tcW w:w="1383" w:type="dxa"/>
          </w:tcPr>
          <w:p w14:paraId="6718C8D1"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1,83</w:t>
            </w:r>
          </w:p>
        </w:tc>
        <w:tc>
          <w:tcPr>
            <w:tcW w:w="1383" w:type="dxa"/>
          </w:tcPr>
          <w:p w14:paraId="3CDCDE1B"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1,69</w:t>
            </w:r>
          </w:p>
        </w:tc>
        <w:tc>
          <w:tcPr>
            <w:tcW w:w="1383" w:type="dxa"/>
          </w:tcPr>
          <w:p w14:paraId="00418608"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1,65</w:t>
            </w:r>
          </w:p>
        </w:tc>
      </w:tr>
      <w:tr w:rsidR="00200837" w:rsidRPr="0015154B" w14:paraId="35488306" w14:textId="77777777" w:rsidTr="00AF6D84">
        <w:tc>
          <w:tcPr>
            <w:tcW w:w="1382" w:type="dxa"/>
            <w:shd w:val="clear" w:color="auto" w:fill="E8F3D3" w:themeFill="accent2" w:themeFillTint="33"/>
          </w:tcPr>
          <w:p w14:paraId="0D9DBA6A" w14:textId="77777777" w:rsidR="00200837" w:rsidRPr="0015154B" w:rsidRDefault="00200837" w:rsidP="003C4055">
            <w:pPr>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Latvija</w:t>
            </w:r>
          </w:p>
        </w:tc>
        <w:tc>
          <w:tcPr>
            <w:tcW w:w="1382" w:type="dxa"/>
          </w:tcPr>
          <w:p w14:paraId="77053505"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3,59</w:t>
            </w:r>
          </w:p>
        </w:tc>
        <w:tc>
          <w:tcPr>
            <w:tcW w:w="1383" w:type="dxa"/>
          </w:tcPr>
          <w:p w14:paraId="1DCFE9B8"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4,5</w:t>
            </w:r>
          </w:p>
        </w:tc>
        <w:tc>
          <w:tcPr>
            <w:tcW w:w="1383" w:type="dxa"/>
          </w:tcPr>
          <w:p w14:paraId="4C45F6B5"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3,32</w:t>
            </w:r>
          </w:p>
        </w:tc>
        <w:tc>
          <w:tcPr>
            <w:tcW w:w="1383" w:type="dxa"/>
          </w:tcPr>
          <w:p w14:paraId="331666CE"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4,22</w:t>
            </w:r>
          </w:p>
        </w:tc>
        <w:tc>
          <w:tcPr>
            <w:tcW w:w="1383" w:type="dxa"/>
          </w:tcPr>
          <w:p w14:paraId="7D72B9A2"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2,29</w:t>
            </w:r>
          </w:p>
        </w:tc>
      </w:tr>
      <w:tr w:rsidR="00200837" w:rsidRPr="0015154B" w14:paraId="20DC7E68" w14:textId="77777777" w:rsidTr="00AF6D84">
        <w:tc>
          <w:tcPr>
            <w:tcW w:w="1382" w:type="dxa"/>
            <w:shd w:val="clear" w:color="auto" w:fill="E8F3D3" w:themeFill="accent2" w:themeFillTint="33"/>
          </w:tcPr>
          <w:p w14:paraId="39D74ABB" w14:textId="77777777" w:rsidR="00200837" w:rsidRPr="0015154B" w:rsidRDefault="00200837" w:rsidP="003C4055">
            <w:pPr>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 xml:space="preserve">Lietuva </w:t>
            </w:r>
          </w:p>
        </w:tc>
        <w:tc>
          <w:tcPr>
            <w:tcW w:w="1382" w:type="dxa"/>
          </w:tcPr>
          <w:p w14:paraId="135AC1B3"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4,49</w:t>
            </w:r>
          </w:p>
        </w:tc>
        <w:tc>
          <w:tcPr>
            <w:tcW w:w="1383" w:type="dxa"/>
          </w:tcPr>
          <w:p w14:paraId="1BC5BABC"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4,74</w:t>
            </w:r>
          </w:p>
        </w:tc>
        <w:tc>
          <w:tcPr>
            <w:tcW w:w="1383" w:type="dxa"/>
          </w:tcPr>
          <w:p w14:paraId="0B997573"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3,84</w:t>
            </w:r>
          </w:p>
        </w:tc>
        <w:tc>
          <w:tcPr>
            <w:tcW w:w="1383" w:type="dxa"/>
          </w:tcPr>
          <w:p w14:paraId="193B6444"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3,69</w:t>
            </w:r>
          </w:p>
        </w:tc>
        <w:tc>
          <w:tcPr>
            <w:tcW w:w="1383" w:type="dxa"/>
          </w:tcPr>
          <w:p w14:paraId="168253FB"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2,77</w:t>
            </w:r>
          </w:p>
        </w:tc>
      </w:tr>
      <w:tr w:rsidR="00200837" w:rsidRPr="0015154B" w14:paraId="4C3C5A3D" w14:textId="77777777" w:rsidTr="00AF6D84">
        <w:tc>
          <w:tcPr>
            <w:tcW w:w="1382" w:type="dxa"/>
            <w:shd w:val="clear" w:color="auto" w:fill="E8F3D3" w:themeFill="accent2" w:themeFillTint="33"/>
          </w:tcPr>
          <w:p w14:paraId="45EA146D" w14:textId="77777777" w:rsidR="00200837" w:rsidRPr="0015154B" w:rsidRDefault="00200837" w:rsidP="003C4055">
            <w:pPr>
              <w:jc w:val="both"/>
              <w:rPr>
                <w:rFonts w:ascii="Times New Roman" w:hAnsi="Times New Roman" w:cs="Times New Roman"/>
                <w:color w:val="002060"/>
                <w:sz w:val="24"/>
                <w:szCs w:val="24"/>
              </w:rPr>
            </w:pPr>
            <w:r w:rsidRPr="0015154B">
              <w:rPr>
                <w:rFonts w:ascii="Times New Roman" w:hAnsi="Times New Roman" w:cs="Times New Roman"/>
                <w:color w:val="002060"/>
                <w:sz w:val="24"/>
                <w:szCs w:val="24"/>
              </w:rPr>
              <w:t>Igaunija</w:t>
            </w:r>
          </w:p>
        </w:tc>
        <w:tc>
          <w:tcPr>
            <w:tcW w:w="1382" w:type="dxa"/>
          </w:tcPr>
          <w:p w14:paraId="401E7FBA"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3,22</w:t>
            </w:r>
          </w:p>
        </w:tc>
        <w:tc>
          <w:tcPr>
            <w:tcW w:w="1383" w:type="dxa"/>
          </w:tcPr>
          <w:p w14:paraId="6D16CC26"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2,56</w:t>
            </w:r>
          </w:p>
        </w:tc>
        <w:tc>
          <w:tcPr>
            <w:tcW w:w="1383" w:type="dxa"/>
          </w:tcPr>
          <w:p w14:paraId="1EA2B5E2"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2,93</w:t>
            </w:r>
          </w:p>
        </w:tc>
        <w:tc>
          <w:tcPr>
            <w:tcW w:w="1383" w:type="dxa"/>
          </w:tcPr>
          <w:p w14:paraId="63285E1D"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4,45</w:t>
            </w:r>
          </w:p>
        </w:tc>
        <w:tc>
          <w:tcPr>
            <w:tcW w:w="1383" w:type="dxa"/>
          </w:tcPr>
          <w:p w14:paraId="1EAF7586" w14:textId="77777777" w:rsidR="00200837" w:rsidRPr="0015154B" w:rsidRDefault="00200837" w:rsidP="003C4055">
            <w:pPr>
              <w:jc w:val="center"/>
              <w:rPr>
                <w:rFonts w:ascii="Times New Roman" w:hAnsi="Times New Roman" w:cs="Times New Roman"/>
                <w:sz w:val="24"/>
                <w:szCs w:val="24"/>
              </w:rPr>
            </w:pPr>
            <w:r w:rsidRPr="0015154B">
              <w:rPr>
                <w:rFonts w:ascii="Times New Roman" w:hAnsi="Times New Roman" w:cs="Times New Roman"/>
                <w:sz w:val="24"/>
                <w:szCs w:val="24"/>
              </w:rPr>
              <w:t>1,21</w:t>
            </w:r>
          </w:p>
        </w:tc>
      </w:tr>
    </w:tbl>
    <w:p w14:paraId="425EB7B8" w14:textId="06295966" w:rsidR="00200837" w:rsidRPr="00E8117C" w:rsidRDefault="00200837" w:rsidP="00363E66">
      <w:pPr>
        <w:spacing w:after="0" w:line="240" w:lineRule="auto"/>
        <w:jc w:val="both"/>
        <w:rPr>
          <w:rFonts w:ascii="Times New Roman" w:hAnsi="Times New Roman" w:cs="Times New Roman"/>
          <w:sz w:val="20"/>
          <w:szCs w:val="20"/>
        </w:rPr>
      </w:pPr>
      <w:r w:rsidRPr="00E8117C">
        <w:rPr>
          <w:rFonts w:ascii="Times New Roman" w:hAnsi="Times New Roman" w:cs="Times New Roman"/>
          <w:sz w:val="20"/>
          <w:szCs w:val="20"/>
        </w:rPr>
        <w:t xml:space="preserve">Datu avots: </w:t>
      </w:r>
      <w:r w:rsidR="00E07E75" w:rsidRPr="00E8117C">
        <w:rPr>
          <w:rFonts w:ascii="Times New Roman" w:hAnsi="Times New Roman" w:cs="Times New Roman"/>
          <w:sz w:val="20"/>
          <w:szCs w:val="20"/>
        </w:rPr>
        <w:t>Eirostat</w:t>
      </w:r>
      <w:r w:rsidR="00363E66" w:rsidRPr="00E8117C">
        <w:rPr>
          <w:rFonts w:ascii="Times New Roman" w:hAnsi="Times New Roman" w:cs="Times New Roman"/>
          <w:sz w:val="20"/>
          <w:szCs w:val="20"/>
        </w:rPr>
        <w:t xml:space="preserve"> datu</w:t>
      </w:r>
      <w:r w:rsidR="00E8117C" w:rsidRPr="00E8117C">
        <w:rPr>
          <w:rFonts w:ascii="Times New Roman" w:hAnsi="Times New Roman" w:cs="Times New Roman"/>
          <w:sz w:val="20"/>
          <w:szCs w:val="20"/>
        </w:rPr>
        <w:t xml:space="preserve"> </w:t>
      </w:r>
      <w:r w:rsidR="00363E66" w:rsidRPr="00E8117C">
        <w:rPr>
          <w:rFonts w:ascii="Times New Roman" w:hAnsi="Times New Roman" w:cs="Times New Roman"/>
          <w:sz w:val="20"/>
          <w:szCs w:val="20"/>
        </w:rPr>
        <w:t>bāze</w:t>
      </w:r>
      <w:r w:rsidR="00E8117C" w:rsidRPr="00E8117C">
        <w:rPr>
          <w:rFonts w:ascii="Times New Roman" w:hAnsi="Times New Roman" w:cs="Times New Roman"/>
          <w:sz w:val="20"/>
          <w:szCs w:val="20"/>
        </w:rPr>
        <w:t>, datu kods SDG_08_60 </w:t>
      </w:r>
      <w:r w:rsidR="00363E66" w:rsidRPr="00E8117C">
        <w:rPr>
          <w:rFonts w:ascii="Times New Roman" w:hAnsi="Times New Roman" w:cs="Times New Roman"/>
          <w:sz w:val="20"/>
          <w:szCs w:val="20"/>
        </w:rPr>
        <w:t xml:space="preserve"> </w:t>
      </w:r>
    </w:p>
    <w:p w14:paraId="70B4C506" w14:textId="77777777" w:rsidR="003C4055" w:rsidRPr="00BB63EE" w:rsidRDefault="003C4055" w:rsidP="003C4055">
      <w:pPr>
        <w:spacing w:after="0" w:line="240" w:lineRule="auto"/>
        <w:ind w:firstLine="360"/>
        <w:jc w:val="both"/>
        <w:rPr>
          <w:rFonts w:ascii="Times New Roman" w:hAnsi="Times New Roman" w:cs="Times New Roman"/>
          <w:sz w:val="20"/>
          <w:szCs w:val="20"/>
        </w:rPr>
      </w:pPr>
    </w:p>
    <w:p w14:paraId="46BAD45A" w14:textId="2D6071CA" w:rsidR="00200837" w:rsidRPr="0015154B" w:rsidRDefault="00200837" w:rsidP="00724B79">
      <w:pPr>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 xml:space="preserve">Situāciju darba aizsardzības jomā </w:t>
      </w:r>
      <w:r w:rsidR="00B436B8" w:rsidRPr="002F5278">
        <w:rPr>
          <w:rFonts w:ascii="Times New Roman" w:hAnsi="Times New Roman" w:cs="Times New Roman"/>
          <w:sz w:val="24"/>
          <w:szCs w:val="24"/>
        </w:rPr>
        <w:t xml:space="preserve">vidējā un </w:t>
      </w:r>
      <w:r w:rsidRPr="00573B49">
        <w:rPr>
          <w:rFonts w:ascii="Times New Roman" w:hAnsi="Times New Roman" w:cs="Times New Roman"/>
          <w:sz w:val="24"/>
          <w:szCs w:val="24"/>
        </w:rPr>
        <w:t xml:space="preserve">ilgtermiņā raksturo arī konstatēto </w:t>
      </w:r>
      <w:r w:rsidRPr="00573B49">
        <w:rPr>
          <w:rFonts w:ascii="Times New Roman" w:hAnsi="Times New Roman" w:cs="Times New Roman"/>
          <w:b/>
          <w:sz w:val="24"/>
          <w:szCs w:val="24"/>
        </w:rPr>
        <w:t>arod</w:t>
      </w:r>
      <w:r w:rsidR="00815669" w:rsidRPr="00573B49">
        <w:rPr>
          <w:rFonts w:ascii="Times New Roman" w:hAnsi="Times New Roman" w:cs="Times New Roman"/>
          <w:b/>
          <w:sz w:val="24"/>
          <w:szCs w:val="24"/>
        </w:rPr>
        <w:t>s</w:t>
      </w:r>
      <w:r w:rsidRPr="0025422D">
        <w:rPr>
          <w:rFonts w:ascii="Times New Roman" w:hAnsi="Times New Roman" w:cs="Times New Roman"/>
          <w:b/>
          <w:sz w:val="24"/>
          <w:szCs w:val="24"/>
        </w:rPr>
        <w:t>limību skaits</w:t>
      </w:r>
      <w:r w:rsidRPr="00A857F2">
        <w:rPr>
          <w:rFonts w:ascii="Times New Roman" w:hAnsi="Times New Roman" w:cs="Times New Roman"/>
          <w:sz w:val="24"/>
          <w:szCs w:val="24"/>
        </w:rPr>
        <w:t>, kas pēdējos gados Latvijā turpina pieaugt</w:t>
      </w:r>
      <w:r w:rsidR="00363E66" w:rsidRPr="00662D1E">
        <w:rPr>
          <w:rFonts w:ascii="Times New Roman" w:hAnsi="Times New Roman" w:cs="Times New Roman"/>
          <w:sz w:val="24"/>
          <w:szCs w:val="24"/>
        </w:rPr>
        <w:t xml:space="preserve"> (skat. </w:t>
      </w:r>
      <w:r w:rsidR="00815669" w:rsidRPr="00C76E19">
        <w:rPr>
          <w:rFonts w:ascii="Times New Roman" w:hAnsi="Times New Roman" w:cs="Times New Roman"/>
          <w:sz w:val="24"/>
          <w:szCs w:val="24"/>
          <w:highlight w:val="yellow"/>
        </w:rPr>
        <w:t>3</w:t>
      </w:r>
      <w:r w:rsidR="00C504E4">
        <w:rPr>
          <w:rFonts w:ascii="Times New Roman" w:hAnsi="Times New Roman" w:cs="Times New Roman"/>
          <w:sz w:val="24"/>
          <w:szCs w:val="24"/>
          <w:highlight w:val="yellow"/>
        </w:rPr>
        <w:t>2</w:t>
      </w:r>
      <w:r w:rsidR="00815669" w:rsidRPr="00C76E19">
        <w:rPr>
          <w:rFonts w:ascii="Times New Roman" w:hAnsi="Times New Roman" w:cs="Times New Roman"/>
          <w:sz w:val="24"/>
          <w:szCs w:val="24"/>
          <w:highlight w:val="yellow"/>
        </w:rPr>
        <w:t>.tabulu</w:t>
      </w:r>
      <w:r w:rsidR="00815669" w:rsidRPr="009703E6">
        <w:rPr>
          <w:rFonts w:ascii="Times New Roman" w:hAnsi="Times New Roman" w:cs="Times New Roman"/>
          <w:sz w:val="24"/>
          <w:szCs w:val="24"/>
        </w:rPr>
        <w:t>)</w:t>
      </w:r>
      <w:r w:rsidRPr="0015154B">
        <w:rPr>
          <w:rFonts w:ascii="Times New Roman" w:hAnsi="Times New Roman" w:cs="Times New Roman"/>
          <w:sz w:val="24"/>
          <w:szCs w:val="24"/>
        </w:rPr>
        <w:t>. Turklāt, mainoties darba videi, mainās arī izplatītāko arodslimību struktūra - pieaug fiziskās pārslodzes izraisīto arodslimību skaits (smagumu celšana un pārvietošana, piespiedu darba pozas, atkārtotas kustības), kas atkarībā no slodzes ātrākā vai ilgākā laika posmā izraisa muskuļu-skeleta sistēmas slimības. Šīs slimības tiek diagnosticētas arī salīdzinoši jauniem (&lt;44 gadu vecuma) pacientiem, jo to attīstībai specifisku darba apstākļu gadījumā pietiek ar relatīvi īsu darba stāžu.</w:t>
      </w:r>
      <w:r w:rsidR="00B436B8" w:rsidRPr="0015154B">
        <w:rPr>
          <w:rFonts w:ascii="Times New Roman" w:hAnsi="Times New Roman" w:cs="Times New Roman"/>
          <w:sz w:val="24"/>
          <w:szCs w:val="24"/>
        </w:rPr>
        <w:t xml:space="preserve"> Vienlaikus pieaug arī nervu sistēmas slimību skaits un psihiski un uzvedības traucējumi, kas saistītas ar pārslodzi un izdegšanu darbā.</w:t>
      </w:r>
    </w:p>
    <w:p w14:paraId="0871579E" w14:textId="77777777" w:rsidR="00200837" w:rsidRPr="0015154B" w:rsidRDefault="00200837" w:rsidP="00724B7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Paaugstinoties nodarbināto vecumam, paaugstinās arī iespējamība, ka tiks konstatēta arodslimība, turklāt daudzos gadījumos vienam cilvēkam var tikt konstatētas vairākas arodslimības. Atbilstoši VDI statistikas datiem, vislielākais pirmreizēji apstiprināto arodslimnieku skaits galvenokārt ir divās vecuma grupās: 45-54 gadi un 55-64 gadi (2018.gadā 39% un 48%), kurās ir pieaugoša tendence, analizējot pa gadiem. Katru gadu biežāk arodslimības tiek diagnosticētas sievietēm nekā vīriešiem, kas varētu būt skaidrojams ar to, ka sievietes parasti biežāk dodas pie ārstiem un vairāk vērības pievērš savai veselībai.</w:t>
      </w:r>
      <w:r w:rsidRPr="0015154B">
        <w:rPr>
          <w:rFonts w:ascii="Times New Roman" w:hAnsi="Times New Roman" w:cs="Times New Roman"/>
          <w:color w:val="414142"/>
          <w:sz w:val="24"/>
          <w:szCs w:val="24"/>
          <w:shd w:val="clear" w:color="auto" w:fill="FFFFFF"/>
        </w:rPr>
        <w:t> </w:t>
      </w:r>
    </w:p>
    <w:p w14:paraId="7F3AF07B" w14:textId="1AC53851" w:rsidR="00200837" w:rsidRPr="0015154B" w:rsidRDefault="00200837" w:rsidP="00815669">
      <w:pPr>
        <w:spacing w:after="0" w:line="240" w:lineRule="auto"/>
        <w:rPr>
          <w:rFonts w:ascii="Times New Roman" w:hAnsi="Times New Roman" w:cs="Times New Roman"/>
          <w:b/>
          <w:sz w:val="24"/>
          <w:szCs w:val="24"/>
        </w:rPr>
      </w:pPr>
    </w:p>
    <w:p w14:paraId="1B0E4BE7" w14:textId="7F8B85E6" w:rsidR="00815669" w:rsidRPr="0015154B" w:rsidRDefault="00815669" w:rsidP="00815669">
      <w:pPr>
        <w:spacing w:after="0" w:line="240" w:lineRule="auto"/>
        <w:rPr>
          <w:rFonts w:ascii="Times New Roman" w:hAnsi="Times New Roman" w:cs="Times New Roman"/>
          <w:sz w:val="24"/>
          <w:szCs w:val="24"/>
        </w:rPr>
      </w:pPr>
      <w:r w:rsidRPr="00C504E4">
        <w:rPr>
          <w:rFonts w:ascii="Times New Roman" w:hAnsi="Times New Roman" w:cs="Times New Roman"/>
          <w:sz w:val="24"/>
          <w:szCs w:val="24"/>
        </w:rPr>
        <w:t>3</w:t>
      </w:r>
      <w:r w:rsidR="00C504E4" w:rsidRPr="00C504E4">
        <w:rPr>
          <w:rFonts w:ascii="Times New Roman" w:hAnsi="Times New Roman" w:cs="Times New Roman"/>
          <w:sz w:val="24"/>
          <w:szCs w:val="24"/>
        </w:rPr>
        <w:t>2</w:t>
      </w:r>
      <w:r w:rsidRPr="00C504E4">
        <w:rPr>
          <w:rFonts w:ascii="Times New Roman" w:hAnsi="Times New Roman" w:cs="Times New Roman"/>
          <w:sz w:val="24"/>
          <w:szCs w:val="24"/>
        </w:rPr>
        <w:t>.tabula</w:t>
      </w:r>
    </w:p>
    <w:p w14:paraId="1328A5B5" w14:textId="7173C2E4" w:rsidR="00200837" w:rsidRPr="0015154B" w:rsidRDefault="00200837" w:rsidP="00815669">
      <w:pPr>
        <w:spacing w:after="0" w:line="240" w:lineRule="auto"/>
        <w:ind w:firstLine="720"/>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Pirmreizēji apstiprināto arod</w:t>
      </w:r>
      <w:r w:rsidR="00815669" w:rsidRPr="0015154B">
        <w:rPr>
          <w:rFonts w:ascii="Times New Roman" w:hAnsi="Times New Roman" w:cs="Times New Roman"/>
          <w:b/>
          <w:color w:val="002060"/>
          <w:sz w:val="24"/>
          <w:szCs w:val="24"/>
        </w:rPr>
        <w:t>sl</w:t>
      </w:r>
      <w:r w:rsidRPr="0015154B">
        <w:rPr>
          <w:rFonts w:ascii="Times New Roman" w:hAnsi="Times New Roman" w:cs="Times New Roman"/>
          <w:b/>
          <w:color w:val="002060"/>
          <w:sz w:val="24"/>
          <w:szCs w:val="24"/>
        </w:rPr>
        <w:t>imību skaits</w:t>
      </w:r>
    </w:p>
    <w:p w14:paraId="0108A52F" w14:textId="77777777" w:rsidR="00815669" w:rsidRPr="0015154B" w:rsidRDefault="00815669" w:rsidP="00815669">
      <w:pPr>
        <w:spacing w:after="0" w:line="240" w:lineRule="auto"/>
        <w:ind w:firstLine="720"/>
        <w:jc w:val="center"/>
        <w:rPr>
          <w:rFonts w:ascii="Times New Roman" w:hAnsi="Times New Roman" w:cs="Times New Roman"/>
          <w:b/>
          <w:sz w:val="24"/>
          <w:szCs w:val="24"/>
        </w:rPr>
      </w:pPr>
    </w:p>
    <w:tbl>
      <w:tblPr>
        <w:tblStyle w:val="VKTabula"/>
        <w:tblW w:w="0" w:type="auto"/>
        <w:tblLook w:val="04A0" w:firstRow="1" w:lastRow="0" w:firstColumn="1" w:lastColumn="0" w:noHBand="0" w:noVBand="1"/>
      </w:tblPr>
      <w:tblGrid>
        <w:gridCol w:w="1510"/>
        <w:gridCol w:w="823"/>
        <w:gridCol w:w="896"/>
        <w:gridCol w:w="896"/>
        <w:gridCol w:w="896"/>
        <w:gridCol w:w="896"/>
        <w:gridCol w:w="896"/>
        <w:gridCol w:w="1483"/>
      </w:tblGrid>
      <w:tr w:rsidR="00D272D9" w:rsidRPr="0015154B" w14:paraId="20272C60" w14:textId="77777777" w:rsidTr="00D272D9">
        <w:trPr>
          <w:cnfStyle w:val="100000000000" w:firstRow="1" w:lastRow="0" w:firstColumn="0" w:lastColumn="0" w:oddVBand="0" w:evenVBand="0" w:oddHBand="0" w:evenHBand="0" w:firstRowFirstColumn="0" w:firstRowLastColumn="0" w:lastRowFirstColumn="0" w:lastRowLastColumn="0"/>
        </w:trPr>
        <w:tc>
          <w:tcPr>
            <w:tcW w:w="1510" w:type="dxa"/>
          </w:tcPr>
          <w:p w14:paraId="1969D085" w14:textId="77777777" w:rsidR="00200837" w:rsidRPr="0015154B" w:rsidRDefault="00200837" w:rsidP="003C4055">
            <w:pPr>
              <w:jc w:val="both"/>
              <w:rPr>
                <w:color w:val="002060"/>
                <w:sz w:val="24"/>
                <w:szCs w:val="24"/>
              </w:rPr>
            </w:pPr>
          </w:p>
        </w:tc>
        <w:tc>
          <w:tcPr>
            <w:tcW w:w="823" w:type="dxa"/>
          </w:tcPr>
          <w:p w14:paraId="0B7147E6" w14:textId="77777777" w:rsidR="00200837" w:rsidRPr="0015154B" w:rsidRDefault="00200837" w:rsidP="003C4055">
            <w:pPr>
              <w:jc w:val="center"/>
              <w:rPr>
                <w:color w:val="002060"/>
                <w:sz w:val="24"/>
                <w:szCs w:val="24"/>
              </w:rPr>
            </w:pPr>
            <w:r w:rsidRPr="0015154B">
              <w:rPr>
                <w:color w:val="002060"/>
                <w:sz w:val="24"/>
                <w:szCs w:val="24"/>
              </w:rPr>
              <w:t>2013</w:t>
            </w:r>
          </w:p>
        </w:tc>
        <w:tc>
          <w:tcPr>
            <w:tcW w:w="896" w:type="dxa"/>
          </w:tcPr>
          <w:p w14:paraId="13E00445" w14:textId="77777777" w:rsidR="00200837" w:rsidRPr="0015154B" w:rsidRDefault="00200837" w:rsidP="003C4055">
            <w:pPr>
              <w:jc w:val="center"/>
              <w:rPr>
                <w:color w:val="002060"/>
                <w:sz w:val="24"/>
                <w:szCs w:val="24"/>
              </w:rPr>
            </w:pPr>
            <w:r w:rsidRPr="0015154B">
              <w:rPr>
                <w:color w:val="002060"/>
                <w:sz w:val="24"/>
                <w:szCs w:val="24"/>
              </w:rPr>
              <w:t>2014</w:t>
            </w:r>
          </w:p>
        </w:tc>
        <w:tc>
          <w:tcPr>
            <w:tcW w:w="896" w:type="dxa"/>
          </w:tcPr>
          <w:p w14:paraId="14108A02" w14:textId="77777777" w:rsidR="00200837" w:rsidRPr="0015154B" w:rsidRDefault="00200837" w:rsidP="003C4055">
            <w:pPr>
              <w:jc w:val="center"/>
              <w:rPr>
                <w:color w:val="002060"/>
                <w:sz w:val="24"/>
                <w:szCs w:val="24"/>
              </w:rPr>
            </w:pPr>
            <w:r w:rsidRPr="0015154B">
              <w:rPr>
                <w:color w:val="002060"/>
                <w:sz w:val="24"/>
                <w:szCs w:val="24"/>
              </w:rPr>
              <w:t>2015</w:t>
            </w:r>
          </w:p>
        </w:tc>
        <w:tc>
          <w:tcPr>
            <w:tcW w:w="896" w:type="dxa"/>
          </w:tcPr>
          <w:p w14:paraId="598B3861" w14:textId="77777777" w:rsidR="00200837" w:rsidRPr="0015154B" w:rsidRDefault="00200837" w:rsidP="003C4055">
            <w:pPr>
              <w:jc w:val="center"/>
              <w:rPr>
                <w:color w:val="002060"/>
                <w:sz w:val="24"/>
                <w:szCs w:val="24"/>
              </w:rPr>
            </w:pPr>
            <w:r w:rsidRPr="0015154B">
              <w:rPr>
                <w:color w:val="002060"/>
                <w:sz w:val="24"/>
                <w:szCs w:val="24"/>
              </w:rPr>
              <w:t>2016</w:t>
            </w:r>
          </w:p>
        </w:tc>
        <w:tc>
          <w:tcPr>
            <w:tcW w:w="896" w:type="dxa"/>
          </w:tcPr>
          <w:p w14:paraId="4CFED048" w14:textId="77777777" w:rsidR="00200837" w:rsidRPr="0015154B" w:rsidRDefault="00200837" w:rsidP="003C4055">
            <w:pPr>
              <w:jc w:val="center"/>
              <w:rPr>
                <w:color w:val="002060"/>
                <w:sz w:val="24"/>
                <w:szCs w:val="24"/>
              </w:rPr>
            </w:pPr>
            <w:r w:rsidRPr="0015154B">
              <w:rPr>
                <w:color w:val="002060"/>
                <w:sz w:val="24"/>
                <w:szCs w:val="24"/>
              </w:rPr>
              <w:t>2017</w:t>
            </w:r>
          </w:p>
        </w:tc>
        <w:tc>
          <w:tcPr>
            <w:tcW w:w="896" w:type="dxa"/>
          </w:tcPr>
          <w:p w14:paraId="66893B56" w14:textId="77777777" w:rsidR="00200837" w:rsidRPr="0015154B" w:rsidRDefault="00200837" w:rsidP="003C4055">
            <w:pPr>
              <w:jc w:val="center"/>
              <w:rPr>
                <w:color w:val="002060"/>
                <w:sz w:val="24"/>
                <w:szCs w:val="24"/>
              </w:rPr>
            </w:pPr>
            <w:r w:rsidRPr="0015154B">
              <w:rPr>
                <w:color w:val="002060"/>
                <w:sz w:val="24"/>
                <w:szCs w:val="24"/>
              </w:rPr>
              <w:t>2018</w:t>
            </w:r>
          </w:p>
        </w:tc>
        <w:tc>
          <w:tcPr>
            <w:tcW w:w="1483" w:type="dxa"/>
          </w:tcPr>
          <w:p w14:paraId="39B642A3" w14:textId="77777777" w:rsidR="00200837" w:rsidRPr="0015154B" w:rsidRDefault="00200837" w:rsidP="003C4055">
            <w:pPr>
              <w:jc w:val="center"/>
              <w:rPr>
                <w:color w:val="002060"/>
                <w:sz w:val="24"/>
                <w:szCs w:val="24"/>
              </w:rPr>
            </w:pPr>
            <w:r w:rsidRPr="0015154B">
              <w:rPr>
                <w:color w:val="002060"/>
                <w:sz w:val="24"/>
                <w:szCs w:val="24"/>
              </w:rPr>
              <w:t>2019</w:t>
            </w:r>
          </w:p>
        </w:tc>
      </w:tr>
      <w:tr w:rsidR="00B436B8" w:rsidRPr="0015154B" w14:paraId="41A95585" w14:textId="77777777" w:rsidTr="00D272D9">
        <w:trPr>
          <w:cnfStyle w:val="000000100000" w:firstRow="0" w:lastRow="0" w:firstColumn="0" w:lastColumn="0" w:oddVBand="0" w:evenVBand="0" w:oddHBand="1" w:evenHBand="0" w:firstRowFirstColumn="0" w:firstRowLastColumn="0" w:lastRowFirstColumn="0" w:lastRowLastColumn="0"/>
        </w:trPr>
        <w:tc>
          <w:tcPr>
            <w:tcW w:w="1510" w:type="dxa"/>
          </w:tcPr>
          <w:p w14:paraId="19DE2B74" w14:textId="77777777" w:rsidR="00B436B8" w:rsidRPr="0015154B" w:rsidRDefault="00B436B8" w:rsidP="00B436B8">
            <w:pPr>
              <w:jc w:val="both"/>
              <w:rPr>
                <w:sz w:val="24"/>
                <w:szCs w:val="24"/>
              </w:rPr>
            </w:pPr>
            <w:r w:rsidRPr="0015154B">
              <w:rPr>
                <w:sz w:val="24"/>
                <w:szCs w:val="24"/>
              </w:rPr>
              <w:t>Arodslimību skaits</w:t>
            </w:r>
          </w:p>
        </w:tc>
        <w:tc>
          <w:tcPr>
            <w:tcW w:w="823" w:type="dxa"/>
          </w:tcPr>
          <w:p w14:paraId="7B35CD0A" w14:textId="77777777" w:rsidR="00B436B8" w:rsidRPr="0015154B" w:rsidRDefault="00B436B8" w:rsidP="00B436B8">
            <w:pPr>
              <w:jc w:val="center"/>
              <w:rPr>
                <w:sz w:val="24"/>
                <w:szCs w:val="24"/>
              </w:rPr>
            </w:pPr>
            <w:r w:rsidRPr="0015154B">
              <w:rPr>
                <w:sz w:val="24"/>
                <w:szCs w:val="24"/>
              </w:rPr>
              <w:t>1089</w:t>
            </w:r>
          </w:p>
        </w:tc>
        <w:tc>
          <w:tcPr>
            <w:tcW w:w="896" w:type="dxa"/>
          </w:tcPr>
          <w:p w14:paraId="5A07F8E9" w14:textId="77777777" w:rsidR="00B436B8" w:rsidRPr="0015154B" w:rsidRDefault="00B436B8" w:rsidP="00B436B8">
            <w:pPr>
              <w:jc w:val="center"/>
              <w:rPr>
                <w:sz w:val="24"/>
                <w:szCs w:val="24"/>
              </w:rPr>
            </w:pPr>
            <w:r w:rsidRPr="0015154B">
              <w:rPr>
                <w:sz w:val="24"/>
                <w:szCs w:val="24"/>
              </w:rPr>
              <w:t>1217</w:t>
            </w:r>
          </w:p>
        </w:tc>
        <w:tc>
          <w:tcPr>
            <w:tcW w:w="896" w:type="dxa"/>
          </w:tcPr>
          <w:p w14:paraId="7EE4DB48" w14:textId="77777777" w:rsidR="00B436B8" w:rsidRPr="0015154B" w:rsidRDefault="00B436B8" w:rsidP="00B436B8">
            <w:pPr>
              <w:jc w:val="center"/>
              <w:rPr>
                <w:sz w:val="24"/>
                <w:szCs w:val="24"/>
              </w:rPr>
            </w:pPr>
            <w:r w:rsidRPr="0015154B">
              <w:rPr>
                <w:sz w:val="24"/>
                <w:szCs w:val="24"/>
              </w:rPr>
              <w:t>1154</w:t>
            </w:r>
          </w:p>
        </w:tc>
        <w:tc>
          <w:tcPr>
            <w:tcW w:w="896" w:type="dxa"/>
          </w:tcPr>
          <w:p w14:paraId="2CBD54CA" w14:textId="77777777" w:rsidR="00B436B8" w:rsidRPr="0015154B" w:rsidRDefault="00B436B8" w:rsidP="00B436B8">
            <w:pPr>
              <w:jc w:val="center"/>
              <w:rPr>
                <w:sz w:val="24"/>
                <w:szCs w:val="24"/>
              </w:rPr>
            </w:pPr>
            <w:r w:rsidRPr="0015154B">
              <w:rPr>
                <w:sz w:val="24"/>
                <w:szCs w:val="24"/>
              </w:rPr>
              <w:t>1364</w:t>
            </w:r>
          </w:p>
        </w:tc>
        <w:tc>
          <w:tcPr>
            <w:tcW w:w="896" w:type="dxa"/>
          </w:tcPr>
          <w:p w14:paraId="766A9821" w14:textId="77777777" w:rsidR="00B436B8" w:rsidRPr="0015154B" w:rsidRDefault="00B436B8" w:rsidP="00B436B8">
            <w:pPr>
              <w:jc w:val="center"/>
              <w:rPr>
                <w:sz w:val="24"/>
                <w:szCs w:val="24"/>
              </w:rPr>
            </w:pPr>
            <w:r w:rsidRPr="0015154B">
              <w:rPr>
                <w:sz w:val="24"/>
                <w:szCs w:val="24"/>
              </w:rPr>
              <w:t>1421</w:t>
            </w:r>
          </w:p>
        </w:tc>
        <w:tc>
          <w:tcPr>
            <w:tcW w:w="896" w:type="dxa"/>
          </w:tcPr>
          <w:p w14:paraId="725B2684" w14:textId="01FAC4E6" w:rsidR="00B436B8" w:rsidRPr="0015154B" w:rsidRDefault="00B436B8" w:rsidP="00B436B8">
            <w:pPr>
              <w:jc w:val="center"/>
              <w:rPr>
                <w:sz w:val="24"/>
                <w:szCs w:val="24"/>
              </w:rPr>
            </w:pPr>
            <w:r w:rsidRPr="0015154B">
              <w:rPr>
                <w:sz w:val="24"/>
                <w:szCs w:val="24"/>
              </w:rPr>
              <w:t>1698</w:t>
            </w:r>
          </w:p>
        </w:tc>
        <w:tc>
          <w:tcPr>
            <w:tcW w:w="1483" w:type="dxa"/>
          </w:tcPr>
          <w:p w14:paraId="2DE191F6" w14:textId="0C606D0C" w:rsidR="00B436B8" w:rsidRPr="0015154B" w:rsidRDefault="00B436B8" w:rsidP="00B436B8">
            <w:pPr>
              <w:jc w:val="center"/>
              <w:rPr>
                <w:sz w:val="24"/>
                <w:szCs w:val="24"/>
              </w:rPr>
            </w:pPr>
            <w:r w:rsidRPr="0015154B">
              <w:rPr>
                <w:sz w:val="24"/>
                <w:szCs w:val="24"/>
              </w:rPr>
              <w:t>1739</w:t>
            </w:r>
          </w:p>
        </w:tc>
      </w:tr>
      <w:tr w:rsidR="00B436B8" w:rsidRPr="0015154B" w14:paraId="14965BA0" w14:textId="77777777" w:rsidTr="00D272D9">
        <w:trPr>
          <w:cnfStyle w:val="000000010000" w:firstRow="0" w:lastRow="0" w:firstColumn="0" w:lastColumn="0" w:oddVBand="0" w:evenVBand="0" w:oddHBand="0" w:evenHBand="1" w:firstRowFirstColumn="0" w:firstRowLastColumn="0" w:lastRowFirstColumn="0" w:lastRowLastColumn="0"/>
        </w:trPr>
        <w:tc>
          <w:tcPr>
            <w:tcW w:w="1510" w:type="dxa"/>
          </w:tcPr>
          <w:p w14:paraId="1842B047" w14:textId="77777777" w:rsidR="00B436B8" w:rsidRPr="0015154B" w:rsidRDefault="00B436B8" w:rsidP="00B436B8">
            <w:pPr>
              <w:jc w:val="both"/>
              <w:rPr>
                <w:sz w:val="24"/>
                <w:szCs w:val="24"/>
              </w:rPr>
            </w:pPr>
            <w:r w:rsidRPr="0015154B">
              <w:rPr>
                <w:sz w:val="24"/>
                <w:szCs w:val="24"/>
              </w:rPr>
              <w:t>Arodslimības sievietēm</w:t>
            </w:r>
          </w:p>
        </w:tc>
        <w:tc>
          <w:tcPr>
            <w:tcW w:w="823" w:type="dxa"/>
          </w:tcPr>
          <w:p w14:paraId="517148EB" w14:textId="77777777" w:rsidR="00B436B8" w:rsidRPr="0015154B" w:rsidRDefault="00B436B8" w:rsidP="00B436B8">
            <w:pPr>
              <w:jc w:val="center"/>
              <w:rPr>
                <w:sz w:val="24"/>
                <w:szCs w:val="24"/>
              </w:rPr>
            </w:pPr>
            <w:r w:rsidRPr="0015154B">
              <w:rPr>
                <w:sz w:val="24"/>
                <w:szCs w:val="24"/>
              </w:rPr>
              <w:t>698</w:t>
            </w:r>
          </w:p>
        </w:tc>
        <w:tc>
          <w:tcPr>
            <w:tcW w:w="896" w:type="dxa"/>
          </w:tcPr>
          <w:p w14:paraId="020730E6" w14:textId="77777777" w:rsidR="00B436B8" w:rsidRPr="0015154B" w:rsidRDefault="00B436B8" w:rsidP="00B436B8">
            <w:pPr>
              <w:jc w:val="center"/>
              <w:rPr>
                <w:sz w:val="24"/>
                <w:szCs w:val="24"/>
              </w:rPr>
            </w:pPr>
            <w:r w:rsidRPr="0015154B">
              <w:rPr>
                <w:sz w:val="24"/>
                <w:szCs w:val="24"/>
              </w:rPr>
              <w:t>790</w:t>
            </w:r>
          </w:p>
        </w:tc>
        <w:tc>
          <w:tcPr>
            <w:tcW w:w="896" w:type="dxa"/>
          </w:tcPr>
          <w:p w14:paraId="68EB8CA4" w14:textId="77777777" w:rsidR="00B436B8" w:rsidRPr="0015154B" w:rsidRDefault="00B436B8" w:rsidP="00B436B8">
            <w:pPr>
              <w:jc w:val="center"/>
              <w:rPr>
                <w:sz w:val="24"/>
                <w:szCs w:val="24"/>
              </w:rPr>
            </w:pPr>
            <w:r w:rsidRPr="0015154B">
              <w:rPr>
                <w:sz w:val="24"/>
                <w:szCs w:val="24"/>
              </w:rPr>
              <w:t>789</w:t>
            </w:r>
          </w:p>
        </w:tc>
        <w:tc>
          <w:tcPr>
            <w:tcW w:w="896" w:type="dxa"/>
          </w:tcPr>
          <w:p w14:paraId="2F7F6C6A" w14:textId="77777777" w:rsidR="00B436B8" w:rsidRPr="0015154B" w:rsidRDefault="00B436B8" w:rsidP="00B436B8">
            <w:pPr>
              <w:jc w:val="center"/>
              <w:rPr>
                <w:sz w:val="24"/>
                <w:szCs w:val="24"/>
              </w:rPr>
            </w:pPr>
            <w:r w:rsidRPr="0015154B">
              <w:rPr>
                <w:sz w:val="24"/>
                <w:szCs w:val="24"/>
              </w:rPr>
              <w:t>869</w:t>
            </w:r>
          </w:p>
        </w:tc>
        <w:tc>
          <w:tcPr>
            <w:tcW w:w="896" w:type="dxa"/>
          </w:tcPr>
          <w:p w14:paraId="466EDA27" w14:textId="77777777" w:rsidR="00B436B8" w:rsidRPr="0015154B" w:rsidRDefault="00B436B8" w:rsidP="00B436B8">
            <w:pPr>
              <w:jc w:val="center"/>
              <w:rPr>
                <w:sz w:val="24"/>
                <w:szCs w:val="24"/>
              </w:rPr>
            </w:pPr>
            <w:r w:rsidRPr="0015154B">
              <w:rPr>
                <w:sz w:val="24"/>
                <w:szCs w:val="24"/>
              </w:rPr>
              <w:t>938</w:t>
            </w:r>
          </w:p>
        </w:tc>
        <w:tc>
          <w:tcPr>
            <w:tcW w:w="896" w:type="dxa"/>
          </w:tcPr>
          <w:p w14:paraId="25B3D420" w14:textId="500F82B4" w:rsidR="00B436B8" w:rsidRPr="0015154B" w:rsidRDefault="00B436B8" w:rsidP="00B436B8">
            <w:pPr>
              <w:jc w:val="center"/>
              <w:rPr>
                <w:sz w:val="24"/>
                <w:szCs w:val="24"/>
              </w:rPr>
            </w:pPr>
            <w:r w:rsidRPr="0015154B">
              <w:rPr>
                <w:sz w:val="24"/>
                <w:szCs w:val="24"/>
              </w:rPr>
              <w:t>1121</w:t>
            </w:r>
          </w:p>
        </w:tc>
        <w:tc>
          <w:tcPr>
            <w:tcW w:w="1483" w:type="dxa"/>
          </w:tcPr>
          <w:p w14:paraId="7EDD8DD0" w14:textId="7E1608F5" w:rsidR="00B436B8" w:rsidRPr="0015154B" w:rsidRDefault="00B436B8" w:rsidP="00B436B8">
            <w:pPr>
              <w:jc w:val="center"/>
              <w:rPr>
                <w:sz w:val="24"/>
                <w:szCs w:val="24"/>
              </w:rPr>
            </w:pPr>
            <w:r w:rsidRPr="0015154B">
              <w:rPr>
                <w:sz w:val="24"/>
                <w:szCs w:val="24"/>
              </w:rPr>
              <w:t>1151</w:t>
            </w:r>
          </w:p>
        </w:tc>
      </w:tr>
      <w:tr w:rsidR="00B436B8" w:rsidRPr="0015154B" w14:paraId="5CD19F28" w14:textId="77777777" w:rsidTr="00D272D9">
        <w:trPr>
          <w:cnfStyle w:val="000000100000" w:firstRow="0" w:lastRow="0" w:firstColumn="0" w:lastColumn="0" w:oddVBand="0" w:evenVBand="0" w:oddHBand="1" w:evenHBand="0" w:firstRowFirstColumn="0" w:firstRowLastColumn="0" w:lastRowFirstColumn="0" w:lastRowLastColumn="0"/>
        </w:trPr>
        <w:tc>
          <w:tcPr>
            <w:tcW w:w="1510" w:type="dxa"/>
          </w:tcPr>
          <w:p w14:paraId="6745D4BA" w14:textId="77777777" w:rsidR="00B436B8" w:rsidRPr="0015154B" w:rsidRDefault="00B436B8" w:rsidP="00B436B8">
            <w:pPr>
              <w:jc w:val="both"/>
              <w:rPr>
                <w:sz w:val="24"/>
                <w:szCs w:val="24"/>
              </w:rPr>
            </w:pPr>
            <w:r w:rsidRPr="0015154B">
              <w:rPr>
                <w:sz w:val="24"/>
                <w:szCs w:val="24"/>
              </w:rPr>
              <w:t>Arodslimības vīriešiem</w:t>
            </w:r>
          </w:p>
        </w:tc>
        <w:tc>
          <w:tcPr>
            <w:tcW w:w="823" w:type="dxa"/>
          </w:tcPr>
          <w:p w14:paraId="7CFEC7F9" w14:textId="77777777" w:rsidR="00B436B8" w:rsidRPr="0015154B" w:rsidRDefault="00B436B8" w:rsidP="00B436B8">
            <w:pPr>
              <w:jc w:val="center"/>
              <w:rPr>
                <w:sz w:val="24"/>
                <w:szCs w:val="24"/>
              </w:rPr>
            </w:pPr>
            <w:r w:rsidRPr="0015154B">
              <w:rPr>
                <w:sz w:val="24"/>
                <w:szCs w:val="24"/>
              </w:rPr>
              <w:t>391</w:t>
            </w:r>
          </w:p>
        </w:tc>
        <w:tc>
          <w:tcPr>
            <w:tcW w:w="896" w:type="dxa"/>
          </w:tcPr>
          <w:p w14:paraId="554A8495" w14:textId="77777777" w:rsidR="00B436B8" w:rsidRPr="0015154B" w:rsidRDefault="00B436B8" w:rsidP="00B436B8">
            <w:pPr>
              <w:jc w:val="center"/>
              <w:rPr>
                <w:sz w:val="24"/>
                <w:szCs w:val="24"/>
              </w:rPr>
            </w:pPr>
            <w:r w:rsidRPr="0015154B">
              <w:rPr>
                <w:sz w:val="24"/>
                <w:szCs w:val="24"/>
              </w:rPr>
              <w:t>427</w:t>
            </w:r>
          </w:p>
        </w:tc>
        <w:tc>
          <w:tcPr>
            <w:tcW w:w="896" w:type="dxa"/>
          </w:tcPr>
          <w:p w14:paraId="26CD1BFA" w14:textId="77777777" w:rsidR="00B436B8" w:rsidRPr="0015154B" w:rsidRDefault="00B436B8" w:rsidP="00B436B8">
            <w:pPr>
              <w:jc w:val="center"/>
              <w:rPr>
                <w:sz w:val="24"/>
                <w:szCs w:val="24"/>
              </w:rPr>
            </w:pPr>
            <w:r w:rsidRPr="0015154B">
              <w:rPr>
                <w:sz w:val="24"/>
                <w:szCs w:val="24"/>
              </w:rPr>
              <w:t>365</w:t>
            </w:r>
          </w:p>
        </w:tc>
        <w:tc>
          <w:tcPr>
            <w:tcW w:w="896" w:type="dxa"/>
          </w:tcPr>
          <w:p w14:paraId="25B7031D" w14:textId="77777777" w:rsidR="00B436B8" w:rsidRPr="0015154B" w:rsidRDefault="00B436B8" w:rsidP="00B436B8">
            <w:pPr>
              <w:jc w:val="center"/>
              <w:rPr>
                <w:sz w:val="24"/>
                <w:szCs w:val="24"/>
              </w:rPr>
            </w:pPr>
            <w:r w:rsidRPr="0015154B">
              <w:rPr>
                <w:sz w:val="24"/>
                <w:szCs w:val="24"/>
              </w:rPr>
              <w:t>495</w:t>
            </w:r>
          </w:p>
        </w:tc>
        <w:tc>
          <w:tcPr>
            <w:tcW w:w="896" w:type="dxa"/>
          </w:tcPr>
          <w:p w14:paraId="78FF3956" w14:textId="77777777" w:rsidR="00B436B8" w:rsidRPr="0015154B" w:rsidRDefault="00B436B8" w:rsidP="00B436B8">
            <w:pPr>
              <w:jc w:val="center"/>
              <w:rPr>
                <w:sz w:val="24"/>
                <w:szCs w:val="24"/>
              </w:rPr>
            </w:pPr>
            <w:r w:rsidRPr="0015154B">
              <w:rPr>
                <w:sz w:val="24"/>
                <w:szCs w:val="24"/>
              </w:rPr>
              <w:t>483</w:t>
            </w:r>
          </w:p>
        </w:tc>
        <w:tc>
          <w:tcPr>
            <w:tcW w:w="896" w:type="dxa"/>
          </w:tcPr>
          <w:p w14:paraId="72479538" w14:textId="1540EB82" w:rsidR="00B436B8" w:rsidRPr="0015154B" w:rsidRDefault="00B436B8" w:rsidP="00B436B8">
            <w:pPr>
              <w:jc w:val="center"/>
              <w:rPr>
                <w:sz w:val="24"/>
                <w:szCs w:val="24"/>
              </w:rPr>
            </w:pPr>
            <w:r w:rsidRPr="0015154B">
              <w:rPr>
                <w:sz w:val="24"/>
                <w:szCs w:val="24"/>
              </w:rPr>
              <w:t>577</w:t>
            </w:r>
          </w:p>
        </w:tc>
        <w:tc>
          <w:tcPr>
            <w:tcW w:w="1483" w:type="dxa"/>
          </w:tcPr>
          <w:p w14:paraId="3F3484A6" w14:textId="76979A10" w:rsidR="00B436B8" w:rsidRPr="0015154B" w:rsidRDefault="00B436B8" w:rsidP="00B436B8">
            <w:pPr>
              <w:jc w:val="center"/>
              <w:rPr>
                <w:sz w:val="24"/>
                <w:szCs w:val="24"/>
              </w:rPr>
            </w:pPr>
            <w:r w:rsidRPr="0015154B">
              <w:rPr>
                <w:sz w:val="24"/>
                <w:szCs w:val="24"/>
              </w:rPr>
              <w:t>587</w:t>
            </w:r>
          </w:p>
        </w:tc>
      </w:tr>
    </w:tbl>
    <w:p w14:paraId="70D3ACFA" w14:textId="77777777" w:rsidR="00200837" w:rsidRPr="0015154B" w:rsidRDefault="00200837" w:rsidP="00363E66">
      <w:pPr>
        <w:spacing w:after="0" w:line="240" w:lineRule="auto"/>
        <w:jc w:val="both"/>
        <w:rPr>
          <w:rFonts w:ascii="Times New Roman" w:hAnsi="Times New Roman" w:cs="Times New Roman"/>
          <w:sz w:val="20"/>
          <w:szCs w:val="20"/>
        </w:rPr>
      </w:pPr>
      <w:r w:rsidRPr="0015154B">
        <w:rPr>
          <w:rFonts w:ascii="Times New Roman" w:hAnsi="Times New Roman" w:cs="Times New Roman"/>
          <w:sz w:val="20"/>
          <w:szCs w:val="20"/>
        </w:rPr>
        <w:lastRenderedPageBreak/>
        <w:t>Datu avots: VDI</w:t>
      </w:r>
    </w:p>
    <w:p w14:paraId="461E61D7" w14:textId="77777777" w:rsidR="00363E66" w:rsidRPr="0015154B" w:rsidRDefault="00363E66" w:rsidP="00724B79">
      <w:pPr>
        <w:spacing w:before="120" w:after="0" w:line="240" w:lineRule="auto"/>
        <w:ind w:firstLine="567"/>
        <w:jc w:val="both"/>
        <w:rPr>
          <w:rFonts w:ascii="Times New Roman" w:hAnsi="Times New Roman" w:cs="Times New Roman"/>
          <w:sz w:val="24"/>
          <w:szCs w:val="24"/>
        </w:rPr>
      </w:pPr>
    </w:p>
    <w:p w14:paraId="68C52417" w14:textId="6199F091" w:rsidR="00B436B8" w:rsidRPr="0015154B" w:rsidRDefault="00B436B8" w:rsidP="00724B79">
      <w:pPr>
        <w:spacing w:before="120" w:after="0" w:line="240" w:lineRule="auto"/>
        <w:ind w:firstLine="720"/>
        <w:jc w:val="both"/>
        <w:rPr>
          <w:rFonts w:ascii="Times New Roman" w:hAnsi="Times New Roman"/>
          <w:sz w:val="24"/>
          <w:szCs w:val="24"/>
        </w:rPr>
      </w:pPr>
      <w:r w:rsidRPr="0015154B">
        <w:rPr>
          <w:rFonts w:ascii="Times New Roman" w:hAnsi="Times New Roman" w:cs="Times New Roman"/>
          <w:b/>
          <w:sz w:val="24"/>
          <w:szCs w:val="24"/>
        </w:rPr>
        <w:t>Arodslimību noteikšana</w:t>
      </w:r>
      <w:r w:rsidRPr="0015154B">
        <w:rPr>
          <w:rFonts w:ascii="Times New Roman" w:hAnsi="Times New Roman" w:cs="Times New Roman"/>
          <w:sz w:val="24"/>
          <w:szCs w:val="24"/>
        </w:rPr>
        <w:t xml:space="preserve"> ir komplicēts process, kurā iesaistīti dažādi speciālisti. Ja nodarbinātajam konstatētas arodslimības pazīmes, un viņš tiek vai ir ticis pakļauts kaitīgu darba vides faktoru iedarbībai, viņam ir tiesības prasīt savam ģimenes ārstam, lai viņu attiecīgi izmeklētu. Ja, izmeklējot nodarbināto, ģimenes ārsts konstatē veselības traucējumus, ko, iespējams, izraisījuši kaitīgie darba vides faktori, viņu diagnozes precizēšanai nosūta pie arodslimību ārsta.</w:t>
      </w:r>
      <w:r w:rsidR="00030BD6" w:rsidRPr="0015154B">
        <w:rPr>
          <w:rFonts w:ascii="Times New Roman" w:hAnsi="Times New Roman" w:cs="Times New Roman"/>
          <w:sz w:val="24"/>
          <w:szCs w:val="24"/>
        </w:rPr>
        <w:t xml:space="preserve"> </w:t>
      </w:r>
      <w:r w:rsidRPr="0015154B">
        <w:rPr>
          <w:rFonts w:ascii="Times New Roman" w:hAnsi="Times New Roman"/>
          <w:sz w:val="24"/>
          <w:szCs w:val="24"/>
        </w:rPr>
        <w:t>Ja arodslimību ārsts apstiprina arodslimības iespējamību, viņš nodarbināto nosūta konsultācijai uz ārstu komisiju arodslimībās. Ja komisija nodarbinātajam diagnosticē arodslimību, viņš ar komisijas izsniegto atzinumu par arodslimību vēršas pie sava ģimenes ārsta. Ģimenes ārsts invaliditātes smaguma pakāpes un darbspēju zaudējuma noteikšanai (procentos) nosūta arodslimnieku uz Veselības un darbspēju ekspertīzes ārstu valsts komisiju invaliditātes ekspertīzei.</w:t>
      </w:r>
    </w:p>
    <w:p w14:paraId="6E067339" w14:textId="63E3A94A" w:rsidR="00B436B8" w:rsidRPr="0015154B" w:rsidRDefault="00B436B8" w:rsidP="00724B79">
      <w:pPr>
        <w:pStyle w:val="NormalWeb"/>
        <w:spacing w:before="120" w:beforeAutospacing="0" w:after="0" w:afterAutospacing="0"/>
        <w:ind w:firstLine="720"/>
        <w:jc w:val="both"/>
        <w:rPr>
          <w:rFonts w:ascii="Times New Roman" w:eastAsiaTheme="minorHAnsi" w:hAnsi="Times New Roman"/>
          <w:sz w:val="24"/>
          <w:szCs w:val="24"/>
          <w:lang w:eastAsia="en-US"/>
        </w:rPr>
      </w:pPr>
      <w:r w:rsidRPr="0015154B">
        <w:rPr>
          <w:rFonts w:ascii="Times New Roman" w:eastAsiaTheme="minorHAnsi" w:hAnsi="Times New Roman"/>
          <w:sz w:val="24"/>
          <w:szCs w:val="24"/>
          <w:lang w:eastAsia="en-US"/>
        </w:rPr>
        <w:t>Lai arī normatīvajos aktos ir noteik</w:t>
      </w:r>
      <w:r w:rsidR="00763C6D">
        <w:rPr>
          <w:rFonts w:ascii="Times New Roman" w:eastAsiaTheme="minorHAnsi" w:hAnsi="Times New Roman"/>
          <w:sz w:val="24"/>
          <w:szCs w:val="24"/>
          <w:lang w:eastAsia="en-US"/>
        </w:rPr>
        <w:t>t</w:t>
      </w:r>
      <w:r w:rsidRPr="0015154B">
        <w:rPr>
          <w:rFonts w:ascii="Times New Roman" w:eastAsiaTheme="minorHAnsi" w:hAnsi="Times New Roman"/>
          <w:sz w:val="24"/>
          <w:szCs w:val="24"/>
          <w:lang w:eastAsia="en-US"/>
        </w:rPr>
        <w:t xml:space="preserve">a </w:t>
      </w:r>
      <w:r w:rsidRPr="0015154B">
        <w:rPr>
          <w:rFonts w:ascii="Times New Roman" w:eastAsiaTheme="minorHAnsi" w:hAnsi="Times New Roman"/>
          <w:b/>
          <w:sz w:val="24"/>
          <w:szCs w:val="24"/>
          <w:lang w:eastAsia="en-US"/>
        </w:rPr>
        <w:t>iesaistīto pušu sadarbība</w:t>
      </w:r>
      <w:r w:rsidRPr="0015154B">
        <w:rPr>
          <w:rFonts w:ascii="Times New Roman" w:eastAsiaTheme="minorHAnsi" w:hAnsi="Times New Roman"/>
          <w:sz w:val="24"/>
          <w:szCs w:val="24"/>
          <w:lang w:eastAsia="en-US"/>
        </w:rPr>
        <w:t>, ne vienmēr praksē šī sadarbība ir efektīva. Lai pēc iespējas ātrāk konstatētu arodslimības pazīmes, būtiski pašam nodarbinātajam vērsties pie ģimenes ārsta ar sūdzībām par veselības traucējumiem, kas varētu būt saistīti ar darbu, sniedzot informāciju par darba apstākļiem savā darba vietā. Ģimenes ārstam, kā arī citiem veselības aprūpes speciālistiem nepieciešama</w:t>
      </w:r>
      <w:r w:rsidR="00865001">
        <w:rPr>
          <w:rFonts w:ascii="Times New Roman" w:eastAsiaTheme="minorHAnsi" w:hAnsi="Times New Roman"/>
          <w:sz w:val="24"/>
          <w:szCs w:val="24"/>
          <w:lang w:eastAsia="en-US"/>
        </w:rPr>
        <w:t>s</w:t>
      </w:r>
      <w:r w:rsidRPr="0015154B">
        <w:rPr>
          <w:rFonts w:ascii="Times New Roman" w:eastAsiaTheme="minorHAnsi" w:hAnsi="Times New Roman"/>
          <w:sz w:val="24"/>
          <w:szCs w:val="24"/>
          <w:lang w:eastAsia="en-US"/>
        </w:rPr>
        <w:t xml:space="preserve"> atbilstošas zināšanas, lai spētu sasaistīt personas veselības traucējumus ar viņa darbu un nepieciešamības gadījumā varētu nosūtīt pacientu pie arodslimību ārsta. </w:t>
      </w:r>
    </w:p>
    <w:p w14:paraId="17060E5D" w14:textId="331CA2F1" w:rsidR="00B436B8" w:rsidRPr="0015154B" w:rsidRDefault="00B436B8" w:rsidP="00724B79">
      <w:pPr>
        <w:pStyle w:val="NormalWeb"/>
        <w:spacing w:before="120" w:beforeAutospacing="0" w:after="0" w:afterAutospacing="0"/>
        <w:ind w:firstLine="720"/>
        <w:jc w:val="both"/>
        <w:rPr>
          <w:rFonts w:ascii="Times New Roman" w:eastAsiaTheme="minorHAnsi" w:hAnsi="Times New Roman"/>
          <w:sz w:val="24"/>
          <w:szCs w:val="24"/>
          <w:lang w:eastAsia="en-US"/>
        </w:rPr>
      </w:pPr>
      <w:r w:rsidRPr="0015154B">
        <w:rPr>
          <w:rFonts w:ascii="Times New Roman" w:eastAsiaTheme="minorHAnsi" w:hAnsi="Times New Roman"/>
          <w:sz w:val="24"/>
          <w:szCs w:val="24"/>
          <w:lang w:eastAsia="en-US"/>
        </w:rPr>
        <w:t>Darba devēja un nodarbināto rīcībai, kā arī savstarpējai sadarbībai ir būtiska loma arodslimību prof</w:t>
      </w:r>
      <w:r w:rsidR="00763C6D">
        <w:rPr>
          <w:rFonts w:ascii="Times New Roman" w:eastAsiaTheme="minorHAnsi" w:hAnsi="Times New Roman"/>
          <w:sz w:val="24"/>
          <w:szCs w:val="24"/>
          <w:lang w:eastAsia="en-US"/>
        </w:rPr>
        <w:t>i</w:t>
      </w:r>
      <w:r w:rsidRPr="0015154B">
        <w:rPr>
          <w:rFonts w:ascii="Times New Roman" w:eastAsiaTheme="minorHAnsi" w:hAnsi="Times New Roman"/>
          <w:sz w:val="24"/>
          <w:szCs w:val="24"/>
          <w:lang w:eastAsia="en-US"/>
        </w:rPr>
        <w:t>laksē un novēršanā. Drošu darba vietu izveidošana uzņēmumā un drošu darba metožu izmantošana ir pamats nodarbināto veselības saglabāšanai ilgtermiņā. Tomēr, saņemot informāciju par jau konstatētu arodslimības gadījumu uzņēmumā un to izraisījušajiem darba vides faktoriem, darba devējam ir pienākums veikt darba aizsardzības pasākumus riska novēršanai vai samazināšanai, kā arī paredzēt iespēju norīkot arodslimnieku darbos, kur nepastāv darba vides risks, kas izraisa personas veselības traucējumus.</w:t>
      </w:r>
      <w:r w:rsidR="00CD5AFA" w:rsidRPr="0015154B">
        <w:rPr>
          <w:rFonts w:ascii="Times New Roman" w:eastAsiaTheme="minorHAnsi" w:hAnsi="Times New Roman"/>
          <w:sz w:val="24"/>
          <w:szCs w:val="24"/>
          <w:lang w:eastAsia="en-US"/>
        </w:rPr>
        <w:t xml:space="preserve"> </w:t>
      </w:r>
      <w:r w:rsidRPr="0015154B">
        <w:rPr>
          <w:rFonts w:ascii="Times New Roman" w:eastAsiaTheme="minorHAnsi" w:hAnsi="Times New Roman"/>
          <w:sz w:val="24"/>
          <w:szCs w:val="24"/>
          <w:lang w:eastAsia="en-US"/>
        </w:rPr>
        <w:t xml:space="preserve">Arī pašiem nodarbinātajiem ir jāseko līdzi savam veselības stāvoklim un jāsniedz patiesas ziņas par savu veselību ģimenes ārstam, kā arī arodslimību ārstam, veicot obligāto veselības pārbaudi. </w:t>
      </w:r>
    </w:p>
    <w:p w14:paraId="5E61C014" w14:textId="4889CB73" w:rsidR="00B436B8" w:rsidRPr="00573B49" w:rsidRDefault="00B436B8" w:rsidP="00724B79">
      <w:pPr>
        <w:pStyle w:val="NormalWeb"/>
        <w:spacing w:before="120" w:beforeAutospacing="0" w:after="0" w:afterAutospacing="0"/>
        <w:ind w:firstLine="720"/>
        <w:jc w:val="both"/>
        <w:rPr>
          <w:rFonts w:ascii="Times New Roman" w:hAnsi="Times New Roman"/>
          <w:color w:val="000000" w:themeColor="text1"/>
          <w:sz w:val="24"/>
          <w:szCs w:val="24"/>
        </w:rPr>
      </w:pPr>
      <w:r w:rsidRPr="0015154B">
        <w:rPr>
          <w:rFonts w:ascii="Times New Roman" w:hAnsi="Times New Roman"/>
          <w:sz w:val="24"/>
          <w:szCs w:val="24"/>
        </w:rPr>
        <w:t>Pētījuma</w:t>
      </w:r>
      <w:r w:rsidR="000D5B0D">
        <w:rPr>
          <w:rFonts w:ascii="Times New Roman" w:hAnsi="Times New Roman"/>
          <w:sz w:val="24"/>
          <w:szCs w:val="24"/>
        </w:rPr>
        <w:t xml:space="preserve"> </w:t>
      </w:r>
      <w:r w:rsidR="000D5B0D" w:rsidRPr="007157D3">
        <w:rPr>
          <w:rFonts w:ascii="Times New Roman" w:hAnsi="Times New Roman"/>
          <w:sz w:val="24"/>
          <w:szCs w:val="24"/>
        </w:rPr>
        <w:t xml:space="preserve">rezultāti liecina, ka apmēram trešdaļa (36,0%) nodarbināto </w:t>
      </w:r>
      <w:r w:rsidR="000D5B0D" w:rsidRPr="007157D3">
        <w:rPr>
          <w:rFonts w:ascii="Times New Roman" w:hAnsi="Times New Roman"/>
          <w:color w:val="000000" w:themeColor="text1"/>
          <w:sz w:val="24"/>
          <w:szCs w:val="24"/>
        </w:rPr>
        <w:t xml:space="preserve">obligātās veselības pārbaudēs nekad nesūdzas/nesūdzētos par veselības problēmām, ja tādas ir/būtu, baidoties, ka </w:t>
      </w:r>
      <w:r w:rsidR="000D5B0D" w:rsidRPr="002F5278">
        <w:rPr>
          <w:rFonts w:ascii="Times New Roman" w:hAnsi="Times New Roman"/>
          <w:color w:val="000000" w:themeColor="text1"/>
          <w:sz w:val="24"/>
          <w:szCs w:val="24"/>
        </w:rPr>
        <w:t>viņiem varētu aizliegt strādāt</w:t>
      </w:r>
      <w:r w:rsidR="000D5B0D">
        <w:rPr>
          <w:rFonts w:ascii="Times New Roman" w:hAnsi="Times New Roman"/>
          <w:color w:val="000000" w:themeColor="text1"/>
          <w:sz w:val="24"/>
          <w:szCs w:val="24"/>
        </w:rPr>
        <w:t>.</w:t>
      </w:r>
      <w:r w:rsidRPr="007157D3">
        <w:rPr>
          <w:rStyle w:val="FootnoteReference"/>
          <w:rFonts w:ascii="Times New Roman" w:hAnsi="Times New Roman"/>
          <w:sz w:val="24"/>
          <w:szCs w:val="24"/>
        </w:rPr>
        <w:footnoteReference w:id="180"/>
      </w:r>
      <w:r w:rsidRPr="002F5278">
        <w:rPr>
          <w:rFonts w:ascii="Times New Roman" w:hAnsi="Times New Roman"/>
          <w:color w:val="000000" w:themeColor="text1"/>
          <w:sz w:val="24"/>
          <w:szCs w:val="24"/>
        </w:rPr>
        <w:t xml:space="preserve"> Šāds rezultāts liecina, ka nepieciešams</w:t>
      </w:r>
      <w:r w:rsidRPr="00573B49">
        <w:rPr>
          <w:rFonts w:ascii="Times New Roman" w:hAnsi="Times New Roman"/>
          <w:color w:val="000000" w:themeColor="text1"/>
          <w:sz w:val="24"/>
          <w:szCs w:val="24"/>
        </w:rPr>
        <w:t xml:space="preserve"> uzlabot ārstu un nodarbināto sadarbību, kā arī nodarbinātajiem būtu nepieciešams sniegt vairāk informācijas par arodslimību profilaksi un rīcību, parādoties pirmajiem arodslimību simptomiem, lai nepieļautu veselības zaudējumu un arodslimību attīstību. </w:t>
      </w:r>
    </w:p>
    <w:p w14:paraId="6712A53E" w14:textId="77777777" w:rsidR="00B436B8" w:rsidRPr="00A857F2" w:rsidRDefault="00B436B8" w:rsidP="00724B79">
      <w:pPr>
        <w:pStyle w:val="NormalWeb"/>
        <w:spacing w:before="120" w:beforeAutospacing="0" w:after="0" w:afterAutospacing="0"/>
        <w:ind w:firstLine="720"/>
        <w:jc w:val="both"/>
        <w:rPr>
          <w:rFonts w:ascii="Times New Roman" w:eastAsiaTheme="minorHAnsi" w:hAnsi="Times New Roman"/>
          <w:sz w:val="24"/>
          <w:szCs w:val="24"/>
          <w:lang w:eastAsia="en-US"/>
        </w:rPr>
      </w:pPr>
      <w:r w:rsidRPr="00573B49">
        <w:rPr>
          <w:rFonts w:ascii="Times New Roman" w:hAnsi="Times New Roman"/>
          <w:color w:val="000000" w:themeColor="text1"/>
          <w:sz w:val="24"/>
          <w:szCs w:val="24"/>
        </w:rPr>
        <w:t>Šī pētījuma ietveros 28% nodarbinātie ir minējuši, ka jutuši sāpes, kas ilgākas par 3 dienām. Visbiežāk nodarbinātie jutuši sāpes muguras lejasdaļā un kājās, rokās un sprandā, kā arī – galvassāpes. Sāpes minētajās ķermeņa daļās norāda uz šobrīd izplatītākajā</w:t>
      </w:r>
      <w:r w:rsidRPr="0025422D">
        <w:rPr>
          <w:rFonts w:ascii="Times New Roman" w:hAnsi="Times New Roman"/>
          <w:color w:val="000000" w:themeColor="text1"/>
          <w:sz w:val="24"/>
          <w:szCs w:val="24"/>
        </w:rPr>
        <w:t xml:space="preserve">m arodslimībām – ar slodzi, pārslodzi un spiedienu saistītiem mīksto audu bojājumiem, spondilozi ar radikulopātiju, artrozēm, karpālā kanāla sindromu u.c. Tas liecina par to, ka arī turpmākajos gados šīs arodslimības būs starp izplatītākajām. </w:t>
      </w:r>
    </w:p>
    <w:p w14:paraId="2732E1D9" w14:textId="6D5777C3" w:rsidR="00200837" w:rsidRPr="0015154B" w:rsidRDefault="00200837" w:rsidP="00724B79">
      <w:pPr>
        <w:spacing w:before="120" w:after="0" w:line="240" w:lineRule="auto"/>
        <w:ind w:firstLine="720"/>
        <w:jc w:val="both"/>
        <w:rPr>
          <w:rFonts w:ascii="Times New Roman" w:hAnsi="Times New Roman" w:cs="Times New Roman"/>
          <w:sz w:val="24"/>
          <w:szCs w:val="24"/>
        </w:rPr>
      </w:pPr>
      <w:r w:rsidRPr="00662D1E">
        <w:rPr>
          <w:rFonts w:ascii="Times New Roman" w:hAnsi="Times New Roman" w:cs="Times New Roman"/>
          <w:sz w:val="24"/>
          <w:szCs w:val="24"/>
        </w:rPr>
        <w:t>Būtiska nozī</w:t>
      </w:r>
      <w:r w:rsidRPr="009703E6">
        <w:rPr>
          <w:rFonts w:ascii="Times New Roman" w:hAnsi="Times New Roman" w:cs="Times New Roman"/>
          <w:sz w:val="24"/>
          <w:szCs w:val="24"/>
        </w:rPr>
        <w:t xml:space="preserve">me </w:t>
      </w:r>
      <w:r w:rsidRPr="0015154B">
        <w:rPr>
          <w:rFonts w:ascii="Times New Roman" w:hAnsi="Times New Roman" w:cs="Times New Roman"/>
          <w:b/>
          <w:sz w:val="24"/>
          <w:szCs w:val="24"/>
        </w:rPr>
        <w:t>preventīvās kultūras</w:t>
      </w:r>
      <w:r w:rsidRPr="0015154B">
        <w:rPr>
          <w:rFonts w:ascii="Times New Roman" w:hAnsi="Times New Roman" w:cs="Times New Roman"/>
          <w:sz w:val="24"/>
          <w:szCs w:val="24"/>
        </w:rPr>
        <w:t xml:space="preserve"> attīstībai sabiedrībā un tādejādi arī nelaimes gadījumu darbā novēršanai un arodslimību profilaksei ir </w:t>
      </w:r>
      <w:r w:rsidRPr="0015154B">
        <w:rPr>
          <w:rFonts w:ascii="Times New Roman" w:hAnsi="Times New Roman" w:cs="Times New Roman"/>
          <w:b/>
          <w:sz w:val="24"/>
          <w:szCs w:val="24"/>
        </w:rPr>
        <w:t>iedzīvotāju zināšanām un izpratnei</w:t>
      </w:r>
      <w:r w:rsidRPr="0015154B">
        <w:rPr>
          <w:rFonts w:ascii="Times New Roman" w:hAnsi="Times New Roman" w:cs="Times New Roman"/>
          <w:sz w:val="24"/>
          <w:szCs w:val="24"/>
        </w:rPr>
        <w:t xml:space="preserve"> par darba aizsardzības jautājumiem. </w:t>
      </w:r>
      <w:r w:rsidR="00C76E19">
        <w:rPr>
          <w:rFonts w:ascii="Times New Roman" w:hAnsi="Times New Roman" w:cs="Times New Roman"/>
          <w:sz w:val="24"/>
          <w:szCs w:val="24"/>
        </w:rPr>
        <w:t>P</w:t>
      </w:r>
      <w:r w:rsidRPr="0015154B">
        <w:rPr>
          <w:rFonts w:ascii="Times New Roman" w:hAnsi="Times New Roman" w:cs="Times New Roman"/>
          <w:sz w:val="24"/>
          <w:szCs w:val="24"/>
        </w:rPr>
        <w:t>reventīvos pasākumus</w:t>
      </w:r>
      <w:r w:rsidR="00C76E19">
        <w:rPr>
          <w:rFonts w:ascii="Times New Roman" w:hAnsi="Times New Roman" w:cs="Times New Roman"/>
          <w:sz w:val="24"/>
          <w:szCs w:val="24"/>
        </w:rPr>
        <w:t xml:space="preserve"> </w:t>
      </w:r>
      <w:r w:rsidRPr="0015154B">
        <w:rPr>
          <w:rFonts w:ascii="Times New Roman" w:hAnsi="Times New Roman" w:cs="Times New Roman"/>
          <w:sz w:val="24"/>
          <w:szCs w:val="24"/>
        </w:rPr>
        <w:t xml:space="preserve">atbilstoši LM ieteikumiem īsteno </w:t>
      </w:r>
      <w:r w:rsidR="00CD5AFA" w:rsidRPr="0015154B">
        <w:rPr>
          <w:rFonts w:ascii="Times New Roman" w:hAnsi="Times New Roman" w:cs="Times New Roman"/>
          <w:sz w:val="24"/>
          <w:szCs w:val="24"/>
        </w:rPr>
        <w:t>RSU</w:t>
      </w:r>
      <w:r w:rsidRPr="0015154B">
        <w:rPr>
          <w:rFonts w:ascii="Times New Roman" w:hAnsi="Times New Roman" w:cs="Times New Roman"/>
          <w:sz w:val="24"/>
          <w:szCs w:val="24"/>
        </w:rPr>
        <w:t xml:space="preserve"> aģentūra „Darba drošības un vides veselības institūts”. Dažādus sabiedrības, īpaši darba </w:t>
      </w:r>
      <w:r w:rsidRPr="0015154B">
        <w:rPr>
          <w:rFonts w:ascii="Times New Roman" w:hAnsi="Times New Roman" w:cs="Times New Roman"/>
          <w:sz w:val="24"/>
          <w:szCs w:val="24"/>
        </w:rPr>
        <w:lastRenderedPageBreak/>
        <w:t xml:space="preserve">devēju un nodarbināto informēšanas pasākumus katru gadu īsteno arī </w:t>
      </w:r>
      <w:r w:rsidR="00CD5AFA" w:rsidRPr="0015154B">
        <w:rPr>
          <w:rFonts w:ascii="Times New Roman" w:hAnsi="Times New Roman" w:cs="Times New Roman"/>
          <w:sz w:val="24"/>
          <w:szCs w:val="24"/>
        </w:rPr>
        <w:t>VDI</w:t>
      </w:r>
      <w:r w:rsidRPr="0015154B">
        <w:rPr>
          <w:rFonts w:ascii="Times New Roman" w:hAnsi="Times New Roman" w:cs="Times New Roman"/>
          <w:sz w:val="24"/>
          <w:szCs w:val="24"/>
        </w:rPr>
        <w:t xml:space="preserve">, kā arī sociālie partneri. </w:t>
      </w:r>
    </w:p>
    <w:p w14:paraId="660EFBF9" w14:textId="64FDB9BD" w:rsidR="00200837" w:rsidRPr="00573B49" w:rsidRDefault="00200837" w:rsidP="00724B7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Pētījuma</w:t>
      </w:r>
      <w:r w:rsidRPr="007157D3">
        <w:rPr>
          <w:rStyle w:val="FootnoteReference"/>
          <w:rFonts w:ascii="Times New Roman" w:hAnsi="Times New Roman" w:cs="Times New Roman"/>
          <w:sz w:val="24"/>
          <w:szCs w:val="24"/>
        </w:rPr>
        <w:footnoteReference w:id="181"/>
      </w:r>
      <w:r w:rsidRPr="007157D3">
        <w:rPr>
          <w:rFonts w:ascii="Times New Roman" w:hAnsi="Times New Roman" w:cs="Times New Roman"/>
          <w:sz w:val="24"/>
          <w:szCs w:val="24"/>
        </w:rPr>
        <w:t xml:space="preserve"> </w:t>
      </w:r>
      <w:r w:rsidR="000D5B0D">
        <w:rPr>
          <w:rFonts w:ascii="Times New Roman" w:hAnsi="Times New Roman" w:cs="Times New Roman"/>
          <w:sz w:val="24"/>
          <w:szCs w:val="24"/>
        </w:rPr>
        <w:t xml:space="preserve">ietvaros veiktās </w:t>
      </w:r>
      <w:r w:rsidRPr="007157D3">
        <w:rPr>
          <w:rFonts w:ascii="Times New Roman" w:hAnsi="Times New Roman" w:cs="Times New Roman"/>
          <w:sz w:val="24"/>
          <w:szCs w:val="24"/>
        </w:rPr>
        <w:t xml:space="preserve">iedzīvotāju aptaujas rezultāti liecina par to, ka 54% aptaujāto iedzīvotāju uzskata, ka viņi ir labi informēti par jautājumiem, kas saistīti ar darba apstākļiem un darba vidi. Šis rezultāts būtiski pārsniedz </w:t>
      </w:r>
      <w:r w:rsidR="00C76E19" w:rsidRPr="007157D3">
        <w:rPr>
          <w:rFonts w:ascii="Times New Roman" w:hAnsi="Times New Roman" w:cs="Times New Roman"/>
          <w:sz w:val="24"/>
          <w:szCs w:val="24"/>
        </w:rPr>
        <w:t>iepriekšējo</w:t>
      </w:r>
      <w:r w:rsidRPr="007157D3">
        <w:rPr>
          <w:rFonts w:ascii="Times New Roman" w:hAnsi="Times New Roman" w:cs="Times New Roman"/>
          <w:sz w:val="24"/>
          <w:szCs w:val="24"/>
        </w:rPr>
        <w:t xml:space="preserve"> gadu rezultātus un liecina par to, ka īstenotie pasākumi sabiedrības, īpaši darba devēju un nodarbināto informēšanai kopumā ir bijuši veiksmīgi. Ir pamats uzskatīt, ka </w:t>
      </w:r>
      <w:r w:rsidRPr="002F5278">
        <w:rPr>
          <w:rFonts w:ascii="Times New Roman" w:hAnsi="Times New Roman" w:cs="Times New Roman"/>
          <w:sz w:val="24"/>
          <w:szCs w:val="24"/>
        </w:rPr>
        <w:t>preventīvā kultūra sabiedrībā attīstās un iedzīvotājiem ir aizvien</w:t>
      </w:r>
      <w:r w:rsidRPr="00573B49">
        <w:rPr>
          <w:rFonts w:ascii="Times New Roman" w:hAnsi="Times New Roman" w:cs="Times New Roman"/>
          <w:sz w:val="24"/>
          <w:szCs w:val="24"/>
        </w:rPr>
        <w:t xml:space="preserve"> lielāka izpratne par drošību un veselību darbā, līdz ar to ir lielāka iespēja, ka, atrodoties darba vidē, šie iedzīvotāji ievēros darba aizsardzības prasības. Tomēr notikušie nelaimes gadījumi, kā arī pieaugošais arodslimību skaits joprojām liecina par nepietiekamu darba aizsardzības jautājumu izpratni gan no darba devēju, gan nodarbināto puses. Attiecīgi</w:t>
      </w:r>
      <w:r w:rsidR="00C201AC">
        <w:rPr>
          <w:rFonts w:ascii="Times New Roman" w:hAnsi="Times New Roman" w:cs="Times New Roman"/>
          <w:sz w:val="24"/>
          <w:szCs w:val="24"/>
        </w:rPr>
        <w:t>,</w:t>
      </w:r>
      <w:r w:rsidRPr="00573B49">
        <w:rPr>
          <w:rFonts w:ascii="Times New Roman" w:hAnsi="Times New Roman" w:cs="Times New Roman"/>
          <w:sz w:val="24"/>
          <w:szCs w:val="24"/>
        </w:rPr>
        <w:t xml:space="preserve"> arī turpmāk nepieciešams pievērst pastiprinātu uzmanību iedzīvotāju informēšanai un preventīvās kultūras veicināšanai, kā arī darba devēju un nodarbināto praktisku apmācību un konsultāciju nodrošināšanai darba vietās. </w:t>
      </w:r>
    </w:p>
    <w:p w14:paraId="67E57DDC" w14:textId="6D7F0EB8" w:rsidR="00200837" w:rsidRPr="009703E6" w:rsidRDefault="00200837" w:rsidP="00724B79">
      <w:pPr>
        <w:pStyle w:val="NormalWeb"/>
        <w:shd w:val="clear" w:color="auto" w:fill="FFFFFF"/>
        <w:spacing w:before="120" w:beforeAutospacing="0" w:after="0" w:afterAutospacing="0"/>
        <w:ind w:firstLine="720"/>
        <w:jc w:val="both"/>
        <w:rPr>
          <w:rFonts w:ascii="Times New Roman" w:eastAsiaTheme="minorHAnsi" w:hAnsi="Times New Roman"/>
          <w:sz w:val="24"/>
          <w:szCs w:val="24"/>
          <w:lang w:eastAsia="en-US"/>
        </w:rPr>
      </w:pPr>
      <w:r w:rsidRPr="0025422D">
        <w:rPr>
          <w:rFonts w:ascii="Times New Roman" w:eastAsiaTheme="minorHAnsi" w:hAnsi="Times New Roman"/>
          <w:sz w:val="24"/>
          <w:szCs w:val="24"/>
          <w:lang w:eastAsia="en-US"/>
        </w:rPr>
        <w:t xml:space="preserve">Neskatoties uz to, ka normatīvo aktu sistēma darba aizsardzības jomā ir sakārtota un Latvijas normatīvie akti atbilst ES prasībām, joprojām nozīmīgs izaicinājums ir šo </w:t>
      </w:r>
      <w:r w:rsidRPr="00A857F2">
        <w:rPr>
          <w:rFonts w:ascii="Times New Roman" w:eastAsiaTheme="minorHAnsi" w:hAnsi="Times New Roman"/>
          <w:b/>
          <w:sz w:val="24"/>
          <w:szCs w:val="24"/>
          <w:lang w:eastAsia="en-US"/>
        </w:rPr>
        <w:t>normatīvo aktu ievieš</w:t>
      </w:r>
      <w:r w:rsidRPr="00662D1E">
        <w:rPr>
          <w:rFonts w:ascii="Times New Roman" w:eastAsiaTheme="minorHAnsi" w:hAnsi="Times New Roman"/>
          <w:b/>
          <w:sz w:val="24"/>
          <w:szCs w:val="24"/>
          <w:lang w:eastAsia="en-US"/>
        </w:rPr>
        <w:t>ana praksē</w:t>
      </w:r>
      <w:r w:rsidRPr="009703E6">
        <w:rPr>
          <w:rFonts w:ascii="Times New Roman" w:eastAsiaTheme="minorHAnsi" w:hAnsi="Times New Roman"/>
          <w:sz w:val="24"/>
          <w:szCs w:val="24"/>
          <w:lang w:eastAsia="en-US"/>
        </w:rPr>
        <w:t xml:space="preserve">, lai nodrošinātu drošu un veselībai nekaitīgu darba vidi, kas ilgtermiņā veicina nodarbināto lojalitāti uzņēmumam, motivāciju un līdz ar to uzlabo darba kvalitāti. </w:t>
      </w:r>
    </w:p>
    <w:p w14:paraId="3E64AD8B" w14:textId="0F1A5DB5" w:rsidR="00F07644" w:rsidRPr="00573B49" w:rsidRDefault="00F07644" w:rsidP="00724B79">
      <w:pPr>
        <w:pStyle w:val="NormalWeb"/>
        <w:shd w:val="clear" w:color="auto" w:fill="FFFFFF"/>
        <w:spacing w:before="120" w:beforeAutospacing="0" w:after="0" w:afterAutospacing="0"/>
        <w:ind w:firstLine="720"/>
        <w:jc w:val="both"/>
        <w:rPr>
          <w:rFonts w:ascii="Times New Roman" w:eastAsiaTheme="minorHAnsi" w:hAnsi="Times New Roman"/>
          <w:sz w:val="24"/>
          <w:szCs w:val="24"/>
          <w:lang w:eastAsia="en-US"/>
        </w:rPr>
      </w:pPr>
      <w:r w:rsidRPr="0015154B">
        <w:rPr>
          <w:rFonts w:ascii="Times New Roman" w:eastAsiaTheme="minorHAnsi" w:hAnsi="Times New Roman"/>
          <w:sz w:val="24"/>
          <w:szCs w:val="24"/>
          <w:lang w:eastAsia="en-US"/>
        </w:rPr>
        <w:t xml:space="preserve">Attiecībā uz darba aizsardzības prasību ievērošanu normatīvajos aktos ir noteiktas </w:t>
      </w:r>
      <w:r w:rsidRPr="0015154B">
        <w:rPr>
          <w:rFonts w:ascii="Times New Roman" w:eastAsiaTheme="minorHAnsi" w:hAnsi="Times New Roman"/>
          <w:b/>
          <w:sz w:val="24"/>
          <w:szCs w:val="24"/>
          <w:lang w:eastAsia="en-US"/>
        </w:rPr>
        <w:t>augsta riska nozares</w:t>
      </w:r>
      <w:r w:rsidRPr="0015154B">
        <w:rPr>
          <w:rFonts w:ascii="Times New Roman" w:eastAsiaTheme="minorHAnsi" w:hAnsi="Times New Roman"/>
          <w:sz w:val="24"/>
          <w:szCs w:val="24"/>
          <w:lang w:eastAsia="en-US"/>
        </w:rPr>
        <w:t>, tai skaitā būvniecība, apstrādes rūpniecība, transporta nozare u.c., ņemot vērā šajās nozarēs notikušo nelaimes gadījumu un arodslimību skaitu</w:t>
      </w:r>
      <w:r w:rsidRPr="007157D3">
        <w:rPr>
          <w:rStyle w:val="FootnoteReference"/>
          <w:rFonts w:ascii="Times New Roman" w:eastAsiaTheme="minorHAnsi" w:hAnsi="Times New Roman"/>
          <w:sz w:val="24"/>
          <w:szCs w:val="24"/>
          <w:lang w:eastAsia="en-US"/>
        </w:rPr>
        <w:footnoteReference w:id="182"/>
      </w:r>
      <w:r w:rsidRPr="007157D3">
        <w:rPr>
          <w:rFonts w:ascii="Times New Roman" w:eastAsiaTheme="minorHAnsi" w:hAnsi="Times New Roman"/>
          <w:sz w:val="24"/>
          <w:szCs w:val="24"/>
          <w:lang w:eastAsia="en-US"/>
        </w:rPr>
        <w:t>. Uzņēmumiem, kas darbojas šajās nozarēs, ir noteiktas augstākas prasības attiecībā uz ārpakalpojuma piesaisti darba aizsardzībā un nodarbinātā darba aizsardzības speciālista izglītību. Kā vēl viena riska grupa no darba aizsardzības viedokļa</w:t>
      </w:r>
      <w:r w:rsidRPr="002F5278">
        <w:rPr>
          <w:rFonts w:ascii="Times New Roman" w:eastAsiaTheme="minorHAnsi" w:hAnsi="Times New Roman"/>
          <w:sz w:val="24"/>
          <w:szCs w:val="24"/>
          <w:lang w:eastAsia="en-US"/>
        </w:rPr>
        <w:t xml:space="preserve"> ir uzskatāmi mazie un mikrouzņēmumi, kuros kopumā retāk tiek īstenotas darba aizsardzības prasības. Ši</w:t>
      </w:r>
      <w:r w:rsidRPr="00573B49">
        <w:rPr>
          <w:rFonts w:ascii="Times New Roman" w:eastAsiaTheme="minorHAnsi" w:hAnsi="Times New Roman"/>
          <w:sz w:val="24"/>
          <w:szCs w:val="24"/>
          <w:lang w:eastAsia="en-US"/>
        </w:rPr>
        <w:t>em uzņēmumiem bieži vien nav pietiekamu resursu un zināšanu, lai nodrošinātu drošu un veselībai nekaitīgu darba vidi, tādēļ būtiski ir nodrošināt viegli uztveramu skaidrojošu informāciju un elektroniskos līdzekļus, kurus var izmantot darba vides risku novērtēšanai un citu darba aizsardzības prasību izpildei.</w:t>
      </w:r>
    </w:p>
    <w:p w14:paraId="6A1A4B2B" w14:textId="77777777" w:rsidR="00200837" w:rsidRPr="00662D1E" w:rsidRDefault="00200837" w:rsidP="00724B79">
      <w:pPr>
        <w:pStyle w:val="NormalWeb"/>
        <w:shd w:val="clear" w:color="auto" w:fill="FFFFFF"/>
        <w:spacing w:before="120" w:beforeAutospacing="0" w:after="0" w:afterAutospacing="0"/>
        <w:ind w:firstLine="720"/>
        <w:jc w:val="both"/>
        <w:rPr>
          <w:rFonts w:ascii="Times New Roman" w:hAnsi="Times New Roman"/>
          <w:sz w:val="24"/>
          <w:szCs w:val="24"/>
        </w:rPr>
      </w:pPr>
      <w:r w:rsidRPr="00573B49">
        <w:rPr>
          <w:rFonts w:ascii="Times New Roman" w:eastAsiaTheme="minorHAnsi" w:hAnsi="Times New Roman"/>
          <w:sz w:val="24"/>
          <w:szCs w:val="24"/>
          <w:lang w:eastAsia="en-US"/>
        </w:rPr>
        <w:t>Līdz šim darba devējiem ir bijis pieejams dažāda veida atbalsts darba aizsardzības jautājumu sakārtošanai, izmantojot ESF finansējumu. Kā nozīmīgākais atbalsts jāmin VDI īstenotā ESF projekta “Darba dro</w:t>
      </w:r>
      <w:r w:rsidRPr="0025422D">
        <w:rPr>
          <w:rFonts w:ascii="Times New Roman" w:eastAsiaTheme="minorHAnsi" w:hAnsi="Times New Roman"/>
          <w:sz w:val="24"/>
          <w:szCs w:val="24"/>
          <w:lang w:eastAsia="en-US"/>
        </w:rPr>
        <w:t>šības normatīvo aktu praktiskās ieviešanas un uzraudzības pilnveidošana” ietvaros no 2016.-2023.gadam bīstamo nozaru uzņēmumiem pieejamās ekspertu konsultācijas par darba vides uzlabošanu uzņēmumos un atbalsts darba vides risku novērtēšanā. Minētā projekta</w:t>
      </w:r>
      <w:r w:rsidRPr="00A857F2">
        <w:rPr>
          <w:rFonts w:ascii="Times New Roman" w:eastAsiaTheme="minorHAnsi" w:hAnsi="Times New Roman"/>
          <w:sz w:val="24"/>
          <w:szCs w:val="24"/>
          <w:lang w:eastAsia="en-US"/>
        </w:rPr>
        <w:t xml:space="preserve"> ietvaros tiek īstenota arī virkne citu pasākumu, kas vērsti uz nodarbināto drošības un veselības aizsardzības uzlabošanu un darba vides sakārtošanu atbilstoši darba aizsardzības un darba tiesību prasībām. </w:t>
      </w:r>
    </w:p>
    <w:p w14:paraId="43B4B970" w14:textId="77777777" w:rsidR="00F07644" w:rsidRPr="0015154B" w:rsidRDefault="00200837" w:rsidP="00724B79">
      <w:pPr>
        <w:spacing w:before="120" w:after="0" w:line="240" w:lineRule="auto"/>
        <w:ind w:firstLine="720"/>
        <w:jc w:val="both"/>
        <w:rPr>
          <w:rFonts w:ascii="Times New Roman" w:hAnsi="Times New Roman" w:cs="Times New Roman"/>
          <w:sz w:val="24"/>
          <w:szCs w:val="24"/>
        </w:rPr>
      </w:pPr>
      <w:r w:rsidRPr="00662D1E">
        <w:rPr>
          <w:rFonts w:ascii="Times New Roman" w:hAnsi="Times New Roman" w:cs="Times New Roman"/>
          <w:b/>
          <w:sz w:val="24"/>
          <w:szCs w:val="24"/>
        </w:rPr>
        <w:t>Uzraudzību un kontroli</w:t>
      </w:r>
      <w:r w:rsidRPr="009703E6">
        <w:rPr>
          <w:rFonts w:ascii="Times New Roman" w:hAnsi="Times New Roman" w:cs="Times New Roman"/>
          <w:sz w:val="24"/>
          <w:szCs w:val="24"/>
        </w:rPr>
        <w:t xml:space="preserve"> par darba aizsardzības </w:t>
      </w:r>
      <w:r w:rsidR="00F07644" w:rsidRPr="0015154B">
        <w:rPr>
          <w:rFonts w:ascii="Times New Roman" w:hAnsi="Times New Roman" w:cs="Times New Roman"/>
          <w:sz w:val="24"/>
          <w:szCs w:val="24"/>
        </w:rPr>
        <w:t xml:space="preserve">un darba tiesību </w:t>
      </w:r>
      <w:r w:rsidRPr="0015154B">
        <w:rPr>
          <w:rFonts w:ascii="Times New Roman" w:hAnsi="Times New Roman" w:cs="Times New Roman"/>
          <w:sz w:val="24"/>
          <w:szCs w:val="24"/>
        </w:rPr>
        <w:t xml:space="preserve">jautājumiem uzņēmumos nodrošina </w:t>
      </w:r>
      <w:r w:rsidRPr="0015154B">
        <w:rPr>
          <w:rFonts w:ascii="Times New Roman" w:hAnsi="Times New Roman" w:cs="Times New Roman"/>
          <w:b/>
          <w:sz w:val="24"/>
          <w:szCs w:val="24"/>
        </w:rPr>
        <w:t>VDI</w:t>
      </w:r>
      <w:r w:rsidRPr="0015154B">
        <w:rPr>
          <w:rFonts w:ascii="Times New Roman" w:hAnsi="Times New Roman" w:cs="Times New Roman"/>
          <w:sz w:val="24"/>
          <w:szCs w:val="24"/>
        </w:rPr>
        <w:t xml:space="preserve">, veicot apsekojumus un preventīvas pārbaudes, kā arī sniedzot konsultācijas darba devējiem un nodarbinātajiem. </w:t>
      </w:r>
    </w:p>
    <w:p w14:paraId="073AD907" w14:textId="73C60C86" w:rsidR="00F07644" w:rsidRPr="0015154B" w:rsidRDefault="00F07644" w:rsidP="00724B7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No 2019.gadā konstatētajiem pārkāpumiem, 61% veido darba aizsardzību regulējošo normatīvo aktu pārkāpumi, 32% veido darba tiesības regulējošo normatīvo aktu pārkāpumi, savukārt 7% veido </w:t>
      </w:r>
      <w:r w:rsidR="00CD5AFA" w:rsidRPr="0015154B">
        <w:rPr>
          <w:rFonts w:ascii="Times New Roman" w:hAnsi="Times New Roman" w:cs="Times New Roman"/>
          <w:sz w:val="24"/>
          <w:szCs w:val="24"/>
        </w:rPr>
        <w:t>VDI likuma</w:t>
      </w:r>
      <w:r w:rsidRPr="0015154B">
        <w:rPr>
          <w:rFonts w:ascii="Times New Roman" w:hAnsi="Times New Roman" w:cs="Times New Roman"/>
          <w:sz w:val="24"/>
          <w:szCs w:val="24"/>
        </w:rPr>
        <w:t xml:space="preserve"> pārkāpumi. Darba aizsardzības jomā vairums pārkāpumu ir saistīti ar atbilstošu darba vides riska novērtēšanu, nodarbināto apmācību un obligāto veselības pārbaužu veikšanu. Darba tiesību jomā lielākā daļa pārkāpumu ir saistīta ar darba līgumu noslēgšanu rakstveidā un darba līguma saturu. Salīdzinoši bieži pārkāpumi ir saistīti arī ar atbrīvošanu no darba, darba samaksu, darba un atpūtas laiku. </w:t>
      </w:r>
    </w:p>
    <w:p w14:paraId="0DC2A031" w14:textId="1F11DABF" w:rsidR="00200837" w:rsidRPr="0015154B" w:rsidRDefault="00200837" w:rsidP="00724B7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lastRenderedPageBreak/>
        <w:t xml:space="preserve">Kvalitatīvas uzraudzības īstenošanai </w:t>
      </w:r>
      <w:r w:rsidR="00F07644" w:rsidRPr="0015154B">
        <w:rPr>
          <w:rFonts w:ascii="Times New Roman" w:hAnsi="Times New Roman" w:cs="Times New Roman"/>
          <w:sz w:val="24"/>
          <w:szCs w:val="24"/>
        </w:rPr>
        <w:t xml:space="preserve">darba aizsardzības un darba tiesību jomā </w:t>
      </w:r>
      <w:r w:rsidRPr="0015154B">
        <w:rPr>
          <w:rFonts w:ascii="Times New Roman" w:hAnsi="Times New Roman" w:cs="Times New Roman"/>
          <w:sz w:val="24"/>
          <w:szCs w:val="24"/>
        </w:rPr>
        <w:t>nepieciešama pastāvīga VDI inspektoru zināšanu un prasmju pilnveidošana, kā arī tehnoloģiju attīstībai atbilstošs un mūsdienīgs tehniskais nodrošinājums. Virkne pasākumu saistībā ar VDI inspektoru apmācību notiek VDI īstenotā ESF projekta “Darba drošības normatīvo aktu praktiskās ieviešanas un uzraudzības pilnveidošana” ietvaros, izstrādājot apmācību moduļus un nodrošinot inspektoriem padziļinātas zināšanas par specifiskiem  darba vides riska faktoriem dažādās nozarēs.</w:t>
      </w:r>
    </w:p>
    <w:p w14:paraId="5801B989" w14:textId="77777777" w:rsidR="00F07644" w:rsidRPr="0015154B" w:rsidRDefault="00F07644" w:rsidP="00724B79">
      <w:pPr>
        <w:spacing w:before="120" w:after="0" w:line="240" w:lineRule="auto"/>
        <w:ind w:firstLine="720"/>
        <w:jc w:val="both"/>
        <w:rPr>
          <w:rFonts w:ascii="Times New Roman" w:hAnsi="Times New Roman" w:cs="Times New Roman"/>
          <w:bCs/>
          <w:sz w:val="24"/>
          <w:szCs w:val="24"/>
        </w:rPr>
      </w:pPr>
      <w:r w:rsidRPr="0015154B">
        <w:rPr>
          <w:rFonts w:ascii="Times New Roman" w:hAnsi="Times New Roman" w:cs="Times New Roman"/>
          <w:bCs/>
          <w:sz w:val="24"/>
          <w:szCs w:val="24"/>
        </w:rPr>
        <w:t xml:space="preserve">Pašlaik uzņēmumu apsekošana notiek, uzņēmumā aizpildot apsekojuma dokumentus, fiksējot situācijas darba vietās un runājot ar nodarbinātajiem un darba devējiem, vēlāk iegūtos datus ievadot datorā. Ja inspektoru rīcībā būtu mūsdienīgākas tehnoloģijas un elektroniskā sistēma, kurā inspektors attālināti pieslēdzoties (uz vietas uzņēmumā) uzreiz var ievadīt uzņēmuma apsekojuma datus datu bāzē, vairāk laika būtu iespējams veltīt gan preventīvā darba veikšanai, gan “konsultē vispirms” principa efektīvai ieviešanai. Šīs datu bāzes dati tiktu analizēti un ņemti vērā, nosakot preventīvo apsekojumu plānus turpmākā darbā.  </w:t>
      </w:r>
    </w:p>
    <w:p w14:paraId="5537B388" w14:textId="57A54036" w:rsidR="00F07644" w:rsidRPr="0015154B" w:rsidRDefault="00F07644" w:rsidP="00724B79">
      <w:pPr>
        <w:spacing w:before="120" w:after="0" w:line="240" w:lineRule="auto"/>
        <w:ind w:firstLine="720"/>
        <w:jc w:val="both"/>
        <w:rPr>
          <w:rFonts w:ascii="Times New Roman" w:hAnsi="Times New Roman" w:cs="Times New Roman"/>
          <w:bCs/>
          <w:sz w:val="24"/>
          <w:szCs w:val="24"/>
        </w:rPr>
      </w:pPr>
      <w:r w:rsidRPr="0015154B">
        <w:rPr>
          <w:rFonts w:ascii="Times New Roman" w:hAnsi="Times New Roman" w:cs="Times New Roman"/>
          <w:bCs/>
          <w:sz w:val="24"/>
          <w:szCs w:val="24"/>
        </w:rPr>
        <w:t xml:space="preserve">Apjomīgu un būtisku darbu veic VDI amatpersonas, konsultējot visus interesentus VDI birojos un konsultatīvajā centrā apmeklētāju pieņemšanas laikā, pa konsultatīvo tālruni un elektroniski (tai skaitā sociālajos tīklos), kā arī Valsts vienotajā klientu apkalpošanas centrā. 2019.gadā sniegtas konsultācijas 29 442 klientiem, no tiem 74% bija nodarbinātie, 23% darba devēji un 3% citi interesenti. Pa konsultatīvo tālruni tika sniegtas 80% konsultāciju, 14% konsultāciju tika sniegtas klātienē, bet 6% - elektroniski. Aizvien vairāk jautājumu tiek uzdoti sociālajos tīklos, kam nepieciešama ātra reakcija. </w:t>
      </w:r>
    </w:p>
    <w:p w14:paraId="54EF3E6C" w14:textId="77777777" w:rsidR="00F07644" w:rsidRPr="0015154B" w:rsidRDefault="00F07644" w:rsidP="00724B79">
      <w:pPr>
        <w:spacing w:before="120" w:after="0" w:line="240" w:lineRule="auto"/>
        <w:ind w:firstLine="720"/>
        <w:jc w:val="both"/>
        <w:rPr>
          <w:color w:val="000000"/>
          <w:sz w:val="24"/>
          <w:szCs w:val="24"/>
        </w:rPr>
      </w:pPr>
      <w:r w:rsidRPr="0015154B">
        <w:rPr>
          <w:rFonts w:ascii="Times New Roman" w:hAnsi="Times New Roman" w:cs="Times New Roman"/>
          <w:bCs/>
          <w:sz w:val="24"/>
          <w:szCs w:val="24"/>
        </w:rPr>
        <w:t>Konsultāciju sniegšanai nepieciešams gan nozīmīgs laika resursu patēriņš, gan arī specifiskas un plašas zināšanas VDI darbiniekiem gan darba tiesību, gan darba aizsardzības jautājumos. Efektīvākai VDI darbībai nākotnē būtu nepieciešama  informatīvās sistēmas attīstība, pilnveidojot datu analītikas rīku, daļēji automatizējot konsultatīvā centra darbības, atjauninot elektronisko apmācību sistēmu, un veicot citus pasākumus VDI veiktspējas stiprināšanai un pakalpojumu modernizēšanai.</w:t>
      </w:r>
    </w:p>
    <w:p w14:paraId="7E883D08" w14:textId="4240E7EE" w:rsidR="00200837" w:rsidRPr="0015154B" w:rsidRDefault="00200837" w:rsidP="00724B7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Attīstoties jaunām tehnoloģijām, pēdējo gadu laikā aizvien vairāk vērojama dažādība personu nodarbinātībā, īpaši attiecībā uz </w:t>
      </w:r>
      <w:r w:rsidRPr="0015154B">
        <w:rPr>
          <w:rFonts w:ascii="Times New Roman" w:hAnsi="Times New Roman" w:cs="Times New Roman"/>
          <w:b/>
          <w:sz w:val="24"/>
          <w:szCs w:val="24"/>
        </w:rPr>
        <w:t>jaunām nodarbinātības formām</w:t>
      </w:r>
      <w:r w:rsidRPr="0015154B">
        <w:rPr>
          <w:rFonts w:ascii="Times New Roman" w:hAnsi="Times New Roman" w:cs="Times New Roman"/>
          <w:sz w:val="24"/>
          <w:szCs w:val="24"/>
        </w:rPr>
        <w:t xml:space="preserve"> – attālināto darbu, nodarbināšanu digitālajās platformās u.c</w:t>
      </w:r>
      <w:r w:rsidR="00CA0136">
        <w:rPr>
          <w:rFonts w:ascii="Times New Roman" w:hAnsi="Times New Roman" w:cs="Times New Roman"/>
          <w:sz w:val="24"/>
          <w:szCs w:val="24"/>
        </w:rPr>
        <w:t>.</w:t>
      </w:r>
      <w:r w:rsidRPr="0015154B">
        <w:rPr>
          <w:rFonts w:ascii="Times New Roman" w:hAnsi="Times New Roman" w:cs="Times New Roman"/>
          <w:sz w:val="24"/>
          <w:szCs w:val="24"/>
        </w:rPr>
        <w:t xml:space="preserve">, uz kurām ir sarežģītāk attiecināt darba attiecību un darba aizsardzības prasības. Attiecībā uz attālinātā darba regulējumu 2019.gada 3.oktobrī Saeimā tika pieņemti grozījumi Darba aizsardzības likumā, kas stājās spēkā 2020.gada 1.jūlijā, nosakot attālinātā darba definīciju un precīzāk atrunājot, kādā veidā darba aizsardzības prasības attiecināmas uz attālinātajā darbā nodarbinātajiem. Vienlaikus Darba aizsardzības likumā ir noteiktas specifiskākas prasības arī pašnodarbināto drošībai un veselības aizsardzībai, veicot darbu. </w:t>
      </w:r>
    </w:p>
    <w:p w14:paraId="6654DBA2" w14:textId="227F800A" w:rsidR="00F07644" w:rsidRPr="002F5278" w:rsidRDefault="00F07644" w:rsidP="00724B79">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Ar ESF atbalstu 2019.gadā ir veikts pētījums “Jaunās nodarbinātības formas un to piemērošana praksē”</w:t>
      </w:r>
      <w:r w:rsidRPr="007157D3">
        <w:rPr>
          <w:rFonts w:ascii="Times New Roman" w:hAnsi="Times New Roman" w:cs="Times New Roman"/>
          <w:sz w:val="24"/>
          <w:szCs w:val="24"/>
          <w:vertAlign w:val="superscript"/>
        </w:rPr>
        <w:footnoteReference w:id="183"/>
      </w:r>
      <w:r w:rsidRPr="007157D3">
        <w:rPr>
          <w:rFonts w:ascii="Times New Roman" w:hAnsi="Times New Roman" w:cs="Times New Roman"/>
          <w:sz w:val="24"/>
          <w:szCs w:val="24"/>
        </w:rPr>
        <w:t>, kurā secināts, ka esošie normatīvie akti pieļauj tādu formu praktisku pastāvēšanu kā darbinieku dalīšana, darba dalīšana, pagaidu vadītāja izmantošana, gadījuma darbs, teledarbs, ar IKT izmantošanu saistīts mobilais darbs, portfolio darbs, sadarbības (kopīga) nodarbināšana. Vienlaikus pētījumā secināts, ka, izmantojot jaunās nodarbinātības formas, nodarbinātie lielākoties saskaras ar darba vides riskiem, ko izraisa darbs ar datoru (ergonomiskie, fizikālie  riska faktori).</w:t>
      </w:r>
    </w:p>
    <w:p w14:paraId="4B9A55D0" w14:textId="7CAD81B7" w:rsidR="00200837" w:rsidRPr="0015154B" w:rsidRDefault="00200837" w:rsidP="00724B79">
      <w:pPr>
        <w:spacing w:before="120" w:after="0" w:line="240" w:lineRule="auto"/>
        <w:ind w:firstLine="720"/>
        <w:jc w:val="both"/>
        <w:rPr>
          <w:rFonts w:ascii="Times New Roman" w:hAnsi="Times New Roman" w:cs="Times New Roman"/>
          <w:sz w:val="24"/>
          <w:szCs w:val="24"/>
        </w:rPr>
      </w:pPr>
      <w:r w:rsidRPr="00573B49">
        <w:rPr>
          <w:rFonts w:ascii="Times New Roman" w:hAnsi="Times New Roman" w:cs="Times New Roman"/>
          <w:sz w:val="24"/>
          <w:szCs w:val="24"/>
        </w:rPr>
        <w:t xml:space="preserve">Viens no visplašāk izplatītajiem jaunajiem nodarbinātības veidiem ir </w:t>
      </w:r>
      <w:r w:rsidRPr="00573B49">
        <w:rPr>
          <w:rFonts w:ascii="Times New Roman" w:hAnsi="Times New Roman" w:cs="Times New Roman"/>
          <w:b/>
          <w:sz w:val="24"/>
          <w:szCs w:val="24"/>
        </w:rPr>
        <w:t>digitālo platformu izmantošana</w:t>
      </w:r>
      <w:r w:rsidRPr="0025422D">
        <w:rPr>
          <w:rFonts w:ascii="Times New Roman" w:hAnsi="Times New Roman" w:cs="Times New Roman"/>
          <w:sz w:val="24"/>
          <w:szCs w:val="24"/>
        </w:rPr>
        <w:t xml:space="preserve"> (piemēram, “Wolt”, “Bolt food”), kam raksturīga liela dažādība nodarbinātības un darba apstākļu nosacījumos. </w:t>
      </w:r>
      <w:r w:rsidR="00F07644" w:rsidRPr="00A857F2">
        <w:rPr>
          <w:rFonts w:ascii="Times New Roman" w:hAnsi="Times New Roman" w:cs="Times New Roman"/>
          <w:sz w:val="24"/>
          <w:szCs w:val="24"/>
        </w:rPr>
        <w:t xml:space="preserve">Šobrīd viens no aktuālākajiem jautājumiem gan </w:t>
      </w:r>
      <w:r w:rsidRPr="00662D1E">
        <w:rPr>
          <w:rFonts w:ascii="Times New Roman" w:hAnsi="Times New Roman" w:cs="Times New Roman"/>
          <w:sz w:val="24"/>
          <w:szCs w:val="24"/>
        </w:rPr>
        <w:t>Latvijā</w:t>
      </w:r>
      <w:r w:rsidRPr="009703E6">
        <w:rPr>
          <w:rFonts w:ascii="Times New Roman" w:hAnsi="Times New Roman" w:cs="Times New Roman"/>
          <w:sz w:val="24"/>
          <w:szCs w:val="24"/>
        </w:rPr>
        <w:t xml:space="preserve">, gan arī ES un pasaules līmenī parādās vairāki izaicinājumi, kas saistīti ar šajās </w:t>
      </w:r>
      <w:r w:rsidRPr="009703E6">
        <w:rPr>
          <w:rFonts w:ascii="Times New Roman" w:hAnsi="Times New Roman" w:cs="Times New Roman"/>
          <w:sz w:val="24"/>
          <w:szCs w:val="24"/>
        </w:rPr>
        <w:lastRenderedPageBreak/>
        <w:t xml:space="preserve">platformās nodarbināto tiesisko statusu un aizsardzību. </w:t>
      </w:r>
      <w:r w:rsidR="00F07644" w:rsidRPr="0015154B">
        <w:rPr>
          <w:rFonts w:ascii="Times New Roman" w:hAnsi="Times New Roman" w:cs="Times New Roman"/>
          <w:sz w:val="24"/>
          <w:szCs w:val="24"/>
        </w:rPr>
        <w:t xml:space="preserve">Jautājumi, kas saistīti ar personu nodarbināšanu digitālajās platformās nākotnē saglabās savu aktualitāti, par ko liecina gan ES līmeņa, gan nacionāla līmeņa diskusijas un izstrādātie dokumenti. </w:t>
      </w:r>
      <w:r w:rsidRPr="0015154B">
        <w:rPr>
          <w:rFonts w:ascii="Times New Roman" w:hAnsi="Times New Roman" w:cs="Times New Roman"/>
          <w:sz w:val="24"/>
          <w:szCs w:val="24"/>
        </w:rPr>
        <w:t>Tād</w:t>
      </w:r>
      <w:r w:rsidR="003E6E86">
        <w:rPr>
          <w:rFonts w:ascii="Times New Roman" w:hAnsi="Times New Roman" w:cs="Times New Roman"/>
          <w:sz w:val="24"/>
          <w:szCs w:val="24"/>
        </w:rPr>
        <w:t>ē</w:t>
      </w:r>
      <w:r w:rsidRPr="0015154B">
        <w:rPr>
          <w:rFonts w:ascii="Times New Roman" w:hAnsi="Times New Roman" w:cs="Times New Roman"/>
          <w:sz w:val="24"/>
          <w:szCs w:val="24"/>
        </w:rPr>
        <w:t xml:space="preserve">jādi nepieciešams turpināt darbu pie risinājumiem, veicinot vienotu pieeju un izpratni par darba tiesisko attiecību regulējuma piemērošanu platformu darbā, kā arī citās jaunajās nodarbinātības formās. </w:t>
      </w:r>
    </w:p>
    <w:p w14:paraId="4E894984" w14:textId="2F87A775" w:rsidR="00883EB7" w:rsidRDefault="004744E1" w:rsidP="00724B79">
      <w:pPr>
        <w:spacing w:before="120" w:after="0" w:line="240" w:lineRule="auto"/>
        <w:ind w:firstLine="720"/>
        <w:jc w:val="both"/>
        <w:rPr>
          <w:rFonts w:ascii="Times New Roman" w:hAnsi="Times New Roman" w:cs="Times New Roman"/>
          <w:sz w:val="24"/>
          <w:szCs w:val="24"/>
          <w:lang w:eastAsia="lv-LV"/>
        </w:rPr>
      </w:pPr>
      <w:r w:rsidRPr="0015154B">
        <w:rPr>
          <w:rFonts w:ascii="Times New Roman" w:hAnsi="Times New Roman" w:cs="Times New Roman"/>
          <w:sz w:val="24"/>
          <w:szCs w:val="24"/>
        </w:rPr>
        <w:t xml:space="preserve">Viens no jautājumiem, ko aktualizējusi </w:t>
      </w:r>
      <w:r w:rsidR="004959E8" w:rsidRPr="0015154B">
        <w:rPr>
          <w:rFonts w:ascii="Times New Roman" w:hAnsi="Times New Roman" w:cs="Times New Roman"/>
          <w:sz w:val="24"/>
          <w:szCs w:val="24"/>
        </w:rPr>
        <w:t>Eiropas Parlamenta un Padomes 2019. gada 20. jūnija direktīva</w:t>
      </w:r>
      <w:r w:rsidRPr="0015154B">
        <w:rPr>
          <w:rFonts w:ascii="Times New Roman" w:hAnsi="Times New Roman" w:cs="Times New Roman"/>
          <w:sz w:val="24"/>
          <w:szCs w:val="24"/>
        </w:rPr>
        <w:t>s</w:t>
      </w:r>
      <w:r w:rsidR="004959E8" w:rsidRPr="0015154B">
        <w:rPr>
          <w:rFonts w:ascii="Times New Roman" w:hAnsi="Times New Roman" w:cs="Times New Roman"/>
          <w:sz w:val="24"/>
          <w:szCs w:val="24"/>
        </w:rPr>
        <w:t xml:space="preserve"> 2019/1158 par darba un privātās dzīves līdzsvaru vecākiem un aprūpētājiem un ar ko atceļ Padomes Direktīvu 2010/18/ES </w:t>
      </w:r>
      <w:r w:rsidRPr="0015154B">
        <w:rPr>
          <w:rFonts w:ascii="Times New Roman" w:hAnsi="Times New Roman" w:cs="Times New Roman"/>
          <w:sz w:val="24"/>
          <w:szCs w:val="24"/>
        </w:rPr>
        <w:t xml:space="preserve">pieņemšana, ir nodarbināto un darba devēju </w:t>
      </w:r>
      <w:r w:rsidR="005B240A" w:rsidRPr="0015154B">
        <w:rPr>
          <w:rFonts w:ascii="Times New Roman" w:hAnsi="Times New Roman" w:cs="Times New Roman"/>
          <w:b/>
          <w:sz w:val="24"/>
          <w:szCs w:val="24"/>
        </w:rPr>
        <w:t>zināšanas un izpratne par darba tiesiskajām attiecībām</w:t>
      </w:r>
      <w:r w:rsidR="005B240A" w:rsidRPr="0015154B">
        <w:rPr>
          <w:rFonts w:ascii="Times New Roman" w:hAnsi="Times New Roman" w:cs="Times New Roman"/>
          <w:sz w:val="24"/>
          <w:szCs w:val="24"/>
        </w:rPr>
        <w:t xml:space="preserve"> un likumdošanā paredzēto tiesību faktisko izmantošanu gan attiecībā uz darba un ģimenes dzīves saskaņošanu, gan elastīga darba laika iespējām. </w:t>
      </w:r>
      <w:r w:rsidR="00883EB7" w:rsidRPr="0015154B">
        <w:rPr>
          <w:rFonts w:ascii="Times New Roman" w:hAnsi="Times New Roman" w:cs="Times New Roman"/>
          <w:sz w:val="24"/>
          <w:szCs w:val="24"/>
        </w:rPr>
        <w:t>Pētījum</w:t>
      </w:r>
      <w:r w:rsidR="005B240A" w:rsidRPr="0015154B">
        <w:rPr>
          <w:rFonts w:ascii="Times New Roman" w:hAnsi="Times New Roman" w:cs="Times New Roman"/>
          <w:sz w:val="24"/>
          <w:szCs w:val="24"/>
        </w:rPr>
        <w:t>a dati</w:t>
      </w:r>
      <w:r w:rsidR="00883EB7" w:rsidRPr="0015154B">
        <w:rPr>
          <w:rFonts w:ascii="Times New Roman" w:hAnsi="Times New Roman" w:cs="Times New Roman"/>
          <w:sz w:val="24"/>
          <w:szCs w:val="24"/>
        </w:rPr>
        <w:t xml:space="preserve"> </w:t>
      </w:r>
      <w:r w:rsidR="005B240A" w:rsidRPr="0015154B">
        <w:rPr>
          <w:rFonts w:ascii="Times New Roman" w:hAnsi="Times New Roman" w:cs="Times New Roman"/>
          <w:sz w:val="24"/>
          <w:szCs w:val="24"/>
        </w:rPr>
        <w:t xml:space="preserve">liecina, </w:t>
      </w:r>
      <w:r w:rsidR="00883EB7" w:rsidRPr="0015154B">
        <w:rPr>
          <w:rFonts w:ascii="Times New Roman" w:hAnsi="Times New Roman" w:cs="Times New Roman"/>
          <w:sz w:val="24"/>
          <w:szCs w:val="24"/>
        </w:rPr>
        <w:t>ka noteiktās (ievainojamākās) sabiedrībās daļās trūkst informācijas par darbinieku tiesībām.</w:t>
      </w:r>
      <w:r w:rsidR="005B240A" w:rsidRPr="007157D3">
        <w:rPr>
          <w:rStyle w:val="FootnoteReference"/>
          <w:rFonts w:ascii="Times New Roman" w:hAnsi="Times New Roman" w:cs="Times New Roman"/>
          <w:sz w:val="24"/>
          <w:szCs w:val="24"/>
        </w:rPr>
        <w:footnoteReference w:id="184"/>
      </w:r>
      <w:r w:rsidR="00883EB7" w:rsidRPr="007157D3">
        <w:rPr>
          <w:rFonts w:ascii="Times New Roman" w:hAnsi="Times New Roman" w:cs="Times New Roman"/>
          <w:sz w:val="24"/>
          <w:szCs w:val="24"/>
        </w:rPr>
        <w:t xml:space="preserve"> </w:t>
      </w:r>
      <w:r w:rsidR="0063446A" w:rsidRPr="007157D3">
        <w:rPr>
          <w:rFonts w:ascii="Times New Roman" w:hAnsi="Times New Roman" w:cs="Times New Roman"/>
          <w:sz w:val="24"/>
          <w:szCs w:val="24"/>
          <w:lang w:eastAsia="lv-LV"/>
        </w:rPr>
        <w:t>Tāpat iedzīvotāju aptaujas rezultāti parāda, ka samērā augsts respondentu īp</w:t>
      </w:r>
      <w:r w:rsidR="00ED3C71" w:rsidRPr="002F5278">
        <w:rPr>
          <w:rFonts w:ascii="Times New Roman" w:hAnsi="Times New Roman" w:cs="Times New Roman"/>
          <w:sz w:val="24"/>
          <w:szCs w:val="24"/>
          <w:lang w:eastAsia="lv-LV"/>
        </w:rPr>
        <w:t>a</w:t>
      </w:r>
      <w:r w:rsidR="0063446A" w:rsidRPr="00573B49">
        <w:rPr>
          <w:rFonts w:ascii="Times New Roman" w:hAnsi="Times New Roman" w:cs="Times New Roman"/>
          <w:sz w:val="24"/>
          <w:szCs w:val="24"/>
          <w:lang w:eastAsia="lv-LV"/>
        </w:rPr>
        <w:t>tsvars nav informēti par darba devēju nodrošinātajām darba un ģimenes dzīves saskaņošanas iespējām un iniciatīvām, tai skaitā, likumdošanā paredzētajām.</w:t>
      </w:r>
      <w:r w:rsidR="0063446A" w:rsidRPr="007157D3">
        <w:rPr>
          <w:rStyle w:val="FootnoteReference"/>
          <w:rFonts w:ascii="Times New Roman" w:hAnsi="Times New Roman" w:cs="Times New Roman"/>
          <w:sz w:val="24"/>
          <w:szCs w:val="24"/>
          <w:lang w:eastAsia="lv-LV"/>
        </w:rPr>
        <w:footnoteReference w:id="185"/>
      </w:r>
      <w:r w:rsidR="0063446A" w:rsidRPr="007157D3">
        <w:rPr>
          <w:rFonts w:ascii="Times New Roman" w:hAnsi="Times New Roman" w:cs="Times New Roman"/>
          <w:sz w:val="24"/>
          <w:szCs w:val="24"/>
          <w:lang w:eastAsia="lv-LV"/>
        </w:rPr>
        <w:t xml:space="preserve"> </w:t>
      </w:r>
      <w:r w:rsidR="0063446A" w:rsidRPr="007157D3">
        <w:rPr>
          <w:rFonts w:ascii="Times New Roman" w:hAnsi="Times New Roman" w:cs="Times New Roman"/>
          <w:sz w:val="24"/>
          <w:szCs w:val="24"/>
        </w:rPr>
        <w:t>Tas liecina, ka arī</w:t>
      </w:r>
      <w:r w:rsidR="00883EB7" w:rsidRPr="007157D3">
        <w:rPr>
          <w:rFonts w:ascii="Times New Roman" w:hAnsi="Times New Roman" w:cs="Times New Roman"/>
          <w:sz w:val="24"/>
          <w:szCs w:val="24"/>
        </w:rPr>
        <w:t xml:space="preserve"> darba devēji nav ieņēmuši proaktīvu pozīciju attiecībā uz atbal</w:t>
      </w:r>
      <w:r w:rsidR="00883EB7" w:rsidRPr="002F5278">
        <w:rPr>
          <w:rFonts w:ascii="Times New Roman" w:hAnsi="Times New Roman" w:cs="Times New Roman"/>
          <w:sz w:val="24"/>
          <w:szCs w:val="24"/>
        </w:rPr>
        <w:t>sta sniegšanu darbiniekiem</w:t>
      </w:r>
      <w:r w:rsidR="0063446A" w:rsidRPr="00573B49">
        <w:rPr>
          <w:rFonts w:ascii="Times New Roman" w:hAnsi="Times New Roman" w:cs="Times New Roman"/>
          <w:sz w:val="24"/>
          <w:szCs w:val="24"/>
        </w:rPr>
        <w:t xml:space="preserve"> un informēšanu par iespējamo atbalstu</w:t>
      </w:r>
      <w:r w:rsidR="00883EB7" w:rsidRPr="00573B49">
        <w:rPr>
          <w:rFonts w:ascii="Times New Roman" w:hAnsi="Times New Roman" w:cs="Times New Roman"/>
          <w:sz w:val="24"/>
          <w:szCs w:val="24"/>
        </w:rPr>
        <w:t xml:space="preserve">. Darba un ģimenes </w:t>
      </w:r>
      <w:r w:rsidR="006468A6">
        <w:rPr>
          <w:rFonts w:ascii="Times New Roman" w:hAnsi="Times New Roman" w:cs="Times New Roman"/>
          <w:sz w:val="24"/>
          <w:szCs w:val="24"/>
        </w:rPr>
        <w:t>līdzsvarošanas</w:t>
      </w:r>
      <w:r w:rsidR="00883EB7" w:rsidRPr="00573B49">
        <w:rPr>
          <w:rFonts w:ascii="Times New Roman" w:hAnsi="Times New Roman" w:cs="Times New Roman"/>
          <w:sz w:val="24"/>
          <w:szCs w:val="24"/>
        </w:rPr>
        <w:t xml:space="preserve"> centieni ir paša darbinieka atbildība, darba devējs vien akceptē darbinieka prombūtni.</w:t>
      </w:r>
      <w:r w:rsidR="00883EB7" w:rsidRPr="0025422D">
        <w:rPr>
          <w:rFonts w:ascii="Times New Roman" w:hAnsi="Times New Roman" w:cs="Times New Roman"/>
          <w:sz w:val="24"/>
          <w:szCs w:val="24"/>
          <w:lang w:eastAsia="lv-LV"/>
        </w:rPr>
        <w:t xml:space="preserve"> </w:t>
      </w:r>
      <w:r w:rsidR="00ED3C71" w:rsidRPr="00A857F2">
        <w:rPr>
          <w:rFonts w:ascii="Times New Roman" w:hAnsi="Times New Roman" w:cs="Times New Roman"/>
          <w:sz w:val="24"/>
          <w:szCs w:val="24"/>
          <w:lang w:eastAsia="lv-LV"/>
        </w:rPr>
        <w:t>Tādēļ ir jāturpina gan darbinieku, gan darba devēju izglītošana un informēšana par Darba likumā nodrošinātajām iespējām un savu tiesību nodrošināšanu.</w:t>
      </w:r>
    </w:p>
    <w:p w14:paraId="41191876" w14:textId="2F62978F" w:rsidR="00FB2295" w:rsidRPr="00FB2295" w:rsidRDefault="00FB2295" w:rsidP="00FB2295">
      <w:pPr>
        <w:spacing w:before="120" w:after="0" w:line="240" w:lineRule="auto"/>
        <w:ind w:firstLine="720"/>
        <w:jc w:val="both"/>
        <w:rPr>
          <w:rFonts w:ascii="Times New Roman" w:hAnsi="Times New Roman" w:cs="Times New Roman"/>
          <w:sz w:val="24"/>
          <w:szCs w:val="24"/>
        </w:rPr>
      </w:pPr>
      <w:r w:rsidRPr="00FB2295">
        <w:rPr>
          <w:rFonts w:ascii="Times New Roman" w:hAnsi="Times New Roman" w:cs="Times New Roman"/>
          <w:sz w:val="24"/>
          <w:szCs w:val="24"/>
        </w:rPr>
        <w:t xml:space="preserve">2019.gada 21.jūnijā Ženēvā, Starptautiskās darba konferences 108. sesijas noslēgumā visas pasaules valdības, darba devēji un arodbiedrības nobalsoja par jaunu pasaules standartu - </w:t>
      </w:r>
      <w:r w:rsidRPr="00FB2295">
        <w:rPr>
          <w:rFonts w:ascii="Times New Roman" w:hAnsi="Times New Roman" w:cs="Times New Roman"/>
          <w:b/>
          <w:sz w:val="24"/>
          <w:szCs w:val="24"/>
        </w:rPr>
        <w:t>konvenciju un rekomendāciju par vardarbības izskaušanu</w:t>
      </w:r>
      <w:r w:rsidRPr="00FB2295">
        <w:rPr>
          <w:rFonts w:ascii="Times New Roman" w:hAnsi="Times New Roman" w:cs="Times New Roman"/>
          <w:sz w:val="24"/>
          <w:szCs w:val="24"/>
        </w:rPr>
        <w:t xml:space="preserve"> darba pasaulē. Par Konvencijas pieņemšanu nobalsoja 439 delegāti, atturējās 30, bet pret balsoja 7.</w:t>
      </w:r>
      <w:r>
        <w:rPr>
          <w:rFonts w:ascii="Times New Roman" w:hAnsi="Times New Roman" w:cs="Times New Roman"/>
          <w:sz w:val="24"/>
          <w:szCs w:val="24"/>
        </w:rPr>
        <w:t xml:space="preserve"> </w:t>
      </w:r>
      <w:r w:rsidRPr="00FB2295">
        <w:rPr>
          <w:rFonts w:ascii="Times New Roman" w:hAnsi="Times New Roman" w:cs="Times New Roman"/>
          <w:sz w:val="24"/>
          <w:szCs w:val="24"/>
        </w:rPr>
        <w:t>Konvencijā definēts jēdziens „vardarbība un uzmākšanās” darbā, ar ko saprot dažāda veida nepieņemamu uzvedību un praksi, vai to draudus, neatkarīgi no tā, vai tie ir vienreizēji vai atkārtoti, kuru mērķis ir radīt fizisku, psiholoģisku, seksuālu vai ekonomisku kaitējumu, un ietver vardarbību un uzmākšanos, kas balstīta uz dzimumu.</w:t>
      </w:r>
    </w:p>
    <w:p w14:paraId="05C1D520" w14:textId="2FD0C1D0" w:rsidR="00FB2295" w:rsidRPr="00FB2295" w:rsidRDefault="00FB2295" w:rsidP="00FB2295">
      <w:pPr>
        <w:spacing w:before="120" w:after="0" w:line="240" w:lineRule="auto"/>
        <w:ind w:firstLine="720"/>
        <w:jc w:val="both"/>
        <w:rPr>
          <w:rFonts w:ascii="Times New Roman" w:hAnsi="Times New Roman" w:cs="Times New Roman"/>
          <w:sz w:val="24"/>
          <w:szCs w:val="24"/>
        </w:rPr>
      </w:pPr>
      <w:r w:rsidRPr="00FB2295">
        <w:rPr>
          <w:rFonts w:ascii="Times New Roman" w:hAnsi="Times New Roman" w:cs="Times New Roman"/>
          <w:sz w:val="24"/>
          <w:szCs w:val="24"/>
        </w:rPr>
        <w:t>Konvencija neizslēdz nevienu un aptver visas darbinieku kategorijas visos nodarbinātības veidos un visos darba aspektos, tostarp pa ceļam uz darbu, darbinieka mājās, darba sociālajos pasākumos, darba devēja organizētajā dzīvošanas vietā, apmācību un komandējumu laikā.</w:t>
      </w:r>
      <w:r>
        <w:rPr>
          <w:rFonts w:ascii="Times New Roman" w:hAnsi="Times New Roman" w:cs="Times New Roman"/>
          <w:sz w:val="24"/>
          <w:szCs w:val="24"/>
        </w:rPr>
        <w:t xml:space="preserve"> </w:t>
      </w:r>
      <w:r w:rsidRPr="00FB2295">
        <w:rPr>
          <w:rFonts w:ascii="Times New Roman" w:hAnsi="Times New Roman" w:cs="Times New Roman"/>
          <w:sz w:val="24"/>
          <w:szCs w:val="24"/>
        </w:rPr>
        <w:t>Konvencijā atgādināts dalībvalstīm par atbildību veicināt „vispārējas nulles tolerances vidi”. Dalībvalstis aicinātas Konvenciju ratificēt, kā arī konsultācijās ar darba devēju un darba ņēmēju organizācijām ieviest to praksē.</w:t>
      </w:r>
    </w:p>
    <w:p w14:paraId="022FEF73" w14:textId="55CEA768" w:rsidR="00FB2295" w:rsidRPr="00662D1E" w:rsidRDefault="00FB2295" w:rsidP="00FB2295">
      <w:pPr>
        <w:spacing w:before="120" w:after="0" w:line="240" w:lineRule="auto"/>
        <w:ind w:firstLine="720"/>
        <w:jc w:val="both"/>
        <w:rPr>
          <w:rFonts w:ascii="Times New Roman" w:hAnsi="Times New Roman" w:cs="Times New Roman"/>
          <w:sz w:val="24"/>
          <w:szCs w:val="24"/>
        </w:rPr>
      </w:pPr>
      <w:r w:rsidRPr="00FB2295">
        <w:rPr>
          <w:rFonts w:ascii="Times New Roman" w:hAnsi="Times New Roman" w:cs="Times New Roman"/>
          <w:sz w:val="24"/>
          <w:szCs w:val="24"/>
        </w:rPr>
        <w:t xml:space="preserve">Konvencija, kas ir juridiski saistošs starptautisks instruments, stāsies spēkā </w:t>
      </w:r>
      <w:r>
        <w:rPr>
          <w:rFonts w:ascii="Times New Roman" w:hAnsi="Times New Roman" w:cs="Times New Roman"/>
          <w:sz w:val="24"/>
          <w:szCs w:val="24"/>
        </w:rPr>
        <w:t>25. jūnijā 2021. gadā (</w:t>
      </w:r>
      <w:r w:rsidRPr="00FB2295">
        <w:rPr>
          <w:rFonts w:ascii="Times New Roman" w:hAnsi="Times New Roman" w:cs="Times New Roman"/>
          <w:sz w:val="24"/>
          <w:szCs w:val="24"/>
        </w:rPr>
        <w:t>12 mēnešus pēc tam, kad divas dalībvalstis to ir ratificējušas</w:t>
      </w:r>
      <w:r>
        <w:rPr>
          <w:rFonts w:ascii="Times New Roman" w:hAnsi="Times New Roman" w:cs="Times New Roman"/>
          <w:sz w:val="24"/>
          <w:szCs w:val="24"/>
        </w:rPr>
        <w:t>). Konvenciju ir ratificējušas divas dalībvalstis – Urugvaja un Fidži</w:t>
      </w:r>
      <w:r w:rsidRPr="00FB2295">
        <w:rPr>
          <w:rFonts w:ascii="Times New Roman" w:hAnsi="Times New Roman" w:cs="Times New Roman"/>
          <w:sz w:val="24"/>
          <w:szCs w:val="24"/>
        </w:rPr>
        <w:t>. Rekomendācijā, kas nav juridiski saistoša, sniegtas vadlīnijas par to, kā Konvenciju varētu piemērot.</w:t>
      </w:r>
    </w:p>
    <w:p w14:paraId="7ADAFAC7" w14:textId="77777777" w:rsidR="00200837" w:rsidRPr="007157D3" w:rsidRDefault="00200837" w:rsidP="00724B79">
      <w:pPr>
        <w:spacing w:before="120" w:after="0" w:line="240" w:lineRule="auto"/>
        <w:ind w:firstLine="720"/>
        <w:jc w:val="both"/>
        <w:rPr>
          <w:rFonts w:ascii="Times New Roman" w:hAnsi="Times New Roman" w:cs="Times New Roman"/>
          <w:sz w:val="24"/>
          <w:szCs w:val="24"/>
        </w:rPr>
      </w:pPr>
      <w:r w:rsidRPr="009703E6">
        <w:rPr>
          <w:rFonts w:ascii="Times New Roman" w:hAnsi="Times New Roman" w:cs="Times New Roman"/>
          <w:sz w:val="24"/>
          <w:szCs w:val="24"/>
        </w:rPr>
        <w:t>2019.gadā tika izstrādāts</w:t>
      </w:r>
      <w:r w:rsidRPr="0015154B">
        <w:rPr>
          <w:rFonts w:ascii="Times New Roman" w:hAnsi="Times New Roman" w:cs="Times New Roman"/>
          <w:sz w:val="24"/>
          <w:szCs w:val="24"/>
        </w:rPr>
        <w:t xml:space="preserve"> </w:t>
      </w:r>
      <w:bookmarkStart w:id="97" w:name="_Hlk22289902"/>
      <w:r w:rsidRPr="0015154B">
        <w:rPr>
          <w:rFonts w:ascii="Times New Roman" w:hAnsi="Times New Roman" w:cs="Times New Roman"/>
          <w:sz w:val="24"/>
          <w:szCs w:val="24"/>
        </w:rPr>
        <w:t>Informatīvais ziņojums par Darba aizsardzības politikas pamatnostādņu 2016. – 2020.gadam īstenošanas starpposma novērtējumu un Darba aizsardzības jomas attīstības plāna 2016. – 2018.gadam izpildi</w:t>
      </w:r>
      <w:bookmarkEnd w:id="97"/>
      <w:r w:rsidRPr="007157D3">
        <w:rPr>
          <w:rFonts w:ascii="Times New Roman" w:hAnsi="Times New Roman" w:cs="Times New Roman"/>
          <w:sz w:val="24"/>
          <w:szCs w:val="24"/>
          <w:vertAlign w:val="superscript"/>
        </w:rPr>
        <w:footnoteReference w:id="186"/>
      </w:r>
      <w:r w:rsidRPr="007157D3">
        <w:rPr>
          <w:rFonts w:ascii="Times New Roman" w:hAnsi="Times New Roman" w:cs="Times New Roman"/>
          <w:sz w:val="24"/>
          <w:szCs w:val="24"/>
        </w:rPr>
        <w:t xml:space="preserve">, kurā izvērtēti līdz šim īstenotie pasākumi un sasniegtais progress darba aizsardzības jomā. Ziņojumā secināts, ka, </w:t>
      </w:r>
      <w:r w:rsidRPr="007157D3">
        <w:rPr>
          <w:rFonts w:ascii="Times New Roman" w:hAnsi="Times New Roman" w:cs="Times New Roman"/>
          <w:sz w:val="24"/>
          <w:szCs w:val="24"/>
        </w:rPr>
        <w:lastRenderedPageBreak/>
        <w:t>turpinot darba aizsardzības jomas attīstību, jāņem vērā aktuālākās tendences gan Latvijā, gan ES, īpaši šādos jautājumos:</w:t>
      </w:r>
    </w:p>
    <w:p w14:paraId="3DD3ABEA" w14:textId="5CD13F32" w:rsidR="00200837" w:rsidRPr="002F5278" w:rsidRDefault="00200837" w:rsidP="00724B79">
      <w:pPr>
        <w:pStyle w:val="ListParagraph"/>
        <w:numPr>
          <w:ilvl w:val="0"/>
          <w:numId w:val="43"/>
        </w:numPr>
        <w:tabs>
          <w:tab w:val="left" w:pos="6804"/>
        </w:tabs>
        <w:spacing w:before="120"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t>iedzīvotāju ilgāka un labāka darba mūža veicināšana un darbspēju saglabāšana, īpaši gados vecākiem iedzīvotājiem, nodrošinot atbalstu darba devējiem cilvēkresursu un darba vides izvērtēšanā un uzlabošanā, kā arī nodarbinātajiem v</w:t>
      </w:r>
      <w:r w:rsidRPr="002F5278">
        <w:rPr>
          <w:rFonts w:ascii="Times New Roman" w:hAnsi="Times New Roman" w:cs="Times New Roman"/>
          <w:sz w:val="24"/>
          <w:szCs w:val="24"/>
        </w:rPr>
        <w:t>eselības uzlabošanā un veselības veicināšanā;</w:t>
      </w:r>
    </w:p>
    <w:p w14:paraId="7C770127" w14:textId="54AF6F62" w:rsidR="00200837" w:rsidRPr="00573B49" w:rsidRDefault="00200837" w:rsidP="00724B79">
      <w:pPr>
        <w:pStyle w:val="ListParagraph"/>
        <w:numPr>
          <w:ilvl w:val="0"/>
          <w:numId w:val="43"/>
        </w:numPr>
        <w:tabs>
          <w:tab w:val="left" w:pos="6804"/>
        </w:tabs>
        <w:spacing w:before="120" w:after="0" w:line="240" w:lineRule="auto"/>
        <w:jc w:val="both"/>
        <w:rPr>
          <w:rFonts w:ascii="Times New Roman" w:hAnsi="Times New Roman" w:cs="Times New Roman"/>
          <w:sz w:val="24"/>
          <w:szCs w:val="24"/>
        </w:rPr>
      </w:pPr>
      <w:r w:rsidRPr="002F5278">
        <w:rPr>
          <w:rFonts w:ascii="Times New Roman" w:hAnsi="Times New Roman" w:cs="Times New Roman"/>
          <w:sz w:val="24"/>
          <w:szCs w:val="24"/>
        </w:rPr>
        <w:t>preventīvās kultūras veicināšana, sabiedrības, īpaši darb</w:t>
      </w:r>
      <w:r w:rsidRPr="00573B49">
        <w:rPr>
          <w:rFonts w:ascii="Times New Roman" w:hAnsi="Times New Roman" w:cs="Times New Roman"/>
          <w:sz w:val="24"/>
          <w:szCs w:val="24"/>
        </w:rPr>
        <w:t>a devēju un nodarbināto informēšana par darba aizsardzības jautājumiem, kā arī praktisku apmācību un konsultāciju nodrošināšana darba vietās;</w:t>
      </w:r>
    </w:p>
    <w:p w14:paraId="7C742A81" w14:textId="40A232B9" w:rsidR="00200837" w:rsidRPr="00573B49" w:rsidRDefault="00200837" w:rsidP="00724B79">
      <w:pPr>
        <w:pStyle w:val="ListParagraph"/>
        <w:numPr>
          <w:ilvl w:val="0"/>
          <w:numId w:val="43"/>
        </w:numPr>
        <w:tabs>
          <w:tab w:val="left" w:pos="6804"/>
        </w:tabs>
        <w:spacing w:before="120" w:after="0" w:line="240" w:lineRule="auto"/>
        <w:jc w:val="both"/>
        <w:rPr>
          <w:rFonts w:ascii="Times New Roman" w:hAnsi="Times New Roman" w:cs="Times New Roman"/>
          <w:sz w:val="24"/>
          <w:szCs w:val="24"/>
        </w:rPr>
      </w:pPr>
      <w:r w:rsidRPr="00573B49">
        <w:rPr>
          <w:rFonts w:ascii="Times New Roman" w:hAnsi="Times New Roman" w:cs="Times New Roman"/>
          <w:sz w:val="24"/>
          <w:szCs w:val="24"/>
        </w:rPr>
        <w:t>arodslimību, īpaši muskuļu un skeleta arodslimību profilakse veselības aprūpes speciālistu informēšana un savstarpējās sadarbības veicināšana, agrīna arodslimību diagnostika, agrīnas rehabilitācijas pakalpojumu pieejamība;</w:t>
      </w:r>
    </w:p>
    <w:p w14:paraId="0F8F8217" w14:textId="5E418DAF" w:rsidR="00200837" w:rsidRPr="0025422D" w:rsidRDefault="00200837" w:rsidP="00724B79">
      <w:pPr>
        <w:pStyle w:val="ListParagraph"/>
        <w:numPr>
          <w:ilvl w:val="0"/>
          <w:numId w:val="43"/>
        </w:numPr>
        <w:tabs>
          <w:tab w:val="left" w:pos="6804"/>
        </w:tabs>
        <w:spacing w:before="120" w:after="0" w:line="240" w:lineRule="auto"/>
        <w:jc w:val="both"/>
        <w:rPr>
          <w:rFonts w:ascii="Times New Roman" w:hAnsi="Times New Roman" w:cs="Times New Roman"/>
          <w:sz w:val="24"/>
          <w:szCs w:val="24"/>
        </w:rPr>
      </w:pPr>
      <w:r w:rsidRPr="0025422D">
        <w:rPr>
          <w:rFonts w:ascii="Times New Roman" w:hAnsi="Times New Roman" w:cs="Times New Roman"/>
          <w:sz w:val="24"/>
          <w:szCs w:val="24"/>
        </w:rPr>
        <w:t>bērnu un jauniešu informēšana par darba aizsardzības jautājumiem, veidojot preventīvo kultūru un sagatavojot jauniešus darba uzsākšanai;</w:t>
      </w:r>
    </w:p>
    <w:p w14:paraId="0F7E5D23" w14:textId="3161ACDF" w:rsidR="00200837" w:rsidRPr="00662D1E" w:rsidRDefault="00200837" w:rsidP="00724B79">
      <w:pPr>
        <w:pStyle w:val="ListParagraph"/>
        <w:numPr>
          <w:ilvl w:val="0"/>
          <w:numId w:val="43"/>
        </w:numPr>
        <w:tabs>
          <w:tab w:val="left" w:pos="6804"/>
        </w:tabs>
        <w:spacing w:before="120" w:after="0" w:line="240" w:lineRule="auto"/>
        <w:jc w:val="both"/>
        <w:rPr>
          <w:rFonts w:ascii="Times New Roman" w:hAnsi="Times New Roman" w:cs="Times New Roman"/>
          <w:sz w:val="24"/>
          <w:szCs w:val="24"/>
        </w:rPr>
      </w:pPr>
      <w:r w:rsidRPr="00A857F2">
        <w:rPr>
          <w:rFonts w:ascii="Times New Roman" w:hAnsi="Times New Roman" w:cs="Times New Roman"/>
          <w:sz w:val="24"/>
          <w:szCs w:val="24"/>
        </w:rPr>
        <w:t>darba aiz</w:t>
      </w:r>
      <w:r w:rsidRPr="00662D1E">
        <w:rPr>
          <w:rFonts w:ascii="Times New Roman" w:hAnsi="Times New Roman" w:cs="Times New Roman"/>
          <w:sz w:val="24"/>
          <w:szCs w:val="24"/>
        </w:rPr>
        <w:t xml:space="preserve">sardzības prasību attiecināšana uz attālinātajā darbā, kā arī citās nodarbinātības formās iesaistītajiem nodarbinātajiem; </w:t>
      </w:r>
    </w:p>
    <w:p w14:paraId="7DC7C4B4" w14:textId="1F099B15" w:rsidR="00200837" w:rsidRPr="0015154B" w:rsidRDefault="00200837" w:rsidP="00724B79">
      <w:pPr>
        <w:pStyle w:val="ListParagraph"/>
        <w:numPr>
          <w:ilvl w:val="0"/>
          <w:numId w:val="43"/>
        </w:numPr>
        <w:tabs>
          <w:tab w:val="left" w:pos="6804"/>
        </w:tabs>
        <w:spacing w:before="120" w:after="0" w:line="240" w:lineRule="auto"/>
        <w:jc w:val="both"/>
        <w:rPr>
          <w:rFonts w:ascii="Times New Roman" w:hAnsi="Times New Roman" w:cs="Times New Roman"/>
          <w:sz w:val="24"/>
          <w:szCs w:val="24"/>
        </w:rPr>
      </w:pPr>
      <w:r w:rsidRPr="009703E6">
        <w:rPr>
          <w:rFonts w:ascii="Times New Roman" w:hAnsi="Times New Roman" w:cs="Times New Roman"/>
          <w:sz w:val="24"/>
          <w:szCs w:val="24"/>
        </w:rPr>
        <w:t>VDI veiktspējas pilnveidošana, nodrošinot inspektoru apmācības, pieredzes apmaiņu, mūsdienīgu aprīkojumu, informācijas un analīzes si</w:t>
      </w:r>
      <w:r w:rsidRPr="0015154B">
        <w:rPr>
          <w:rFonts w:ascii="Times New Roman" w:hAnsi="Times New Roman" w:cs="Times New Roman"/>
          <w:sz w:val="24"/>
          <w:szCs w:val="24"/>
        </w:rPr>
        <w:t xml:space="preserve">stēmu un darba metožu pilnveidošanu atbilstoši jaunajām tendencēm un tehnoloģijām, kā arī lemjot par VDI inspektoru atalgojuma palielināšanu. </w:t>
      </w:r>
    </w:p>
    <w:p w14:paraId="66F11803" w14:textId="0BF6A7A8" w:rsidR="00EA47C7" w:rsidRPr="0015154B" w:rsidRDefault="00EA47C7" w:rsidP="00EA47C7">
      <w:pPr>
        <w:tabs>
          <w:tab w:val="left" w:pos="6804"/>
        </w:tabs>
        <w:spacing w:after="0" w:line="240" w:lineRule="auto"/>
        <w:jc w:val="both"/>
        <w:rPr>
          <w:rFonts w:ascii="Times New Roman" w:hAnsi="Times New Roman" w:cs="Times New Roman"/>
          <w:sz w:val="24"/>
          <w:szCs w:val="24"/>
        </w:rPr>
      </w:pPr>
    </w:p>
    <w:p w14:paraId="22B2ABBD" w14:textId="108A8421" w:rsidR="00EA47C7" w:rsidRPr="007157D3" w:rsidRDefault="00EA47C7" w:rsidP="00EA47C7">
      <w:pPr>
        <w:tabs>
          <w:tab w:val="left" w:pos="6804"/>
        </w:tabs>
        <w:spacing w:after="0" w:line="240" w:lineRule="auto"/>
        <w:jc w:val="both"/>
        <w:rPr>
          <w:rFonts w:ascii="Times New Roman" w:hAnsi="Times New Roman" w:cs="Times New Roman"/>
          <w:sz w:val="24"/>
          <w:szCs w:val="24"/>
        </w:rPr>
      </w:pPr>
      <w:r w:rsidRPr="00257C51">
        <w:rPr>
          <w:rFonts w:ascii="Times New Roman" w:hAnsi="Times New Roman" w:cs="Times New Roman"/>
          <w:noProof/>
          <w:sz w:val="24"/>
          <w:szCs w:val="24"/>
        </w:rPr>
        <mc:AlternateContent>
          <mc:Choice Requires="wpg">
            <w:drawing>
              <wp:inline distT="0" distB="0" distL="0" distR="0" wp14:anchorId="5BF0F999" wp14:editId="461C4D97">
                <wp:extent cx="5284520" cy="1900052"/>
                <wp:effectExtent l="0" t="0" r="0" b="5080"/>
                <wp:docPr id="38" name="Group 38"/>
                <wp:cNvGraphicFramePr/>
                <a:graphic xmlns:a="http://schemas.openxmlformats.org/drawingml/2006/main">
                  <a:graphicData uri="http://schemas.microsoft.com/office/word/2010/wordprocessingGroup">
                    <wpg:wgp>
                      <wpg:cNvGrpSpPr/>
                      <wpg:grpSpPr>
                        <a:xfrm>
                          <a:off x="0" y="0"/>
                          <a:ext cx="5284520" cy="1900052"/>
                          <a:chOff x="0" y="0"/>
                          <a:chExt cx="3567448" cy="1539569"/>
                        </a:xfrm>
                      </wpg:grpSpPr>
                      <wps:wsp>
                        <wps:cNvPr id="39" name="Rectangle 3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605E2C" w14:textId="09D81639" w:rsidR="00D67CF6" w:rsidRPr="00D272D9" w:rsidRDefault="00D67CF6">
                              <w:pPr>
                                <w:jc w:val="center"/>
                                <w:rPr>
                                  <w:rFonts w:ascii="Times New Roman" w:eastAsiaTheme="majorEastAsia" w:hAnsi="Times New Roman" w:cs="Times New Roman"/>
                                  <w:b/>
                                  <w:color w:val="FFFFFF" w:themeColor="background1"/>
                                  <w:sz w:val="28"/>
                                  <w:szCs w:val="28"/>
                                </w:rPr>
                              </w:pPr>
                              <w:r w:rsidRPr="00D272D9">
                                <w:rPr>
                                  <w:rFonts w:ascii="Times New Roman" w:eastAsiaTheme="majorEastAsia" w:hAnsi="Times New Roman" w:cs="Times New Roman"/>
                                  <w:b/>
                                  <w:color w:val="FFFFFF" w:themeColor="background1"/>
                                  <w:sz w:val="28"/>
                                  <w:szCs w:val="28"/>
                                </w:rPr>
                                <w:t>IZAIC</w:t>
                              </w:r>
                              <w:r>
                                <w:rPr>
                                  <w:rFonts w:ascii="Times New Roman" w:eastAsiaTheme="majorEastAsia" w:hAnsi="Times New Roman" w:cs="Times New Roman"/>
                                  <w:b/>
                                  <w:color w:val="FFFFFF" w:themeColor="background1"/>
                                  <w:sz w:val="28"/>
                                  <w:szCs w:val="28"/>
                                </w:rPr>
                                <w:t>I</w:t>
                              </w:r>
                              <w:r w:rsidRPr="00D272D9">
                                <w:rPr>
                                  <w:rFonts w:ascii="Times New Roman" w:eastAsiaTheme="majorEastAsia" w:hAnsi="Times New Roman" w:cs="Times New Roman"/>
                                  <w:b/>
                                  <w:color w:val="FFFFFF" w:themeColor="background1"/>
                                  <w:sz w:val="28"/>
                                  <w:szCs w:val="28"/>
                                </w:rPr>
                                <w:t>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40"/>
                        <wps:cNvSpPr txBox="1"/>
                        <wps:spPr>
                          <a:xfrm>
                            <a:off x="0" y="252695"/>
                            <a:ext cx="3567448" cy="1286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22304" w14:textId="5D2E8139"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caps/>
                                  <w:color w:val="668926" w:themeColor="accent2" w:themeShade="BF"/>
                                  <w:sz w:val="26"/>
                                  <w:szCs w:val="26"/>
                                </w:rPr>
                                <w:t>S</w:t>
                              </w:r>
                              <w:r w:rsidRPr="00EA47C7">
                                <w:rPr>
                                  <w:rFonts w:ascii="Times New Roman" w:hAnsi="Times New Roman" w:cs="Times New Roman"/>
                                  <w:color w:val="668926" w:themeColor="accent2" w:themeShade="BF"/>
                                  <w:sz w:val="24"/>
                                  <w:szCs w:val="24"/>
                                </w:rPr>
                                <w:t>alīdzinoši augsts letālo un smago nelaimes gadījumu darbā skaits</w:t>
                              </w:r>
                            </w:p>
                            <w:p w14:paraId="1F2551F9" w14:textId="3CA411CE"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rFonts w:ascii="Times New Roman" w:hAnsi="Times New Roman" w:cs="Times New Roman"/>
                                  <w:color w:val="668926" w:themeColor="accent2" w:themeShade="BF"/>
                                  <w:sz w:val="24"/>
                                  <w:szCs w:val="24"/>
                                </w:rPr>
                                <w:t>Arodslimību skaita pieaugums, tajā skaitā gados jaunākiem nodarbinātajiem</w:t>
                              </w:r>
                            </w:p>
                            <w:p w14:paraId="7D4BD09E" w14:textId="6D836752"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rFonts w:ascii="Times New Roman" w:hAnsi="Times New Roman" w:cs="Times New Roman"/>
                                  <w:color w:val="668926" w:themeColor="accent2" w:themeShade="BF"/>
                                  <w:sz w:val="24"/>
                                  <w:szCs w:val="24"/>
                                </w:rPr>
                                <w:t>Visu iesaistīto pušu sadarbība darba drošības un veselības risku novēršanā un mazināšanā</w:t>
                              </w:r>
                            </w:p>
                            <w:p w14:paraId="252C812F" w14:textId="4E33E68B"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rFonts w:ascii="Times New Roman" w:hAnsi="Times New Roman" w:cs="Times New Roman"/>
                                  <w:color w:val="668926" w:themeColor="accent2" w:themeShade="BF"/>
                                  <w:sz w:val="24"/>
                                  <w:szCs w:val="24"/>
                                </w:rPr>
                                <w:t>Pienācīga dažādās nodarbinātības formās nodarbināto tiesiskā aizsardzība un tiesiskā statusa noteikšana</w:t>
                              </w:r>
                            </w:p>
                            <w:p w14:paraId="38204627" w14:textId="665C0F9F"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rFonts w:ascii="Times New Roman" w:hAnsi="Times New Roman" w:cs="Times New Roman"/>
                                  <w:color w:val="668926" w:themeColor="accent2" w:themeShade="BF"/>
                                  <w:sz w:val="24"/>
                                  <w:szCs w:val="24"/>
                                </w:rPr>
                                <w:t>Nepietiekama sabiedrības, darba devēju un darba ņēmēju izpratne par darba aizsardzības un darba tiesiskajiem jautājumiem</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5BF0F999" id="Group 38" o:spid="_x0000_s1057" style="width:416.1pt;height:149.6pt;mso-position-horizontal-relative:char;mso-position-vertical-relative:line"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">
                <v:rect id="Rectangle 39" o:spid="_x0000_s105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" fillcolor="#549e39 [3204]" stroked="f" strokeweight="1pt">
                  <v:textbox>
                    <w:txbxContent>
                      <w:p w14:paraId="40605E2C" w14:textId="09D81639" w:rsidR="00D67CF6" w:rsidRPr="00D272D9" w:rsidRDefault="00D67CF6">
                        <w:pPr>
                          <w:jc w:val="center"/>
                          <w:rPr>
                            <w:rFonts w:ascii="Times New Roman" w:eastAsiaTheme="majorEastAsia" w:hAnsi="Times New Roman" w:cs="Times New Roman"/>
                            <w:b/>
                            <w:color w:val="FFFFFF" w:themeColor="background1"/>
                            <w:sz w:val="28"/>
                            <w:szCs w:val="28"/>
                          </w:rPr>
                        </w:pPr>
                        <w:r w:rsidRPr="00D272D9">
                          <w:rPr>
                            <w:rFonts w:ascii="Times New Roman" w:eastAsiaTheme="majorEastAsia" w:hAnsi="Times New Roman" w:cs="Times New Roman"/>
                            <w:b/>
                            <w:color w:val="FFFFFF" w:themeColor="background1"/>
                            <w:sz w:val="28"/>
                            <w:szCs w:val="28"/>
                          </w:rPr>
                          <w:t>IZAIC</w:t>
                        </w:r>
                        <w:r>
                          <w:rPr>
                            <w:rFonts w:ascii="Times New Roman" w:eastAsiaTheme="majorEastAsia" w:hAnsi="Times New Roman" w:cs="Times New Roman"/>
                            <w:b/>
                            <w:color w:val="FFFFFF" w:themeColor="background1"/>
                            <w:sz w:val="28"/>
                            <w:szCs w:val="28"/>
                          </w:rPr>
                          <w:t>I</w:t>
                        </w:r>
                        <w:r w:rsidRPr="00D272D9">
                          <w:rPr>
                            <w:rFonts w:ascii="Times New Roman" w:eastAsiaTheme="majorEastAsia" w:hAnsi="Times New Roman" w:cs="Times New Roman"/>
                            <w:b/>
                            <w:color w:val="FFFFFF" w:themeColor="background1"/>
                            <w:sz w:val="28"/>
                            <w:szCs w:val="28"/>
                          </w:rPr>
                          <w:t>NĀJUMI</w:t>
                        </w:r>
                      </w:p>
                    </w:txbxContent>
                  </v:textbox>
                </v:rect>
                <v:shape id="Text Box 40" o:spid="_x0000_s1059"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" filled="f" stroked="f" strokeweight=".5pt">
                  <v:textbox inset=",7.2pt,,0">
                    <w:txbxContent>
                      <w:p w14:paraId="16222304" w14:textId="5D2E8139"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caps/>
                            <w:color w:val="668926" w:themeColor="accent2" w:themeShade="BF"/>
                            <w:sz w:val="26"/>
                            <w:szCs w:val="26"/>
                          </w:rPr>
                          <w:t>S</w:t>
                        </w:r>
                        <w:r w:rsidRPr="00EA47C7">
                          <w:rPr>
                            <w:rFonts w:ascii="Times New Roman" w:hAnsi="Times New Roman" w:cs="Times New Roman"/>
                            <w:color w:val="668926" w:themeColor="accent2" w:themeShade="BF"/>
                            <w:sz w:val="24"/>
                            <w:szCs w:val="24"/>
                          </w:rPr>
                          <w:t>alīdzinoši augsts letālo un smago nelaimes gadījumu darbā skaits</w:t>
                        </w:r>
                      </w:p>
                      <w:p w14:paraId="1F2551F9" w14:textId="3CA411CE"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rFonts w:ascii="Times New Roman" w:hAnsi="Times New Roman" w:cs="Times New Roman"/>
                            <w:color w:val="668926" w:themeColor="accent2" w:themeShade="BF"/>
                            <w:sz w:val="24"/>
                            <w:szCs w:val="24"/>
                          </w:rPr>
                          <w:t>Arodslimību skaita pieaugums, tajā skaitā gados jaunākiem nodarbinātajiem</w:t>
                        </w:r>
                      </w:p>
                      <w:p w14:paraId="7D4BD09E" w14:textId="6D836752"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rFonts w:ascii="Times New Roman" w:hAnsi="Times New Roman" w:cs="Times New Roman"/>
                            <w:color w:val="668926" w:themeColor="accent2" w:themeShade="BF"/>
                            <w:sz w:val="24"/>
                            <w:szCs w:val="24"/>
                          </w:rPr>
                          <w:t>Visu iesaistīto pušu sadarbība darba drošības un veselības risku novēršanā un mazināšanā</w:t>
                        </w:r>
                      </w:p>
                      <w:p w14:paraId="252C812F" w14:textId="4E33E68B"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rFonts w:ascii="Times New Roman" w:hAnsi="Times New Roman" w:cs="Times New Roman"/>
                            <w:color w:val="668926" w:themeColor="accent2" w:themeShade="BF"/>
                            <w:sz w:val="24"/>
                            <w:szCs w:val="24"/>
                          </w:rPr>
                          <w:t>Pienācīga dažādās nodarbinātības formās nodarbināto tiesiskā aizsardzība un tiesiskā statusa noteikšana</w:t>
                        </w:r>
                      </w:p>
                      <w:p w14:paraId="38204627" w14:textId="665C0F9F" w:rsidR="00D67CF6" w:rsidRPr="00EA47C7" w:rsidRDefault="00D67CF6" w:rsidP="00974071">
                        <w:pPr>
                          <w:pStyle w:val="ListParagraph"/>
                          <w:numPr>
                            <w:ilvl w:val="0"/>
                            <w:numId w:val="29"/>
                          </w:numPr>
                          <w:tabs>
                            <w:tab w:val="left" w:pos="6804"/>
                          </w:tabs>
                          <w:spacing w:after="0" w:line="240" w:lineRule="auto"/>
                          <w:jc w:val="both"/>
                          <w:rPr>
                            <w:rFonts w:ascii="Times New Roman" w:hAnsi="Times New Roman" w:cs="Times New Roman"/>
                            <w:color w:val="668926" w:themeColor="accent2" w:themeShade="BF"/>
                            <w:sz w:val="24"/>
                            <w:szCs w:val="24"/>
                          </w:rPr>
                        </w:pPr>
                        <w:r w:rsidRPr="00EA47C7">
                          <w:rPr>
                            <w:rFonts w:ascii="Times New Roman" w:hAnsi="Times New Roman" w:cs="Times New Roman"/>
                            <w:color w:val="668926" w:themeColor="accent2" w:themeShade="BF"/>
                            <w:sz w:val="24"/>
                            <w:szCs w:val="24"/>
                          </w:rPr>
                          <w:t>Nepietiekama sabiedrības, darba devēju un darba ņēmēju izpratne par darba aizsardzības un darba tiesiskajiem jautājumiem</w:t>
                        </w:r>
                      </w:p>
                    </w:txbxContent>
                  </v:textbox>
                </v:shape>
                <w10:anchorlock/>
              </v:group>
            </w:pict>
          </mc:Fallback>
        </mc:AlternateContent>
      </w:r>
    </w:p>
    <w:p w14:paraId="1D93C38B" w14:textId="2F92F475" w:rsidR="00EA47C7" w:rsidRPr="007157D3" w:rsidRDefault="00EA47C7" w:rsidP="00F07644">
      <w:pPr>
        <w:tabs>
          <w:tab w:val="left" w:pos="6804"/>
        </w:tabs>
        <w:spacing w:after="0" w:line="240" w:lineRule="auto"/>
        <w:ind w:firstLine="720"/>
        <w:jc w:val="both"/>
        <w:rPr>
          <w:rFonts w:ascii="Times New Roman" w:hAnsi="Times New Roman" w:cs="Times New Roman"/>
          <w:sz w:val="24"/>
          <w:szCs w:val="24"/>
        </w:rPr>
      </w:pPr>
    </w:p>
    <w:p w14:paraId="0D93D542" w14:textId="77777777" w:rsidR="00200837" w:rsidRPr="007157D3" w:rsidRDefault="00200837" w:rsidP="00200837">
      <w:pPr>
        <w:autoSpaceDE w:val="0"/>
        <w:autoSpaceDN w:val="0"/>
        <w:adjustRightInd w:val="0"/>
        <w:spacing w:after="0" w:line="240" w:lineRule="auto"/>
        <w:jc w:val="both"/>
        <w:rPr>
          <w:rFonts w:ascii="Times New Roman" w:hAnsi="Times New Roman"/>
          <w:sz w:val="24"/>
          <w:szCs w:val="24"/>
        </w:rPr>
      </w:pPr>
    </w:p>
    <w:p w14:paraId="737C548B" w14:textId="77777777" w:rsidR="00DF6C2B" w:rsidRPr="002F5278" w:rsidRDefault="00DF6C2B">
      <w:pPr>
        <w:rPr>
          <w:rFonts w:ascii="Times New Roman" w:hAnsi="Times New Roman" w:cs="Times New Roman"/>
          <w:b/>
          <w:sz w:val="28"/>
          <w:szCs w:val="28"/>
        </w:rPr>
      </w:pPr>
      <w:r w:rsidRPr="002F5278">
        <w:rPr>
          <w:rFonts w:ascii="Times New Roman" w:hAnsi="Times New Roman" w:cs="Times New Roman"/>
          <w:b/>
          <w:sz w:val="28"/>
          <w:szCs w:val="28"/>
        </w:rPr>
        <w:br w:type="page"/>
      </w:r>
    </w:p>
    <w:p w14:paraId="49B9ED62" w14:textId="48B2192B" w:rsidR="005C4C85" w:rsidRPr="002F5278" w:rsidRDefault="005C4C85" w:rsidP="00EC7537">
      <w:pPr>
        <w:pStyle w:val="Heading1"/>
      </w:pPr>
      <w:bookmarkStart w:id="98" w:name="_Toc55316123"/>
      <w:r w:rsidRPr="002F5278">
        <w:lastRenderedPageBreak/>
        <w:t>Horizontālie jautājumi</w:t>
      </w:r>
      <w:bookmarkEnd w:id="98"/>
    </w:p>
    <w:p w14:paraId="09615296" w14:textId="41D92C99" w:rsidR="009E6FD8" w:rsidRPr="00573B49" w:rsidRDefault="00C504E4" w:rsidP="00DA5144">
      <w:pPr>
        <w:pStyle w:val="Heading2"/>
      </w:pPr>
      <w:bookmarkStart w:id="99" w:name="_Toc55316124"/>
      <w:r>
        <w:t xml:space="preserve"> </w:t>
      </w:r>
      <w:r w:rsidR="009E6FD8" w:rsidRPr="00573B49">
        <w:t>Uz pierādījumiem balstītas politikas veidošana</w:t>
      </w:r>
      <w:bookmarkEnd w:id="99"/>
    </w:p>
    <w:p w14:paraId="19498DCB" w14:textId="52EDDBC4" w:rsidR="009E6FD8" w:rsidRPr="0015154B" w:rsidRDefault="009E6FD8" w:rsidP="00AE08A5">
      <w:pPr>
        <w:spacing w:before="120" w:after="0" w:line="240" w:lineRule="auto"/>
        <w:ind w:right="-1" w:firstLine="720"/>
        <w:jc w:val="both"/>
        <w:rPr>
          <w:rFonts w:ascii="Times New Roman" w:hAnsi="Times New Roman" w:cs="Times New Roman"/>
          <w:sz w:val="24"/>
          <w:szCs w:val="24"/>
        </w:rPr>
      </w:pPr>
      <w:r w:rsidRPr="00573B49">
        <w:rPr>
          <w:rFonts w:ascii="Times New Roman" w:hAnsi="Times New Roman" w:cs="Times New Roman"/>
          <w:sz w:val="24"/>
          <w:szCs w:val="24"/>
        </w:rPr>
        <w:t xml:space="preserve">Eiropas Komisija savā 2019.gada 15.aprīļa </w:t>
      </w:r>
      <w:r w:rsidR="003B3FA0" w:rsidRPr="00573B49">
        <w:rPr>
          <w:rFonts w:ascii="Times New Roman" w:hAnsi="Times New Roman" w:cs="Times New Roman"/>
          <w:sz w:val="24"/>
          <w:szCs w:val="24"/>
        </w:rPr>
        <w:t>ziņojumā</w:t>
      </w:r>
      <w:r w:rsidRPr="00573B49">
        <w:rPr>
          <w:rFonts w:ascii="Times New Roman" w:hAnsi="Times New Roman" w:cs="Times New Roman"/>
          <w:sz w:val="24"/>
          <w:szCs w:val="24"/>
        </w:rPr>
        <w:t xml:space="preserve"> “Labāks regulējums - padarītā novērtējums un apņemšanās saglabāšana” uzsver labāka regulējuma pamatojumu un nozīmi:  </w:t>
      </w:r>
      <w:r w:rsidRPr="0025422D">
        <w:rPr>
          <w:rFonts w:ascii="Times New Roman" w:hAnsi="Times New Roman" w:cs="Times New Roman"/>
          <w:i/>
          <w:sz w:val="24"/>
          <w:szCs w:val="24"/>
        </w:rPr>
        <w:t>““… uz pierādījumiem balstīta politikas veidošana vairs nav tikai pagātnes prioritāte un ierasta tagadnes profesionālā praks</w:t>
      </w:r>
      <w:r w:rsidRPr="00A857F2">
        <w:rPr>
          <w:rFonts w:ascii="Times New Roman" w:hAnsi="Times New Roman" w:cs="Times New Roman"/>
          <w:i/>
          <w:sz w:val="24"/>
          <w:szCs w:val="24"/>
        </w:rPr>
        <w:t>e. Tā joprojām ir svarīgs nākotnes priekšnoteikums. Labāka regulējuma instrumenti tiek izmantoti pastāvīgi mainīgā pasaulē, kurā nemitīgi mainās politikas problemātika un prioritātes</w:t>
      </w:r>
      <w:r w:rsidRPr="00662D1E">
        <w:rPr>
          <w:rFonts w:ascii="Times New Roman" w:hAnsi="Times New Roman" w:cs="Times New Roman"/>
          <w:sz w:val="24"/>
          <w:szCs w:val="24"/>
        </w:rPr>
        <w:t>.” Atvērta un uz līdzdalību vērsta politikas veidošana, kura balstās uz pi</w:t>
      </w:r>
      <w:r w:rsidRPr="009703E6">
        <w:rPr>
          <w:rFonts w:ascii="Times New Roman" w:hAnsi="Times New Roman" w:cs="Times New Roman"/>
          <w:sz w:val="24"/>
          <w:szCs w:val="24"/>
        </w:rPr>
        <w:t>erādījumiem, ir būtisks priekšnoteikums kā ES rīcības, tā nacionāla līmeņa rīcības leģitimitātes uzlabošanai. Uz pierādījumiem balstītas politikas veidošana ir pamats, lai nodrošinātu mērķētu, iedzīvotāju vajadzībām atbilstošu pasākumu īstenošanu un resurs</w:t>
      </w:r>
      <w:r w:rsidRPr="0015154B">
        <w:rPr>
          <w:rFonts w:ascii="Times New Roman" w:hAnsi="Times New Roman" w:cs="Times New Roman"/>
          <w:sz w:val="24"/>
          <w:szCs w:val="24"/>
        </w:rPr>
        <w:t>u lietderīgu un efektīvu sadali. Ietekmes novērtējumus, izvērtējumus Eiropas Komisija norāda starp labāka regulējuma galvenajiem pīlāriem, ko izmanto pierādījumu objektīvā analīzē</w:t>
      </w:r>
      <w:r w:rsidR="00B7401E" w:rsidRPr="0015154B">
        <w:rPr>
          <w:rFonts w:ascii="Times New Roman" w:hAnsi="Times New Roman" w:cs="Times New Roman"/>
          <w:sz w:val="24"/>
          <w:szCs w:val="24"/>
        </w:rPr>
        <w:t>.</w:t>
      </w:r>
      <w:r w:rsidR="00A848A8" w:rsidRPr="0015154B">
        <w:rPr>
          <w:rFonts w:ascii="Times New Roman" w:hAnsi="Times New Roman" w:cs="Times New Roman"/>
          <w:sz w:val="24"/>
          <w:szCs w:val="24"/>
        </w:rPr>
        <w:t xml:space="preserve"> Izvērtējumi</w:t>
      </w:r>
      <w:r w:rsidRPr="0015154B">
        <w:rPr>
          <w:rFonts w:ascii="Times New Roman" w:hAnsi="Times New Roman" w:cs="Times New Roman"/>
          <w:sz w:val="24"/>
          <w:szCs w:val="24"/>
        </w:rPr>
        <w:t xml:space="preserve"> balsta politikas lēmumu pieņemšanu un ir vajadzīg</w:t>
      </w:r>
      <w:r w:rsidR="00A848A8" w:rsidRPr="0015154B">
        <w:rPr>
          <w:rFonts w:ascii="Times New Roman" w:hAnsi="Times New Roman" w:cs="Times New Roman"/>
          <w:sz w:val="24"/>
          <w:szCs w:val="24"/>
        </w:rPr>
        <w:t>i</w:t>
      </w:r>
      <w:r w:rsidRPr="0015154B">
        <w:rPr>
          <w:rFonts w:ascii="Times New Roman" w:hAnsi="Times New Roman" w:cs="Times New Roman"/>
          <w:sz w:val="24"/>
          <w:szCs w:val="24"/>
        </w:rPr>
        <w:t xml:space="preserve">, lai vienkāršotu un novērstu nevajadzīgas izmaksas, neapdraudot politikas mērķus. </w:t>
      </w:r>
    </w:p>
    <w:p w14:paraId="35D16E8D" w14:textId="77777777" w:rsidR="009E6FD8" w:rsidRPr="0015154B" w:rsidRDefault="009E6FD8" w:rsidP="00AE08A5">
      <w:pPr>
        <w:spacing w:before="120" w:after="0" w:line="240" w:lineRule="auto"/>
        <w:ind w:right="-1"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Ņemot vērā sociālās aizsardzības un darba tirgus politikas ietekmi uz iedzīvotāju dzīves līmeņa izmaiņām, ienākumu izmaiņām, spēju iesaistīties sabiedrības dzīvē un nodarbinātībā, uzvedības modeļu maiņu, izmaiņu “finansiālo ietilpību”, efektīva politikas plānošana un ieviešana nav iespējama bez kvalitatīviem, savlaicīgi pieejamiem un regulāriem statistikas datiem un atbilstošiem analītiskiem instrumentiem. Lēmumu pieņemšana COVID-19 pandēmijas laikā, kad rīcības ātrums un spēja elastīgi reaģēt uz situācijas attīstību bija izšķiroši faktori atbalsta pasākumu plānošanā un ieviešanā, īpaši parādīja atbilstošu tehnoloģisku un analītiski risinājumu un administratīvo datu pieejamības un kvalitātes nozīmi. </w:t>
      </w:r>
    </w:p>
    <w:p w14:paraId="3E8AEDD7" w14:textId="0A14CB0B" w:rsidR="009E6FD8" w:rsidRPr="0015154B" w:rsidRDefault="009E6FD8" w:rsidP="00AE08A5">
      <w:pPr>
        <w:spacing w:before="120" w:after="0" w:line="240" w:lineRule="auto"/>
        <w:ind w:right="-1" w:firstLine="720"/>
        <w:jc w:val="both"/>
        <w:rPr>
          <w:rFonts w:ascii="Times New Roman" w:hAnsi="Times New Roman" w:cs="Times New Roman"/>
          <w:sz w:val="24"/>
          <w:szCs w:val="24"/>
        </w:rPr>
      </w:pPr>
      <w:r w:rsidRPr="0015154B">
        <w:rPr>
          <w:rFonts w:ascii="Times New Roman" w:hAnsi="Times New Roman" w:cs="Times New Roman"/>
          <w:sz w:val="24"/>
          <w:szCs w:val="24"/>
        </w:rPr>
        <w:t>Labklājības jomā izveidotā tehnoloģiskā bāze (LabIS, SPOLIS, Pensiju p</w:t>
      </w:r>
      <w:r w:rsidR="003B3FA0">
        <w:rPr>
          <w:rFonts w:ascii="Times New Roman" w:hAnsi="Times New Roman" w:cs="Times New Roman"/>
          <w:sz w:val="24"/>
          <w:szCs w:val="24"/>
        </w:rPr>
        <w:t>r</w:t>
      </w:r>
      <w:r w:rsidRPr="0015154B">
        <w:rPr>
          <w:rFonts w:ascii="Times New Roman" w:hAnsi="Times New Roman" w:cs="Times New Roman"/>
          <w:sz w:val="24"/>
          <w:szCs w:val="24"/>
        </w:rPr>
        <w:t>ognožu modelis u.c.) un politikas ietekmes izvērtējumu regulāras veikšanas prakse nodrošina uz pierādījumiem balstītas politikas veidošanu. Tehnoloģiskā attīstība, arvien detalizētāku monitoringa instrumentu izveide, datu uzkrāšanas nepieciešamība dažādu starptautiska un ES līmeņa iniciatīvu ieviešanas uzraudzībai, kā arī izvērtējumos identificētie datu pieejamības un/ vai kvalitātes trūkumi ir faktori, kas jāņem vērā labklājības jomas tehnoloģisko un analītisko instrumentu attīstībā.</w:t>
      </w:r>
    </w:p>
    <w:p w14:paraId="4A0B4823" w14:textId="77777777" w:rsidR="003B3FA0" w:rsidRDefault="009E6FD8" w:rsidP="00724B79">
      <w:pPr>
        <w:spacing w:before="120" w:after="0" w:line="240" w:lineRule="auto"/>
        <w:ind w:firstLine="720"/>
        <w:jc w:val="both"/>
        <w:rPr>
          <w:rFonts w:ascii="Times New Roman" w:hAnsi="Times New Roman" w:cs="Times New Roman"/>
          <w:color w:val="000000"/>
          <w:sz w:val="24"/>
          <w:szCs w:val="24"/>
        </w:rPr>
      </w:pPr>
      <w:r w:rsidRPr="0015154B">
        <w:rPr>
          <w:rFonts w:ascii="Times New Roman" w:hAnsi="Times New Roman" w:cs="Times New Roman"/>
          <w:sz w:val="24"/>
          <w:szCs w:val="24"/>
        </w:rPr>
        <w:t xml:space="preserve">Nabadzības un sociālās atstumtības analīze Latvijā galvenokārt balstās uz diviem datu avotiem – pirmkārt, starptautiski salīdzināmu CSP veiktu </w:t>
      </w:r>
      <w:r w:rsidR="00E03DDA" w:rsidRPr="0015154B">
        <w:rPr>
          <w:rFonts w:ascii="Times New Roman" w:hAnsi="Times New Roman" w:cs="Times New Roman"/>
          <w:sz w:val="24"/>
          <w:szCs w:val="24"/>
        </w:rPr>
        <w:t>EU-SILC apsekojumu</w:t>
      </w:r>
      <w:r w:rsidRPr="0015154B">
        <w:rPr>
          <w:rFonts w:ascii="Times New Roman" w:hAnsi="Times New Roman" w:cs="Times New Roman"/>
          <w:sz w:val="24"/>
          <w:szCs w:val="24"/>
        </w:rPr>
        <w:t>, otrkārt – valsts institūciju un pašvaldību uzkrātiem administratīviem datiem</w:t>
      </w:r>
      <w:r w:rsidRPr="0015154B">
        <w:rPr>
          <w:rFonts w:ascii="Times New Roman" w:hAnsi="Times New Roman" w:cs="Times New Roman"/>
          <w:color w:val="000000"/>
          <w:sz w:val="24"/>
          <w:szCs w:val="24"/>
        </w:rPr>
        <w:t xml:space="preserve">. Kopumā gan EU-SILC, gan administratīvie dati sniedz  pietiekamu analītisku bāzi politikas plānošanai un ietekmes novērtēšanai, raksturo nabadzības un sociālās atstumtības aspektus sabiedrībā. </w:t>
      </w:r>
      <w:r w:rsidR="00FB065A" w:rsidRPr="0015154B">
        <w:rPr>
          <w:rFonts w:ascii="Times New Roman" w:hAnsi="Times New Roman" w:cs="Times New Roman"/>
          <w:color w:val="000000"/>
          <w:sz w:val="24"/>
          <w:szCs w:val="24"/>
        </w:rPr>
        <w:t>Kā norādīts OECD zinātniskajā pētījumā</w:t>
      </w:r>
      <w:r w:rsidR="00FB065A" w:rsidRPr="007157D3">
        <w:rPr>
          <w:rFonts w:ascii="Times New Roman" w:hAnsi="Times New Roman" w:cs="Times New Roman"/>
          <w:iCs/>
          <w:color w:val="000000"/>
          <w:sz w:val="24"/>
          <w:szCs w:val="24"/>
          <w:vertAlign w:val="superscript"/>
        </w:rPr>
        <w:footnoteReference w:id="187"/>
      </w:r>
      <w:r w:rsidR="00FB065A" w:rsidRPr="007157D3">
        <w:rPr>
          <w:rFonts w:ascii="Times New Roman" w:hAnsi="Times New Roman" w:cs="Times New Roman"/>
          <w:color w:val="000000"/>
          <w:sz w:val="24"/>
          <w:szCs w:val="24"/>
        </w:rPr>
        <w:t xml:space="preserve"> Latvijā pastāv ievērojama administratīvo datu sistēma, kas ļauj sasaistīt individuāla līmeņa datus no dažādiem avotiem un tādējādi analizēt svarīgus darba tirgus politikas jautājumus, kā arī daudzus citus sociāli ekonomiskās pētniecības un politikas </w:t>
      </w:r>
      <w:r w:rsidR="00FB065A" w:rsidRPr="002F5278">
        <w:rPr>
          <w:rFonts w:ascii="Times New Roman" w:hAnsi="Times New Roman" w:cs="Times New Roman"/>
          <w:color w:val="000000"/>
          <w:sz w:val="24"/>
          <w:szCs w:val="24"/>
        </w:rPr>
        <w:t>jautājumus</w:t>
      </w:r>
      <w:r w:rsidRPr="00573B49">
        <w:rPr>
          <w:rFonts w:ascii="Times New Roman" w:hAnsi="Times New Roman" w:cs="Times New Roman"/>
          <w:color w:val="000000"/>
          <w:sz w:val="24"/>
          <w:szCs w:val="24"/>
        </w:rPr>
        <w:t>.</w:t>
      </w:r>
    </w:p>
    <w:p w14:paraId="4FC9B370" w14:textId="76D699E5" w:rsidR="003B3FA0" w:rsidRDefault="00DE5608" w:rsidP="00724B79">
      <w:pPr>
        <w:spacing w:before="120"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Līdztekus sociālās aizsardzības un darba tirgus politikas uzraudzībai nacionālā līmenī tiek veikta arī starptautiski salīdzināma, ES līmeņa sociālās politikas un nodarbinātības snieguma uzraudzība. Viens no EK un Padomes Sociālās aizsardzības komitejas un Nodarbinātības komitejas instrumentiem, kas ļauj izvērtēt ES dalībvalstu sniegumu sociālajā jomā un nodarbinātības jomā un kalpo par pamatu arī dalībvalstu specifisko rekomendāciju izstrādē, ir laba snieguma rezultātu un galveno izaicinājumu novērtēšana (metodoloģijas </w:t>
      </w:r>
      <w:r>
        <w:rPr>
          <w:rFonts w:ascii="Times New Roman" w:hAnsi="Times New Roman" w:cs="Times New Roman"/>
          <w:color w:val="000000"/>
          <w:sz w:val="24"/>
          <w:szCs w:val="24"/>
        </w:rPr>
        <w:lastRenderedPageBreak/>
        <w:t xml:space="preserve">aprakstu skat. 3.pielikuma 3.tabulas skaidrojumā). Šī novērtēšana balstās uz </w:t>
      </w:r>
      <w:r w:rsidR="001B0694">
        <w:rPr>
          <w:rFonts w:ascii="Times New Roman" w:hAnsi="Times New Roman" w:cs="Times New Roman"/>
          <w:color w:val="000000"/>
          <w:sz w:val="24"/>
          <w:szCs w:val="24"/>
        </w:rPr>
        <w:t xml:space="preserve">vairākiem ES līmeņa monitoringa ietvariem, tai skaitā, </w:t>
      </w:r>
      <w:r>
        <w:rPr>
          <w:rFonts w:ascii="Times New Roman" w:hAnsi="Times New Roman" w:cs="Times New Roman"/>
          <w:color w:val="000000"/>
          <w:sz w:val="24"/>
          <w:szCs w:val="24"/>
        </w:rPr>
        <w:t>Sociālās politikas snieguma monitor</w:t>
      </w:r>
      <w:r w:rsidR="001B0694">
        <w:rPr>
          <w:rFonts w:ascii="Times New Roman" w:hAnsi="Times New Roman" w:cs="Times New Roman"/>
          <w:color w:val="000000"/>
          <w:sz w:val="24"/>
          <w:szCs w:val="24"/>
        </w:rPr>
        <w:t>inga ietvaru, Nodarbinātības monitora ietvaru u.c. Sadarbībā ar citām ES dalībvalstīm, Padomes komitejām, EK dienestiem un dalībvalstu statistikas institūtiem notiek nepār</w:t>
      </w:r>
      <w:r w:rsidR="00CA0136">
        <w:rPr>
          <w:rFonts w:ascii="Times New Roman" w:hAnsi="Times New Roman" w:cs="Times New Roman"/>
          <w:color w:val="000000"/>
          <w:sz w:val="24"/>
          <w:szCs w:val="24"/>
        </w:rPr>
        <w:t>t</w:t>
      </w:r>
      <w:r w:rsidR="001B0694">
        <w:rPr>
          <w:rFonts w:ascii="Times New Roman" w:hAnsi="Times New Roman" w:cs="Times New Roman"/>
          <w:color w:val="000000"/>
          <w:sz w:val="24"/>
          <w:szCs w:val="24"/>
        </w:rPr>
        <w:t>raukts šo monitoringa ietvara rādītāju pilnveidošanas un papildināšanas process.</w:t>
      </w:r>
    </w:p>
    <w:p w14:paraId="72D32A0B" w14:textId="7C2DBAE9" w:rsidR="009E6FD8" w:rsidRPr="0025422D" w:rsidRDefault="00FB065A" w:rsidP="00724B79">
      <w:pPr>
        <w:spacing w:before="120" w:after="0" w:line="240" w:lineRule="auto"/>
        <w:ind w:firstLine="720"/>
        <w:jc w:val="both"/>
        <w:rPr>
          <w:rFonts w:ascii="Times New Roman" w:hAnsi="Times New Roman" w:cs="Times New Roman"/>
          <w:sz w:val="24"/>
          <w:szCs w:val="24"/>
        </w:rPr>
      </w:pPr>
      <w:r w:rsidRPr="00573B49">
        <w:rPr>
          <w:rFonts w:ascii="Times New Roman" w:hAnsi="Times New Roman" w:cs="Times New Roman"/>
          <w:color w:val="000000"/>
          <w:sz w:val="24"/>
          <w:szCs w:val="24"/>
        </w:rPr>
        <w:t xml:space="preserve"> </w:t>
      </w:r>
      <w:r w:rsidR="003B3FA0">
        <w:rPr>
          <w:rFonts w:ascii="Times New Roman" w:hAnsi="Times New Roman" w:cs="Times New Roman"/>
          <w:color w:val="000000"/>
          <w:sz w:val="24"/>
          <w:szCs w:val="24"/>
        </w:rPr>
        <w:t>I</w:t>
      </w:r>
      <w:r w:rsidR="009E6FD8" w:rsidRPr="00573B49">
        <w:rPr>
          <w:rFonts w:ascii="Times New Roman" w:hAnsi="Times New Roman" w:cs="Times New Roman"/>
          <w:color w:val="000000"/>
          <w:sz w:val="24"/>
          <w:szCs w:val="24"/>
        </w:rPr>
        <w:t>r identificēti atsevišķi d</w:t>
      </w:r>
      <w:r w:rsidR="009E6FD8" w:rsidRPr="0025422D">
        <w:rPr>
          <w:rFonts w:ascii="Times New Roman" w:hAnsi="Times New Roman" w:cs="Times New Roman"/>
          <w:sz w:val="24"/>
          <w:szCs w:val="24"/>
        </w:rPr>
        <w:t>atu kvalitātes un pieejamības, kā arī analīzes pilnveidošanas virzieni, proti:</w:t>
      </w:r>
    </w:p>
    <w:p w14:paraId="2A00D924" w14:textId="77777777" w:rsidR="009E6FD8" w:rsidRPr="007157D3" w:rsidRDefault="009E6FD8" w:rsidP="00724B79">
      <w:pPr>
        <w:spacing w:before="120" w:after="0" w:line="240" w:lineRule="auto"/>
        <w:jc w:val="both"/>
        <w:rPr>
          <w:rFonts w:ascii="Times New Roman" w:hAnsi="Times New Roman" w:cs="Times New Roman"/>
          <w:sz w:val="24"/>
          <w:szCs w:val="24"/>
        </w:rPr>
      </w:pPr>
      <w:r w:rsidRPr="00A857F2">
        <w:rPr>
          <w:rFonts w:ascii="Times New Roman" w:hAnsi="Times New Roman" w:cs="Times New Roman"/>
          <w:sz w:val="24"/>
          <w:szCs w:val="24"/>
        </w:rPr>
        <w:t xml:space="preserve">1) </w:t>
      </w:r>
      <w:r w:rsidRPr="00662D1E">
        <w:rPr>
          <w:rFonts w:ascii="Times New Roman" w:hAnsi="Times New Roman" w:cs="Times New Roman"/>
          <w:b/>
          <w:sz w:val="24"/>
          <w:szCs w:val="24"/>
        </w:rPr>
        <w:t>nepietiekama informācija</w:t>
      </w:r>
      <w:r w:rsidRPr="009703E6">
        <w:rPr>
          <w:rFonts w:ascii="Times New Roman" w:hAnsi="Times New Roman" w:cs="Times New Roman"/>
          <w:sz w:val="24"/>
          <w:szCs w:val="24"/>
        </w:rPr>
        <w:t xml:space="preserve"> par šaurām, specifiskām mērķa grupām, kuras var tikt pakļautas nabadzības riska</w:t>
      </w:r>
      <w:r w:rsidRPr="0015154B">
        <w:rPr>
          <w:rFonts w:ascii="Times New Roman" w:hAnsi="Times New Roman" w:cs="Times New Roman"/>
          <w:sz w:val="24"/>
          <w:szCs w:val="24"/>
        </w:rPr>
        <w:t xml:space="preserve">m un kuru situācijas raksturojumu nav iespējams iegūt no  EU-SILC apsekojuma, piemēram, par personām ar invaliditāti </w:t>
      </w:r>
      <w:r w:rsidRPr="0015154B">
        <w:rPr>
          <w:rFonts w:ascii="Times New Roman" w:hAnsi="Times New Roman" w:cs="Times New Roman"/>
          <w:i/>
          <w:sz w:val="24"/>
          <w:szCs w:val="24"/>
        </w:rPr>
        <w:t>(pamatojoties uz pašas personas sniegto veselības stāvokļa novērtējumu)</w:t>
      </w:r>
      <w:r w:rsidRPr="0015154B">
        <w:rPr>
          <w:rFonts w:ascii="Times New Roman" w:hAnsi="Times New Roman" w:cs="Times New Roman"/>
          <w:sz w:val="24"/>
          <w:szCs w:val="24"/>
        </w:rPr>
        <w:t xml:space="preserve"> informāciju var iegūt tikai daļēji, bet par tādām specifiskām grupām kā romi, no ieslodzījuma vietām atbrīvotās personas, personas ar nepietiekošām, zemām vai darba tirgum neatbilstošām prasmēm u.c. informācija nemaz netiek analizēta.</w:t>
      </w:r>
      <w:r w:rsidRPr="0015154B">
        <w:rPr>
          <w:rFonts w:ascii="Times New Roman" w:hAnsi="Times New Roman" w:cs="Times New Roman"/>
        </w:rPr>
        <w:t xml:space="preserve"> </w:t>
      </w:r>
      <w:r w:rsidRPr="0015154B">
        <w:rPr>
          <w:rFonts w:ascii="Times New Roman" w:hAnsi="Times New Roman" w:cs="Times New Roman"/>
          <w:sz w:val="24"/>
          <w:szCs w:val="24"/>
        </w:rPr>
        <w:t>Lai arī Latvijā ir definētas nabadzības un/vai sociālās atstumtības riskam pakļautās iedzīvotāju grupas, par daļu no tām netiek iegūti dati par to nabadzības un/vai sociālās atstumtības risku, turklāt ne par visām grupām (daudzbērnu ģimenes, viena vecāka ģimenes, bezpajumtnieki u.c.) ir iespējams iegūt datus par faktisko skaitu un citu sociālās iekļaušanas politikas veidošanai un koordinācijai nepieciešamo informāciju</w:t>
      </w:r>
      <w:r w:rsidRPr="0015154B">
        <w:rPr>
          <w:rStyle w:val="FootnoteReference"/>
          <w:rFonts w:ascii="Times New Roman" w:hAnsi="Times New Roman" w:cs="Times New Roman"/>
          <w:sz w:val="24"/>
          <w:szCs w:val="24"/>
        </w:rPr>
        <w:t xml:space="preserve"> </w:t>
      </w:r>
      <w:r w:rsidRPr="007157D3">
        <w:rPr>
          <w:rStyle w:val="FootnoteReference"/>
          <w:rFonts w:ascii="Times New Roman" w:hAnsi="Times New Roman" w:cs="Times New Roman"/>
          <w:sz w:val="24"/>
          <w:szCs w:val="24"/>
        </w:rPr>
        <w:footnoteReference w:id="188"/>
      </w:r>
      <w:r w:rsidRPr="007157D3">
        <w:rPr>
          <w:rFonts w:ascii="Times New Roman" w:hAnsi="Times New Roman" w:cs="Times New Roman"/>
          <w:sz w:val="24"/>
          <w:szCs w:val="24"/>
        </w:rPr>
        <w:t>;</w:t>
      </w:r>
    </w:p>
    <w:p w14:paraId="7D96F857" w14:textId="77777777" w:rsidR="009E6FD8" w:rsidRPr="007157D3" w:rsidRDefault="009E6FD8" w:rsidP="00724B79">
      <w:pPr>
        <w:spacing w:before="120"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t xml:space="preserve">2) dažādos valsts institūciju reģistros (PMLP, VSAA, NVA u.c.) un pašvaldību uzkrāto sociālās palīdzības saņēmēju mikrolīmeņa </w:t>
      </w:r>
      <w:r w:rsidRPr="002F5278">
        <w:rPr>
          <w:rFonts w:ascii="Times New Roman" w:hAnsi="Times New Roman" w:cs="Times New Roman"/>
          <w:b/>
          <w:sz w:val="24"/>
          <w:szCs w:val="24"/>
        </w:rPr>
        <w:t>datu krustošanas un analīzes laikietilpība</w:t>
      </w:r>
      <w:r w:rsidRPr="00573B49">
        <w:rPr>
          <w:rFonts w:ascii="Times New Roman" w:hAnsi="Times New Roman" w:cs="Times New Roman"/>
          <w:sz w:val="24"/>
          <w:szCs w:val="24"/>
        </w:rPr>
        <w:t xml:space="preserve"> un sarežģītība</w:t>
      </w:r>
      <w:r w:rsidRPr="007157D3">
        <w:rPr>
          <w:rStyle w:val="FootnoteReference"/>
          <w:rFonts w:ascii="Times New Roman" w:hAnsi="Times New Roman" w:cs="Times New Roman"/>
          <w:sz w:val="24"/>
          <w:szCs w:val="24"/>
        </w:rPr>
        <w:footnoteReference w:id="189"/>
      </w:r>
      <w:r w:rsidRPr="007157D3">
        <w:rPr>
          <w:rFonts w:ascii="Times New Roman" w:hAnsi="Times New Roman" w:cs="Times New Roman"/>
          <w:sz w:val="24"/>
          <w:szCs w:val="24"/>
        </w:rPr>
        <w:t>;</w:t>
      </w:r>
    </w:p>
    <w:p w14:paraId="23C21FA3" w14:textId="5654F5E3" w:rsidR="009E6FD8" w:rsidRPr="002F5278" w:rsidRDefault="009E6FD8" w:rsidP="00724B79">
      <w:pPr>
        <w:spacing w:before="120" w:after="0" w:line="240" w:lineRule="auto"/>
        <w:jc w:val="both"/>
        <w:rPr>
          <w:rFonts w:ascii="Times New Roman" w:hAnsi="Times New Roman" w:cs="Times New Roman"/>
          <w:sz w:val="24"/>
          <w:szCs w:val="24"/>
          <w:lang w:eastAsia="lv-LV"/>
        </w:rPr>
      </w:pPr>
      <w:r w:rsidRPr="007157D3">
        <w:rPr>
          <w:rFonts w:ascii="Times New Roman" w:hAnsi="Times New Roman" w:cs="Times New Roman"/>
          <w:sz w:val="24"/>
          <w:szCs w:val="24"/>
        </w:rPr>
        <w:t xml:space="preserve">3) </w:t>
      </w:r>
      <w:r w:rsidRPr="007157D3">
        <w:rPr>
          <w:rFonts w:ascii="Times New Roman" w:hAnsi="Times New Roman" w:cs="Times New Roman"/>
          <w:b/>
          <w:sz w:val="24"/>
          <w:szCs w:val="24"/>
        </w:rPr>
        <w:t>nepilnīga informācija</w:t>
      </w:r>
      <w:r w:rsidRPr="002F5278">
        <w:rPr>
          <w:rFonts w:ascii="Times New Roman" w:hAnsi="Times New Roman" w:cs="Times New Roman"/>
          <w:sz w:val="24"/>
          <w:szCs w:val="24"/>
        </w:rPr>
        <w:t xml:space="preserve"> par pašvaldību visu faktiski nodrošināto sociālo atbalstu un nenodrošināta </w:t>
      </w:r>
      <w:r w:rsidRPr="00573B49">
        <w:rPr>
          <w:rFonts w:ascii="Times New Roman" w:hAnsi="Times New Roman" w:cs="Times New Roman"/>
          <w:sz w:val="24"/>
          <w:szCs w:val="24"/>
          <w:lang w:eastAsia="lv-LV"/>
        </w:rPr>
        <w:t>visu pašvaldību sniegto sociālā atbalsta veidu uzskaite</w:t>
      </w:r>
      <w:r w:rsidRPr="00573B49">
        <w:rPr>
          <w:rFonts w:ascii="Times New Roman" w:hAnsi="Times New Roman" w:cs="Times New Roman"/>
          <w:sz w:val="24"/>
          <w:szCs w:val="24"/>
        </w:rPr>
        <w:t xml:space="preserve"> </w:t>
      </w:r>
      <w:r w:rsidRPr="00573B49">
        <w:rPr>
          <w:rFonts w:ascii="Times New Roman" w:hAnsi="Times New Roman" w:cs="Times New Roman"/>
          <w:sz w:val="24"/>
          <w:szCs w:val="24"/>
          <w:lang w:eastAsia="lv-LV"/>
        </w:rPr>
        <w:t>Sociālās sfēras procesu pārvaldības lietojumprogrammā SOPA. Iztrūkst pilnīga un pareiza i</w:t>
      </w:r>
      <w:r w:rsidRPr="0025422D">
        <w:rPr>
          <w:rFonts w:ascii="Times New Roman" w:hAnsi="Times New Roman" w:cs="Times New Roman"/>
          <w:sz w:val="24"/>
          <w:szCs w:val="24"/>
          <w:lang w:eastAsia="lv-LV"/>
        </w:rPr>
        <w:t>nformācija par pašvaldību nodrošināto sociālu atbalstu un tam izlietoto finansējumu, jo pašvaldību sagatavotie valsts statistiskas pārskati un budžeta dati nemaz nav izmantojami, lai gūtu priekšstatu par pašvaldību faktisko nodrošināto sociālo atbalstu</w:t>
      </w:r>
      <w:r w:rsidR="00A17134" w:rsidRPr="00A857F2">
        <w:rPr>
          <w:rFonts w:ascii="Times New Roman" w:hAnsi="Times New Roman" w:cs="Times New Roman"/>
          <w:sz w:val="24"/>
          <w:szCs w:val="24"/>
          <w:lang w:eastAsia="lv-LV"/>
        </w:rPr>
        <w:t>.</w:t>
      </w:r>
      <w:r w:rsidRPr="007157D3">
        <w:rPr>
          <w:rStyle w:val="FootnoteReference"/>
          <w:rFonts w:ascii="Times New Roman" w:hAnsi="Times New Roman" w:cs="Times New Roman"/>
          <w:sz w:val="24"/>
          <w:szCs w:val="24"/>
          <w:lang w:eastAsia="lv-LV"/>
        </w:rPr>
        <w:footnoteReference w:id="190"/>
      </w:r>
      <w:r w:rsidR="00A17134" w:rsidRPr="007157D3">
        <w:rPr>
          <w:rFonts w:ascii="Times New Roman" w:hAnsi="Times New Roman" w:cs="Times New Roman"/>
          <w:sz w:val="24"/>
          <w:szCs w:val="24"/>
          <w:lang w:eastAsia="lv-LV"/>
        </w:rPr>
        <w:t xml:space="preserve"> </w:t>
      </w:r>
      <w:r w:rsidR="00A17134" w:rsidRPr="007157D3">
        <w:rPr>
          <w:rFonts w:ascii="Times New Roman" w:hAnsi="Times New Roman" w:cs="Times New Roman"/>
          <w:sz w:val="24"/>
          <w:szCs w:val="24"/>
        </w:rPr>
        <w:t>Lai nodrošinātu pilnvērtīgu SPOLIS attīstību, ir nepieciešama sistēmas pārbūve pašos pamatos, jo sākotnēji 2009.gadā šī sistēma nebija paredzēta tik apjomīgam moduļu paplašinājumam un ārējām integrācijām</w:t>
      </w:r>
      <w:r w:rsidRPr="002F5278">
        <w:rPr>
          <w:rFonts w:ascii="Times New Roman" w:hAnsi="Times New Roman" w:cs="Times New Roman"/>
          <w:sz w:val="24"/>
          <w:szCs w:val="24"/>
          <w:lang w:eastAsia="lv-LV"/>
        </w:rPr>
        <w:t>;</w:t>
      </w:r>
    </w:p>
    <w:p w14:paraId="694477C5" w14:textId="5B1CB000" w:rsidR="009E6FD8" w:rsidRPr="007157D3" w:rsidRDefault="009E6FD8" w:rsidP="00724B79">
      <w:pPr>
        <w:spacing w:before="120" w:after="0" w:line="240" w:lineRule="auto"/>
        <w:jc w:val="both"/>
        <w:rPr>
          <w:rFonts w:ascii="Times New Roman" w:hAnsi="Times New Roman" w:cs="Times New Roman"/>
          <w:sz w:val="24"/>
          <w:szCs w:val="24"/>
          <w:lang w:eastAsia="lv-LV"/>
        </w:rPr>
      </w:pPr>
      <w:r w:rsidRPr="00573B49">
        <w:rPr>
          <w:rFonts w:ascii="Times New Roman" w:hAnsi="Times New Roman" w:cs="Times New Roman"/>
          <w:sz w:val="24"/>
          <w:szCs w:val="24"/>
          <w:lang w:eastAsia="lv-LV"/>
        </w:rPr>
        <w:t xml:space="preserve">4) </w:t>
      </w:r>
      <w:r w:rsidR="00705E8C" w:rsidRPr="00573B49">
        <w:rPr>
          <w:rFonts w:ascii="Times New Roman" w:hAnsi="Times New Roman" w:cs="Times New Roman"/>
          <w:b/>
          <w:sz w:val="24"/>
          <w:szCs w:val="24"/>
          <w:lang w:eastAsia="lv-LV"/>
        </w:rPr>
        <w:t>trūkstoši dati</w:t>
      </w:r>
      <w:r w:rsidR="00705E8C" w:rsidRPr="00573B49">
        <w:rPr>
          <w:rFonts w:ascii="Times New Roman" w:hAnsi="Times New Roman" w:cs="Times New Roman"/>
          <w:sz w:val="24"/>
          <w:szCs w:val="24"/>
          <w:lang w:eastAsia="lv-LV"/>
        </w:rPr>
        <w:t xml:space="preserve"> par mājokļu kvalitāti un pieejamīb</w:t>
      </w:r>
      <w:r w:rsidR="00705E8C" w:rsidRPr="0025422D">
        <w:rPr>
          <w:rFonts w:ascii="Times New Roman" w:hAnsi="Times New Roman" w:cs="Times New Roman"/>
          <w:sz w:val="24"/>
          <w:szCs w:val="24"/>
          <w:lang w:eastAsia="lv-LV"/>
        </w:rPr>
        <w:t>u iedzīvotājiem ar dažādiem ienākumu līmeņiem, mājsaimniecību veidiem un reģioniem. Lai gan nav starptautiski harmonizētas metodoloģijas mājokļu pieejamības monitoringam, nedz arī unificēts rādītāju saraksts, pastāv alternatīvi varianti datu ieguvei, piemē</w:t>
      </w:r>
      <w:r w:rsidR="00705E8C" w:rsidRPr="00A857F2">
        <w:rPr>
          <w:rFonts w:ascii="Times New Roman" w:hAnsi="Times New Roman" w:cs="Times New Roman"/>
          <w:sz w:val="24"/>
          <w:szCs w:val="24"/>
          <w:lang w:eastAsia="lv-LV"/>
        </w:rPr>
        <w:t xml:space="preserve">ram, esošo apsekojumu vai statistikas pārskatu papildināšana, regulāra mājokļu pieejamības apsekojuma veikšana. Neraugoties uz to, ka LM tiešā atbildībā nav mājokļu datu vākšanas organizēšana un uzkrāšana, tomēr sociālās </w:t>
      </w:r>
      <w:r w:rsidR="00705E8C" w:rsidRPr="00A857F2">
        <w:rPr>
          <w:rFonts w:ascii="Times New Roman" w:hAnsi="Times New Roman" w:cs="Times New Roman"/>
          <w:sz w:val="24"/>
          <w:szCs w:val="24"/>
          <w:lang w:eastAsia="lv-LV"/>
        </w:rPr>
        <w:lastRenderedPageBreak/>
        <w:t>aizsardzības un darba tirgus politi</w:t>
      </w:r>
      <w:r w:rsidR="00705E8C" w:rsidRPr="00662D1E">
        <w:rPr>
          <w:rFonts w:ascii="Times New Roman" w:hAnsi="Times New Roman" w:cs="Times New Roman"/>
          <w:sz w:val="24"/>
          <w:szCs w:val="24"/>
          <w:lang w:eastAsia="lv-LV"/>
        </w:rPr>
        <w:t>kas plānošanai mājokļu pieejamības datu analīze ir nepieciešama vairākās jomās, piemēram, reģionālās mobilitātes atbalsts, SBSP attīstība, deinstitucionalizācija u.c.</w:t>
      </w:r>
      <w:r w:rsidR="00C36BF7" w:rsidRPr="007157D3">
        <w:rPr>
          <w:rStyle w:val="FootnoteReference"/>
          <w:rFonts w:ascii="Times New Roman" w:hAnsi="Times New Roman" w:cs="Times New Roman"/>
          <w:sz w:val="24"/>
          <w:szCs w:val="24"/>
        </w:rPr>
        <w:footnoteReference w:id="191"/>
      </w:r>
      <w:r w:rsidRPr="007157D3">
        <w:rPr>
          <w:rFonts w:ascii="Times New Roman" w:hAnsi="Times New Roman" w:cs="Times New Roman"/>
          <w:sz w:val="24"/>
          <w:szCs w:val="24"/>
          <w:lang w:eastAsia="lv-LV"/>
        </w:rPr>
        <w:t>;</w:t>
      </w:r>
    </w:p>
    <w:p w14:paraId="02B3AC51" w14:textId="54F1B8F9" w:rsidR="009E6FD8" w:rsidRPr="002F5278" w:rsidRDefault="009E6FD8" w:rsidP="00724B79">
      <w:pPr>
        <w:spacing w:before="120" w:after="0" w:line="240" w:lineRule="auto"/>
        <w:jc w:val="both"/>
        <w:rPr>
          <w:rFonts w:ascii="Times New Roman" w:hAnsi="Times New Roman" w:cs="Times New Roman"/>
          <w:sz w:val="24"/>
          <w:szCs w:val="24"/>
        </w:rPr>
      </w:pPr>
      <w:r w:rsidRPr="007157D3">
        <w:rPr>
          <w:rFonts w:ascii="Times New Roman" w:hAnsi="Times New Roman" w:cs="Times New Roman"/>
          <w:sz w:val="24"/>
          <w:szCs w:val="24"/>
          <w:lang w:eastAsia="lv-LV"/>
        </w:rPr>
        <w:t>5)</w:t>
      </w:r>
      <w:r w:rsidRPr="007157D3">
        <w:rPr>
          <w:rFonts w:ascii="Times New Roman" w:hAnsi="Times New Roman" w:cs="Times New Roman"/>
          <w:sz w:val="24"/>
          <w:szCs w:val="24"/>
        </w:rPr>
        <w:t xml:space="preserve"> sociālās iekļaušanas un ar to saistīto politiku veidošanā, uzraudzībā un nepieciešamo izmaiņu noteikšanā </w:t>
      </w:r>
      <w:r w:rsidRPr="002F5278">
        <w:rPr>
          <w:rFonts w:ascii="Times New Roman" w:hAnsi="Times New Roman" w:cs="Times New Roman"/>
          <w:b/>
          <w:sz w:val="24"/>
          <w:szCs w:val="24"/>
        </w:rPr>
        <w:t>nepietiekami izmantota</w:t>
      </w:r>
      <w:r w:rsidRPr="00573B49">
        <w:rPr>
          <w:rFonts w:ascii="Times New Roman" w:hAnsi="Times New Roman" w:cs="Times New Roman"/>
          <w:sz w:val="24"/>
          <w:szCs w:val="24"/>
        </w:rPr>
        <w:t xml:space="preserve"> </w:t>
      </w:r>
      <w:r w:rsidRPr="00573B49">
        <w:rPr>
          <w:rFonts w:ascii="Times New Roman" w:hAnsi="Times New Roman" w:cs="Times New Roman"/>
          <w:bCs/>
          <w:sz w:val="24"/>
          <w:szCs w:val="24"/>
        </w:rPr>
        <w:t>Valsts sociālās politikas monitoringa informācijas sistēmas (SPOLIS)</w:t>
      </w:r>
      <w:r w:rsidRPr="00573B49">
        <w:rPr>
          <w:rFonts w:ascii="Times New Roman" w:hAnsi="Times New Roman" w:cs="Times New Roman"/>
          <w:sz w:val="24"/>
          <w:szCs w:val="24"/>
        </w:rPr>
        <w:t xml:space="preserve"> un Labklājības informācijas sistēmas (LabIS) paredzētā funkcionalitāte</w:t>
      </w:r>
      <w:r w:rsidR="003541C8" w:rsidRPr="0025422D">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192"/>
      </w:r>
      <w:r w:rsidR="003541C8" w:rsidRPr="007157D3">
        <w:rPr>
          <w:rFonts w:ascii="Times New Roman" w:hAnsi="Times New Roman" w:cs="Times New Roman"/>
          <w:sz w:val="24"/>
          <w:szCs w:val="24"/>
        </w:rPr>
        <w:t xml:space="preserve"> </w:t>
      </w:r>
      <w:r w:rsidR="003541C8" w:rsidRPr="007157D3">
        <w:rPr>
          <w:rFonts w:ascii="Times New Roman" w:hAnsi="Times New Roman" w:cs="Times New Roman"/>
          <w:bCs/>
          <w:sz w:val="24"/>
          <w:szCs w:val="24"/>
        </w:rPr>
        <w:t>Šobrīd LabIS saņem datus no vairākām padotības iestādēm un vairākām informācijas sistēmām. Lai varētu iegūt precīzākus un pilnīgākus datus labklājības nozares politikas veidošanai, jānovērš līdzīgu vai savstarpēji papildinošu datu atšķirīga interpretācija (t.sk. vērtība un saturs), ja tie nāk no dažādām iestādēm, jānodrošina atsevišķu datu veidu un kopu p</w:t>
      </w:r>
      <w:r w:rsidR="003E53F9">
        <w:rPr>
          <w:rFonts w:ascii="Times New Roman" w:hAnsi="Times New Roman" w:cs="Times New Roman"/>
          <w:bCs/>
          <w:sz w:val="24"/>
          <w:szCs w:val="24"/>
        </w:rPr>
        <w:t>i</w:t>
      </w:r>
      <w:r w:rsidR="003541C8" w:rsidRPr="007157D3">
        <w:rPr>
          <w:rFonts w:ascii="Times New Roman" w:hAnsi="Times New Roman" w:cs="Times New Roman"/>
          <w:bCs/>
          <w:sz w:val="24"/>
          <w:szCs w:val="24"/>
        </w:rPr>
        <w:t>eejamība, jāpilnveido datu kvalitāte un to pieejamība nepieciešamajā formātā un/vai detalizācijā</w:t>
      </w:r>
      <w:r w:rsidRPr="002F5278">
        <w:rPr>
          <w:rFonts w:ascii="Times New Roman" w:hAnsi="Times New Roman" w:cs="Times New Roman"/>
          <w:sz w:val="24"/>
          <w:szCs w:val="24"/>
        </w:rPr>
        <w:t>;</w:t>
      </w:r>
    </w:p>
    <w:p w14:paraId="41E65A8B" w14:textId="77777777" w:rsidR="009E6FD8" w:rsidRPr="007157D3" w:rsidRDefault="009E6FD8" w:rsidP="00724B79">
      <w:pPr>
        <w:spacing w:before="120" w:after="0" w:line="240" w:lineRule="auto"/>
        <w:jc w:val="both"/>
        <w:rPr>
          <w:rFonts w:ascii="Times New Roman" w:hAnsi="Times New Roman" w:cs="Times New Roman"/>
          <w:sz w:val="24"/>
          <w:szCs w:val="24"/>
        </w:rPr>
      </w:pPr>
      <w:r w:rsidRPr="002F5278">
        <w:rPr>
          <w:rFonts w:ascii="Times New Roman" w:hAnsi="Times New Roman" w:cs="Times New Roman"/>
          <w:sz w:val="24"/>
          <w:szCs w:val="24"/>
          <w:lang w:eastAsia="lv-LV"/>
        </w:rPr>
        <w:t xml:space="preserve">6) ietekmes un politikas efektivitātes novērtēšanā izmantojamo </w:t>
      </w:r>
      <w:r w:rsidRPr="00573B49">
        <w:rPr>
          <w:rFonts w:ascii="Times New Roman" w:hAnsi="Times New Roman" w:cs="Times New Roman"/>
          <w:b/>
          <w:sz w:val="24"/>
          <w:szCs w:val="24"/>
          <w:lang w:eastAsia="lv-LV"/>
        </w:rPr>
        <w:t>instrumentu/ programmu paplašināšana</w:t>
      </w:r>
      <w:r w:rsidRPr="00573B49">
        <w:rPr>
          <w:rFonts w:ascii="Times New Roman" w:hAnsi="Times New Roman" w:cs="Times New Roman"/>
          <w:sz w:val="24"/>
          <w:szCs w:val="24"/>
          <w:lang w:eastAsia="lv-LV"/>
        </w:rPr>
        <w:t>, izmantojot</w:t>
      </w:r>
      <w:r w:rsidRPr="00573B49">
        <w:rPr>
          <w:rFonts w:ascii="Times New Roman" w:hAnsi="Times New Roman" w:cs="Times New Roman"/>
          <w:sz w:val="24"/>
          <w:szCs w:val="24"/>
        </w:rPr>
        <w:t xml:space="preserve"> mikrosimulācija</w:t>
      </w:r>
      <w:r w:rsidRPr="0025422D">
        <w:rPr>
          <w:rFonts w:ascii="Times New Roman" w:hAnsi="Times New Roman" w:cs="Times New Roman"/>
          <w:sz w:val="24"/>
          <w:szCs w:val="24"/>
        </w:rPr>
        <w:t>s rīkus</w:t>
      </w:r>
      <w:r w:rsidRPr="007157D3">
        <w:rPr>
          <w:rStyle w:val="FootnoteReference"/>
          <w:rFonts w:ascii="Times New Roman" w:hAnsi="Times New Roman" w:cs="Times New Roman"/>
          <w:sz w:val="24"/>
          <w:szCs w:val="24"/>
        </w:rPr>
        <w:footnoteReference w:id="193"/>
      </w:r>
      <w:r w:rsidRPr="007157D3">
        <w:rPr>
          <w:rFonts w:ascii="Times New Roman" w:hAnsi="Times New Roman" w:cs="Times New Roman"/>
          <w:sz w:val="24"/>
          <w:szCs w:val="24"/>
        </w:rPr>
        <w:t>;</w:t>
      </w:r>
    </w:p>
    <w:p w14:paraId="3D2C6C67" w14:textId="1DB7210F" w:rsidR="009E6FD8" w:rsidRPr="0025422D" w:rsidRDefault="009E6FD8" w:rsidP="00B33541">
      <w:pPr>
        <w:spacing w:before="120"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t xml:space="preserve">7) pensiju sistēmas analīzei un politikas plānošanai LM ir izveidots </w:t>
      </w:r>
      <w:r w:rsidRPr="0089261F">
        <w:rPr>
          <w:rFonts w:ascii="Times New Roman" w:hAnsi="Times New Roman" w:cs="Times New Roman"/>
          <w:sz w:val="24"/>
          <w:szCs w:val="24"/>
        </w:rPr>
        <w:t xml:space="preserve">un </w:t>
      </w:r>
      <w:r w:rsidR="0089261F" w:rsidRPr="0089261F">
        <w:rPr>
          <w:rFonts w:ascii="Times New Roman" w:hAnsi="Times New Roman" w:cs="Times New Roman"/>
          <w:sz w:val="24"/>
          <w:szCs w:val="24"/>
        </w:rPr>
        <w:t>gandrīz 20 gadus</w:t>
      </w:r>
      <w:r w:rsidRPr="0089261F">
        <w:rPr>
          <w:rFonts w:ascii="Times New Roman" w:hAnsi="Times New Roman" w:cs="Times New Roman"/>
          <w:sz w:val="24"/>
          <w:szCs w:val="24"/>
        </w:rPr>
        <w:t xml:space="preserve"> tiek</w:t>
      </w:r>
      <w:r w:rsidRPr="002F5278">
        <w:rPr>
          <w:rFonts w:ascii="Times New Roman" w:hAnsi="Times New Roman" w:cs="Times New Roman"/>
          <w:sz w:val="24"/>
          <w:szCs w:val="24"/>
        </w:rPr>
        <w:t xml:space="preserve"> izmantots </w:t>
      </w:r>
      <w:r w:rsidRPr="00573B49">
        <w:rPr>
          <w:rFonts w:ascii="Times New Roman" w:hAnsi="Times New Roman" w:cs="Times New Roman"/>
          <w:b/>
          <w:sz w:val="24"/>
          <w:szCs w:val="24"/>
        </w:rPr>
        <w:t>Makrosimulācijas modelis</w:t>
      </w:r>
      <w:r w:rsidRPr="00573B49">
        <w:rPr>
          <w:rFonts w:ascii="Times New Roman" w:hAnsi="Times New Roman" w:cs="Times New Roman"/>
          <w:sz w:val="24"/>
          <w:szCs w:val="24"/>
        </w:rPr>
        <w:t xml:space="preserve">. </w:t>
      </w:r>
      <w:r w:rsidR="000D01C5" w:rsidRPr="00573B49">
        <w:rPr>
          <w:rFonts w:ascii="Times New Roman" w:hAnsi="Times New Roman" w:cs="Times New Roman"/>
          <w:sz w:val="24"/>
          <w:szCs w:val="24"/>
        </w:rPr>
        <w:t>Šo prognožu precizitāte un kvalitāte tiešā veidā ietekmē sociālās apdrošināšana/pensiju sistēmas stabilitāti un ilgtspēju,</w:t>
      </w:r>
      <w:r w:rsidR="000D01C5" w:rsidRPr="0025422D">
        <w:rPr>
          <w:rFonts w:ascii="Times New Roman" w:hAnsi="Times New Roman" w:cs="Times New Roman"/>
          <w:sz w:val="24"/>
          <w:szCs w:val="24"/>
        </w:rPr>
        <w:t xml:space="preserve"> finanšu plānošanu. </w:t>
      </w:r>
      <w:r w:rsidRPr="00A857F2">
        <w:rPr>
          <w:rFonts w:ascii="Times New Roman" w:hAnsi="Times New Roman" w:cs="Times New Roman"/>
          <w:sz w:val="24"/>
          <w:szCs w:val="24"/>
        </w:rPr>
        <w:t>Eksperta vērtējumā</w:t>
      </w:r>
      <w:r w:rsidRPr="007157D3">
        <w:rPr>
          <w:rStyle w:val="FootnoteReference"/>
          <w:rFonts w:ascii="Times New Roman" w:hAnsi="Times New Roman" w:cs="Times New Roman"/>
          <w:sz w:val="24"/>
          <w:szCs w:val="24"/>
        </w:rPr>
        <w:footnoteReference w:id="194"/>
      </w:r>
      <w:r w:rsidRPr="007157D3">
        <w:rPr>
          <w:rFonts w:ascii="Times New Roman" w:hAnsi="Times New Roman" w:cs="Times New Roman"/>
          <w:sz w:val="24"/>
          <w:szCs w:val="24"/>
        </w:rPr>
        <w:t>, pētāmā makrosimulācijas metožu izvēle Latvijas pensiju sistēmas analīzē no teorētiskā viedokļa ir pilnībā pamatota</w:t>
      </w:r>
      <w:r w:rsidRPr="002F5278">
        <w:rPr>
          <w:rFonts w:ascii="Times New Roman" w:hAnsi="Times New Roman" w:cs="Times New Roman"/>
          <w:sz w:val="24"/>
          <w:szCs w:val="24"/>
        </w:rPr>
        <w:t>, metodoloģija īstermiņa un vidēja termiņa prognozēm kopumā ir atbilstoša.  Taču modelis ir jāpilnvei</w:t>
      </w:r>
      <w:r w:rsidRPr="00573B49">
        <w:rPr>
          <w:rFonts w:ascii="Times New Roman" w:hAnsi="Times New Roman" w:cs="Times New Roman"/>
          <w:sz w:val="24"/>
          <w:szCs w:val="24"/>
        </w:rPr>
        <w:t>do vai jāizstrādā jauns, novēršot prognozēšanas un pieņēmumu radītās novirzes ilgtermiņa aprēķinos, pielietojot kombinētas ekspertu un statistiskās prognozes, kuras nepieciešams izmantot arī iestājoties būtiskām izmaiņām ekonomikas attīstībā, kā arī nosakot ikgadējās attīstības scenāriju parametru precizēšanu</w:t>
      </w:r>
      <w:r w:rsidR="000D01C5" w:rsidRPr="00573B49">
        <w:rPr>
          <w:rFonts w:ascii="Times New Roman" w:hAnsi="Times New Roman" w:cs="Times New Roman"/>
          <w:sz w:val="24"/>
          <w:szCs w:val="24"/>
        </w:rPr>
        <w:t>.</w:t>
      </w:r>
      <w:r w:rsidRPr="0025422D">
        <w:rPr>
          <w:rFonts w:ascii="Times New Roman" w:hAnsi="Times New Roman" w:cs="Times New Roman"/>
          <w:sz w:val="24"/>
          <w:szCs w:val="24"/>
        </w:rPr>
        <w:t>;</w:t>
      </w:r>
    </w:p>
    <w:p w14:paraId="1B91C3DB" w14:textId="7235DE1F" w:rsidR="00E03DDA" w:rsidRPr="0015154B" w:rsidRDefault="009E6FD8" w:rsidP="00B33541">
      <w:pPr>
        <w:spacing w:before="120" w:after="0" w:line="240" w:lineRule="auto"/>
        <w:jc w:val="both"/>
        <w:rPr>
          <w:rFonts w:ascii="Times New Roman" w:hAnsi="Times New Roman" w:cs="Times New Roman"/>
          <w:sz w:val="24"/>
          <w:szCs w:val="24"/>
        </w:rPr>
      </w:pPr>
      <w:r w:rsidRPr="00A857F2">
        <w:rPr>
          <w:rFonts w:ascii="Times New Roman" w:hAnsi="Times New Roman" w:cs="Times New Roman"/>
          <w:sz w:val="24"/>
          <w:szCs w:val="24"/>
        </w:rPr>
        <w:t xml:space="preserve">8) </w:t>
      </w:r>
      <w:r w:rsidR="00E03DDA" w:rsidRPr="00662D1E">
        <w:rPr>
          <w:rFonts w:ascii="Times New Roman" w:hAnsi="Times New Roman" w:cs="Times New Roman"/>
          <w:sz w:val="24"/>
          <w:szCs w:val="24"/>
        </w:rPr>
        <w:t xml:space="preserve">pēdējos gados Padomes Sociālās aizsardzības komiteja, Nodarbinātības komiteja un EK arvien lielāku uzmanību velta sociālās politikas dažādu aspektu uzraudzībai, pilnveidojot esošos </w:t>
      </w:r>
      <w:r w:rsidR="00E03DDA" w:rsidRPr="009703E6">
        <w:rPr>
          <w:rFonts w:ascii="Times New Roman" w:hAnsi="Times New Roman" w:cs="Times New Roman"/>
          <w:b/>
          <w:sz w:val="24"/>
          <w:szCs w:val="24"/>
        </w:rPr>
        <w:t>starptautiski s</w:t>
      </w:r>
      <w:r w:rsidR="00E03DDA" w:rsidRPr="0015154B">
        <w:rPr>
          <w:rFonts w:ascii="Times New Roman" w:hAnsi="Times New Roman" w:cs="Times New Roman"/>
          <w:b/>
          <w:sz w:val="24"/>
          <w:szCs w:val="24"/>
        </w:rPr>
        <w:t>alīdzināmos monitoringa ietvarus</w:t>
      </w:r>
      <w:r w:rsidR="00E03DDA" w:rsidRPr="0015154B">
        <w:rPr>
          <w:rFonts w:ascii="Times New Roman" w:hAnsi="Times New Roman" w:cs="Times New Roman"/>
          <w:sz w:val="24"/>
          <w:szCs w:val="24"/>
        </w:rPr>
        <w:t xml:space="preserve"> un instrumentus, kā arī izstrādājot virkni jaunu ietvaru un indikatoru dažādu ES līmeņa iniciatīvu ieviešanas uzraudzībai. Šī uzraudzības procesa ietvaros tiek pilnveidoti un izstrādāti tādi monitoringa ietvari kā, piemēram, Minimālā ienākuma salīdzinošais ietvars, Pensijas adekvātuma salī</w:t>
      </w:r>
      <w:r w:rsidR="00746FD8" w:rsidRPr="0015154B">
        <w:rPr>
          <w:rFonts w:ascii="Times New Roman" w:hAnsi="Times New Roman" w:cs="Times New Roman"/>
          <w:sz w:val="24"/>
          <w:szCs w:val="24"/>
        </w:rPr>
        <w:t>d</w:t>
      </w:r>
      <w:r w:rsidR="00E03DDA" w:rsidRPr="0015154B">
        <w:rPr>
          <w:rFonts w:ascii="Times New Roman" w:hAnsi="Times New Roman" w:cs="Times New Roman"/>
          <w:sz w:val="24"/>
          <w:szCs w:val="24"/>
        </w:rPr>
        <w:t xml:space="preserve">zinošais ietvars, Sociālās politikas snieguma monitors, Ilgtermiņa aprūpes salīdzinošais ietvars, </w:t>
      </w:r>
      <w:r w:rsidR="00D04FB4" w:rsidRPr="0015154B">
        <w:rPr>
          <w:rFonts w:ascii="Times New Roman" w:hAnsi="Times New Roman" w:cs="Times New Roman"/>
          <w:sz w:val="24"/>
          <w:szCs w:val="24"/>
        </w:rPr>
        <w:t>Monitoringa ietvars Padomes 2019.gada 8.novembra ieteikumam par darbinieku un pašnodarbināto personu piekļuvi sociālajai aizsardzībai (2019/C 387/01)</w:t>
      </w:r>
      <w:r w:rsidR="00E03DDA" w:rsidRPr="0015154B">
        <w:rPr>
          <w:rFonts w:ascii="Times New Roman" w:hAnsi="Times New Roman" w:cs="Times New Roman"/>
          <w:sz w:val="24"/>
          <w:szCs w:val="24"/>
        </w:rPr>
        <w:t xml:space="preserve">, Monitoringa ietvars </w:t>
      </w:r>
      <w:r w:rsidR="00D04FB4" w:rsidRPr="0015154B">
        <w:rPr>
          <w:rFonts w:ascii="Times New Roman" w:hAnsi="Times New Roman" w:cs="Times New Roman"/>
          <w:sz w:val="24"/>
          <w:szCs w:val="24"/>
        </w:rPr>
        <w:t>Eiropas Parlamenta un Padomes 2019. gada 20. jūnija direktīva 2019/1158 par darba un privātās dzīves līdzsvaru vecākiem un aprūpētājiem un ar ko atceļ Padomes Direktīvu 2010/18/ES</w:t>
      </w:r>
      <w:r w:rsidR="00E03DDA" w:rsidRPr="0015154B">
        <w:rPr>
          <w:rFonts w:ascii="Times New Roman" w:hAnsi="Times New Roman" w:cs="Times New Roman"/>
          <w:sz w:val="24"/>
          <w:szCs w:val="24"/>
        </w:rPr>
        <w:t xml:space="preserve"> ieviešanas uzraudzībai, Bērnu aprūpes un atbalsta bērniem salīdzinošais ietvars</w:t>
      </w:r>
      <w:r w:rsidR="00891BDC" w:rsidRPr="0015154B">
        <w:rPr>
          <w:rFonts w:ascii="Times New Roman" w:hAnsi="Times New Roman" w:cs="Times New Roman"/>
          <w:sz w:val="24"/>
          <w:szCs w:val="24"/>
        </w:rPr>
        <w:t>, iespēju nevienlīdzības indikatori</w:t>
      </w:r>
      <w:r w:rsidR="00E03DDA" w:rsidRPr="0015154B">
        <w:rPr>
          <w:rFonts w:ascii="Times New Roman" w:hAnsi="Times New Roman" w:cs="Times New Roman"/>
          <w:sz w:val="24"/>
          <w:szCs w:val="24"/>
        </w:rPr>
        <w:t xml:space="preserve">. Iepriekšminētie instrumenti kalpo kā pamats Latvijas snieguma salīdzinošai vērtēšanai </w:t>
      </w:r>
      <w:r w:rsidR="00723D6F" w:rsidRPr="0015154B">
        <w:rPr>
          <w:rFonts w:ascii="Times New Roman" w:hAnsi="Times New Roman" w:cs="Times New Roman"/>
          <w:sz w:val="24"/>
          <w:szCs w:val="24"/>
        </w:rPr>
        <w:t>ES līmenī</w:t>
      </w:r>
      <w:r w:rsidR="00E03DDA" w:rsidRPr="0015154B">
        <w:rPr>
          <w:rFonts w:ascii="Times New Roman" w:hAnsi="Times New Roman" w:cs="Times New Roman"/>
          <w:sz w:val="24"/>
          <w:szCs w:val="24"/>
        </w:rPr>
        <w:t>, specifisko valsts rekomendāciju izstrādei</w:t>
      </w:r>
      <w:r w:rsidR="00723D6F" w:rsidRPr="0015154B">
        <w:rPr>
          <w:rFonts w:ascii="Times New Roman" w:hAnsi="Times New Roman" w:cs="Times New Roman"/>
          <w:sz w:val="24"/>
          <w:szCs w:val="24"/>
        </w:rPr>
        <w:t xml:space="preserve"> u.tml. Šis darbs tiešā veidā skar ES dalībvalstis, to administratīvajos reģistros uzkrājamo datu vākšanu un kvalitātes pilnveidošanu, sadarbību ar nacionālām statistikas institūcijām apsekojumu metodoloģiju uzlabošanā, regulāru datu sniegšanu EK un citām starptautiskām institūcijām;</w:t>
      </w:r>
    </w:p>
    <w:p w14:paraId="68FB15E7" w14:textId="54CF0980" w:rsidR="007716BD" w:rsidRPr="007157D3" w:rsidRDefault="007716BD" w:rsidP="00B33541">
      <w:p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lastRenderedPageBreak/>
        <w:t xml:space="preserve">9) nepieciešams precīzāk formulēt </w:t>
      </w:r>
      <w:r w:rsidRPr="0015154B">
        <w:rPr>
          <w:rFonts w:ascii="Times New Roman" w:hAnsi="Times New Roman" w:cs="Times New Roman"/>
          <w:b/>
          <w:sz w:val="24"/>
          <w:szCs w:val="24"/>
        </w:rPr>
        <w:t>datu izmantošanas mērķus</w:t>
      </w:r>
      <w:r w:rsidRPr="0015154B">
        <w:rPr>
          <w:rFonts w:ascii="Times New Roman" w:hAnsi="Times New Roman" w:cs="Times New Roman"/>
          <w:sz w:val="24"/>
          <w:szCs w:val="24"/>
        </w:rPr>
        <w:t>, piemēram, līdz šim nav ticis pilnībā izvērtēts, kādi dati par vardarbības izplatību ir nepieciešami rīcībpolitikas veidošanai un kādi ir uzkrāto datu izmantošanas mērķi. Tas ļautu visām datu uzkrāšanā un apkopošanā iesaistītajām pusēm</w:t>
      </w:r>
      <w:r w:rsidR="00B83815" w:rsidRPr="0015154B">
        <w:rPr>
          <w:rFonts w:ascii="Times New Roman" w:hAnsi="Times New Roman" w:cs="Times New Roman"/>
          <w:sz w:val="24"/>
          <w:szCs w:val="24"/>
        </w:rPr>
        <w:t xml:space="preserve"> izvērtēt apstākļus, kas ietekmē datu izmaiņas un arī labāk analizēt konkrētu pasākumu ievieš</w:t>
      </w:r>
      <w:r w:rsidR="00257C51">
        <w:rPr>
          <w:rFonts w:ascii="Times New Roman" w:hAnsi="Times New Roman" w:cs="Times New Roman"/>
          <w:sz w:val="24"/>
          <w:szCs w:val="24"/>
        </w:rPr>
        <w:t>a</w:t>
      </w:r>
      <w:r w:rsidR="00B83815" w:rsidRPr="0015154B">
        <w:rPr>
          <w:rFonts w:ascii="Times New Roman" w:hAnsi="Times New Roman" w:cs="Times New Roman"/>
          <w:sz w:val="24"/>
          <w:szCs w:val="24"/>
        </w:rPr>
        <w:t>nas rezultātus.</w:t>
      </w:r>
      <w:r w:rsidR="00B83815" w:rsidRPr="007157D3">
        <w:rPr>
          <w:rStyle w:val="FootnoteReference"/>
          <w:rFonts w:ascii="Times New Roman" w:hAnsi="Times New Roman" w:cs="Times New Roman"/>
          <w:sz w:val="24"/>
          <w:szCs w:val="24"/>
        </w:rPr>
        <w:footnoteReference w:id="195"/>
      </w:r>
    </w:p>
    <w:p w14:paraId="51C00F70" w14:textId="1EA6079E" w:rsidR="009E6FD8" w:rsidRPr="007157D3" w:rsidRDefault="009E6FD8" w:rsidP="00B33541">
      <w:pPr>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Ņemot vērā iepriekš identificētos trūkumus, sociālās aizsardzības un darba tirgus politikas plānošanas, koordinēšanas un uzraudzības uzlabošanai nepieciešams:</w:t>
      </w:r>
    </w:p>
    <w:p w14:paraId="501D10BB" w14:textId="77777777" w:rsidR="009E6FD8" w:rsidRPr="00573B49" w:rsidRDefault="009E6FD8" w:rsidP="00D64BCA">
      <w:pPr>
        <w:pStyle w:val="ListParagraph"/>
        <w:numPr>
          <w:ilvl w:val="0"/>
          <w:numId w:val="74"/>
        </w:numPr>
        <w:spacing w:before="120" w:after="0" w:line="240" w:lineRule="auto"/>
        <w:jc w:val="both"/>
        <w:rPr>
          <w:rFonts w:ascii="Times New Roman" w:hAnsi="Times New Roman" w:cs="Times New Roman"/>
          <w:sz w:val="24"/>
          <w:szCs w:val="24"/>
        </w:rPr>
      </w:pPr>
      <w:r w:rsidRPr="007157D3">
        <w:rPr>
          <w:rFonts w:ascii="Times New Roman" w:hAnsi="Times New Roman" w:cs="Times New Roman"/>
          <w:sz w:val="24"/>
          <w:szCs w:val="24"/>
        </w:rPr>
        <w:t>nodrošināt pilnīgu un aktuālu informāciju par visām nabadzības un/va</w:t>
      </w:r>
      <w:r w:rsidRPr="002F5278">
        <w:rPr>
          <w:rFonts w:ascii="Times New Roman" w:hAnsi="Times New Roman" w:cs="Times New Roman"/>
          <w:sz w:val="24"/>
          <w:szCs w:val="24"/>
        </w:rPr>
        <w:t>i sociālās atstumtības riskam pakļautajām iedzīvotāju grupām, sadarbībā ar iesaistītajām institūcijām v</w:t>
      </w:r>
      <w:r w:rsidRPr="00573B49">
        <w:rPr>
          <w:rFonts w:ascii="Times New Roman" w:hAnsi="Times New Roman" w:cs="Times New Roman"/>
          <w:sz w:val="24"/>
          <w:szCs w:val="24"/>
        </w:rPr>
        <w:t>ienojoties par atbilstošākajām datu iegūšanas metodēm un avotiem;</w:t>
      </w:r>
    </w:p>
    <w:p w14:paraId="0617B5FF" w14:textId="77777777" w:rsidR="009E6FD8" w:rsidRPr="00573B49" w:rsidRDefault="009E6FD8" w:rsidP="00D64BCA">
      <w:pPr>
        <w:pStyle w:val="ListParagraph"/>
        <w:numPr>
          <w:ilvl w:val="0"/>
          <w:numId w:val="74"/>
        </w:numPr>
        <w:spacing w:before="120" w:after="0" w:line="240" w:lineRule="auto"/>
        <w:jc w:val="both"/>
        <w:rPr>
          <w:rFonts w:ascii="Times New Roman" w:hAnsi="Times New Roman" w:cs="Times New Roman"/>
          <w:sz w:val="24"/>
          <w:szCs w:val="24"/>
        </w:rPr>
      </w:pPr>
      <w:r w:rsidRPr="00573B49">
        <w:rPr>
          <w:rFonts w:ascii="Times New Roman" w:hAnsi="Times New Roman" w:cs="Times New Roman"/>
          <w:sz w:val="24"/>
          <w:szCs w:val="24"/>
        </w:rPr>
        <w:t>pilnveidot sociālās aizsardzības un darba tirgus politikas plānošanā un prognozēšanā izmantojamos tehnoloģiskos rīkus, datu analītiskās apstrādes modeļus un statistiskās metodes;</w:t>
      </w:r>
    </w:p>
    <w:p w14:paraId="43840458" w14:textId="7FC2028F" w:rsidR="009E6FD8" w:rsidRPr="0025422D" w:rsidRDefault="00086E8E" w:rsidP="00D64BCA">
      <w:pPr>
        <w:pStyle w:val="ListParagraph"/>
        <w:numPr>
          <w:ilvl w:val="0"/>
          <w:numId w:val="74"/>
        </w:numPr>
        <w:spacing w:before="120" w:after="0" w:line="240" w:lineRule="auto"/>
        <w:jc w:val="both"/>
        <w:rPr>
          <w:rFonts w:ascii="Times New Roman" w:hAnsi="Times New Roman" w:cs="Times New Roman"/>
          <w:sz w:val="24"/>
          <w:szCs w:val="24"/>
        </w:rPr>
      </w:pPr>
      <w:r w:rsidRPr="00573B49">
        <w:rPr>
          <w:rFonts w:ascii="Times New Roman" w:hAnsi="Times New Roman" w:cs="Times New Roman"/>
          <w:sz w:val="24"/>
          <w:szCs w:val="24"/>
        </w:rPr>
        <w:t>nodrošināt administratīvajos reģistros uzkrāto datu regulāru pilnveidošanu, kvalitātes uzlabošanu, pieejamību politikas plānošanai un uzraudzībai nepieciešamajos datu griezumos un regularitātē.</w:t>
      </w:r>
    </w:p>
    <w:p w14:paraId="3AAA00F9" w14:textId="26F42A00" w:rsidR="00D51782" w:rsidRPr="00A857F2" w:rsidRDefault="00D51782" w:rsidP="000869E6">
      <w:pPr>
        <w:spacing w:after="0" w:line="240" w:lineRule="auto"/>
        <w:jc w:val="both"/>
        <w:rPr>
          <w:rFonts w:ascii="Times New Roman" w:hAnsi="Times New Roman" w:cs="Times New Roman"/>
          <w:sz w:val="24"/>
          <w:szCs w:val="24"/>
          <w:highlight w:val="cyan"/>
        </w:rPr>
      </w:pPr>
    </w:p>
    <w:p w14:paraId="17D4FD9A" w14:textId="5281D8A7" w:rsidR="00091A4E" w:rsidRPr="00662D1E" w:rsidRDefault="00C504E4" w:rsidP="00DA5144">
      <w:pPr>
        <w:pStyle w:val="Heading2"/>
      </w:pPr>
      <w:bookmarkStart w:id="100" w:name="_Toc55316125"/>
      <w:r>
        <w:t xml:space="preserve"> </w:t>
      </w:r>
      <w:r w:rsidR="00091A4E" w:rsidRPr="00662D1E">
        <w:t>Integrētās pieejas nodrošināšana politikas veidošanas procesos</w:t>
      </w:r>
      <w:bookmarkEnd w:id="100"/>
    </w:p>
    <w:p w14:paraId="01225475" w14:textId="77777777" w:rsidR="00091A4E" w:rsidRPr="0015154B" w:rsidRDefault="00091A4E" w:rsidP="00B33541">
      <w:pPr>
        <w:widowControl w:val="0"/>
        <w:spacing w:before="120" w:after="0" w:line="240" w:lineRule="auto"/>
        <w:ind w:firstLine="720"/>
        <w:jc w:val="both"/>
        <w:rPr>
          <w:rFonts w:ascii="Times New Roman" w:hAnsi="Times New Roman" w:cs="Times New Roman"/>
          <w:sz w:val="24"/>
          <w:szCs w:val="24"/>
        </w:rPr>
      </w:pPr>
      <w:r w:rsidRPr="009703E6">
        <w:rPr>
          <w:rFonts w:ascii="Times New Roman" w:hAnsi="Times New Roman" w:cs="Times New Roman"/>
          <w:sz w:val="24"/>
          <w:szCs w:val="24"/>
        </w:rPr>
        <w:t>Politikas</w:t>
      </w:r>
      <w:r w:rsidRPr="0015154B">
        <w:rPr>
          <w:rFonts w:ascii="Times New Roman" w:hAnsi="Times New Roman" w:cs="Times New Roman"/>
          <w:sz w:val="24"/>
          <w:szCs w:val="24"/>
        </w:rPr>
        <w:t xml:space="preserve"> plānošana, ieviešana un novērtēšana dažādās nozarēs norit atšķirīgi – to ietekmē katras nozares īpatnības, identificētie izaicinājumi un izvirzītie mērķi. Vienlaikus ikvienā politikas nozarē nepieciešams ņemt vērā t.s. horizontālos principus. Labklājības ministrijas pārraudzībā ir vienlīdzīgu iespēju princips, kas paredz pienākumu politikas plānošanā, ieviešanā un uzraudzībā iesaistītajiem ekspertiem nodrošināt, ka tiek ņemtas vērā ikvienas personas vajadzības neatkarīgi no dzimuma, vecuma un veselības stāvokļa (invaliditātes). Tas nozīmē, ka, piemēram, novērtējot izglītības pieejamību reģionos, tiek vērtēta nepieciešamība pēc specifiskiem atbalsta pasākumiem, kas veicina personu ar invaliditāti izglītības iespējas.</w:t>
      </w:r>
    </w:p>
    <w:p w14:paraId="1D0ECD9E" w14:textId="613445BD" w:rsidR="00091A4E" w:rsidRPr="0015154B" w:rsidRDefault="00091A4E" w:rsidP="00B33541">
      <w:pPr>
        <w:widowControl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Sociālās aizsardzības un nodarbinātības politikā vienlīdzīgu iespēju principam tiek pievērsta pastiprināta uzmanība, vērtējot, piemēram, vecuma grupas, kuras bezdarba riskam ir pakļautas vairāk nekā pārējā sabiedrība, vai īstenojot pasākumus, kas </w:t>
      </w:r>
      <w:r w:rsidR="00BD0FCB">
        <w:rPr>
          <w:rFonts w:ascii="Times New Roman" w:hAnsi="Times New Roman" w:cs="Times New Roman"/>
          <w:sz w:val="24"/>
          <w:szCs w:val="24"/>
        </w:rPr>
        <w:t>mazina</w:t>
      </w:r>
      <w:r w:rsidRPr="0015154B">
        <w:rPr>
          <w:rFonts w:ascii="Times New Roman" w:hAnsi="Times New Roman" w:cs="Times New Roman"/>
          <w:sz w:val="24"/>
          <w:szCs w:val="24"/>
        </w:rPr>
        <w:t xml:space="preserve"> stereotipus par sievietēm un vīriešiem atbilstošu uzvedību, kas tālāk ietekmē gan personu izglītības un karjeras izvēles, gan arī attieksmi pret lomu un iesaisti mājsaimniecības un ģimenes locekļu aprūpes pienākumu veikšanā, tāpat arī izpratni par sieviešu un vīriešu savstarpējām attiecībām, uztverot tās par hierarhiskām vai līdztiesīgām. </w:t>
      </w:r>
    </w:p>
    <w:p w14:paraId="0D35CA1C" w14:textId="77777777" w:rsidR="00373BB8" w:rsidRPr="0015154B" w:rsidRDefault="00091A4E" w:rsidP="00B33541">
      <w:pPr>
        <w:widowControl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Politikas plānošanā, ieviešanā un novērtēšanā iesaistīto ekspertu uzdevums ir iespējami mazināt dažādu sabiedrības grupu atšķirības attiecībā uz piekļuvi precēm un pakalpojumiem, tostarp valsts un pašvaldību atbalsta pasākumiem, nodrošinot, ka ikvienam ir ne vien tiesiskas, bet arī faktiskas iespējas realizēt savu potenciālu jebkurā dzīves jomā neatkarīgi no dzimuma, vecuma un invaliditātes, kā arī citām pazīmēm.</w:t>
      </w:r>
    </w:p>
    <w:p w14:paraId="5BF2FA51" w14:textId="5723A31F" w:rsidR="00091A4E" w:rsidRPr="0015154B" w:rsidRDefault="00091A4E" w:rsidP="00091A4E">
      <w:pPr>
        <w:widowControl w:val="0"/>
        <w:spacing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 </w:t>
      </w:r>
    </w:p>
    <w:p w14:paraId="1379EB8E" w14:textId="42693DD3" w:rsidR="00091A4E" w:rsidRPr="0015154B" w:rsidRDefault="00091A4E" w:rsidP="001101F7">
      <w:pPr>
        <w:pStyle w:val="Heading3"/>
      </w:pPr>
      <w:bookmarkStart w:id="101" w:name="_Toc55316126"/>
      <w:r w:rsidRPr="0015154B">
        <w:t>Vienlīdzīgu iespēju integrēta pieeja</w:t>
      </w:r>
      <w:bookmarkEnd w:id="101"/>
    </w:p>
    <w:p w14:paraId="4617FA45" w14:textId="4CF88E08" w:rsidR="006B7505" w:rsidRDefault="006B7505" w:rsidP="00B33541">
      <w:pPr>
        <w:widowControl w:val="0"/>
        <w:spacing w:before="120" w:after="0" w:line="240" w:lineRule="auto"/>
        <w:ind w:firstLine="720"/>
        <w:jc w:val="both"/>
        <w:rPr>
          <w:rFonts w:ascii="Times New Roman" w:hAnsi="Times New Roman" w:cs="Times New Roman"/>
          <w:sz w:val="24"/>
          <w:szCs w:val="24"/>
        </w:rPr>
      </w:pPr>
      <w:r w:rsidRPr="006B7505">
        <w:rPr>
          <w:rFonts w:ascii="Times New Roman" w:hAnsi="Times New Roman" w:cs="Times New Roman"/>
          <w:sz w:val="24"/>
          <w:szCs w:val="24"/>
        </w:rPr>
        <w:t xml:space="preserve">Latvija dzimumu līdztiesības nodrošināšanai ir izvēlējusies integrēto pieeju, kas nozīmē, ka dzimumu līdztiesība uzlūkojama kā horizontāls princips, kas iekļaujas visās valstī </w:t>
      </w:r>
      <w:r w:rsidRPr="006B7505">
        <w:rPr>
          <w:rFonts w:ascii="Times New Roman" w:hAnsi="Times New Roman" w:cs="Times New Roman"/>
          <w:sz w:val="24"/>
          <w:szCs w:val="24"/>
        </w:rPr>
        <w:lastRenderedPageBreak/>
        <w:t xml:space="preserve">definētajās nozaru politikās (aizsardzības, ārlietu, ekonomikas, finanšu, iekšlietu, izglītības, zinātnes, kultūras, labklājības, satiksmes, tieslietu, veselības, vides aizsardzības, reģionālās attīstības un zemkopības politika) visos to izstrādes un īstenošanas posmos, iesaistot visas ieinteresētās puses un sadarbības partnerus. Dzimumu līdztiesības integrētās pieejas īstenošana praksē nodrošina, ka no valsts ekonomiskās izaugsmes iegūst ikviens sabiedrības loceklis un ka dažādās jomās veiktie izvērtējumi un noteiktās prioritātes ir balstītas, ievērojot sieviešu un vīriešu vienlīdzīgu tiesību un iespēju principu. </w:t>
      </w:r>
    </w:p>
    <w:p w14:paraId="474E5497" w14:textId="639E2C57" w:rsidR="00091A4E" w:rsidRPr="007157D3" w:rsidRDefault="00091A4E" w:rsidP="00B33541">
      <w:pPr>
        <w:widowControl w:val="0"/>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2001.gada 16.oktobrī MK apstiprināja</w:t>
      </w:r>
      <w:r w:rsidRPr="007157D3">
        <w:rPr>
          <w:rStyle w:val="FootnoteReference"/>
          <w:rFonts w:ascii="Times New Roman" w:hAnsi="Times New Roman" w:cs="Times New Roman"/>
          <w:sz w:val="24"/>
          <w:szCs w:val="24"/>
        </w:rPr>
        <w:footnoteReference w:id="196"/>
      </w:r>
      <w:r w:rsidRPr="007157D3">
        <w:rPr>
          <w:rFonts w:ascii="Times New Roman" w:hAnsi="Times New Roman" w:cs="Times New Roman"/>
          <w:sz w:val="24"/>
          <w:szCs w:val="24"/>
        </w:rPr>
        <w:t xml:space="preserve"> Koncepciju dzimumu līdztiesības īstenošanai</w:t>
      </w:r>
      <w:r w:rsidRPr="007157D3">
        <w:rPr>
          <w:rStyle w:val="FootnoteReference"/>
          <w:rFonts w:ascii="Times New Roman" w:hAnsi="Times New Roman" w:cs="Times New Roman"/>
          <w:sz w:val="24"/>
          <w:szCs w:val="24"/>
        </w:rPr>
        <w:footnoteReference w:id="197"/>
      </w:r>
      <w:r w:rsidRPr="007157D3">
        <w:rPr>
          <w:rFonts w:ascii="Times New Roman" w:hAnsi="Times New Roman" w:cs="Times New Roman"/>
          <w:sz w:val="24"/>
          <w:szCs w:val="24"/>
        </w:rPr>
        <w:t xml:space="preserve"> (turpmāk – Koncepcija), kurā tika izvirzīts mērķis veicināt dzimumu līdztiesības jautājumu efektīvu, integrētu un koordinētu risināšanu. Mērķa sasniegšanai tika izvirzīti divi uzdevumi: iezīmēt prioritāri risināmās problēmas dzimumu līdztiesības jomā Latvijā un izveidot valsts pārvaldes institūciju pieejas ietvaru identificēto problēmjautājumu efektīvai risināšanai. Koncepcija bija pirmais politikas plānošanas dokuments sieviešu un vīriešu vienlīdzīgu tiesību un iespēju veicināšanā, turpmākos 20 gadus kalpojot par pamatu plānveida politikai</w:t>
      </w:r>
      <w:r w:rsidRPr="007157D3">
        <w:rPr>
          <w:rStyle w:val="FootnoteReference"/>
          <w:rFonts w:ascii="Times New Roman" w:hAnsi="Times New Roman" w:cs="Times New Roman"/>
          <w:sz w:val="24"/>
          <w:szCs w:val="24"/>
        </w:rPr>
        <w:footnoteReference w:id="198"/>
      </w:r>
      <w:r w:rsidRPr="007157D3">
        <w:rPr>
          <w:rFonts w:ascii="Times New Roman" w:hAnsi="Times New Roman" w:cs="Times New Roman"/>
          <w:sz w:val="24"/>
          <w:szCs w:val="24"/>
        </w:rPr>
        <w:t xml:space="preserve">, kā arī politikas pasākumiem un likumu iniciatīvām līdztiesības veicināšanai sabiedrībā.  </w:t>
      </w:r>
    </w:p>
    <w:p w14:paraId="231012ED" w14:textId="77777777" w:rsidR="00091A4E" w:rsidRPr="007157D3" w:rsidRDefault="00091A4E" w:rsidP="00B33541">
      <w:pPr>
        <w:widowControl w:val="0"/>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Koncepcijā tika izvirzītas noteiktas jomas, kurās ekspertu vērtējumā dzimumu līdztiesība tobrīd tika nodrošināta nepietiekami:</w:t>
      </w:r>
    </w:p>
    <w:p w14:paraId="3AB2E16B" w14:textId="77777777" w:rsidR="00091A4E" w:rsidRPr="00573B49" w:rsidRDefault="00091A4E" w:rsidP="00BD0FCB">
      <w:pPr>
        <w:pStyle w:val="ListParagraph"/>
        <w:widowControl w:val="0"/>
        <w:numPr>
          <w:ilvl w:val="0"/>
          <w:numId w:val="26"/>
        </w:numPr>
        <w:tabs>
          <w:tab w:val="left" w:pos="284"/>
        </w:tabs>
        <w:spacing w:before="120" w:after="0" w:line="240" w:lineRule="auto"/>
        <w:ind w:left="0" w:firstLine="0"/>
        <w:contextualSpacing w:val="0"/>
        <w:jc w:val="both"/>
        <w:rPr>
          <w:rFonts w:ascii="Times New Roman" w:hAnsi="Times New Roman" w:cs="Times New Roman"/>
          <w:sz w:val="24"/>
          <w:szCs w:val="24"/>
        </w:rPr>
      </w:pPr>
      <w:r w:rsidRPr="00BD0FCB">
        <w:rPr>
          <w:rFonts w:ascii="Times New Roman" w:hAnsi="Times New Roman" w:cs="Times New Roman"/>
          <w:b/>
          <w:color w:val="002060"/>
          <w:sz w:val="24"/>
          <w:szCs w:val="24"/>
        </w:rPr>
        <w:t>makroekonomiskā politika</w:t>
      </w:r>
      <w:r w:rsidRPr="00BD0FCB">
        <w:rPr>
          <w:rFonts w:ascii="Times New Roman" w:hAnsi="Times New Roman" w:cs="Times New Roman"/>
          <w:color w:val="002060"/>
          <w:sz w:val="24"/>
          <w:szCs w:val="24"/>
        </w:rPr>
        <w:t xml:space="preserve"> </w:t>
      </w:r>
      <w:r w:rsidRPr="00573B49">
        <w:rPr>
          <w:rFonts w:ascii="Times New Roman" w:hAnsi="Times New Roman" w:cs="Times New Roman"/>
          <w:sz w:val="24"/>
          <w:szCs w:val="24"/>
        </w:rPr>
        <w:t>(vertikālā segregācija darba tirgū, sieviešu un vīriešu darba samaksas atšķirība, viena dzimuma pārsvars mazo un vidējo uzņēmumu valdēs, izteikts vīriešu un sieviešu pārsvars noteiktās profesijās, nelīdzsvarota mājsaimniecības un ģimenes locekļu aprūpes pienākumu sadale starp mājsaimniecībā dzīvojošām sievietēm un vīriešiem);</w:t>
      </w:r>
    </w:p>
    <w:p w14:paraId="7B7E9F1B" w14:textId="77777777" w:rsidR="00091A4E" w:rsidRPr="00A857F2" w:rsidRDefault="00091A4E" w:rsidP="00BD0FCB">
      <w:pPr>
        <w:pStyle w:val="ListParagraph"/>
        <w:widowControl w:val="0"/>
        <w:numPr>
          <w:ilvl w:val="0"/>
          <w:numId w:val="26"/>
        </w:numPr>
        <w:tabs>
          <w:tab w:val="left" w:pos="284"/>
        </w:tabs>
        <w:spacing w:before="120" w:after="0" w:line="240" w:lineRule="auto"/>
        <w:ind w:left="0" w:firstLine="0"/>
        <w:contextualSpacing w:val="0"/>
        <w:jc w:val="both"/>
        <w:rPr>
          <w:rFonts w:ascii="Times New Roman" w:hAnsi="Times New Roman" w:cs="Times New Roman"/>
          <w:sz w:val="24"/>
          <w:szCs w:val="24"/>
        </w:rPr>
      </w:pPr>
      <w:r w:rsidRPr="00BD0FCB">
        <w:rPr>
          <w:rFonts w:ascii="Times New Roman" w:hAnsi="Times New Roman" w:cs="Times New Roman"/>
          <w:b/>
          <w:color w:val="002060"/>
          <w:sz w:val="24"/>
          <w:szCs w:val="24"/>
        </w:rPr>
        <w:t>līdzdalības un pārstāvniecības līdztiesība</w:t>
      </w:r>
      <w:r w:rsidRPr="0025422D">
        <w:rPr>
          <w:rFonts w:ascii="Times New Roman" w:hAnsi="Times New Roman" w:cs="Times New Roman"/>
          <w:sz w:val="24"/>
          <w:szCs w:val="24"/>
        </w:rPr>
        <w:t xml:space="preserve"> (izteikts vīriešu pārsvars politiskajās partijā</w:t>
      </w:r>
      <w:r w:rsidRPr="00A857F2">
        <w:rPr>
          <w:rFonts w:ascii="Times New Roman" w:hAnsi="Times New Roman" w:cs="Times New Roman"/>
          <w:sz w:val="24"/>
          <w:szCs w:val="24"/>
        </w:rPr>
        <w:t>s un attiecīgi arī valsts un pašvaldību deputātu, kā arī ministru vidū; vertikālā segregācija valsts civildienestā);</w:t>
      </w:r>
    </w:p>
    <w:p w14:paraId="43AADBD3" w14:textId="77777777" w:rsidR="00091A4E" w:rsidRPr="009703E6" w:rsidRDefault="00091A4E" w:rsidP="00BD0FCB">
      <w:pPr>
        <w:pStyle w:val="ListParagraph"/>
        <w:widowControl w:val="0"/>
        <w:numPr>
          <w:ilvl w:val="0"/>
          <w:numId w:val="26"/>
        </w:numPr>
        <w:tabs>
          <w:tab w:val="left" w:pos="284"/>
        </w:tabs>
        <w:spacing w:before="120" w:after="0" w:line="240" w:lineRule="auto"/>
        <w:ind w:left="0" w:firstLine="0"/>
        <w:contextualSpacing w:val="0"/>
        <w:jc w:val="both"/>
        <w:rPr>
          <w:rFonts w:ascii="Times New Roman" w:hAnsi="Times New Roman" w:cs="Times New Roman"/>
          <w:sz w:val="24"/>
          <w:szCs w:val="24"/>
        </w:rPr>
      </w:pPr>
      <w:r w:rsidRPr="00BD0FCB">
        <w:rPr>
          <w:rFonts w:ascii="Times New Roman" w:hAnsi="Times New Roman" w:cs="Times New Roman"/>
          <w:b/>
          <w:color w:val="002060"/>
          <w:sz w:val="24"/>
          <w:szCs w:val="24"/>
        </w:rPr>
        <w:t>līdztiesība sociālajā dzīvē</w:t>
      </w:r>
      <w:r w:rsidRPr="009703E6">
        <w:rPr>
          <w:rFonts w:ascii="Times New Roman" w:hAnsi="Times New Roman" w:cs="Times New Roman"/>
          <w:sz w:val="24"/>
          <w:szCs w:val="24"/>
        </w:rPr>
        <w:t>, atsevišķi izceļot</w:t>
      </w:r>
    </w:p>
    <w:p w14:paraId="0CC001CD" w14:textId="77777777" w:rsidR="00091A4E" w:rsidRPr="0015154B" w:rsidRDefault="00091A4E" w:rsidP="00BD0FCB">
      <w:pPr>
        <w:pStyle w:val="ListParagraph"/>
        <w:widowControl w:val="0"/>
        <w:numPr>
          <w:ilvl w:val="0"/>
          <w:numId w:val="75"/>
        </w:numPr>
        <w:tabs>
          <w:tab w:val="left" w:pos="284"/>
        </w:tabs>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izglītību (izteikts sieviešu pārsvars mācībspēka vidū, augsts mācības nepabeigušo zēnu skaits, vecuma ierobežojumi doktorantūras stipendiju saņemšanai, tādējādi netieši diskriminējot studentes, kas devušās mācību pārtraukumā grūtniecības un bērna kopšanas dēļ; vertikālā segregācija akadēmiskajā mācībspēkā);</w:t>
      </w:r>
    </w:p>
    <w:p w14:paraId="3D11C846" w14:textId="77777777" w:rsidR="00091A4E" w:rsidRPr="0015154B" w:rsidRDefault="00091A4E" w:rsidP="00BD0FCB">
      <w:pPr>
        <w:pStyle w:val="ListParagraph"/>
        <w:widowControl w:val="0"/>
        <w:numPr>
          <w:ilvl w:val="0"/>
          <w:numId w:val="75"/>
        </w:numPr>
        <w:tabs>
          <w:tab w:val="left" w:pos="284"/>
        </w:tabs>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monetāro labklājību (augsts nabadzības risks sievietēm, jo īpaši sievietēm, kurām ir bērni; zems atalgojums sievietēm un līdz ar to arī sievietēm un vīriešiem izmaksātās vecuma pensijas apmēra atšķirība);</w:t>
      </w:r>
    </w:p>
    <w:p w14:paraId="6E3D051C" w14:textId="0161B634" w:rsidR="00091A4E" w:rsidRPr="0015154B" w:rsidRDefault="00091A4E" w:rsidP="00BD0FCB">
      <w:pPr>
        <w:pStyle w:val="ListParagraph"/>
        <w:widowControl w:val="0"/>
        <w:numPr>
          <w:ilvl w:val="0"/>
          <w:numId w:val="75"/>
        </w:numPr>
        <w:tabs>
          <w:tab w:val="left" w:pos="284"/>
        </w:tabs>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veselību (izteikti zem</w:t>
      </w:r>
      <w:r w:rsidR="00CA0136">
        <w:rPr>
          <w:rFonts w:ascii="Times New Roman" w:hAnsi="Times New Roman" w:cs="Times New Roman"/>
          <w:sz w:val="24"/>
          <w:szCs w:val="24"/>
        </w:rPr>
        <w:t>ai</w:t>
      </w:r>
      <w:r w:rsidRPr="0015154B">
        <w:rPr>
          <w:rFonts w:ascii="Times New Roman" w:hAnsi="Times New Roman" w:cs="Times New Roman"/>
          <w:sz w:val="24"/>
          <w:szCs w:val="24"/>
        </w:rPr>
        <w:t>s vidējais paredzamais mūža ilgums vīriešiem, augsts ārējo nāves cēloņu izraisīts vīriešu mirstības līmenis, vīriešu īpatsvars atkarību izraisošo vielu lietotāju vidū, vīriešu zemā iniciatīva vērsties pie ārstiem profilaktisku un nepieciešamu pārbaužu un manipulāciju veikšanai);</w:t>
      </w:r>
    </w:p>
    <w:p w14:paraId="35FA01A7" w14:textId="77777777" w:rsidR="00091A4E" w:rsidRPr="0015154B" w:rsidRDefault="00091A4E" w:rsidP="00BD0FCB">
      <w:pPr>
        <w:pStyle w:val="ListParagraph"/>
        <w:widowControl w:val="0"/>
        <w:numPr>
          <w:ilvl w:val="0"/>
          <w:numId w:val="75"/>
        </w:numPr>
        <w:tabs>
          <w:tab w:val="left" w:pos="284"/>
        </w:tabs>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vardarbību un seksuālo uzmākšanos (augstie ar dzimumu saistītas vardarbības rādītāji, jo īpaši attiecībā uz sievietēm, kas cietušas no tuva ģimenes locekļa (visbiežāk vīrieša) veiktas vardarbības; sieviešu tirdzniecība un ekspluatācija, jo īpaši seksuālu pakalpojumu sniegšanai).</w:t>
      </w:r>
    </w:p>
    <w:p w14:paraId="531E2E85" w14:textId="776EFEB1" w:rsidR="00091A4E" w:rsidRPr="0015154B" w:rsidRDefault="00BD0FCB" w:rsidP="00BD0FCB">
      <w:pPr>
        <w:pStyle w:val="ListParagraph"/>
        <w:widowControl w:val="0"/>
        <w:numPr>
          <w:ilvl w:val="0"/>
          <w:numId w:val="26"/>
        </w:numPr>
        <w:tabs>
          <w:tab w:val="left" w:pos="0"/>
          <w:tab w:val="left" w:pos="284"/>
        </w:tabs>
        <w:spacing w:before="120"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b/>
          <w:color w:val="002060"/>
          <w:sz w:val="24"/>
          <w:szCs w:val="24"/>
        </w:rPr>
        <w:lastRenderedPageBreak/>
        <w:t>l</w:t>
      </w:r>
      <w:r w:rsidR="00091A4E" w:rsidRPr="00BD0FCB">
        <w:rPr>
          <w:rFonts w:ascii="Times New Roman" w:hAnsi="Times New Roman" w:cs="Times New Roman"/>
          <w:b/>
          <w:color w:val="002060"/>
          <w:sz w:val="24"/>
          <w:szCs w:val="24"/>
        </w:rPr>
        <w:t>īdzdalība pilsoniskajā sabiedrībā</w:t>
      </w:r>
      <w:r w:rsidR="00091A4E" w:rsidRPr="00BD0FCB">
        <w:rPr>
          <w:rFonts w:ascii="Times New Roman" w:hAnsi="Times New Roman" w:cs="Times New Roman"/>
          <w:color w:val="002060"/>
          <w:sz w:val="24"/>
          <w:szCs w:val="24"/>
        </w:rPr>
        <w:t xml:space="preserve"> </w:t>
      </w:r>
      <w:r w:rsidR="00091A4E" w:rsidRPr="0015154B">
        <w:rPr>
          <w:rFonts w:ascii="Times New Roman" w:hAnsi="Times New Roman" w:cs="Times New Roman"/>
          <w:sz w:val="24"/>
          <w:szCs w:val="24"/>
        </w:rPr>
        <w:t>(mazs skaits nevalstisko organizāciju, kuru darbības mērķis saistīts ar sieviešu un vīriešu vienlīdzīgu tiesību un iespēju veicināšanu; nepilnīgs ar dzimumu līdztiesību saistītu strīdu izskatīšanas mehānisms, kā arī augstā tolerance attiecībā uz nelīdztiesīgām situācijām);</w:t>
      </w:r>
    </w:p>
    <w:p w14:paraId="47EB8FC3" w14:textId="77777777" w:rsidR="00091A4E" w:rsidRPr="0015154B" w:rsidRDefault="00091A4E" w:rsidP="00BD0FCB">
      <w:pPr>
        <w:pStyle w:val="ListParagraph"/>
        <w:widowControl w:val="0"/>
        <w:numPr>
          <w:ilvl w:val="0"/>
          <w:numId w:val="26"/>
        </w:numPr>
        <w:tabs>
          <w:tab w:val="left" w:pos="0"/>
          <w:tab w:val="left" w:pos="284"/>
        </w:tabs>
        <w:spacing w:before="120" w:after="0" w:line="240" w:lineRule="auto"/>
        <w:ind w:left="0" w:firstLine="0"/>
        <w:contextualSpacing w:val="0"/>
        <w:jc w:val="both"/>
        <w:rPr>
          <w:rFonts w:ascii="Times New Roman" w:hAnsi="Times New Roman" w:cs="Times New Roman"/>
          <w:sz w:val="24"/>
          <w:szCs w:val="24"/>
        </w:rPr>
      </w:pPr>
      <w:r w:rsidRPr="00BD0FCB">
        <w:rPr>
          <w:rFonts w:ascii="Times New Roman" w:hAnsi="Times New Roman" w:cs="Times New Roman"/>
          <w:b/>
          <w:color w:val="002060"/>
          <w:sz w:val="24"/>
          <w:szCs w:val="24"/>
        </w:rPr>
        <w:t>dzimumu lomu un stereotipu maiņa</w:t>
      </w:r>
      <w:r w:rsidRPr="00BD0FCB">
        <w:rPr>
          <w:rFonts w:ascii="Times New Roman" w:hAnsi="Times New Roman" w:cs="Times New Roman"/>
          <w:color w:val="002060"/>
          <w:sz w:val="24"/>
          <w:szCs w:val="24"/>
        </w:rPr>
        <w:t xml:space="preserve"> </w:t>
      </w:r>
      <w:r w:rsidRPr="0015154B">
        <w:rPr>
          <w:rFonts w:ascii="Times New Roman" w:hAnsi="Times New Roman" w:cs="Times New Roman"/>
          <w:sz w:val="24"/>
          <w:szCs w:val="24"/>
        </w:rPr>
        <w:t>(vēsturiski nostiprinājusies un grūti maināma izpratne par dzimumu sociālajām lomām un ar to saistīti stereotipi);</w:t>
      </w:r>
    </w:p>
    <w:p w14:paraId="32F717D0" w14:textId="77777777" w:rsidR="00091A4E" w:rsidRPr="0015154B" w:rsidRDefault="00091A4E" w:rsidP="00BD0FCB">
      <w:pPr>
        <w:pStyle w:val="ListParagraph"/>
        <w:widowControl w:val="0"/>
        <w:numPr>
          <w:ilvl w:val="0"/>
          <w:numId w:val="26"/>
        </w:numPr>
        <w:tabs>
          <w:tab w:val="left" w:pos="0"/>
          <w:tab w:val="left" w:pos="284"/>
        </w:tabs>
        <w:spacing w:before="120" w:after="0" w:line="240" w:lineRule="auto"/>
        <w:ind w:left="0" w:firstLine="0"/>
        <w:contextualSpacing w:val="0"/>
        <w:jc w:val="both"/>
        <w:rPr>
          <w:rFonts w:ascii="Times New Roman" w:hAnsi="Times New Roman" w:cs="Times New Roman"/>
          <w:sz w:val="24"/>
          <w:szCs w:val="24"/>
        </w:rPr>
      </w:pPr>
      <w:r w:rsidRPr="00BD0FCB">
        <w:rPr>
          <w:rFonts w:ascii="Times New Roman" w:hAnsi="Times New Roman" w:cs="Times New Roman"/>
          <w:b/>
          <w:color w:val="002060"/>
          <w:sz w:val="24"/>
          <w:szCs w:val="24"/>
        </w:rPr>
        <w:t>informācijas pamats dzimumu līdztiesības situācijas analīzei</w:t>
      </w:r>
      <w:r w:rsidRPr="00BD0FCB">
        <w:rPr>
          <w:rFonts w:ascii="Times New Roman" w:hAnsi="Times New Roman" w:cs="Times New Roman"/>
          <w:color w:val="002060"/>
          <w:sz w:val="24"/>
          <w:szCs w:val="24"/>
        </w:rPr>
        <w:t xml:space="preserve"> </w:t>
      </w:r>
      <w:r w:rsidRPr="0015154B">
        <w:rPr>
          <w:rFonts w:ascii="Times New Roman" w:hAnsi="Times New Roman" w:cs="Times New Roman"/>
          <w:sz w:val="24"/>
          <w:szCs w:val="24"/>
        </w:rPr>
        <w:t xml:space="preserve">(nepietiekama politikas analīze un pētījumi par sieviešu un vīriešu faktisko situāciju dažādās dzīves jomās; nepilnīgi pēc dzimuma dalīti statistikas dati). </w:t>
      </w:r>
    </w:p>
    <w:p w14:paraId="1A5B9209" w14:textId="28947AF7" w:rsidR="00091A4E" w:rsidRPr="007157D3" w:rsidRDefault="00091A4E" w:rsidP="00BD0FCB">
      <w:pPr>
        <w:pStyle w:val="ListParagraph"/>
        <w:widowControl w:val="0"/>
        <w:spacing w:before="120" w:after="0" w:line="240" w:lineRule="auto"/>
        <w:ind w:left="0" w:firstLine="709"/>
        <w:contextualSpacing w:val="0"/>
        <w:jc w:val="both"/>
        <w:rPr>
          <w:rFonts w:ascii="Times New Roman" w:hAnsi="Times New Roman" w:cs="Times New Roman"/>
          <w:sz w:val="24"/>
          <w:szCs w:val="24"/>
        </w:rPr>
      </w:pPr>
      <w:r w:rsidRPr="0015154B">
        <w:rPr>
          <w:rFonts w:ascii="Times New Roman" w:hAnsi="Times New Roman" w:cs="Times New Roman"/>
          <w:sz w:val="24"/>
          <w:szCs w:val="24"/>
        </w:rPr>
        <w:t>Lai arī katrā no minētajām nozarēm situācija</w:t>
      </w:r>
      <w:r w:rsidR="00BD0FCB">
        <w:rPr>
          <w:rFonts w:ascii="Times New Roman" w:hAnsi="Times New Roman" w:cs="Times New Roman"/>
          <w:sz w:val="24"/>
          <w:szCs w:val="24"/>
        </w:rPr>
        <w:t>,</w:t>
      </w:r>
      <w:r w:rsidRPr="0015154B">
        <w:rPr>
          <w:rFonts w:ascii="Times New Roman" w:hAnsi="Times New Roman" w:cs="Times New Roman"/>
          <w:sz w:val="24"/>
          <w:szCs w:val="24"/>
        </w:rPr>
        <w:t xml:space="preserve"> salīdzinot ar 2000.gadu, kad Koncepcija tika sagatavota, ir uzlabojusies, nevienā no tām nav sasniegts pietiekams rezultāts, kas ļautu runāt par faktisku sieviešu un vīriešu vienlīdzīgu tiesību un iespēju nodrošināšanu. Piemēram, vēl arvien vērojamas negatīvas tendences attiecībā uz sieviešu un vīriešu darba samaksas atšķirību, arī horizontālā un vertikālā segregācija darba tirgū daļā nozaru vēl arvien ir izplatīta, reizēm pat acīmredzama. Vardarbības ģimenē, jo īpaši ar dzimumu saistītas vardarbības izplatība turpina pieaugt un kopējais tolerances līmenis sabiedrībā attiecībā uz vardarbību ir salīdzinoši augsts, augstākais ES dalībvalstu vidū.</w:t>
      </w:r>
      <w:r w:rsidRPr="007157D3">
        <w:rPr>
          <w:rStyle w:val="FootnoteReference"/>
          <w:rFonts w:ascii="Times New Roman" w:hAnsi="Times New Roman" w:cs="Times New Roman"/>
          <w:sz w:val="24"/>
          <w:szCs w:val="24"/>
        </w:rPr>
        <w:footnoteReference w:id="199"/>
      </w:r>
      <w:r w:rsidRPr="007157D3">
        <w:rPr>
          <w:rFonts w:ascii="Times New Roman" w:hAnsi="Times New Roman" w:cs="Times New Roman"/>
          <w:sz w:val="24"/>
          <w:szCs w:val="24"/>
        </w:rPr>
        <w:t xml:space="preserve"> Šādas attieksmes un uzvedības jo īpaši ietekmē sabiedrībā pastāvošie stereotipi par sieviešu un vīriešu lomām ģimenē, darbā, izglītībā un ikdienas pienākumos, kā arī salīdzinoši zemo nozaru politiku plānošanā, īstenošanā un novērtēšanā iesaistīto ekspertu izpratne par īstenoto pasākumu ietekmi uz sievietēm un vīriešiem un nepieciešamību pēc mērķētiem pasākumiem nelabvēlīgākā situācijā esošā dzimuma tiesību ievērošanas veicināšanā. </w:t>
      </w:r>
    </w:p>
    <w:p w14:paraId="45FE1911" w14:textId="41962262" w:rsidR="00091A4E" w:rsidRPr="00573B49" w:rsidRDefault="00091A4E" w:rsidP="00BD0FCB">
      <w:pPr>
        <w:pStyle w:val="ListParagraph"/>
        <w:widowControl w:val="0"/>
        <w:spacing w:before="120" w:after="0" w:line="240" w:lineRule="auto"/>
        <w:ind w:left="0" w:firstLine="709"/>
        <w:contextualSpacing w:val="0"/>
        <w:jc w:val="both"/>
        <w:rPr>
          <w:rFonts w:ascii="Times New Roman" w:hAnsi="Times New Roman" w:cs="Times New Roman"/>
          <w:sz w:val="24"/>
          <w:szCs w:val="24"/>
        </w:rPr>
      </w:pPr>
      <w:r w:rsidRPr="002F5278">
        <w:rPr>
          <w:rFonts w:ascii="Times New Roman" w:hAnsi="Times New Roman" w:cs="Times New Roman"/>
          <w:sz w:val="24"/>
          <w:szCs w:val="24"/>
        </w:rPr>
        <w:t>Kopš Koncepcijas pieņemšanas ir mainījušies vairāki apstākļi, kas būtiski ietekmē pieeju, kādā dzimumu līdztiesība Latvijā tiek veicināta.</w:t>
      </w:r>
      <w:r w:rsidR="00E4785D">
        <w:rPr>
          <w:rFonts w:ascii="Times New Roman" w:hAnsi="Times New Roman" w:cs="Times New Roman"/>
          <w:sz w:val="24"/>
          <w:szCs w:val="24"/>
        </w:rPr>
        <w:t xml:space="preserve"> K</w:t>
      </w:r>
      <w:r w:rsidRPr="002F5278">
        <w:rPr>
          <w:rFonts w:ascii="Times New Roman" w:hAnsi="Times New Roman" w:cs="Times New Roman"/>
          <w:sz w:val="24"/>
          <w:szCs w:val="24"/>
        </w:rPr>
        <w:t>opš Koncepcijas pieņemšanas 2001.gadā Latvija ir pievienojusies vairākām nozīmīgām starptautiskām orga</w:t>
      </w:r>
      <w:r w:rsidRPr="00573B49">
        <w:rPr>
          <w:rFonts w:ascii="Times New Roman" w:hAnsi="Times New Roman" w:cs="Times New Roman"/>
          <w:sz w:val="24"/>
          <w:szCs w:val="24"/>
        </w:rPr>
        <w:t xml:space="preserve">nizācijām – Ziemeļatlantijas līgumu organizācijai (2004.gada 29.martā), ES (2004.gada 1.maijā) un Ekonomiskās sadarbības un attīstības organizācijai (2016.gada 1.jūlijā). Dalība šajās organizācijās būtiski veicinājusi starptautisko sadarbību un ārvalstu granta programmu apguvi, kā arī sniegusi nozīmīgu ieguldījumu nacionālās dzimumu līdztiesības politikas un tās īstenoto pasākumu ietekmes uz sabiedrību izpētē, analīzē un novērtēšanā, mainot uzsvarus attiecībā uz prioritārajām jomām, kurās sieviešu un vīriešu vienlīdzīgu tiesību un iespēju princips stiprināms primāri. </w:t>
      </w:r>
    </w:p>
    <w:p w14:paraId="40148B0D" w14:textId="1E656CFB" w:rsidR="00091A4E" w:rsidRPr="0015154B" w:rsidRDefault="00091A4E" w:rsidP="00BD0FCB">
      <w:pPr>
        <w:pStyle w:val="ListParagraph"/>
        <w:widowControl w:val="0"/>
        <w:spacing w:before="120" w:after="0" w:line="240" w:lineRule="auto"/>
        <w:ind w:left="0" w:firstLine="709"/>
        <w:contextualSpacing w:val="0"/>
        <w:jc w:val="both"/>
        <w:rPr>
          <w:rFonts w:ascii="Times New Roman" w:hAnsi="Times New Roman" w:cs="Times New Roman"/>
          <w:sz w:val="24"/>
          <w:szCs w:val="24"/>
        </w:rPr>
      </w:pPr>
      <w:r w:rsidRPr="0015154B">
        <w:rPr>
          <w:rFonts w:ascii="Times New Roman" w:hAnsi="Times New Roman" w:cs="Times New Roman"/>
          <w:sz w:val="24"/>
          <w:szCs w:val="24"/>
        </w:rPr>
        <w:t>Vērtējot Koncepcijā izvirzītos pasākumus dzimumu līdztiesības politikas ieviešanai un īstenošanai, secināms, ka gandrīz visi no tiem ir īstenoti.</w:t>
      </w:r>
      <w:r w:rsidRPr="0015154B" w:rsidDel="001C7D20">
        <w:rPr>
          <w:rFonts w:ascii="Times New Roman" w:hAnsi="Times New Roman" w:cs="Times New Roman"/>
          <w:sz w:val="24"/>
          <w:szCs w:val="24"/>
        </w:rPr>
        <w:t xml:space="preserve"> </w:t>
      </w:r>
    </w:p>
    <w:p w14:paraId="4F939B9E" w14:textId="77777777" w:rsidR="00091A4E" w:rsidRPr="00CE0BC7" w:rsidRDefault="00091A4E" w:rsidP="00CE0BC7">
      <w:pPr>
        <w:pStyle w:val="ListParagraph"/>
        <w:widowControl w:val="0"/>
        <w:numPr>
          <w:ilvl w:val="0"/>
          <w:numId w:val="76"/>
        </w:numPr>
        <w:tabs>
          <w:tab w:val="left" w:pos="0"/>
          <w:tab w:val="left" w:pos="284"/>
        </w:tabs>
        <w:spacing w:before="120" w:after="0" w:line="240" w:lineRule="auto"/>
        <w:ind w:left="714" w:hanging="357"/>
        <w:contextualSpacing w:val="0"/>
        <w:jc w:val="both"/>
        <w:rPr>
          <w:rFonts w:ascii="Times New Roman" w:hAnsi="Times New Roman" w:cs="Times New Roman"/>
          <w:i/>
          <w:color w:val="002060"/>
          <w:sz w:val="24"/>
          <w:szCs w:val="24"/>
        </w:rPr>
      </w:pPr>
      <w:r w:rsidRPr="00CE0BC7">
        <w:rPr>
          <w:rStyle w:val="Heading4Char"/>
          <w:rFonts w:ascii="Times New Roman" w:hAnsi="Times New Roman" w:cs="Times New Roman"/>
          <w:b/>
          <w:i w:val="0"/>
          <w:color w:val="002060"/>
          <w:sz w:val="24"/>
          <w:szCs w:val="24"/>
        </w:rPr>
        <w:t>Spēcīga institucionālā mehānisma izveide</w:t>
      </w:r>
      <w:r w:rsidRPr="00CE0BC7">
        <w:rPr>
          <w:rFonts w:ascii="Times New Roman" w:hAnsi="Times New Roman" w:cs="Times New Roman"/>
          <w:i/>
          <w:color w:val="002060"/>
          <w:sz w:val="24"/>
          <w:szCs w:val="24"/>
        </w:rPr>
        <w:t xml:space="preserve"> </w:t>
      </w:r>
    </w:p>
    <w:p w14:paraId="6CC5CE25" w14:textId="65E04A20" w:rsidR="00091A4E" w:rsidRPr="00573B49" w:rsidRDefault="00091A4E" w:rsidP="006D670A">
      <w:pPr>
        <w:pStyle w:val="ListParagraph"/>
        <w:widowControl w:val="0"/>
        <w:tabs>
          <w:tab w:val="left" w:pos="0"/>
          <w:tab w:val="left" w:pos="284"/>
        </w:tabs>
        <w:spacing w:before="120" w:after="0" w:line="240" w:lineRule="auto"/>
        <w:ind w:left="0"/>
        <w:contextualSpacing w:val="0"/>
        <w:jc w:val="both"/>
        <w:rPr>
          <w:rFonts w:ascii="Times New Roman" w:hAnsi="Times New Roman" w:cs="Times New Roman"/>
          <w:sz w:val="24"/>
          <w:szCs w:val="24"/>
        </w:rPr>
      </w:pPr>
      <w:r w:rsidRPr="0015154B">
        <w:rPr>
          <w:rFonts w:ascii="Times New Roman" w:hAnsi="Times New Roman" w:cs="Times New Roman"/>
          <w:sz w:val="24"/>
          <w:szCs w:val="24"/>
        </w:rPr>
        <w:t>Kopš 2002.gada LM darbojas konsultatīva institūcija, kuras galvenais uzdevums ir sekmēt un vērtēt dzimumu līdztiesības politikas īstenošanas procesu, izstrādāt ieteikumus nepieciešamajiem uzlabojumiem dzimumu līdztiesības principa īstenošanai nozaru ministrijās, kā arī veidot ekspertu diskusijas par aktuālajiem jautājumiem. Sākotnēji šīs funkcijas īstenoja Dzimumu līdztiesības padome</w:t>
      </w:r>
      <w:r w:rsidRPr="007157D3">
        <w:rPr>
          <w:rStyle w:val="FootnoteReference"/>
          <w:rFonts w:ascii="Times New Roman" w:hAnsi="Times New Roman" w:cs="Times New Roman"/>
          <w:sz w:val="24"/>
          <w:szCs w:val="24"/>
        </w:rPr>
        <w:footnoteReference w:id="200"/>
      </w:r>
      <w:r w:rsidRPr="007157D3">
        <w:rPr>
          <w:rFonts w:ascii="Times New Roman" w:hAnsi="Times New Roman" w:cs="Times New Roman"/>
          <w:sz w:val="24"/>
          <w:szCs w:val="24"/>
        </w:rPr>
        <w:t>, vēlāk tās pārņēma Dzimumu līdztiesības komiteja</w:t>
      </w:r>
      <w:r w:rsidRPr="007157D3">
        <w:rPr>
          <w:rStyle w:val="FootnoteReference"/>
          <w:rFonts w:ascii="Times New Roman" w:hAnsi="Times New Roman" w:cs="Times New Roman"/>
          <w:sz w:val="24"/>
          <w:szCs w:val="24"/>
        </w:rPr>
        <w:footnoteReference w:id="201"/>
      </w:r>
      <w:r w:rsidRPr="007157D3">
        <w:rPr>
          <w:rFonts w:ascii="Times New Roman" w:hAnsi="Times New Roman" w:cs="Times New Roman"/>
          <w:sz w:val="24"/>
          <w:szCs w:val="24"/>
        </w:rPr>
        <w:t xml:space="preserve">. Dzimumu līdztiesības komiteja arī šobrīd ir aktīva konsultatīva institūcija, kurā ir pārstāvētas visas ministrijas (izņemot Ekonomikas un Finanšu ministriju), Latvijas pārstāvja starptautiskajās cilvēktiesību institūcijās birojs, Valsts kanceleja, sociālie partneri un septiņas </w:t>
      </w:r>
      <w:r w:rsidRPr="007157D3">
        <w:rPr>
          <w:rFonts w:ascii="Times New Roman" w:hAnsi="Times New Roman" w:cs="Times New Roman"/>
          <w:sz w:val="24"/>
          <w:szCs w:val="24"/>
        </w:rPr>
        <w:lastRenderedPageBreak/>
        <w:t xml:space="preserve">nacionāla mēroga nevalstiskās organizācijas. Šobrīd Dzimumu līdztiesības komitejas sanāksmes tiek sasauktas vidēji divas reizes gadā.  Paralēli pēdējā gada laikā stiprināta starpinstitūciju sadarbība, veicinot ekspertu diskusijas par dažādās nozarēs pastāvošiem izaicinājumiem dzimumu līdztiesības faktiskai sekmēšanai. Plāns sieviešu un vīriešu vienlīdzīgu tiesību un iespēju veicināšanai 2021.-2023.gadam </w:t>
      </w:r>
      <w:r w:rsidRPr="00573B49">
        <w:rPr>
          <w:rFonts w:ascii="Times New Roman" w:hAnsi="Times New Roman" w:cs="Times New Roman"/>
          <w:sz w:val="24"/>
          <w:szCs w:val="24"/>
        </w:rPr>
        <w:t xml:space="preserve">ir viens no uzskatāmākajiem piemēriem, jo tajā iekļauti tikai tādi pasākumi, par kuriem dažādu valsts pārvaldes iestāžu eksperti kopā ar sociālajiem partneriem un nevalstisko sektoru vienojušies padziļinātu diskusiju rezultātā, radot priekšnoteikumu veiksmīgai sadarbībai arī dokumenta īstenošanas gaitā. </w:t>
      </w:r>
    </w:p>
    <w:p w14:paraId="4F231FBA" w14:textId="77777777" w:rsidR="00091A4E" w:rsidRPr="00CE0BC7" w:rsidRDefault="00091A4E" w:rsidP="00CE0BC7">
      <w:pPr>
        <w:pStyle w:val="ListParagraph"/>
        <w:widowControl w:val="0"/>
        <w:numPr>
          <w:ilvl w:val="0"/>
          <w:numId w:val="76"/>
        </w:numPr>
        <w:tabs>
          <w:tab w:val="left" w:pos="0"/>
          <w:tab w:val="left" w:pos="284"/>
        </w:tabs>
        <w:spacing w:before="120" w:after="0" w:line="240" w:lineRule="auto"/>
        <w:ind w:left="714" w:hanging="357"/>
        <w:contextualSpacing w:val="0"/>
        <w:jc w:val="both"/>
        <w:rPr>
          <w:rStyle w:val="Heading4Char"/>
          <w:rFonts w:ascii="Times New Roman" w:hAnsi="Times New Roman" w:cs="Times New Roman"/>
          <w:b/>
          <w:i w:val="0"/>
          <w:color w:val="002060"/>
          <w:sz w:val="24"/>
          <w:szCs w:val="24"/>
        </w:rPr>
      </w:pPr>
      <w:r w:rsidRPr="00CE0BC7">
        <w:rPr>
          <w:rStyle w:val="Heading4Char"/>
          <w:rFonts w:ascii="Times New Roman" w:hAnsi="Times New Roman" w:cs="Times New Roman"/>
          <w:b/>
          <w:i w:val="0"/>
          <w:color w:val="002060"/>
          <w:sz w:val="24"/>
          <w:szCs w:val="24"/>
        </w:rPr>
        <w:t>Normatīvās bāzes pilnveidošana</w:t>
      </w:r>
    </w:p>
    <w:p w14:paraId="1184FCB6" w14:textId="77777777" w:rsidR="00091A4E" w:rsidRPr="007157D3" w:rsidRDefault="00091A4E" w:rsidP="006D670A">
      <w:pPr>
        <w:pStyle w:val="ListParagraph"/>
        <w:widowControl w:val="0"/>
        <w:tabs>
          <w:tab w:val="left" w:pos="0"/>
          <w:tab w:val="left" w:pos="284"/>
        </w:tabs>
        <w:spacing w:before="120" w:after="0" w:line="240" w:lineRule="auto"/>
        <w:ind w:left="0"/>
        <w:contextualSpacing w:val="0"/>
        <w:jc w:val="both"/>
        <w:rPr>
          <w:rFonts w:ascii="Times New Roman" w:hAnsi="Times New Roman" w:cs="Times New Roman"/>
          <w:sz w:val="24"/>
          <w:szCs w:val="24"/>
        </w:rPr>
      </w:pPr>
      <w:r w:rsidRPr="00A857F2">
        <w:rPr>
          <w:rFonts w:ascii="Times New Roman" w:hAnsi="Times New Roman" w:cs="Times New Roman"/>
          <w:sz w:val="24"/>
          <w:szCs w:val="24"/>
        </w:rPr>
        <w:t>Koncepcijas izstrādes brīdī diskriminācijas un atšķirīg</w:t>
      </w:r>
      <w:r w:rsidRPr="00662D1E">
        <w:rPr>
          <w:rFonts w:ascii="Times New Roman" w:hAnsi="Times New Roman" w:cs="Times New Roman"/>
          <w:sz w:val="24"/>
          <w:szCs w:val="24"/>
        </w:rPr>
        <w:t>as attieksmes aizlieguma princips bija nostiprināts tikai daļā nozaru tiesību aktu, tādējādi radot maldīgu priekšstatu par nepieciešamības ievērot diskriminācijas un atšķirīgas attieksmes aizlieguma, tostarp pēc personas dzimuma, nozīmi dažādās jomās. Šobr</w:t>
      </w:r>
      <w:r w:rsidRPr="009703E6">
        <w:rPr>
          <w:rFonts w:ascii="Times New Roman" w:hAnsi="Times New Roman" w:cs="Times New Roman"/>
          <w:sz w:val="24"/>
          <w:szCs w:val="24"/>
        </w:rPr>
        <w:t>īd uzskatāms, ka normatīvās bāzes pilnveidošana kopumā ir paveikta, jo diskriminācijas un atšķirīgas attieksmes aizlieguma princips integrēts visos nozaru “jumta” likumos.</w:t>
      </w:r>
      <w:r w:rsidRPr="007157D3">
        <w:rPr>
          <w:rStyle w:val="FootnoteReference"/>
          <w:rFonts w:ascii="Times New Roman" w:hAnsi="Times New Roman" w:cs="Times New Roman"/>
          <w:sz w:val="24"/>
          <w:szCs w:val="24"/>
        </w:rPr>
        <w:footnoteReference w:id="202"/>
      </w:r>
      <w:r w:rsidRPr="007157D3">
        <w:rPr>
          <w:rFonts w:ascii="Times New Roman" w:hAnsi="Times New Roman" w:cs="Times New Roman"/>
          <w:sz w:val="24"/>
          <w:szCs w:val="24"/>
        </w:rPr>
        <w:t xml:space="preserve"> </w:t>
      </w:r>
    </w:p>
    <w:p w14:paraId="5E08E7E0" w14:textId="77777777" w:rsidR="00091A4E" w:rsidRPr="006D670A" w:rsidRDefault="00091A4E" w:rsidP="006D670A">
      <w:pPr>
        <w:pStyle w:val="ListParagraph"/>
        <w:widowControl w:val="0"/>
        <w:numPr>
          <w:ilvl w:val="0"/>
          <w:numId w:val="76"/>
        </w:numPr>
        <w:tabs>
          <w:tab w:val="left" w:pos="0"/>
          <w:tab w:val="left" w:pos="284"/>
        </w:tabs>
        <w:spacing w:before="120" w:after="0" w:line="240" w:lineRule="auto"/>
        <w:ind w:left="714" w:hanging="357"/>
        <w:contextualSpacing w:val="0"/>
        <w:jc w:val="both"/>
        <w:rPr>
          <w:rStyle w:val="Heading4Char"/>
          <w:rFonts w:ascii="Times New Roman" w:hAnsi="Times New Roman" w:cs="Times New Roman"/>
          <w:b/>
          <w:i w:val="0"/>
          <w:color w:val="002060"/>
          <w:sz w:val="24"/>
          <w:szCs w:val="24"/>
        </w:rPr>
      </w:pPr>
      <w:r w:rsidRPr="006D670A">
        <w:rPr>
          <w:rStyle w:val="Heading4Char"/>
          <w:rFonts w:ascii="Times New Roman" w:hAnsi="Times New Roman" w:cs="Times New Roman"/>
          <w:b/>
          <w:i w:val="0"/>
          <w:color w:val="002060"/>
          <w:sz w:val="24"/>
          <w:szCs w:val="24"/>
        </w:rPr>
        <w:t xml:space="preserve">Stratēģija dzimumu līdztiesības īstenošanai </w:t>
      </w:r>
    </w:p>
    <w:p w14:paraId="2397FCE6" w14:textId="794241C8" w:rsidR="00091A4E" w:rsidRPr="007157D3" w:rsidRDefault="00091A4E" w:rsidP="009951DC">
      <w:pPr>
        <w:pStyle w:val="ListParagraph"/>
        <w:widowControl w:val="0"/>
        <w:tabs>
          <w:tab w:val="left" w:pos="0"/>
          <w:tab w:val="left" w:pos="284"/>
        </w:tabs>
        <w:spacing w:before="120" w:after="0" w:line="240" w:lineRule="auto"/>
        <w:ind w:left="0"/>
        <w:contextualSpacing w:val="0"/>
        <w:jc w:val="both"/>
        <w:rPr>
          <w:rFonts w:ascii="Times New Roman" w:hAnsi="Times New Roman" w:cs="Times New Roman"/>
          <w:sz w:val="24"/>
          <w:szCs w:val="24"/>
          <w:u w:val="single"/>
        </w:rPr>
      </w:pPr>
      <w:r w:rsidRPr="002F5278">
        <w:rPr>
          <w:rFonts w:ascii="Times New Roman" w:hAnsi="Times New Roman" w:cs="Times New Roman"/>
          <w:sz w:val="24"/>
          <w:szCs w:val="24"/>
        </w:rPr>
        <w:t>2002.gadā tika izstrādāts Pasākumu p</w:t>
      </w:r>
      <w:r w:rsidRPr="00573B49">
        <w:rPr>
          <w:rFonts w:ascii="Times New Roman" w:hAnsi="Times New Roman" w:cs="Times New Roman"/>
          <w:sz w:val="24"/>
          <w:szCs w:val="24"/>
        </w:rPr>
        <w:t>lāns Koncepcijas ieviešanai. Pēc tā sekmīgas īstenošanas un novērtēšanas tika pieņemts lēmums uzsāktās iniciatīvas turpināt, sagatavojot īstermiņa politikas plānošanas dokumentu – Programmu dzimumu līdztiesības īstenošanai 2005.-2006.gadam. Uzsāktā prakse tiek turpināta arī šobrīd, un kopumā kopš Koncepcijas izstrādes sagatavoti un īstenoti pieci īstermiņa politikas plānošanas dokumenti dzimumu līdztiesības veicināšanai Latvijā.</w:t>
      </w:r>
      <w:r w:rsidRPr="007157D3">
        <w:rPr>
          <w:rStyle w:val="FootnoteReference"/>
          <w:rFonts w:ascii="Times New Roman" w:hAnsi="Times New Roman" w:cs="Times New Roman"/>
          <w:sz w:val="24"/>
          <w:szCs w:val="24"/>
        </w:rPr>
        <w:footnoteReference w:id="203"/>
      </w:r>
      <w:r w:rsidRPr="007157D3">
        <w:rPr>
          <w:rFonts w:ascii="Times New Roman" w:hAnsi="Times New Roman" w:cs="Times New Roman"/>
          <w:sz w:val="24"/>
          <w:szCs w:val="24"/>
        </w:rPr>
        <w:t xml:space="preserve"> Plāns sieviešu un vīriešu vienlīdzīgu tiesību un iespēju veicināšanai 2021.-2023.gadam iezīmē jaunās desmitgades tendences un izaicinājumus dzimumu līdztiesības jomā Latvijā. </w:t>
      </w:r>
      <w:r w:rsidR="00203DA3">
        <w:rPr>
          <w:rFonts w:ascii="Times New Roman" w:hAnsi="Times New Roman" w:cs="Times New Roman"/>
          <w:sz w:val="24"/>
          <w:szCs w:val="24"/>
        </w:rPr>
        <w:t xml:space="preserve">Tas </w:t>
      </w:r>
      <w:r w:rsidR="009951DC">
        <w:rPr>
          <w:rFonts w:ascii="Times New Roman" w:hAnsi="Times New Roman" w:cs="Times New Roman"/>
          <w:sz w:val="24"/>
          <w:szCs w:val="24"/>
        </w:rPr>
        <w:t xml:space="preserve">iekļausies arī ES kopējā dzimumu līdztiesības ietvarā. 2020. gada </w:t>
      </w:r>
      <w:r w:rsidR="009951DC" w:rsidRPr="009951DC">
        <w:rPr>
          <w:rFonts w:ascii="Times New Roman" w:hAnsi="Times New Roman" w:cs="Times New Roman"/>
          <w:sz w:val="24"/>
          <w:szCs w:val="24"/>
        </w:rPr>
        <w:t>5.martā Eiropas Komisija apstiprināja Dzimumu līdztiesības stratēģiju, kura ieskicē Eiropas Komisijas darbu dzimumu līdztiesības jomā un nosaka politikas mērķus un galvenās darbības laikposmam no 2020.–2025. gadam. Tās mērķis ir panākt dzimumu līdztiesību Eiropā, nodrošinot, ka ar dzimumu saistīta vardarbība, diskriminācija dzimuma dēļ un strukturāla vīriešu un sieviešu nelīdztiesība, ir tikai pagātnē sastopamas parādības, ka sievietes un vīrieši, meitenes un zēni var brīvi izvēlēties savu ceļu dzīvē, kur viņiem ir vienlīdzīgas attīstības iespējas.</w:t>
      </w:r>
      <w:r w:rsidR="009951DC">
        <w:rPr>
          <w:rFonts w:ascii="Times New Roman" w:hAnsi="Times New Roman" w:cs="Times New Roman"/>
          <w:sz w:val="24"/>
          <w:szCs w:val="24"/>
        </w:rPr>
        <w:t xml:space="preserve"> </w:t>
      </w:r>
      <w:r w:rsidR="009951DC" w:rsidRPr="009951DC">
        <w:rPr>
          <w:rFonts w:ascii="Times New Roman" w:hAnsi="Times New Roman" w:cs="Times New Roman"/>
          <w:sz w:val="24"/>
          <w:szCs w:val="24"/>
        </w:rPr>
        <w:t>Stratēģijas īstenošana balstīsies uz divējādu pieeju, proti, tiks veikti mērķtiecīgi pasākumi, lai panāktu dzimumu līdztiesību, kā arī pastiprināti piemērota integrēta pieeja dzimumu līdztiesības nodrošināšanai - iekļaujot dzimuma aspektu visos politikas izstrādes posmos visās (gan iekšējās, gan ārējās) ES politikas jomās. Šo stratēģiju īstenos, skatot dzimuma aspekta kopā ar citām personu raksturojošām iezīmēm vai identitātēm (invaliditāte, vecums, etniskā piederība, seksuālā orientācija) un to, kā šī mijiedarbība veicina dažādus diskriminācijas paveidus.</w:t>
      </w:r>
    </w:p>
    <w:p w14:paraId="18CDC9D7" w14:textId="77777777" w:rsidR="00091A4E" w:rsidRPr="006D670A" w:rsidRDefault="00091A4E" w:rsidP="006D670A">
      <w:pPr>
        <w:pStyle w:val="ListParagraph"/>
        <w:widowControl w:val="0"/>
        <w:numPr>
          <w:ilvl w:val="0"/>
          <w:numId w:val="76"/>
        </w:numPr>
        <w:tabs>
          <w:tab w:val="left" w:pos="0"/>
          <w:tab w:val="left" w:pos="284"/>
        </w:tabs>
        <w:spacing w:before="120" w:after="0" w:line="240" w:lineRule="auto"/>
        <w:ind w:left="714" w:hanging="357"/>
        <w:contextualSpacing w:val="0"/>
        <w:jc w:val="both"/>
        <w:rPr>
          <w:rStyle w:val="Heading4Char"/>
          <w:rFonts w:ascii="Times New Roman" w:hAnsi="Times New Roman" w:cs="Times New Roman"/>
          <w:b/>
          <w:i w:val="0"/>
          <w:color w:val="002060"/>
          <w:sz w:val="24"/>
          <w:szCs w:val="24"/>
        </w:rPr>
      </w:pPr>
      <w:r w:rsidRPr="006D670A">
        <w:rPr>
          <w:rStyle w:val="Heading4Char"/>
          <w:rFonts w:ascii="Times New Roman" w:hAnsi="Times New Roman" w:cs="Times New Roman"/>
          <w:b/>
          <w:i w:val="0"/>
          <w:color w:val="002060"/>
          <w:sz w:val="24"/>
          <w:szCs w:val="24"/>
        </w:rPr>
        <w:t xml:space="preserve">Dzimumu līdztiesības pārraudzība un novērtēšana </w:t>
      </w:r>
    </w:p>
    <w:p w14:paraId="29C4FF1E" w14:textId="18CBF415" w:rsidR="00091A4E" w:rsidRDefault="00091A4E" w:rsidP="00887CCC">
      <w:pPr>
        <w:pStyle w:val="ListParagraph"/>
        <w:widowControl w:val="0"/>
        <w:tabs>
          <w:tab w:val="left" w:pos="0"/>
          <w:tab w:val="left" w:pos="284"/>
        </w:tabs>
        <w:spacing w:before="120" w:after="0" w:line="240" w:lineRule="auto"/>
        <w:ind w:left="0"/>
        <w:contextualSpacing w:val="0"/>
        <w:jc w:val="both"/>
        <w:rPr>
          <w:rFonts w:ascii="Times New Roman" w:hAnsi="Times New Roman" w:cs="Times New Roman"/>
          <w:sz w:val="24"/>
          <w:szCs w:val="24"/>
        </w:rPr>
      </w:pPr>
      <w:r w:rsidRPr="002F5278">
        <w:rPr>
          <w:rFonts w:ascii="Times New Roman" w:hAnsi="Times New Roman" w:cs="Times New Roman"/>
          <w:sz w:val="24"/>
          <w:szCs w:val="24"/>
        </w:rPr>
        <w:t>Labklājības ministrija regulāri izstrādā dažādus informatīvos ziņojumus</w:t>
      </w:r>
      <w:r w:rsidRPr="007157D3">
        <w:rPr>
          <w:rStyle w:val="FootnoteReference"/>
          <w:rFonts w:ascii="Times New Roman" w:hAnsi="Times New Roman" w:cs="Times New Roman"/>
          <w:sz w:val="24"/>
          <w:szCs w:val="24"/>
        </w:rPr>
        <w:footnoteReference w:id="204"/>
      </w:r>
      <w:r w:rsidRPr="007157D3">
        <w:rPr>
          <w:rFonts w:ascii="Times New Roman" w:hAnsi="Times New Roman" w:cs="Times New Roman"/>
          <w:sz w:val="24"/>
          <w:szCs w:val="24"/>
        </w:rPr>
        <w:t xml:space="preserve">, situācijas </w:t>
      </w:r>
      <w:r w:rsidRPr="007157D3">
        <w:rPr>
          <w:rFonts w:ascii="Times New Roman" w:hAnsi="Times New Roman" w:cs="Times New Roman"/>
          <w:sz w:val="24"/>
          <w:szCs w:val="24"/>
        </w:rPr>
        <w:lastRenderedPageBreak/>
        <w:t>novērtējumus</w:t>
      </w:r>
      <w:r w:rsidRPr="007157D3">
        <w:rPr>
          <w:rStyle w:val="FootnoteReference"/>
          <w:rFonts w:ascii="Times New Roman" w:hAnsi="Times New Roman" w:cs="Times New Roman"/>
          <w:sz w:val="24"/>
          <w:szCs w:val="24"/>
        </w:rPr>
        <w:footnoteReference w:id="205"/>
      </w:r>
      <w:r w:rsidRPr="007157D3">
        <w:rPr>
          <w:rFonts w:ascii="Times New Roman" w:hAnsi="Times New Roman" w:cs="Times New Roman"/>
          <w:sz w:val="24"/>
          <w:szCs w:val="24"/>
        </w:rPr>
        <w:t>, rekomendācijas</w:t>
      </w:r>
      <w:r w:rsidRPr="007157D3">
        <w:rPr>
          <w:rStyle w:val="FootnoteReference"/>
          <w:rFonts w:ascii="Times New Roman" w:hAnsi="Times New Roman" w:cs="Times New Roman"/>
          <w:sz w:val="24"/>
          <w:szCs w:val="24"/>
        </w:rPr>
        <w:footnoteReference w:id="206"/>
      </w:r>
      <w:r w:rsidRPr="007157D3">
        <w:rPr>
          <w:rFonts w:ascii="Times New Roman" w:hAnsi="Times New Roman" w:cs="Times New Roman"/>
          <w:sz w:val="24"/>
          <w:szCs w:val="24"/>
        </w:rPr>
        <w:t xml:space="preserve"> un vadlīnijas sekmīgai dzimumu līdztiesības principa integrēšanai nozaru politikās.</w:t>
      </w:r>
      <w:r w:rsidRPr="007157D3">
        <w:rPr>
          <w:rStyle w:val="FootnoteReference"/>
          <w:rFonts w:ascii="Times New Roman" w:hAnsi="Times New Roman" w:cs="Times New Roman"/>
          <w:sz w:val="24"/>
          <w:szCs w:val="24"/>
        </w:rPr>
        <w:footnoteReference w:id="207"/>
      </w:r>
      <w:r w:rsidRPr="007157D3">
        <w:rPr>
          <w:rFonts w:ascii="Times New Roman" w:hAnsi="Times New Roman" w:cs="Times New Roman"/>
          <w:sz w:val="24"/>
          <w:szCs w:val="24"/>
        </w:rPr>
        <w:t xml:space="preserve"> Savukārt CSP mājaslapā ir pieejama atsevišķa sadaļa, kurā apkopoti galvenie dzimumu līdztiesības rādītāji sešos sektoros: izglītība, nodarbinātība, sociālā drošība, vara, likumpārkāpumi un vardarbība un veselība.</w:t>
      </w:r>
      <w:r w:rsidRPr="007157D3">
        <w:rPr>
          <w:rStyle w:val="FootnoteReference"/>
          <w:rFonts w:ascii="Times New Roman" w:hAnsi="Times New Roman" w:cs="Times New Roman"/>
          <w:sz w:val="24"/>
          <w:szCs w:val="24"/>
        </w:rPr>
        <w:footnoteReference w:id="208"/>
      </w:r>
      <w:r w:rsidRPr="007157D3">
        <w:rPr>
          <w:rFonts w:ascii="Times New Roman" w:hAnsi="Times New Roman" w:cs="Times New Roman"/>
          <w:sz w:val="24"/>
          <w:szCs w:val="24"/>
        </w:rPr>
        <w:t xml:space="preserve"> Tāpat CSP regulāri publicē pārskatu par aktuālajām tendencēm sabiedrībā, vērtējot un analizējot datus par sieviešu un vīriešu situāciju Latvijā minētajos sektoros. </w:t>
      </w:r>
    </w:p>
    <w:p w14:paraId="552B396C" w14:textId="26FEF4CA" w:rsidR="00887CCC" w:rsidRPr="00887CCC" w:rsidRDefault="00887CCC" w:rsidP="00887CCC">
      <w:pPr>
        <w:pStyle w:val="ListParagraph"/>
        <w:widowControl w:val="0"/>
        <w:tabs>
          <w:tab w:val="left" w:pos="0"/>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Nozīmīgs statistiskās un analītiskās informācijas avots ir Eiropas Dzimumu līdztiesības institūts (EIGE), kas ir ES aģentūra, kuras darbs ir bāzēts Lietuvā</w:t>
      </w:r>
      <w:r>
        <w:rPr>
          <w:rStyle w:val="FootnoteReference"/>
          <w:rFonts w:ascii="Times New Roman" w:hAnsi="Times New Roman" w:cs="Times New Roman"/>
          <w:sz w:val="24"/>
          <w:szCs w:val="24"/>
        </w:rPr>
        <w:footnoteReference w:id="209"/>
      </w:r>
      <w:r>
        <w:rPr>
          <w:rFonts w:ascii="Times New Roman" w:hAnsi="Times New Roman" w:cs="Times New Roman"/>
          <w:sz w:val="24"/>
          <w:szCs w:val="24"/>
        </w:rPr>
        <w:t>. Institūts regulāri publicē dažādus pārskatus par sieviešu un vīriešu vienlīdzīgām iespējām dažādās jomās. EIGE regulāri publicē arī Dzimumu līdztiesības indeksu</w:t>
      </w:r>
      <w:r w:rsidR="001F2EE1">
        <w:rPr>
          <w:rStyle w:val="FootnoteReference"/>
          <w:rFonts w:ascii="Times New Roman" w:hAnsi="Times New Roman" w:cs="Times New Roman"/>
          <w:sz w:val="24"/>
          <w:szCs w:val="24"/>
        </w:rPr>
        <w:footnoteReference w:id="210"/>
      </w:r>
      <w:r>
        <w:rPr>
          <w:rFonts w:ascii="Times New Roman" w:hAnsi="Times New Roman" w:cs="Times New Roman"/>
          <w:sz w:val="24"/>
          <w:szCs w:val="24"/>
        </w:rPr>
        <w:t>, kurā 100 punkti liecina, ka ir sasniegta pilnīga līdztiesība, savukārt 1 punkts liecinātu par pilnīgu nelīdztiesību. 2020.gada indeksā (tiek izmantoti dati par 2018. gadu, bet, ja pieej</w:t>
      </w:r>
      <w:r w:rsidR="001F2EE1">
        <w:rPr>
          <w:rFonts w:ascii="Times New Roman" w:hAnsi="Times New Roman" w:cs="Times New Roman"/>
          <w:sz w:val="24"/>
          <w:szCs w:val="24"/>
        </w:rPr>
        <w:t xml:space="preserve">ams, tad arī jaunāki dati) Latvija ieguva </w:t>
      </w:r>
      <w:r w:rsidRPr="00887CCC">
        <w:rPr>
          <w:rFonts w:ascii="Times New Roman" w:hAnsi="Times New Roman" w:cs="Times New Roman"/>
          <w:sz w:val="24"/>
          <w:szCs w:val="24"/>
        </w:rPr>
        <w:t>60</w:t>
      </w:r>
      <w:r w:rsidR="001F2EE1">
        <w:rPr>
          <w:rFonts w:ascii="Times New Roman" w:hAnsi="Times New Roman" w:cs="Times New Roman"/>
          <w:sz w:val="24"/>
          <w:szCs w:val="24"/>
        </w:rPr>
        <w:t>,</w:t>
      </w:r>
      <w:r w:rsidRPr="00887CCC">
        <w:rPr>
          <w:rFonts w:ascii="Times New Roman" w:hAnsi="Times New Roman" w:cs="Times New Roman"/>
          <w:sz w:val="24"/>
          <w:szCs w:val="24"/>
        </w:rPr>
        <w:t xml:space="preserve">8 </w:t>
      </w:r>
      <w:r w:rsidR="001F2EE1">
        <w:rPr>
          <w:rFonts w:ascii="Times New Roman" w:hAnsi="Times New Roman" w:cs="Times New Roman"/>
          <w:sz w:val="24"/>
          <w:szCs w:val="24"/>
        </w:rPr>
        <w:t>punktus, iegūstot 17. vietu</w:t>
      </w:r>
      <w:r w:rsidRPr="00887CCC">
        <w:rPr>
          <w:rFonts w:ascii="Times New Roman" w:hAnsi="Times New Roman" w:cs="Times New Roman"/>
          <w:sz w:val="24"/>
          <w:szCs w:val="24"/>
        </w:rPr>
        <w:t xml:space="preserve"> </w:t>
      </w:r>
      <w:r w:rsidR="001F2EE1">
        <w:rPr>
          <w:rFonts w:ascii="Times New Roman" w:hAnsi="Times New Roman" w:cs="Times New Roman"/>
          <w:sz w:val="24"/>
          <w:szCs w:val="24"/>
        </w:rPr>
        <w:t xml:space="preserve">ES dalībvalstu vidū, kas ir </w:t>
      </w:r>
      <w:r w:rsidR="00CA0136">
        <w:rPr>
          <w:rFonts w:ascii="Times New Roman" w:hAnsi="Times New Roman" w:cs="Times New Roman"/>
          <w:sz w:val="24"/>
          <w:szCs w:val="24"/>
        </w:rPr>
        <w:t xml:space="preserve">par </w:t>
      </w:r>
      <w:r w:rsidRPr="00887CCC">
        <w:rPr>
          <w:rFonts w:ascii="Times New Roman" w:hAnsi="Times New Roman" w:cs="Times New Roman"/>
          <w:sz w:val="24"/>
          <w:szCs w:val="24"/>
        </w:rPr>
        <w:t>7</w:t>
      </w:r>
      <w:r w:rsidR="001F2EE1">
        <w:rPr>
          <w:rFonts w:ascii="Times New Roman" w:hAnsi="Times New Roman" w:cs="Times New Roman"/>
          <w:sz w:val="24"/>
          <w:szCs w:val="24"/>
        </w:rPr>
        <w:t>,</w:t>
      </w:r>
      <w:r w:rsidRPr="00887CCC">
        <w:rPr>
          <w:rFonts w:ascii="Times New Roman" w:hAnsi="Times New Roman" w:cs="Times New Roman"/>
          <w:sz w:val="24"/>
          <w:szCs w:val="24"/>
        </w:rPr>
        <w:t xml:space="preserve">1 </w:t>
      </w:r>
      <w:r w:rsidR="001F2EE1">
        <w:rPr>
          <w:rFonts w:ascii="Times New Roman" w:hAnsi="Times New Roman" w:cs="Times New Roman"/>
          <w:sz w:val="24"/>
          <w:szCs w:val="24"/>
        </w:rPr>
        <w:t>punktu zemāks kā vidēji ES</w:t>
      </w:r>
      <w:r w:rsidRPr="00887CCC">
        <w:rPr>
          <w:rFonts w:ascii="Times New Roman" w:hAnsi="Times New Roman" w:cs="Times New Roman"/>
          <w:sz w:val="24"/>
          <w:szCs w:val="24"/>
        </w:rPr>
        <w:t>.</w:t>
      </w:r>
      <w:r w:rsidR="001F2EE1">
        <w:rPr>
          <w:rFonts w:ascii="Times New Roman" w:hAnsi="Times New Roman" w:cs="Times New Roman"/>
          <w:sz w:val="24"/>
          <w:szCs w:val="24"/>
        </w:rPr>
        <w:t xml:space="preserve"> Kopš 2010. gada, kad uzsākta indeksa mērīšana, Latvija pakāpusies par 5,6 punktiem, savukārt kopš 2017. gada tikai par 1,1 punktu. Indekss tiek mērīts 6 jomās – darbs, finanses, zināšanas, laiks, vara, veselība. Augstāko punktu skaitu Latvija ir ieguvusi veselības jomā (78,4), lai gan tieši šajā jomā Latvija atrodas vienā no viszemākajām vietām starp visām ES dalībvalstīm (26.vieta). Nevienlīdzīga situācija visvairāk dominē zināšanu jomā (49,3 punkti) un finanšu jomā (65,2 punkti), un attiecīgi arī šajās jomā Latvija atrodas vienās no zemākajām vietām (respektīvi, 28. un 26. vieta). Lielākā izaugsme kopš 2010. gada ir notikusi varas jomā, savukārt zināšanu jomā ir zināma stagnācija.</w:t>
      </w:r>
    </w:p>
    <w:p w14:paraId="0B191453" w14:textId="4D6CD1C7" w:rsidR="0083177E" w:rsidRPr="00573B49" w:rsidRDefault="00091A4E" w:rsidP="006D670A">
      <w:pPr>
        <w:pStyle w:val="ListParagraph"/>
        <w:widowControl w:val="0"/>
        <w:tabs>
          <w:tab w:val="left" w:pos="0"/>
          <w:tab w:val="left" w:pos="284"/>
        </w:tabs>
        <w:spacing w:before="120" w:after="0" w:line="240" w:lineRule="auto"/>
        <w:ind w:left="0"/>
        <w:contextualSpacing w:val="0"/>
        <w:jc w:val="both"/>
        <w:rPr>
          <w:rFonts w:ascii="Times New Roman" w:hAnsi="Times New Roman" w:cs="Times New Roman"/>
          <w:sz w:val="24"/>
          <w:szCs w:val="24"/>
        </w:rPr>
      </w:pPr>
      <w:r w:rsidRPr="007157D3">
        <w:rPr>
          <w:rFonts w:ascii="Times New Roman" w:hAnsi="Times New Roman" w:cs="Times New Roman"/>
          <w:sz w:val="24"/>
          <w:szCs w:val="24"/>
        </w:rPr>
        <w:t>Dzimumu līdztiesības politikas monitorings ir nozīmīgs politikas plānošanā, ieviešanā un novērtēšanā iesaistīto ekspertu ikdienas darba uzdevums, kas tiek praktizēts regulāri, pēc iespējas proc</w:t>
      </w:r>
      <w:r w:rsidRPr="002F5278">
        <w:rPr>
          <w:rFonts w:ascii="Times New Roman" w:hAnsi="Times New Roman" w:cs="Times New Roman"/>
          <w:sz w:val="24"/>
          <w:szCs w:val="24"/>
        </w:rPr>
        <w:t>esā iesaistot nozaru ministrijas, sociālos partnerus un nevalstiskās organizācijas. Aktīva līdzdalība s</w:t>
      </w:r>
      <w:r w:rsidRPr="00573B49">
        <w:rPr>
          <w:rFonts w:ascii="Times New Roman" w:hAnsi="Times New Roman" w:cs="Times New Roman"/>
          <w:sz w:val="24"/>
          <w:szCs w:val="24"/>
        </w:rPr>
        <w:t xml:space="preserve">tarptautiskās iniciatīvās, kā arī dalība ES tiesību aktu izdošanas ietvaros organizētās darba grupās, sanāksmēs un dažāda formāta diskusijās jo īpaši sekmējusi izpratni par globāliem un reģionāliem izaicinājumiem, kas neizbēgami vērojami arī Latvijā. Izveidota arī veiksmīga sadarbība ar OECD ekspertiem, kas vajadzības gadījumā sniedz atbalstu labās prakses pasākumu ieviešanai Latvijā. </w:t>
      </w:r>
    </w:p>
    <w:p w14:paraId="499E1DD9" w14:textId="77777777" w:rsidR="00091A4E" w:rsidRPr="006D670A" w:rsidRDefault="00091A4E" w:rsidP="006D670A">
      <w:pPr>
        <w:pStyle w:val="ListParagraph"/>
        <w:widowControl w:val="0"/>
        <w:numPr>
          <w:ilvl w:val="0"/>
          <w:numId w:val="76"/>
        </w:numPr>
        <w:tabs>
          <w:tab w:val="left" w:pos="0"/>
          <w:tab w:val="left" w:pos="284"/>
        </w:tabs>
        <w:spacing w:before="120" w:after="0" w:line="240" w:lineRule="auto"/>
        <w:ind w:left="714" w:hanging="357"/>
        <w:contextualSpacing w:val="0"/>
        <w:jc w:val="both"/>
        <w:rPr>
          <w:rStyle w:val="Heading4Char"/>
          <w:rFonts w:ascii="Times New Roman" w:hAnsi="Times New Roman" w:cs="Times New Roman"/>
          <w:b/>
          <w:i w:val="0"/>
          <w:color w:val="002060"/>
          <w:sz w:val="24"/>
          <w:szCs w:val="24"/>
        </w:rPr>
      </w:pPr>
      <w:r w:rsidRPr="006D670A">
        <w:rPr>
          <w:rStyle w:val="Heading4Char"/>
          <w:rFonts w:ascii="Times New Roman" w:hAnsi="Times New Roman" w:cs="Times New Roman"/>
          <w:b/>
          <w:i w:val="0"/>
          <w:color w:val="002060"/>
          <w:sz w:val="24"/>
          <w:szCs w:val="24"/>
        </w:rPr>
        <w:t xml:space="preserve">Vienlaicīga izglītošana un izpratnes līmeņa paaugstināšana </w:t>
      </w:r>
    </w:p>
    <w:p w14:paraId="51EBE0EE" w14:textId="77777777" w:rsidR="00091A4E" w:rsidRPr="002F5278" w:rsidRDefault="00091A4E" w:rsidP="006D670A">
      <w:pPr>
        <w:pStyle w:val="ListParagraph"/>
        <w:widowControl w:val="0"/>
        <w:spacing w:before="120" w:after="0" w:line="240" w:lineRule="auto"/>
        <w:ind w:left="0"/>
        <w:contextualSpacing w:val="0"/>
        <w:jc w:val="both"/>
        <w:rPr>
          <w:rFonts w:ascii="Times New Roman" w:hAnsi="Times New Roman" w:cs="Times New Roman"/>
          <w:sz w:val="24"/>
          <w:szCs w:val="24"/>
        </w:rPr>
      </w:pPr>
      <w:r w:rsidRPr="00A857F2">
        <w:rPr>
          <w:rFonts w:ascii="Times New Roman" w:hAnsi="Times New Roman" w:cs="Times New Roman"/>
          <w:sz w:val="24"/>
          <w:szCs w:val="24"/>
        </w:rPr>
        <w:t>Pēdējos divdesmit gadus aktīvi strādāts pie integrētās pieejas</w:t>
      </w:r>
      <w:r w:rsidRPr="00662D1E">
        <w:rPr>
          <w:rFonts w:ascii="Times New Roman" w:hAnsi="Times New Roman" w:cs="Times New Roman"/>
          <w:sz w:val="24"/>
          <w:szCs w:val="24"/>
        </w:rPr>
        <w:t xml:space="preserve"> dzimumu līdztiesības veicināšanai ieviešanas valsts pārvaldē. Neraugoties uz panākumiem, izveidojot par dzimumu līdztiesības integrētās pieejas īstenošanu atbildīgo amatpersonu tīklu</w:t>
      </w:r>
      <w:r w:rsidRPr="007157D3">
        <w:rPr>
          <w:rStyle w:val="FootnoteReference"/>
          <w:rFonts w:ascii="Times New Roman" w:hAnsi="Times New Roman" w:cs="Times New Roman"/>
          <w:sz w:val="24"/>
          <w:szCs w:val="24"/>
        </w:rPr>
        <w:footnoteReference w:id="211"/>
      </w:r>
      <w:r w:rsidRPr="007157D3">
        <w:rPr>
          <w:rFonts w:ascii="Times New Roman" w:hAnsi="Times New Roman" w:cs="Times New Roman"/>
          <w:sz w:val="24"/>
          <w:szCs w:val="24"/>
        </w:rPr>
        <w:t>, kā arī regulāri pārrunājot un tiekoties ar valsts pārvaldes iestāžu pārstāvjiem Dzimumu līdztiesības komitejas sanāksmēs</w:t>
      </w:r>
      <w:r w:rsidRPr="007157D3">
        <w:rPr>
          <w:rStyle w:val="FootnoteReference"/>
          <w:rFonts w:ascii="Times New Roman" w:hAnsi="Times New Roman" w:cs="Times New Roman"/>
          <w:sz w:val="24"/>
          <w:szCs w:val="24"/>
        </w:rPr>
        <w:footnoteReference w:id="212"/>
      </w:r>
      <w:r w:rsidRPr="007157D3">
        <w:rPr>
          <w:rFonts w:ascii="Times New Roman" w:hAnsi="Times New Roman" w:cs="Times New Roman"/>
          <w:sz w:val="24"/>
          <w:szCs w:val="24"/>
        </w:rPr>
        <w:t xml:space="preserve"> un citos diskusiju formātos, izpratne ir zemāka nekā būtu nepieciešams sekmīgai, uz </w:t>
      </w:r>
      <w:r w:rsidRPr="007157D3">
        <w:rPr>
          <w:rFonts w:ascii="Times New Roman" w:hAnsi="Times New Roman" w:cs="Times New Roman"/>
          <w:sz w:val="24"/>
          <w:szCs w:val="24"/>
        </w:rPr>
        <w:lastRenderedPageBreak/>
        <w:t>pierādījumiem balstītas politikas veidošanai. Vēl arvien atklājas jautājumi, kuros ekspertiem ir atšķirīga izpratne par reālo ieguvumu, līdz ar to pārmaiņas var tikt veiktas tikai ar mazām un niansētām aktivitātēm. Šobrīd valsts pārvaldes ekspertiem netiek nodrošināta iespēja padziļināti pilnveidot savas zināšanas un prasmes dzimumu līdztiesības integrētās pieejas īstenošanai konkrētas nozares politikā. Izglītošanas aktivitātes notiek sporādiski, projektu ietvaros, bez iespējas pārliecināties par gūto zināšanu praktisku pie</w:t>
      </w:r>
      <w:r w:rsidRPr="002F5278">
        <w:rPr>
          <w:rFonts w:ascii="Times New Roman" w:hAnsi="Times New Roman" w:cs="Times New Roman"/>
          <w:sz w:val="24"/>
          <w:szCs w:val="24"/>
        </w:rPr>
        <w:t xml:space="preserve">lietojumu darbā. </w:t>
      </w:r>
    </w:p>
    <w:p w14:paraId="6120DA42" w14:textId="1E13AB71" w:rsidR="00091A4E" w:rsidRPr="00A857F2" w:rsidRDefault="00624FA2" w:rsidP="006D670A">
      <w:pPr>
        <w:pStyle w:val="ListParagraph"/>
        <w:widowControl w:val="0"/>
        <w:spacing w:before="120" w:after="0" w:line="240" w:lineRule="auto"/>
        <w:ind w:left="0"/>
        <w:contextualSpacing w:val="0"/>
        <w:jc w:val="both"/>
        <w:rPr>
          <w:rFonts w:ascii="Times New Roman" w:hAnsi="Times New Roman" w:cs="Times New Roman"/>
          <w:sz w:val="24"/>
          <w:szCs w:val="24"/>
        </w:rPr>
      </w:pPr>
      <w:r w:rsidRPr="00573B49">
        <w:rPr>
          <w:rFonts w:ascii="Times New Roman" w:hAnsi="Times New Roman" w:cs="Times New Roman"/>
          <w:sz w:val="24"/>
          <w:szCs w:val="24"/>
        </w:rPr>
        <w:t>I</w:t>
      </w:r>
      <w:r w:rsidR="00091A4E" w:rsidRPr="00573B49">
        <w:rPr>
          <w:rFonts w:ascii="Times New Roman" w:hAnsi="Times New Roman" w:cs="Times New Roman"/>
          <w:sz w:val="24"/>
          <w:szCs w:val="24"/>
        </w:rPr>
        <w:t>zglītošana par dzimumu līdztiesības jautājumiem veicama regulāri, pēc iespējas aktualizējot sieviešu un vīriešu vienlīdzīgu tiesību un iespēju īstenošanas šķēršļus konkrētu nozaru ietvaros, tādējādi uzskatāmi atainojot dzimumu līdztiesības principu attiecīgajā politikā. Līdzšinējā prakse pierādījusi, ka nelielās grupās organizētas disku</w:t>
      </w:r>
      <w:r w:rsidR="00091A4E" w:rsidRPr="0025422D">
        <w:rPr>
          <w:rFonts w:ascii="Times New Roman" w:hAnsi="Times New Roman" w:cs="Times New Roman"/>
          <w:sz w:val="24"/>
          <w:szCs w:val="24"/>
        </w:rPr>
        <w:t>sijas par nozaru politikas izaicinājumiem sniedz īpaši vērtīgu pienesumu kā dzimumu līdztiesības ekspertu, tā nozaru politikas ekspertu ikdienas darbā. Šādas diskusijas plānots organizēt arī Plāna sieviešu un vīriešu vienlīdzīgu tiesību un iespēju veicināš</w:t>
      </w:r>
      <w:r w:rsidR="00091A4E" w:rsidRPr="00A857F2">
        <w:rPr>
          <w:rFonts w:ascii="Times New Roman" w:hAnsi="Times New Roman" w:cs="Times New Roman"/>
          <w:sz w:val="24"/>
          <w:szCs w:val="24"/>
        </w:rPr>
        <w:t xml:space="preserve">anai 2021.-2023.gadam ietvaros. </w:t>
      </w:r>
    </w:p>
    <w:p w14:paraId="399CC1D3" w14:textId="6F800609" w:rsidR="005F1963" w:rsidRDefault="00091A4E" w:rsidP="00A63763">
      <w:pPr>
        <w:widowControl w:val="0"/>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Koncepcijā izvirzīt</w:t>
      </w:r>
      <w:r w:rsidR="00E4785D">
        <w:rPr>
          <w:rFonts w:ascii="Times New Roman" w:hAnsi="Times New Roman" w:cs="Times New Roman"/>
          <w:sz w:val="24"/>
          <w:szCs w:val="24"/>
        </w:rPr>
        <w:t>o</w:t>
      </w:r>
      <w:r w:rsidRPr="0015154B">
        <w:rPr>
          <w:rFonts w:ascii="Times New Roman" w:hAnsi="Times New Roman" w:cs="Times New Roman"/>
          <w:sz w:val="24"/>
          <w:szCs w:val="24"/>
        </w:rPr>
        <w:t xml:space="preserve"> īstermiņa uzdevumu </w:t>
      </w:r>
      <w:r w:rsidRPr="00A63763">
        <w:rPr>
          <w:rFonts w:ascii="Times New Roman" w:hAnsi="Times New Roman" w:cs="Times New Roman"/>
          <w:sz w:val="24"/>
          <w:szCs w:val="24"/>
        </w:rPr>
        <w:t>(skat. 1.-3.punktu)</w:t>
      </w:r>
      <w:r w:rsidRPr="0015154B">
        <w:rPr>
          <w:rFonts w:ascii="Times New Roman" w:hAnsi="Times New Roman" w:cs="Times New Roman"/>
          <w:sz w:val="24"/>
          <w:szCs w:val="24"/>
        </w:rPr>
        <w:t xml:space="preserve"> īstenošana faktiski ir noslēgusies</w:t>
      </w:r>
      <w:r w:rsidR="00A63763">
        <w:rPr>
          <w:rFonts w:ascii="Times New Roman" w:hAnsi="Times New Roman" w:cs="Times New Roman"/>
          <w:sz w:val="24"/>
          <w:szCs w:val="24"/>
        </w:rPr>
        <w:t xml:space="preserve">. Turklāt </w:t>
      </w:r>
      <w:r w:rsidRPr="0015154B">
        <w:rPr>
          <w:rFonts w:ascii="Times New Roman" w:hAnsi="Times New Roman" w:cs="Times New Roman"/>
          <w:sz w:val="24"/>
          <w:szCs w:val="24"/>
        </w:rPr>
        <w:t>Koncepcijā izvirzītie izaicinājumi ir novecojuši un vairs neatbilst mūsdienās novērojamajām tendencēm un to risināšanas</w:t>
      </w:r>
      <w:r w:rsidR="005F1963">
        <w:rPr>
          <w:rFonts w:ascii="Times New Roman" w:hAnsi="Times New Roman" w:cs="Times New Roman"/>
          <w:sz w:val="24"/>
          <w:szCs w:val="24"/>
        </w:rPr>
        <w:t>. Piemēram, Koncepcijas izstrādes procesā IKT un mākslīgā intelekta attīstība tādā tempā, kāda tā ir šobrīd, v</w:t>
      </w:r>
      <w:r w:rsidR="00CA0136">
        <w:rPr>
          <w:rFonts w:ascii="Times New Roman" w:hAnsi="Times New Roman" w:cs="Times New Roman"/>
          <w:sz w:val="24"/>
          <w:szCs w:val="24"/>
        </w:rPr>
        <w:t>ē</w:t>
      </w:r>
      <w:r w:rsidR="005F1963">
        <w:rPr>
          <w:rFonts w:ascii="Times New Roman" w:hAnsi="Times New Roman" w:cs="Times New Roman"/>
          <w:sz w:val="24"/>
          <w:szCs w:val="24"/>
        </w:rPr>
        <w:t>l nenotika. Tā kā IKT attīstībai ir būtiska ietekme uz vienlīdzīgu iespēju īstenošanu, tas ir vērā ņemam</w:t>
      </w:r>
      <w:r w:rsidR="00CA0136">
        <w:rPr>
          <w:rFonts w:ascii="Times New Roman" w:hAnsi="Times New Roman" w:cs="Times New Roman"/>
          <w:sz w:val="24"/>
          <w:szCs w:val="24"/>
        </w:rPr>
        <w:t>s</w:t>
      </w:r>
      <w:r w:rsidR="005F1963">
        <w:rPr>
          <w:rFonts w:ascii="Times New Roman" w:hAnsi="Times New Roman" w:cs="Times New Roman"/>
          <w:sz w:val="24"/>
          <w:szCs w:val="24"/>
        </w:rPr>
        <w:t xml:space="preserve"> faktors, kas jāiekļauj gan dzimumu līdztiesības, gan invaliditātes politikās. 2020. gada </w:t>
      </w:r>
      <w:r w:rsidR="005F1963" w:rsidRPr="005F1963">
        <w:rPr>
          <w:rFonts w:ascii="Times New Roman" w:hAnsi="Times New Roman" w:cs="Times New Roman"/>
          <w:sz w:val="24"/>
          <w:szCs w:val="24"/>
        </w:rPr>
        <w:t>februārī EK publicēja Balto grāmatu par mākslīgo intelektu, kurā izklāstīti EK priekšlikumi mākslīgā intelekta attīstībai ES. Dokumentā dzimumu līdztiesības principu ievērošanai mākslīgā intelekta nozarē pievērsta īpaša uzmanība, norādot uz nepieciešamību izglītot mākslīga intelekta izstrādātājus un citus procesā iesaistītos speciālistus par dzimumu līdztiesības jautājumiem, tādējādi novēršot diskriminējošu izteikumu paušanu un stereotipus veicinošu sieviešu un vīriešu tēlu atveidošanu nozarē radītajos produktos un pakalpojumos.</w:t>
      </w:r>
      <w:r w:rsidR="005F1963">
        <w:rPr>
          <w:rFonts w:ascii="Times New Roman" w:hAnsi="Times New Roman" w:cs="Times New Roman"/>
          <w:sz w:val="24"/>
          <w:szCs w:val="24"/>
        </w:rPr>
        <w:t xml:space="preserve"> Savukārt a</w:t>
      </w:r>
      <w:r w:rsidR="005F1963" w:rsidRPr="005F1963">
        <w:rPr>
          <w:rFonts w:ascii="Times New Roman" w:hAnsi="Times New Roman" w:cs="Times New Roman"/>
          <w:sz w:val="24"/>
          <w:szCs w:val="24"/>
        </w:rPr>
        <w:t>prīļa sākumā EK Sieviešu un vīriešu vienlīdzīgu iespēju un padomdevēja komiteja publicēja divus viedokļus – par cīņu ar vardarbību pret sievietēm interneta vidē un par dzimumu līdztiesības nodrošināšanu mākslīgā intelekta nozarē.</w:t>
      </w:r>
      <w:r w:rsidR="00A7433E">
        <w:rPr>
          <w:rStyle w:val="FootnoteReference"/>
          <w:rFonts w:ascii="Times New Roman" w:hAnsi="Times New Roman" w:cs="Times New Roman"/>
          <w:sz w:val="24"/>
          <w:szCs w:val="24"/>
        </w:rPr>
        <w:footnoteReference w:id="213"/>
      </w:r>
      <w:r w:rsidR="005F1963" w:rsidRPr="005F1963">
        <w:rPr>
          <w:rFonts w:ascii="Times New Roman" w:hAnsi="Times New Roman" w:cs="Times New Roman"/>
          <w:sz w:val="24"/>
          <w:szCs w:val="24"/>
        </w:rPr>
        <w:t xml:space="preserve"> Savos viedokļos Komiteja analizē attiecīgās jomas aktuālos izaicinājumus. Komitejas viedokļi dalībvalstīm nav saistoši, tomēr tie ir vērtīgs materiāls sieviešu un vīriešu vienlīdzīgu tiesību un iespēju politikā definēto problēmu izpētē un analīzē.</w:t>
      </w:r>
    </w:p>
    <w:p w14:paraId="446200F9" w14:textId="0AF04918" w:rsidR="00091A4E" w:rsidRPr="0015154B" w:rsidRDefault="005F1963" w:rsidP="00A63763">
      <w:pPr>
        <w:widowControl w:val="0"/>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Ņemot vērā augstāk minēto</w:t>
      </w:r>
      <w:r w:rsidR="00857E45">
        <w:rPr>
          <w:rFonts w:ascii="Times New Roman" w:hAnsi="Times New Roman" w:cs="Times New Roman"/>
          <w:sz w:val="24"/>
          <w:szCs w:val="24"/>
        </w:rPr>
        <w:t xml:space="preserve">, </w:t>
      </w:r>
      <w:r>
        <w:rPr>
          <w:rFonts w:ascii="Times New Roman" w:hAnsi="Times New Roman" w:cs="Times New Roman"/>
          <w:sz w:val="24"/>
          <w:szCs w:val="24"/>
        </w:rPr>
        <w:t>u</w:t>
      </w:r>
      <w:r w:rsidR="00091A4E" w:rsidRPr="0015154B">
        <w:rPr>
          <w:rFonts w:ascii="Times New Roman" w:hAnsi="Times New Roman" w:cs="Times New Roman"/>
          <w:sz w:val="24"/>
          <w:szCs w:val="24"/>
        </w:rPr>
        <w:t>zskatāms, ka Koncepcijas ieviešanas process ir noslēdzies, un tās turpmāka darbība vairs nav aktuāla. Informācija par aktuālajiem izaicinājumiem iekļauta Plānā sieviešu un vīriešu vienlīdzīgu tiesību un iespēju veicināšanai 2021.-2023.gadam.</w:t>
      </w:r>
    </w:p>
    <w:p w14:paraId="42080B76" w14:textId="77777777" w:rsidR="00FF5D02" w:rsidRPr="0015154B" w:rsidRDefault="00FF5D02" w:rsidP="00C36BF7">
      <w:pPr>
        <w:spacing w:after="0" w:line="240" w:lineRule="auto"/>
        <w:jc w:val="both"/>
        <w:rPr>
          <w:rFonts w:ascii="Times New Roman" w:hAnsi="Times New Roman" w:cs="Times New Roman"/>
          <w:b/>
          <w:sz w:val="26"/>
          <w:szCs w:val="26"/>
        </w:rPr>
      </w:pPr>
    </w:p>
    <w:p w14:paraId="015CED38" w14:textId="0807EB91" w:rsidR="00C36BF7" w:rsidRPr="0015154B" w:rsidRDefault="00C36BF7" w:rsidP="001101F7">
      <w:pPr>
        <w:pStyle w:val="Heading3"/>
      </w:pPr>
      <w:bookmarkStart w:id="102" w:name="_Toc55316127"/>
      <w:r w:rsidRPr="0015154B">
        <w:t>Personu ar invaliditāti nediskriminēšanas un vienlīdzīgu tiesību princip</w:t>
      </w:r>
      <w:r w:rsidR="00FB1506">
        <w:t>s</w:t>
      </w:r>
      <w:bookmarkEnd w:id="102"/>
    </w:p>
    <w:p w14:paraId="77A80593" w14:textId="77777777" w:rsidR="009447B9" w:rsidRPr="0015154B" w:rsidRDefault="00C36BF7"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ANO Konvencija par personu ar invaliditāti tiesībām</w:t>
      </w:r>
      <w:r w:rsidR="009447B9" w:rsidRPr="0015154B">
        <w:rPr>
          <w:rFonts w:ascii="Times New Roman" w:hAnsi="Times New Roman" w:cs="Times New Roman"/>
          <w:sz w:val="24"/>
          <w:szCs w:val="24"/>
        </w:rPr>
        <w:t xml:space="preserve"> (turpmāk – ANO Konvencija)</w:t>
      </w:r>
      <w:r w:rsidRPr="0015154B">
        <w:rPr>
          <w:rFonts w:ascii="Times New Roman" w:hAnsi="Times New Roman" w:cs="Times New Roman"/>
          <w:sz w:val="24"/>
          <w:szCs w:val="24"/>
        </w:rPr>
        <w:t>, kuru Latvija ratificēja 2010.gada 1.martā, veido kopējo ietvaru invaliditātes politikas plānošanā un ieviešanā</w:t>
      </w:r>
      <w:r w:rsidR="009447B9" w:rsidRPr="0015154B">
        <w:rPr>
          <w:rFonts w:ascii="Times New Roman" w:hAnsi="Times New Roman" w:cs="Times New Roman"/>
          <w:sz w:val="24"/>
          <w:szCs w:val="24"/>
        </w:rPr>
        <w:t>.</w:t>
      </w:r>
      <w:r w:rsidRPr="0015154B">
        <w:rPr>
          <w:rFonts w:ascii="Times New Roman" w:hAnsi="Times New Roman" w:cs="Times New Roman"/>
          <w:sz w:val="24"/>
          <w:szCs w:val="24"/>
        </w:rPr>
        <w:t xml:space="preserve"> ANO Konvencijas mērķis ir veicināt, aizsargāt un nodrošināt to, lai personas ar invaliditāti varētu pilnībā un vienlīdzīgi ar citiem sabiedrības locekļiem izmantot visas cilvēktiesības un pamatbrīvības un veicināt tām piemītošās cieņas ievērošanu ekonomiskajā, sociālajā, politiskajā, juridiskajā un kultūras dzīvē.</w:t>
      </w:r>
      <w:r w:rsidR="009447B9" w:rsidRPr="0015154B">
        <w:rPr>
          <w:rFonts w:ascii="Times New Roman" w:hAnsi="Times New Roman" w:cs="Times New Roman"/>
          <w:sz w:val="24"/>
          <w:szCs w:val="24"/>
        </w:rPr>
        <w:t xml:space="preserve"> </w:t>
      </w:r>
    </w:p>
    <w:p w14:paraId="14486D4B" w14:textId="7D72FD9F" w:rsidR="00C36BF7" w:rsidRPr="0015154B" w:rsidRDefault="009447B9"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lastRenderedPageBreak/>
        <w:t xml:space="preserve">Personu ar invaliditāti vienlīdzīgu iespēju nodrošināšana ir komplekss un horizontālā atbildībā īstenojams pasākumu kopums, lai maksimāli uzlabotu personu ar invaliditāti dzīves kvalitāti, pakalpojumu pieejamību un atbalstu visās dzīves jomās, t.i., nozaru atbildīgās ministrijas un citas iesaistītās institūcijas katra ir atbildīga par uzņemto saistību pakāpenisku ieviešanu attiecīgajā jomā. Invaliditātes aspektu konsekventa ievērošana, plānojot sabiedrībai paredzētos pakalpojumus, nodrošina to pieejamību arī personām ar invaliditāti. </w:t>
      </w:r>
      <w:r w:rsidR="00C36BF7" w:rsidRPr="0015154B">
        <w:rPr>
          <w:rFonts w:ascii="Times New Roman" w:hAnsi="Times New Roman" w:cs="Times New Roman"/>
          <w:sz w:val="24"/>
          <w:szCs w:val="24"/>
        </w:rPr>
        <w:t>Jāuzsver, ka vides, ēku, ceļu, transporta, informācijas un sakaru pakalpojumu pieejamība ir viens no</w:t>
      </w:r>
      <w:r w:rsidR="00CE0BC7">
        <w:rPr>
          <w:rFonts w:ascii="Times New Roman" w:hAnsi="Times New Roman" w:cs="Times New Roman"/>
          <w:sz w:val="24"/>
          <w:szCs w:val="24"/>
        </w:rPr>
        <w:t xml:space="preserve"> </w:t>
      </w:r>
      <w:r w:rsidR="00C36BF7" w:rsidRPr="0015154B">
        <w:rPr>
          <w:rFonts w:ascii="Times New Roman" w:hAnsi="Times New Roman" w:cs="Times New Roman"/>
          <w:sz w:val="24"/>
          <w:szCs w:val="24"/>
        </w:rPr>
        <w:t>priekšnosacījumiem, lai cilvēki ar invaliditāti veiksmīgi integrētos sabiedrībā</w:t>
      </w:r>
      <w:r w:rsidRPr="0015154B">
        <w:rPr>
          <w:rFonts w:ascii="Times New Roman" w:hAnsi="Times New Roman" w:cs="Times New Roman"/>
          <w:sz w:val="24"/>
          <w:szCs w:val="24"/>
        </w:rPr>
        <w:t>,</w:t>
      </w:r>
      <w:r w:rsidR="00C36BF7" w:rsidRPr="0015154B">
        <w:rPr>
          <w:rFonts w:ascii="Times New Roman" w:hAnsi="Times New Roman" w:cs="Times New Roman"/>
          <w:sz w:val="24"/>
          <w:szCs w:val="24"/>
        </w:rPr>
        <w:t xml:space="preserve"> </w:t>
      </w:r>
      <w:r w:rsidRPr="0015154B">
        <w:rPr>
          <w:rFonts w:ascii="Times New Roman" w:hAnsi="Times New Roman" w:cs="Times New Roman"/>
          <w:sz w:val="24"/>
          <w:szCs w:val="24"/>
        </w:rPr>
        <w:t xml:space="preserve">saņemtu nepieciešamos pakalpojumus </w:t>
      </w:r>
      <w:r w:rsidR="00C36BF7" w:rsidRPr="0015154B">
        <w:rPr>
          <w:rFonts w:ascii="Times New Roman" w:hAnsi="Times New Roman" w:cs="Times New Roman"/>
          <w:sz w:val="24"/>
          <w:szCs w:val="24"/>
        </w:rPr>
        <w:t>un īstenotu savas tiesības.</w:t>
      </w:r>
      <w:r w:rsidRPr="0015154B">
        <w:rPr>
          <w:rFonts w:ascii="Times New Roman" w:hAnsi="Times New Roman" w:cs="Times New Roman"/>
          <w:sz w:val="24"/>
          <w:szCs w:val="24"/>
        </w:rPr>
        <w:t xml:space="preserve"> </w:t>
      </w:r>
      <w:r w:rsidR="00C36BF7" w:rsidRPr="0015154B">
        <w:rPr>
          <w:rFonts w:ascii="Times New Roman" w:hAnsi="Times New Roman" w:cs="Times New Roman"/>
          <w:sz w:val="24"/>
          <w:szCs w:val="24"/>
        </w:rPr>
        <w:t>Latvija ir noteikusi skaidru virzību invaliditātes politikas attīstībā - no medicīniskā modeļa uz cilvēktiesību pieeju, kura paredz, ka neviens cilvēks nevar tikt izslēgts no sabiedrības, sabiedriskajiem un sociālajiem procesiem dēļ tam piemītošas atšķirības, t.sk., invaliditātes dēļ.</w:t>
      </w:r>
    </w:p>
    <w:p w14:paraId="0DC36A62" w14:textId="160C6988" w:rsidR="00C36BF7" w:rsidRPr="0015154B" w:rsidRDefault="006E5736" w:rsidP="00B33541">
      <w:pPr>
        <w:spacing w:before="120" w:after="0" w:line="240" w:lineRule="auto"/>
        <w:ind w:firstLine="720"/>
        <w:jc w:val="both"/>
        <w:rPr>
          <w:rFonts w:ascii="Times New Roman" w:hAnsi="Times New Roman" w:cs="Times New Roman"/>
          <w:color w:val="333333"/>
          <w:sz w:val="24"/>
          <w:szCs w:val="24"/>
          <w:shd w:val="clear" w:color="auto" w:fill="FFFFFF"/>
        </w:rPr>
      </w:pPr>
      <w:r w:rsidRPr="0015154B">
        <w:rPr>
          <w:rFonts w:ascii="Times New Roman" w:hAnsi="Times New Roman" w:cs="Times New Roman"/>
          <w:sz w:val="24"/>
          <w:szCs w:val="24"/>
        </w:rPr>
        <w:t>Latvijā izveidotais institucionālais mehāni</w:t>
      </w:r>
      <w:r w:rsidR="00CE0BC7">
        <w:rPr>
          <w:rFonts w:ascii="Times New Roman" w:hAnsi="Times New Roman" w:cs="Times New Roman"/>
          <w:sz w:val="24"/>
          <w:szCs w:val="24"/>
        </w:rPr>
        <w:t>s</w:t>
      </w:r>
      <w:r w:rsidRPr="0015154B">
        <w:rPr>
          <w:rFonts w:ascii="Times New Roman" w:hAnsi="Times New Roman" w:cs="Times New Roman"/>
          <w:sz w:val="24"/>
          <w:szCs w:val="24"/>
        </w:rPr>
        <w:t xml:space="preserve">ms – Invaliditātes lietu nacionālā padome- ļauj nodrošināt </w:t>
      </w:r>
      <w:r w:rsidR="00C36BF7" w:rsidRPr="0015154B">
        <w:rPr>
          <w:rFonts w:ascii="Times New Roman" w:hAnsi="Times New Roman" w:cs="Times New Roman"/>
          <w:sz w:val="24"/>
          <w:szCs w:val="24"/>
        </w:rPr>
        <w:t xml:space="preserve">pašu personu ar invaliditāti  iesaisti ar invaliditāti saistītu jautājumu apspriešanā un viedokļu apmaiņā par to, kā veidot iekļaujošu sabiedrību. </w:t>
      </w:r>
      <w:r w:rsidRPr="0015154B">
        <w:rPr>
          <w:rFonts w:ascii="Times New Roman" w:hAnsi="Times New Roman" w:cs="Times New Roman"/>
          <w:sz w:val="24"/>
          <w:szCs w:val="24"/>
        </w:rPr>
        <w:t xml:space="preserve">Tāpat visos galvenajos nozaru likumos ir noteikts diskriminācijas aizlieguma princips. </w:t>
      </w:r>
      <w:r w:rsidR="0073417E" w:rsidRPr="0015154B">
        <w:rPr>
          <w:rFonts w:ascii="Times New Roman" w:hAnsi="Times New Roman" w:cs="Times New Roman"/>
          <w:sz w:val="24"/>
          <w:szCs w:val="24"/>
        </w:rPr>
        <w:t xml:space="preserve">Taču </w:t>
      </w:r>
      <w:r w:rsidR="00CF395A" w:rsidRPr="0015154B">
        <w:rPr>
          <w:rFonts w:ascii="Times New Roman" w:hAnsi="Times New Roman" w:cs="Times New Roman"/>
          <w:sz w:val="24"/>
          <w:szCs w:val="24"/>
        </w:rPr>
        <w:t>faktiskās situācijas izvērtējums atklāj būtiskas problēmas personu ar invaliditāti vienlīdzīgu tiesību un nediskriminēšanas nodrošināšanā</w:t>
      </w:r>
      <w:r w:rsidR="00AE2115" w:rsidRPr="0015154B">
        <w:rPr>
          <w:rFonts w:ascii="Times New Roman" w:hAnsi="Times New Roman" w:cs="Times New Roman"/>
          <w:sz w:val="24"/>
          <w:szCs w:val="24"/>
        </w:rPr>
        <w:t xml:space="preserve"> un </w:t>
      </w:r>
      <w:r w:rsidR="00AE2115" w:rsidRPr="0015154B">
        <w:rPr>
          <w:rFonts w:ascii="Times New Roman" w:hAnsi="Times New Roman" w:cs="Times New Roman"/>
          <w:i/>
          <w:sz w:val="24"/>
          <w:szCs w:val="24"/>
        </w:rPr>
        <w:t>de jure</w:t>
      </w:r>
      <w:r w:rsidR="00AE2115" w:rsidRPr="0015154B">
        <w:rPr>
          <w:rFonts w:ascii="Times New Roman" w:hAnsi="Times New Roman" w:cs="Times New Roman"/>
          <w:sz w:val="24"/>
          <w:szCs w:val="24"/>
        </w:rPr>
        <w:t xml:space="preserve"> noteikto principu prakti</w:t>
      </w:r>
      <w:r w:rsidR="00CE0BC7">
        <w:rPr>
          <w:rFonts w:ascii="Times New Roman" w:hAnsi="Times New Roman" w:cs="Times New Roman"/>
          <w:sz w:val="24"/>
          <w:szCs w:val="24"/>
        </w:rPr>
        <w:t>s</w:t>
      </w:r>
      <w:r w:rsidR="00AE2115" w:rsidRPr="0015154B">
        <w:rPr>
          <w:rFonts w:ascii="Times New Roman" w:hAnsi="Times New Roman" w:cs="Times New Roman"/>
          <w:sz w:val="24"/>
          <w:szCs w:val="24"/>
        </w:rPr>
        <w:t>ku piemērošan</w:t>
      </w:r>
      <w:r w:rsidR="00E4785D">
        <w:rPr>
          <w:rFonts w:ascii="Times New Roman" w:hAnsi="Times New Roman" w:cs="Times New Roman"/>
          <w:sz w:val="24"/>
          <w:szCs w:val="24"/>
        </w:rPr>
        <w:t>u.</w:t>
      </w:r>
    </w:p>
    <w:p w14:paraId="1CD4E634" w14:textId="77777777" w:rsidR="00C36BF7" w:rsidRPr="0015154B" w:rsidRDefault="00C36BF7" w:rsidP="00B33541">
      <w:pPr>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Turpmākie izaicinājumi invaliditātes politikas un personu ar invaliditāti vienlīdzīgu tiesību principu un iespēju pilnveidošanā saistās ar cilvēktiesību pieejas nostiprināšanu  invaliditātes noteikšanas procesā, kurā cilvēks ar invaliditāti tiek skatīts kā pilnvērtīgs sabiedrības loceklis, tiesību un brīvību turētājs, vienlaikus vērtējot personai piemītošos funkcionēšanas ierobežojumus ciešā mijiedarbībā ar personas spēju iekļauties dažādos sabiedriskajos procesos.  Būtiskākie izaicinājumi saistās ar:</w:t>
      </w:r>
    </w:p>
    <w:p w14:paraId="2E902000" w14:textId="4C7C11CB" w:rsidR="00C36BF7" w:rsidRPr="0015154B" w:rsidRDefault="00C36BF7" w:rsidP="00B33541">
      <w:pPr>
        <w:pStyle w:val="ListParagraph"/>
        <w:numPr>
          <w:ilvl w:val="0"/>
          <w:numId w:val="53"/>
        </w:num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adekvātu atbalsta pakalpojumu nodrošināšanu invaliditātes seku mazināšanai</w:t>
      </w:r>
      <w:r w:rsidR="00CF395A" w:rsidRPr="0015154B">
        <w:rPr>
          <w:rFonts w:ascii="Times New Roman" w:hAnsi="Times New Roman" w:cs="Times New Roman"/>
          <w:sz w:val="24"/>
          <w:szCs w:val="24"/>
        </w:rPr>
        <w:t>, ievērojami pieaugot personu ar invalid</w:t>
      </w:r>
      <w:r w:rsidR="00CE0BC7">
        <w:rPr>
          <w:rFonts w:ascii="Times New Roman" w:hAnsi="Times New Roman" w:cs="Times New Roman"/>
          <w:sz w:val="24"/>
          <w:szCs w:val="24"/>
        </w:rPr>
        <w:t>it</w:t>
      </w:r>
      <w:r w:rsidR="00CF395A" w:rsidRPr="0015154B">
        <w:rPr>
          <w:rFonts w:ascii="Times New Roman" w:hAnsi="Times New Roman" w:cs="Times New Roman"/>
          <w:sz w:val="24"/>
          <w:szCs w:val="24"/>
        </w:rPr>
        <w:t>āti skaitam</w:t>
      </w:r>
      <w:r w:rsidRPr="0015154B">
        <w:rPr>
          <w:rFonts w:ascii="Times New Roman" w:hAnsi="Times New Roman" w:cs="Times New Roman"/>
          <w:sz w:val="24"/>
          <w:szCs w:val="24"/>
        </w:rPr>
        <w:t>, t.sk. pieejamas vides un pielāgotu atbalsta pakalpojumu pieejamība;</w:t>
      </w:r>
    </w:p>
    <w:p w14:paraId="423AFE90" w14:textId="77777777" w:rsidR="00C36BF7" w:rsidRPr="0015154B" w:rsidRDefault="00C36BF7" w:rsidP="00B33541">
      <w:pPr>
        <w:pStyle w:val="ListParagraph"/>
        <w:numPr>
          <w:ilvl w:val="0"/>
          <w:numId w:val="53"/>
        </w:num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invaliditātes noteikšanas sistēmas pilnveidošanu, lai nostiprinātu, ka personai noteiktā invaliditāte tiek balstīta uz personai piemītošo funkcionēšanas ierobežojumu novērtēšanu un nevis slimības esamību;</w:t>
      </w:r>
    </w:p>
    <w:p w14:paraId="6C44A41D" w14:textId="05287C45" w:rsidR="00C36BF7" w:rsidRPr="0015154B" w:rsidRDefault="00C36BF7" w:rsidP="00B33541">
      <w:pPr>
        <w:pStyle w:val="ListParagraph"/>
        <w:numPr>
          <w:ilvl w:val="0"/>
          <w:numId w:val="53"/>
        </w:num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sabiedrībā valdošo ster</w:t>
      </w:r>
      <w:r w:rsidR="00CE0BC7">
        <w:rPr>
          <w:rFonts w:ascii="Times New Roman" w:hAnsi="Times New Roman" w:cs="Times New Roman"/>
          <w:sz w:val="24"/>
          <w:szCs w:val="24"/>
        </w:rPr>
        <w:t>e</w:t>
      </w:r>
      <w:r w:rsidRPr="0015154B">
        <w:rPr>
          <w:rFonts w:ascii="Times New Roman" w:hAnsi="Times New Roman" w:cs="Times New Roman"/>
          <w:sz w:val="24"/>
          <w:szCs w:val="24"/>
        </w:rPr>
        <w:t>otipu un aizspriedumu izskaušanu, uzsverot, ka aizspriedumi un izpratnes trūkums par invaliditātes jautājumiem un personām ar invaliditāti, un viņu spējām iekļauties dažādos sabiedriskajos procesos, nereti rodas no nezināšanas un pieredzes trūkuma saskarsmē ar šiem cilvēkiem</w:t>
      </w:r>
      <w:r w:rsidR="00CF395A" w:rsidRPr="0015154B">
        <w:rPr>
          <w:rFonts w:ascii="Times New Roman" w:hAnsi="Times New Roman" w:cs="Times New Roman"/>
          <w:sz w:val="24"/>
          <w:szCs w:val="24"/>
        </w:rPr>
        <w:t>.</w:t>
      </w:r>
    </w:p>
    <w:p w14:paraId="2FCCEEE1" w14:textId="2D547820" w:rsidR="009E6FD8" w:rsidRPr="0015154B" w:rsidRDefault="009E6FD8" w:rsidP="00CF395A">
      <w:pPr>
        <w:spacing w:after="0" w:line="240" w:lineRule="auto"/>
        <w:ind w:firstLine="720"/>
        <w:jc w:val="both"/>
        <w:rPr>
          <w:rFonts w:ascii="Times New Roman" w:hAnsi="Times New Roman" w:cs="Times New Roman"/>
        </w:rPr>
      </w:pPr>
      <w:r w:rsidRPr="0015154B">
        <w:rPr>
          <w:rFonts w:ascii="Times New Roman" w:hAnsi="Times New Roman" w:cs="Times New Roman"/>
        </w:rPr>
        <w:t xml:space="preserve">  </w:t>
      </w:r>
    </w:p>
    <w:p w14:paraId="3892BF28" w14:textId="13DAEA81" w:rsidR="009E6FD8" w:rsidRPr="0015154B" w:rsidRDefault="00C504E4" w:rsidP="00DA5144">
      <w:pPr>
        <w:pStyle w:val="Heading2"/>
      </w:pPr>
      <w:bookmarkStart w:id="103" w:name="_Toc55316128"/>
      <w:r>
        <w:t xml:space="preserve"> </w:t>
      </w:r>
      <w:r w:rsidR="009E6FD8" w:rsidRPr="0015154B">
        <w:t>Iedzīvotāju finanšu pratība</w:t>
      </w:r>
      <w:bookmarkEnd w:id="103"/>
    </w:p>
    <w:p w14:paraId="70BC3F44" w14:textId="7585F8EF" w:rsidR="009E6FD8" w:rsidRPr="0015154B" w:rsidRDefault="004B2FCE"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Iedzīvotāju spēja zi</w:t>
      </w:r>
      <w:r w:rsidR="00737C4E" w:rsidRPr="0015154B">
        <w:rPr>
          <w:rFonts w:ascii="Times New Roman" w:hAnsi="Times New Roman" w:cs="Times New Roman"/>
          <w:sz w:val="24"/>
          <w:szCs w:val="24"/>
        </w:rPr>
        <w:t>n</w:t>
      </w:r>
      <w:r w:rsidRPr="0015154B">
        <w:rPr>
          <w:rFonts w:ascii="Times New Roman" w:hAnsi="Times New Roman" w:cs="Times New Roman"/>
          <w:sz w:val="24"/>
          <w:szCs w:val="24"/>
        </w:rPr>
        <w:t>oši pārvaldīt savus finanšu aktīvus, samazinot parādu slogu un attīstot produktīvu uzkrāšanu un ieguldīšanu,</w:t>
      </w:r>
      <w:r w:rsidR="00B43015" w:rsidRPr="0015154B">
        <w:rPr>
          <w:rFonts w:ascii="Times New Roman" w:hAnsi="Times New Roman" w:cs="Times New Roman"/>
          <w:sz w:val="24"/>
          <w:szCs w:val="24"/>
        </w:rPr>
        <w:t xml:space="preserve"> </w:t>
      </w:r>
      <w:r w:rsidR="00737C4E" w:rsidRPr="0015154B">
        <w:rPr>
          <w:rFonts w:ascii="Times New Roman" w:hAnsi="Times New Roman" w:cs="Times New Roman"/>
          <w:sz w:val="24"/>
          <w:szCs w:val="24"/>
        </w:rPr>
        <w:t>NAP2027</w:t>
      </w:r>
      <w:r w:rsidRPr="0015154B">
        <w:rPr>
          <w:rFonts w:ascii="Times New Roman" w:hAnsi="Times New Roman" w:cs="Times New Roman"/>
          <w:sz w:val="24"/>
          <w:szCs w:val="24"/>
        </w:rPr>
        <w:t xml:space="preserve"> </w:t>
      </w:r>
      <w:r w:rsidR="00737C4E" w:rsidRPr="0015154B">
        <w:rPr>
          <w:rFonts w:ascii="Times New Roman" w:hAnsi="Times New Roman" w:cs="Times New Roman"/>
          <w:sz w:val="24"/>
          <w:szCs w:val="24"/>
        </w:rPr>
        <w:t xml:space="preserve">ir norādīta kā viens no iedzīvotāju labklājību veicinošiem elementiem. Savukārt iedzīvotāju finanšu pratības celšana ir norādīta starp uzdevumiem, kas vērsti uz iedzīvotāju ienākumu paaugstināšanu. </w:t>
      </w:r>
      <w:r w:rsidR="009E6FD8" w:rsidRPr="0015154B">
        <w:rPr>
          <w:rFonts w:ascii="Times New Roman" w:hAnsi="Times New Roman" w:cs="Times New Roman"/>
          <w:sz w:val="24"/>
          <w:szCs w:val="24"/>
        </w:rPr>
        <w:t xml:space="preserve">Augstas atsevišķu iedzīvotāju grupu finanšu saistības rada šķēršļus efektīvākai ēnu ekonomikas mazināšanai un līdzdalībai darba tirgū, jo cilvēkiem šādās situācijās zūd motivācija turpināt izglītošanās pasākumus, gūt legālus ienākumus un/ vai veikt nodokļu nomaksu no visa gūto ienākumu apjoma. Būtiski uzsvērt, ka šīs finanšu saistības ir arī nepietiekamu ienākumu sekas bezatbildīgas kreditēšanas un zemas finanšu pratības apstākļos. Saskaņā ar LU Biznesa, vadības un ekonomikas fakultātes veiktā pētījuma rezultātiem un PTAC apkopotajiem datiem, ar katru gadu Latvijā pieaug iedzīvotāju kredītsaistību apjoms, īpaši distances un patēriņa kredītu </w:t>
      </w:r>
      <w:r w:rsidR="009E6FD8" w:rsidRPr="0015154B">
        <w:rPr>
          <w:rFonts w:ascii="Times New Roman" w:hAnsi="Times New Roman" w:cs="Times New Roman"/>
          <w:sz w:val="24"/>
          <w:szCs w:val="24"/>
        </w:rPr>
        <w:lastRenderedPageBreak/>
        <w:t>segmentā.</w:t>
      </w:r>
      <w:r w:rsidR="00EF458D">
        <w:rPr>
          <w:rStyle w:val="FootnoteReference"/>
          <w:rFonts w:ascii="Times New Roman" w:hAnsi="Times New Roman" w:cs="Times New Roman"/>
          <w:sz w:val="24"/>
          <w:szCs w:val="24"/>
        </w:rPr>
        <w:footnoteReference w:id="214"/>
      </w:r>
      <w:r w:rsidR="009E6FD8" w:rsidRPr="0015154B">
        <w:rPr>
          <w:rFonts w:ascii="Times New Roman" w:hAnsi="Times New Roman" w:cs="Times New Roman"/>
          <w:sz w:val="24"/>
          <w:szCs w:val="24"/>
        </w:rPr>
        <w:t xml:space="preserve"> Taču vienlaikus pieaug distances kredītņēmēju skaits, kuriem radušās grūtības atdot parādu, un, kas pagarinājuši kredīta atmaksu trīs un vairāk reižu, savukārt, sarucis to kredītņēmēju skaits, kas spējis atmaksāt parādu bez pagarinājuma. </w:t>
      </w:r>
    </w:p>
    <w:p w14:paraId="5C065CC5" w14:textId="32B565B1" w:rsidR="009E3699" w:rsidRPr="0025422D" w:rsidRDefault="00A843EA"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sz w:val="24"/>
          <w:szCs w:val="24"/>
        </w:rPr>
        <w:t>Augstais</w:t>
      </w:r>
      <w:r w:rsidR="00C36BF7" w:rsidRPr="0015154B">
        <w:rPr>
          <w:rFonts w:ascii="Times New Roman" w:hAnsi="Times New Roman" w:cs="Times New Roman"/>
          <w:sz w:val="24"/>
          <w:szCs w:val="24"/>
        </w:rPr>
        <w:t xml:space="preserve"> iedzīvotāju </w:t>
      </w:r>
      <w:r w:rsidRPr="0015154B">
        <w:rPr>
          <w:rFonts w:ascii="Times New Roman" w:hAnsi="Times New Roman" w:cs="Times New Roman"/>
          <w:sz w:val="24"/>
          <w:szCs w:val="24"/>
        </w:rPr>
        <w:t xml:space="preserve">īpatsvars, kuri </w:t>
      </w:r>
      <w:r w:rsidR="00C36BF7" w:rsidRPr="0015154B">
        <w:rPr>
          <w:rFonts w:ascii="Times New Roman" w:hAnsi="Times New Roman" w:cs="Times New Roman"/>
          <w:sz w:val="24"/>
          <w:szCs w:val="24"/>
        </w:rPr>
        <w:t xml:space="preserve">nevar atļauties segt neparedzētus izdevumus, liecina par minimālu uzkrājumu trūkumu un augsto individuālo mājsaimniecību finanšu risku. Līdzās iedzīvotāju ar zemiem ienākumiem, nabadzības un sociālās atstumtības riskam pakļauto iedzīvotāju materiālā nodrošinājuma līmeņa celšanas pasākumiem ieteicams attīstīt rīcībpolitikas pasākumus, kas vērsti uz iedzīvotāju sociālo un ekonomisko prasmju, t.sk. finanšu plānošanas, attīstīšanu, palielinot personu atbildību gadījumos, kad savas finanšu situācijas problēmu risināšanai tiek izmantoti tādi risinājumi kā patēriņa kredīti un t.s. ātrie kredīti, kas rada risku nonākt arvien dziļākās parādsaistībās. Šādu pasākumu pamatojums ir arī </w:t>
      </w:r>
      <w:r w:rsidR="00F94DA1" w:rsidRPr="0015154B">
        <w:rPr>
          <w:rFonts w:ascii="Times New Roman" w:hAnsi="Times New Roman" w:cs="Times New Roman"/>
          <w:sz w:val="24"/>
          <w:szCs w:val="24"/>
        </w:rPr>
        <w:t>augstais</w:t>
      </w:r>
      <w:r w:rsidR="00C36BF7" w:rsidRPr="0015154B">
        <w:rPr>
          <w:rFonts w:ascii="Times New Roman" w:hAnsi="Times New Roman" w:cs="Times New Roman"/>
          <w:sz w:val="24"/>
          <w:szCs w:val="24"/>
        </w:rPr>
        <w:t xml:space="preserve"> </w:t>
      </w:r>
      <w:r w:rsidR="00F94DA1" w:rsidRPr="0015154B">
        <w:rPr>
          <w:rFonts w:ascii="Times New Roman" w:hAnsi="Times New Roman" w:cs="Times New Roman"/>
          <w:sz w:val="24"/>
          <w:szCs w:val="24"/>
        </w:rPr>
        <w:t>mājsaimniecību</w:t>
      </w:r>
      <w:r w:rsidR="00C36BF7" w:rsidRPr="0015154B">
        <w:rPr>
          <w:rFonts w:ascii="Times New Roman" w:hAnsi="Times New Roman" w:cs="Times New Roman"/>
          <w:sz w:val="24"/>
          <w:szCs w:val="24"/>
        </w:rPr>
        <w:t xml:space="preserve"> īpatsvar</w:t>
      </w:r>
      <w:r w:rsidR="00F94DA1" w:rsidRPr="0015154B">
        <w:rPr>
          <w:rFonts w:ascii="Times New Roman" w:hAnsi="Times New Roman" w:cs="Times New Roman"/>
          <w:sz w:val="24"/>
          <w:szCs w:val="24"/>
        </w:rPr>
        <w:t>s</w:t>
      </w:r>
      <w:r w:rsidR="00C36BF7" w:rsidRPr="0015154B">
        <w:rPr>
          <w:rFonts w:ascii="Times New Roman" w:hAnsi="Times New Roman" w:cs="Times New Roman"/>
          <w:sz w:val="24"/>
          <w:szCs w:val="24"/>
        </w:rPr>
        <w:t>, k</w:t>
      </w:r>
      <w:r w:rsidR="00F94DA1" w:rsidRPr="0015154B">
        <w:rPr>
          <w:rFonts w:ascii="Times New Roman" w:hAnsi="Times New Roman" w:cs="Times New Roman"/>
          <w:sz w:val="24"/>
          <w:szCs w:val="24"/>
        </w:rPr>
        <w:t>ur</w:t>
      </w:r>
      <w:r w:rsidR="00C36BF7" w:rsidRPr="0015154B">
        <w:rPr>
          <w:rFonts w:ascii="Times New Roman" w:hAnsi="Times New Roman" w:cs="Times New Roman"/>
          <w:sz w:val="24"/>
          <w:szCs w:val="24"/>
        </w:rPr>
        <w:t xml:space="preserve">as </w:t>
      </w:r>
      <w:r w:rsidR="00F94DA1" w:rsidRPr="0015154B">
        <w:rPr>
          <w:rFonts w:ascii="Times New Roman" w:hAnsi="Times New Roman" w:cs="Times New Roman"/>
          <w:sz w:val="24"/>
          <w:szCs w:val="24"/>
        </w:rPr>
        <w:t xml:space="preserve">naudas trūkuma dēļ </w:t>
      </w:r>
      <w:r w:rsidR="00C36BF7" w:rsidRPr="0015154B">
        <w:rPr>
          <w:rFonts w:ascii="Times New Roman" w:hAnsi="Times New Roman" w:cs="Times New Roman"/>
          <w:sz w:val="24"/>
          <w:szCs w:val="24"/>
        </w:rPr>
        <w:t>nevar atļauties segt neparedzētus izdevumus</w:t>
      </w:r>
      <w:r w:rsidR="00F94DA1" w:rsidRPr="0015154B">
        <w:rPr>
          <w:rFonts w:ascii="Times New Roman" w:hAnsi="Times New Roman" w:cs="Times New Roman"/>
          <w:sz w:val="24"/>
          <w:szCs w:val="24"/>
        </w:rPr>
        <w:t>. Pat neraugoties uz pakāpenisku to samazināšanos, rādītāji joprojām saglabājas ļoti augsti, pat augstākajā ienākumu kvintilē.</w:t>
      </w:r>
      <w:r w:rsidR="00C36BF7" w:rsidRPr="0015154B">
        <w:rPr>
          <w:rFonts w:ascii="Times New Roman" w:hAnsi="Times New Roman" w:cs="Times New Roman"/>
          <w:sz w:val="24"/>
          <w:szCs w:val="24"/>
        </w:rPr>
        <w:t xml:space="preserve"> </w:t>
      </w:r>
      <w:r w:rsidR="00F94DA1" w:rsidRPr="0015154B">
        <w:rPr>
          <w:rFonts w:ascii="Times New Roman" w:hAnsi="Times New Roman" w:cs="Times New Roman"/>
          <w:sz w:val="24"/>
          <w:szCs w:val="24"/>
        </w:rPr>
        <w:t>Ja 2014.gadā</w:t>
      </w:r>
      <w:r w:rsidR="00C36BF7" w:rsidRPr="0015154B">
        <w:rPr>
          <w:rFonts w:ascii="Times New Roman" w:hAnsi="Times New Roman" w:cs="Times New Roman"/>
          <w:sz w:val="24"/>
          <w:szCs w:val="24"/>
        </w:rPr>
        <w:t xml:space="preserve"> tād</w:t>
      </w:r>
      <w:r w:rsidR="00F94DA1" w:rsidRPr="0015154B">
        <w:rPr>
          <w:rFonts w:ascii="Times New Roman" w:hAnsi="Times New Roman" w:cs="Times New Roman"/>
          <w:sz w:val="24"/>
          <w:szCs w:val="24"/>
        </w:rPr>
        <w:t>as</w:t>
      </w:r>
      <w:r w:rsidR="00C36BF7" w:rsidRPr="0015154B">
        <w:rPr>
          <w:rFonts w:ascii="Times New Roman" w:hAnsi="Times New Roman" w:cs="Times New Roman"/>
          <w:sz w:val="24"/>
          <w:szCs w:val="24"/>
        </w:rPr>
        <w:t xml:space="preserve"> bija </w:t>
      </w:r>
      <w:r w:rsidR="00F94DA1" w:rsidRPr="0015154B">
        <w:rPr>
          <w:rFonts w:ascii="Times New Roman" w:hAnsi="Times New Roman" w:cs="Times New Roman"/>
          <w:sz w:val="24"/>
          <w:szCs w:val="24"/>
        </w:rPr>
        <w:t>69</w:t>
      </w:r>
      <w:r w:rsidR="00C36BF7" w:rsidRPr="0015154B">
        <w:rPr>
          <w:rFonts w:ascii="Times New Roman" w:hAnsi="Times New Roman" w:cs="Times New Roman"/>
          <w:sz w:val="24"/>
          <w:szCs w:val="24"/>
        </w:rPr>
        <w:t>,</w:t>
      </w:r>
      <w:r w:rsidR="00F94DA1" w:rsidRPr="0015154B">
        <w:rPr>
          <w:rFonts w:ascii="Times New Roman" w:hAnsi="Times New Roman" w:cs="Times New Roman"/>
          <w:sz w:val="24"/>
          <w:szCs w:val="24"/>
        </w:rPr>
        <w:t>5</w:t>
      </w:r>
      <w:r w:rsidR="00C36BF7" w:rsidRPr="0015154B">
        <w:rPr>
          <w:rFonts w:ascii="Times New Roman" w:hAnsi="Times New Roman" w:cs="Times New Roman"/>
          <w:sz w:val="24"/>
          <w:szCs w:val="24"/>
        </w:rPr>
        <w:t xml:space="preserve">7% </w:t>
      </w:r>
      <w:r w:rsidR="00F94DA1" w:rsidRPr="0015154B">
        <w:rPr>
          <w:rFonts w:ascii="Times New Roman" w:hAnsi="Times New Roman" w:cs="Times New Roman"/>
          <w:sz w:val="24"/>
          <w:szCs w:val="24"/>
        </w:rPr>
        <w:t xml:space="preserve">mājsaimniecību, tad 2019.gadā – 54,5%, savukārt no 1.kvintilē esošajām mājsaimniecībām 2019.gadā </w:t>
      </w:r>
      <w:r w:rsidR="00C36BF7" w:rsidRPr="0015154B">
        <w:rPr>
          <w:rFonts w:ascii="Times New Roman" w:hAnsi="Times New Roman" w:cs="Times New Roman"/>
          <w:sz w:val="24"/>
          <w:szCs w:val="24"/>
        </w:rPr>
        <w:t xml:space="preserve"> </w:t>
      </w:r>
      <w:r w:rsidR="00F94DA1" w:rsidRPr="0015154B">
        <w:rPr>
          <w:rFonts w:ascii="Times New Roman" w:hAnsi="Times New Roman" w:cs="Times New Roman"/>
          <w:sz w:val="24"/>
          <w:szCs w:val="24"/>
        </w:rPr>
        <w:t>segt neparedzētus izdevumus nevarēja atļauties 76,6%</w:t>
      </w:r>
      <w:r w:rsidR="001B7608" w:rsidRPr="0015154B">
        <w:rPr>
          <w:rFonts w:ascii="Times New Roman" w:hAnsi="Times New Roman" w:cs="Times New Roman"/>
          <w:sz w:val="24"/>
          <w:szCs w:val="24"/>
        </w:rPr>
        <w:t xml:space="preserve"> mājsaimniecību</w:t>
      </w:r>
      <w:r w:rsidR="00F94DA1" w:rsidRPr="0015154B">
        <w:rPr>
          <w:rFonts w:ascii="Times New Roman" w:hAnsi="Times New Roman" w:cs="Times New Roman"/>
          <w:sz w:val="24"/>
          <w:szCs w:val="24"/>
        </w:rPr>
        <w:t>, bet no 5.kvintilē esošajām mājsaimniecībām – gandrīz ceturtā daļa (24,6%).</w:t>
      </w:r>
      <w:r w:rsidR="00C36BF7" w:rsidRPr="007157D3">
        <w:rPr>
          <w:rStyle w:val="FootnoteReference"/>
          <w:rFonts w:ascii="Times New Roman" w:hAnsi="Times New Roman" w:cs="Times New Roman"/>
          <w:sz w:val="24"/>
          <w:szCs w:val="24"/>
        </w:rPr>
        <w:footnoteReference w:id="215"/>
      </w:r>
      <w:r w:rsidRPr="007157D3">
        <w:rPr>
          <w:rFonts w:ascii="Times New Roman" w:hAnsi="Times New Roman" w:cs="Times New Roman"/>
          <w:sz w:val="24"/>
          <w:szCs w:val="24"/>
        </w:rPr>
        <w:t xml:space="preserve"> </w:t>
      </w:r>
      <w:r w:rsidR="009E3699" w:rsidRPr="007157D3">
        <w:rPr>
          <w:rFonts w:ascii="Times New Roman" w:hAnsi="Times New Roman" w:cs="Times New Roman"/>
          <w:sz w:val="24"/>
          <w:szCs w:val="24"/>
        </w:rPr>
        <w:t xml:space="preserve">Iedzīvotāju aptaujas dati liecina, ka </w:t>
      </w:r>
      <w:r w:rsidRPr="002F5278">
        <w:rPr>
          <w:rFonts w:ascii="Times New Roman" w:hAnsi="Times New Roman" w:cs="Times New Roman"/>
          <w:sz w:val="24"/>
          <w:szCs w:val="24"/>
        </w:rPr>
        <w:t xml:space="preserve">8,4% respondentu ir izmantojuši ātros kredītus savu un savas ģimenes </w:t>
      </w:r>
      <w:r w:rsidR="00060413" w:rsidRPr="00573B49">
        <w:rPr>
          <w:rFonts w:ascii="Times New Roman" w:hAnsi="Times New Roman" w:cs="Times New Roman"/>
          <w:sz w:val="24"/>
          <w:szCs w:val="24"/>
        </w:rPr>
        <w:t>materiālo problēmu risināšanai</w:t>
      </w:r>
      <w:r w:rsidRPr="00573B49">
        <w:rPr>
          <w:rFonts w:ascii="Times New Roman" w:hAnsi="Times New Roman" w:cs="Times New Roman"/>
          <w:sz w:val="24"/>
          <w:szCs w:val="24"/>
        </w:rPr>
        <w:t xml:space="preserve"> pēdējo 3 gadu laikā, turklāt lielāko īpatsvaru no tiem veido respondenti jaunākajās vecuma grupās un zemākajās ienākumu grupās.</w:t>
      </w:r>
      <w:r w:rsidRPr="007157D3">
        <w:rPr>
          <w:rStyle w:val="FootnoteReference"/>
          <w:rFonts w:ascii="Times New Roman" w:hAnsi="Times New Roman" w:cs="Times New Roman"/>
          <w:sz w:val="24"/>
          <w:szCs w:val="24"/>
        </w:rPr>
        <w:footnoteReference w:id="216"/>
      </w:r>
      <w:r w:rsidRPr="007157D3">
        <w:rPr>
          <w:rFonts w:ascii="Times New Roman" w:hAnsi="Times New Roman" w:cs="Times New Roman"/>
          <w:sz w:val="24"/>
          <w:szCs w:val="24"/>
        </w:rPr>
        <w:t xml:space="preserve"> Līdz ar to viens</w:t>
      </w:r>
      <w:r w:rsidRPr="002F5278">
        <w:rPr>
          <w:rFonts w:ascii="Times New Roman" w:hAnsi="Times New Roman" w:cs="Times New Roman"/>
          <w:sz w:val="24"/>
          <w:szCs w:val="24"/>
        </w:rPr>
        <w:t xml:space="preserve"> no riskantākaj</w:t>
      </w:r>
      <w:r w:rsidR="00CA0136">
        <w:rPr>
          <w:rFonts w:ascii="Times New Roman" w:hAnsi="Times New Roman" w:cs="Times New Roman"/>
          <w:sz w:val="24"/>
          <w:szCs w:val="24"/>
        </w:rPr>
        <w:t>ie</w:t>
      </w:r>
      <w:r w:rsidRPr="002F5278">
        <w:rPr>
          <w:rFonts w:ascii="Times New Roman" w:hAnsi="Times New Roman" w:cs="Times New Roman"/>
          <w:sz w:val="24"/>
          <w:szCs w:val="24"/>
        </w:rPr>
        <w:t xml:space="preserve">m, īstermiņa risinājumiem ar ilgtermiņa negatīvu ietekmi vēl vairāk </w:t>
      </w:r>
      <w:r w:rsidR="00AE10FA" w:rsidRPr="002F5278">
        <w:rPr>
          <w:rFonts w:ascii="Times New Roman" w:hAnsi="Times New Roman" w:cs="Times New Roman"/>
          <w:sz w:val="24"/>
          <w:szCs w:val="24"/>
        </w:rPr>
        <w:t>var pasliktināt</w:t>
      </w:r>
      <w:r w:rsidRPr="00573B49">
        <w:rPr>
          <w:rFonts w:ascii="Times New Roman" w:hAnsi="Times New Roman" w:cs="Times New Roman"/>
          <w:sz w:val="24"/>
          <w:szCs w:val="24"/>
        </w:rPr>
        <w:t xml:space="preserve"> indivīda finansiālo situāciju</w:t>
      </w:r>
      <w:r w:rsidR="00AE10FA" w:rsidRPr="00573B49">
        <w:rPr>
          <w:rFonts w:ascii="Times New Roman" w:hAnsi="Times New Roman" w:cs="Times New Roman"/>
          <w:sz w:val="24"/>
          <w:szCs w:val="24"/>
        </w:rPr>
        <w:t xml:space="preserve"> un palielināt nabadzības risku</w:t>
      </w:r>
      <w:r w:rsidRPr="00573B49">
        <w:rPr>
          <w:rFonts w:ascii="Times New Roman" w:hAnsi="Times New Roman" w:cs="Times New Roman"/>
          <w:sz w:val="24"/>
          <w:szCs w:val="24"/>
        </w:rPr>
        <w:t>.</w:t>
      </w:r>
    </w:p>
    <w:p w14:paraId="72B99407" w14:textId="34AA3AE7" w:rsidR="00853915" w:rsidRPr="0015154B" w:rsidRDefault="009E6FD8" w:rsidP="00B33541">
      <w:pPr>
        <w:spacing w:before="120" w:after="0" w:line="240" w:lineRule="auto"/>
        <w:ind w:firstLine="720"/>
        <w:jc w:val="both"/>
        <w:rPr>
          <w:rFonts w:ascii="Times New Roman" w:hAnsi="Times New Roman" w:cs="Times New Roman"/>
          <w:sz w:val="24"/>
          <w:szCs w:val="24"/>
        </w:rPr>
      </w:pPr>
      <w:r w:rsidRPr="00A857F2">
        <w:rPr>
          <w:rFonts w:ascii="Times New Roman" w:hAnsi="Times New Roman" w:cs="Times New Roman"/>
          <w:sz w:val="24"/>
          <w:szCs w:val="24"/>
        </w:rPr>
        <w:t>Ņemot vērā sabiedrības finan</w:t>
      </w:r>
      <w:r w:rsidRPr="00662D1E">
        <w:rPr>
          <w:rFonts w:ascii="Times New Roman" w:hAnsi="Times New Roman" w:cs="Times New Roman"/>
          <w:sz w:val="24"/>
          <w:szCs w:val="24"/>
        </w:rPr>
        <w:t>šu pratības jautājumu pieaugošo aktualitāti, īpaši, zemās finanšu pratības negatīvo ietekmi uz iedzīvotāju ienākumiem un iesaistīšanos nodarbinātībā, NVA pārskata periodā uzsāka preventīvus un izglītojošus pasākumus bez darba esošo personu finanšu pratības</w:t>
      </w:r>
      <w:r w:rsidRPr="009703E6">
        <w:rPr>
          <w:rFonts w:ascii="Times New Roman" w:hAnsi="Times New Roman" w:cs="Times New Roman"/>
          <w:sz w:val="24"/>
          <w:szCs w:val="24"/>
        </w:rPr>
        <w:t xml:space="preserve"> uzlabošanai, kā arī jautājumos par mājsaimniecības budžeta plānošanu. 2017. gada 2.pusgadā ESF projekta „Atbalsts bezdarbnieku izglītībai” ietvaros tika izstrādāta e-apmācības programma programmu “Mana nauda šodien un rīt. Finanšu pratība” un nodrošināta </w:t>
      </w:r>
      <w:r w:rsidRPr="0015154B">
        <w:rPr>
          <w:rFonts w:ascii="Times New Roman" w:hAnsi="Times New Roman" w:cs="Times New Roman"/>
          <w:sz w:val="24"/>
          <w:szCs w:val="24"/>
        </w:rPr>
        <w:t>tā pieejamība. Programma sniedz zināšanas par valsts un mājsaimniecības budžeta plānošanu, ienākumu gūšanas veidiem, nodokļu nozīmi, izdevumu kontroli, kredītu būtību, finanšu dokumentu nozīmi, cenas veidošanos, finanšu sektora lomu ekonomikā un finanšu pakalpojumu veidiem, patērētāju tiesībām un atbildību, sociālās apdrošināšanas sistēmas darbības principiem u.c. E-apmācības modulis</w:t>
      </w:r>
      <w:r w:rsidR="00B72069">
        <w:rPr>
          <w:rStyle w:val="FootnoteReference"/>
          <w:rFonts w:ascii="Times New Roman" w:hAnsi="Times New Roman" w:cs="Times New Roman"/>
          <w:sz w:val="24"/>
          <w:szCs w:val="24"/>
        </w:rPr>
        <w:footnoteReference w:id="217"/>
      </w:r>
      <w:r w:rsidRPr="0015154B">
        <w:rPr>
          <w:rFonts w:ascii="Times New Roman" w:hAnsi="Times New Roman" w:cs="Times New Roman"/>
          <w:sz w:val="24"/>
          <w:szCs w:val="24"/>
        </w:rPr>
        <w:t xml:space="preserve"> ir pieejams NVA mājaslapā ne tikai NVA reģistrētajiem bezdarbniekiem un darba meklētājiem, bet arī ikvienam cilvēkam, kurš vēlas pārbaudīt vai pilnveidot savas zināšanas finanšu pratībā. </w:t>
      </w:r>
      <w:r w:rsidR="001B509D" w:rsidRPr="0015154B">
        <w:rPr>
          <w:rFonts w:ascii="Times New Roman" w:hAnsi="Times New Roman" w:cs="Times New Roman"/>
          <w:sz w:val="24"/>
          <w:szCs w:val="24"/>
        </w:rPr>
        <w:t>Ņemot vērā jautājuma par finanšu pratību aktualitāti, nākamajos gados pastiprināta uzmanība būtu veltāma padziļinātu konsultāciju un atbalsta sniegšanai NVA klientiem parādsaistību risināšanas jautājumos.</w:t>
      </w:r>
    </w:p>
    <w:p w14:paraId="5D8253C0" w14:textId="525F08F2" w:rsidR="00D5561A" w:rsidRPr="0015154B" w:rsidRDefault="001B509D"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EAFVP atbalsta ietvaros tiek nodrošināti papildpasākumi, tai skaitā, </w:t>
      </w:r>
      <w:r w:rsidR="005E4944" w:rsidRPr="0015154B">
        <w:rPr>
          <w:rFonts w:ascii="Times New Roman" w:hAnsi="Times New Roman" w:cs="Times New Roman"/>
          <w:sz w:val="24"/>
          <w:szCs w:val="24"/>
        </w:rPr>
        <w:t>par budžeta plānošanu, finanšu pratību, internetbankas lietošanu</w:t>
      </w:r>
      <w:r w:rsidRPr="0015154B">
        <w:rPr>
          <w:rFonts w:ascii="Times New Roman" w:hAnsi="Times New Roman" w:cs="Times New Roman"/>
          <w:sz w:val="24"/>
          <w:szCs w:val="24"/>
        </w:rPr>
        <w:t>. Papildpasākumos iekļauto personu</w:t>
      </w:r>
      <w:r w:rsidR="005E4944" w:rsidRPr="0015154B">
        <w:rPr>
          <w:rFonts w:ascii="Times New Roman" w:hAnsi="Times New Roman" w:cs="Times New Roman"/>
          <w:sz w:val="24"/>
          <w:szCs w:val="24"/>
        </w:rPr>
        <w:t xml:space="preserve"> novērtē</w:t>
      </w:r>
      <w:r w:rsidRPr="0015154B">
        <w:rPr>
          <w:rFonts w:ascii="Times New Roman" w:hAnsi="Times New Roman" w:cs="Times New Roman"/>
          <w:sz w:val="24"/>
          <w:szCs w:val="24"/>
        </w:rPr>
        <w:t xml:space="preserve">jums, ka šīs tēmas ir </w:t>
      </w:r>
      <w:r w:rsidR="005E4944" w:rsidRPr="0015154B">
        <w:rPr>
          <w:rFonts w:ascii="Times New Roman" w:hAnsi="Times New Roman" w:cs="Times New Roman"/>
          <w:sz w:val="24"/>
          <w:szCs w:val="24"/>
        </w:rPr>
        <w:t>sarežģīt</w:t>
      </w:r>
      <w:r w:rsidRPr="0015154B">
        <w:rPr>
          <w:rFonts w:ascii="Times New Roman" w:hAnsi="Times New Roman" w:cs="Times New Roman"/>
          <w:sz w:val="24"/>
          <w:szCs w:val="24"/>
        </w:rPr>
        <w:t>a</w:t>
      </w:r>
      <w:r w:rsidR="005E4944" w:rsidRPr="0015154B">
        <w:rPr>
          <w:rFonts w:ascii="Times New Roman" w:hAnsi="Times New Roman" w:cs="Times New Roman"/>
          <w:sz w:val="24"/>
          <w:szCs w:val="24"/>
        </w:rPr>
        <w:t>s</w:t>
      </w:r>
      <w:r w:rsidRPr="0015154B">
        <w:rPr>
          <w:rFonts w:ascii="Times New Roman" w:hAnsi="Times New Roman" w:cs="Times New Roman"/>
          <w:sz w:val="24"/>
          <w:szCs w:val="24"/>
        </w:rPr>
        <w:t xml:space="preserve"> un</w:t>
      </w:r>
      <w:r w:rsidR="005E4944" w:rsidRPr="0015154B">
        <w:rPr>
          <w:rFonts w:ascii="Times New Roman" w:hAnsi="Times New Roman" w:cs="Times New Roman"/>
          <w:sz w:val="24"/>
          <w:szCs w:val="24"/>
        </w:rPr>
        <w:t xml:space="preserve"> nesaprotam</w:t>
      </w:r>
      <w:r w:rsidRPr="0015154B">
        <w:rPr>
          <w:rFonts w:ascii="Times New Roman" w:hAnsi="Times New Roman" w:cs="Times New Roman"/>
          <w:sz w:val="24"/>
          <w:szCs w:val="24"/>
        </w:rPr>
        <w:t>a</w:t>
      </w:r>
      <w:r w:rsidR="005E4944" w:rsidRPr="0015154B">
        <w:rPr>
          <w:rFonts w:ascii="Times New Roman" w:hAnsi="Times New Roman" w:cs="Times New Roman"/>
          <w:sz w:val="24"/>
          <w:szCs w:val="24"/>
        </w:rPr>
        <w:t>s</w:t>
      </w:r>
      <w:r w:rsidRPr="0015154B">
        <w:rPr>
          <w:rFonts w:ascii="Times New Roman" w:hAnsi="Times New Roman" w:cs="Times New Roman"/>
          <w:sz w:val="24"/>
          <w:szCs w:val="24"/>
        </w:rPr>
        <w:t xml:space="preserve">, gan atspoguļo šo personu finanšu </w:t>
      </w:r>
      <w:r w:rsidRPr="0015154B">
        <w:rPr>
          <w:rFonts w:ascii="Times New Roman" w:hAnsi="Times New Roman" w:cs="Times New Roman"/>
          <w:sz w:val="24"/>
          <w:szCs w:val="24"/>
        </w:rPr>
        <w:lastRenderedPageBreak/>
        <w:t xml:space="preserve">pratības līmeni, gan atklāj nepieciešamību turpināt šādu izglītojošu pasākumu organizēšanu trūcīgiem un maznodrošinātiem iedzīvotājiem. </w:t>
      </w:r>
    </w:p>
    <w:p w14:paraId="00D3F676" w14:textId="063D67DE" w:rsidR="009E6FD8" w:rsidRPr="0015154B" w:rsidRDefault="00690392"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Tāpat finanšu pratība ir viens no nozīmīgiem aspektiem, kam jāpievērš uzmanība </w:t>
      </w:r>
      <w:r w:rsidR="00AC40BB" w:rsidRPr="0015154B">
        <w:rPr>
          <w:rFonts w:ascii="Times New Roman" w:hAnsi="Times New Roman" w:cs="Times New Roman"/>
          <w:sz w:val="24"/>
          <w:szCs w:val="24"/>
        </w:rPr>
        <w:t>ārpusģimenes aprūpē esošu jauniešu un personu pēc institucionālās aprūpes izglītošanā un pilnvērtīgā sagatavošanā patstāvīgai dzīvei/ dzīvei kopienā.</w:t>
      </w:r>
    </w:p>
    <w:p w14:paraId="270FA6BE" w14:textId="77777777" w:rsidR="009E6FD8" w:rsidRPr="0015154B" w:rsidRDefault="009E6FD8" w:rsidP="009E6FD8">
      <w:pPr>
        <w:spacing w:after="0" w:line="240" w:lineRule="auto"/>
        <w:jc w:val="both"/>
        <w:rPr>
          <w:rFonts w:ascii="Times New Roman" w:hAnsi="Times New Roman" w:cs="Times New Roman"/>
          <w:sz w:val="24"/>
          <w:szCs w:val="24"/>
        </w:rPr>
      </w:pPr>
    </w:p>
    <w:p w14:paraId="1E7C9EB1" w14:textId="50630DA3" w:rsidR="009E6FD8" w:rsidRPr="0015154B" w:rsidRDefault="00C504E4" w:rsidP="00DA5144">
      <w:pPr>
        <w:pStyle w:val="Heading2"/>
      </w:pPr>
      <w:bookmarkStart w:id="104" w:name="_Toc55316129"/>
      <w:r>
        <w:t xml:space="preserve"> </w:t>
      </w:r>
      <w:r w:rsidR="009E6FD8" w:rsidRPr="0015154B">
        <w:t>Sabiedrības un iesaistīto sadarbības partneru inform</w:t>
      </w:r>
      <w:r w:rsidR="004564D7" w:rsidRPr="0015154B">
        <w:t>ēšana</w:t>
      </w:r>
      <w:bookmarkEnd w:id="104"/>
    </w:p>
    <w:p w14:paraId="0AA99D7B" w14:textId="703D195E" w:rsidR="004564D7" w:rsidRPr="0015154B" w:rsidRDefault="0088669C"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Politikas mērķu sasniegšana nav iespējama bez aktīvas sabiedrības līdzdalības un atbalsta virzībai uz šiem </w:t>
      </w:r>
      <w:r w:rsidR="00C504E4" w:rsidRPr="0015154B">
        <w:rPr>
          <w:rFonts w:ascii="Times New Roman" w:hAnsi="Times New Roman" w:cs="Times New Roman"/>
          <w:sz w:val="24"/>
          <w:szCs w:val="24"/>
        </w:rPr>
        <w:t>mērķiem</w:t>
      </w:r>
      <w:r w:rsidRPr="0015154B">
        <w:rPr>
          <w:rFonts w:ascii="Times New Roman" w:hAnsi="Times New Roman" w:cs="Times New Roman"/>
          <w:sz w:val="24"/>
          <w:szCs w:val="24"/>
        </w:rPr>
        <w:t>. Sociālās aizsardzības un darba tirgus politikas veiksmīga īstenošana ir atkarīga no sabiedrības un sadarbības partneru zināšanu un informētības līmeņa gan par savām tiesībām un pienākumiem atbalsta saņemšanā un lēmumu pieņemšanā, gan par iespējamām sekām un ietekmi uz individuālo situāciju un sabiedrību kopumā īstermiņā un ilgtermiņā, solidāri neiesaistoties VSAOI veikšanā</w:t>
      </w:r>
      <w:r w:rsidR="00C8766A" w:rsidRPr="0015154B">
        <w:rPr>
          <w:rFonts w:ascii="Times New Roman" w:hAnsi="Times New Roman" w:cs="Times New Roman"/>
          <w:sz w:val="24"/>
          <w:szCs w:val="24"/>
        </w:rPr>
        <w:t>,</w:t>
      </w:r>
      <w:r w:rsidRPr="0015154B">
        <w:rPr>
          <w:rFonts w:ascii="Times New Roman" w:hAnsi="Times New Roman" w:cs="Times New Roman"/>
          <w:sz w:val="24"/>
          <w:szCs w:val="24"/>
        </w:rPr>
        <w:t xml:space="preserve"> nodokļu nomaksā</w:t>
      </w:r>
      <w:r w:rsidR="00C8766A" w:rsidRPr="0015154B">
        <w:rPr>
          <w:rFonts w:ascii="Times New Roman" w:hAnsi="Times New Roman" w:cs="Times New Roman"/>
          <w:sz w:val="24"/>
          <w:szCs w:val="24"/>
        </w:rPr>
        <w:t>,</w:t>
      </w:r>
      <w:r w:rsidRPr="0015154B">
        <w:rPr>
          <w:rFonts w:ascii="Times New Roman" w:hAnsi="Times New Roman" w:cs="Times New Roman"/>
          <w:sz w:val="24"/>
          <w:szCs w:val="24"/>
        </w:rPr>
        <w:t xml:space="preserve"> savas situācijas uzlabošanā</w:t>
      </w:r>
      <w:r w:rsidR="00C8766A" w:rsidRPr="0015154B">
        <w:rPr>
          <w:rFonts w:ascii="Times New Roman" w:hAnsi="Times New Roman" w:cs="Times New Roman"/>
          <w:sz w:val="24"/>
          <w:szCs w:val="24"/>
        </w:rPr>
        <w:t xml:space="preserve"> un citu sabiedrības locekļu vai grupu atbalstīšanā</w:t>
      </w:r>
      <w:r w:rsidRPr="0015154B">
        <w:rPr>
          <w:rFonts w:ascii="Times New Roman" w:hAnsi="Times New Roman" w:cs="Times New Roman"/>
          <w:sz w:val="24"/>
          <w:szCs w:val="24"/>
        </w:rPr>
        <w:t>. Priekšnosacījum</w:t>
      </w:r>
      <w:r w:rsidR="00C8766A" w:rsidRPr="0015154B">
        <w:rPr>
          <w:rFonts w:ascii="Times New Roman" w:hAnsi="Times New Roman" w:cs="Times New Roman"/>
          <w:sz w:val="24"/>
          <w:szCs w:val="24"/>
        </w:rPr>
        <w:t>us</w:t>
      </w:r>
      <w:r w:rsidRPr="0015154B">
        <w:rPr>
          <w:rFonts w:ascii="Times New Roman" w:hAnsi="Times New Roman" w:cs="Times New Roman"/>
          <w:sz w:val="24"/>
          <w:szCs w:val="24"/>
        </w:rPr>
        <w:t xml:space="preserve"> sadarbībai, iesaistei un līdzdarbībai </w:t>
      </w:r>
      <w:r w:rsidR="00C8766A" w:rsidRPr="0015154B">
        <w:rPr>
          <w:rFonts w:ascii="Times New Roman" w:hAnsi="Times New Roman" w:cs="Times New Roman"/>
          <w:sz w:val="24"/>
          <w:szCs w:val="24"/>
        </w:rPr>
        <w:t xml:space="preserve">veido uzticēšanās gan lēmumu pieņēmējiem, gan politikas īstenotājiem, gan atbalsta sistēmām. </w:t>
      </w:r>
    </w:p>
    <w:p w14:paraId="39ECB588" w14:textId="7134636E" w:rsidR="00F62411" w:rsidRDefault="00C8766A"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Politikas izmaiņu prognozējamība, saprotamība, sistēmas stabilitāte un atbalsta adekvātums ir svarīgi faktori, kas sekmē uzticēšanos. Diemžēl </w:t>
      </w:r>
      <w:r w:rsidR="0058459C" w:rsidRPr="0015154B">
        <w:rPr>
          <w:rFonts w:ascii="Times New Roman" w:hAnsi="Times New Roman" w:cs="Times New Roman"/>
          <w:sz w:val="24"/>
          <w:szCs w:val="24"/>
        </w:rPr>
        <w:t>uzticēšanās valsts sociālās drošības sistēmai ir relatīvi zema</w:t>
      </w:r>
      <w:r w:rsidR="00454747" w:rsidRPr="0015154B">
        <w:rPr>
          <w:rFonts w:ascii="Times New Roman" w:hAnsi="Times New Roman" w:cs="Times New Roman"/>
          <w:sz w:val="24"/>
          <w:szCs w:val="24"/>
        </w:rPr>
        <w:t>. Novērtējot, cik lielā mērā ie</w:t>
      </w:r>
      <w:r w:rsidR="00F51BEC" w:rsidRPr="0015154B">
        <w:rPr>
          <w:rFonts w:ascii="Times New Roman" w:hAnsi="Times New Roman" w:cs="Times New Roman"/>
          <w:sz w:val="24"/>
          <w:szCs w:val="24"/>
        </w:rPr>
        <w:t>d</w:t>
      </w:r>
      <w:r w:rsidR="00454747" w:rsidRPr="0015154B">
        <w:rPr>
          <w:rFonts w:ascii="Times New Roman" w:hAnsi="Times New Roman" w:cs="Times New Roman"/>
          <w:sz w:val="24"/>
          <w:szCs w:val="24"/>
        </w:rPr>
        <w:t>zīvotāji (skalā no 1 līdz 10</w:t>
      </w:r>
      <w:r w:rsidR="00454747" w:rsidRPr="007157D3">
        <w:rPr>
          <w:rStyle w:val="FootnoteReference"/>
          <w:rFonts w:ascii="Times New Roman" w:hAnsi="Times New Roman" w:cs="Times New Roman"/>
          <w:sz w:val="24"/>
          <w:szCs w:val="24"/>
        </w:rPr>
        <w:footnoteReference w:id="218"/>
      </w:r>
      <w:r w:rsidR="00454747" w:rsidRPr="007157D3">
        <w:rPr>
          <w:rFonts w:ascii="Times New Roman" w:hAnsi="Times New Roman" w:cs="Times New Roman"/>
          <w:sz w:val="24"/>
          <w:szCs w:val="24"/>
        </w:rPr>
        <w:t>) personīgi uzticētos valsts sociālās drošības sistēmai, 24% respondentu vērtējums bija skalas robežās 1-3, 43,1% respondentu vērtējums skalas robežās 4-6, bet 27,4% - skalas robežās 7-10</w:t>
      </w:r>
      <w:r w:rsidR="000E5EB0" w:rsidRPr="007157D3">
        <w:rPr>
          <w:rFonts w:ascii="Times New Roman" w:hAnsi="Times New Roman" w:cs="Times New Roman"/>
          <w:sz w:val="24"/>
          <w:szCs w:val="24"/>
        </w:rPr>
        <w:t xml:space="preserve">, bet 5,5% </w:t>
      </w:r>
      <w:r w:rsidR="000E5EB0" w:rsidRPr="00EA3172">
        <w:rPr>
          <w:rFonts w:ascii="Times New Roman" w:hAnsi="Times New Roman" w:cs="Times New Roman"/>
          <w:sz w:val="24"/>
          <w:szCs w:val="24"/>
        </w:rPr>
        <w:t>respondentu nevarēja sniegt vērtējumu</w:t>
      </w:r>
      <w:r w:rsidR="00454747" w:rsidRPr="00EA3172">
        <w:rPr>
          <w:rFonts w:ascii="Times New Roman" w:hAnsi="Times New Roman" w:cs="Times New Roman"/>
          <w:sz w:val="24"/>
          <w:szCs w:val="24"/>
        </w:rPr>
        <w:t>.</w:t>
      </w:r>
      <w:r w:rsidR="00454747" w:rsidRPr="00EA3172">
        <w:rPr>
          <w:rStyle w:val="FootnoteReference"/>
          <w:rFonts w:ascii="Times New Roman" w:hAnsi="Times New Roman" w:cs="Times New Roman"/>
          <w:sz w:val="24"/>
          <w:szCs w:val="24"/>
        </w:rPr>
        <w:footnoteReference w:id="219"/>
      </w:r>
      <w:r w:rsidR="004564D7" w:rsidRPr="00EA3172">
        <w:rPr>
          <w:rFonts w:ascii="Times New Roman" w:hAnsi="Times New Roman" w:cs="Times New Roman"/>
          <w:sz w:val="24"/>
          <w:szCs w:val="24"/>
        </w:rPr>
        <w:t xml:space="preserve"> </w:t>
      </w:r>
    </w:p>
    <w:p w14:paraId="01D76DEC" w14:textId="069CE58E" w:rsidR="00EA3172" w:rsidRPr="00EA3172" w:rsidRDefault="00EA3172" w:rsidP="004E1FD1">
      <w:pPr>
        <w:spacing w:before="12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Kā norādīts Valsts kontroles ziņojumā, sabiedrības informēšana ir viens no faktoriem, kas var veicināt uzticēšanos pensiju sistēmai</w:t>
      </w:r>
      <w:r w:rsidR="004E1FD1">
        <w:rPr>
          <w:rFonts w:ascii="Times New Roman" w:hAnsi="Times New Roman" w:cs="Times New Roman"/>
          <w:sz w:val="24"/>
          <w:szCs w:val="24"/>
        </w:rPr>
        <w:t>, bet iedzīvotāji ir vāji informēti par savu 2.pensiju līmenī uzkrāto kapitālu un nav ieinteresēti papildu informācijas iegūšanā</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20"/>
      </w:r>
      <w:r>
        <w:rPr>
          <w:rFonts w:ascii="Times New Roman" w:hAnsi="Times New Roman" w:cs="Times New Roman"/>
          <w:sz w:val="24"/>
          <w:szCs w:val="24"/>
        </w:rPr>
        <w:t xml:space="preserve"> </w:t>
      </w:r>
      <w:r w:rsidR="004E1FD1">
        <w:rPr>
          <w:rFonts w:ascii="Times New Roman" w:hAnsi="Times New Roman" w:cs="Times New Roman"/>
          <w:sz w:val="24"/>
          <w:szCs w:val="24"/>
        </w:rPr>
        <w:t>Tādēļ Valsts Kontrole, l</w:t>
      </w:r>
      <w:r w:rsidRPr="00EA3172">
        <w:rPr>
          <w:rFonts w:ascii="Times New Roman" w:hAnsi="Times New Roman" w:cs="Times New Roman"/>
          <w:sz w:val="24"/>
          <w:szCs w:val="24"/>
        </w:rPr>
        <w:t xml:space="preserve">ai veicinātu sabiedrības informēšanu par personu Pensiju 1.līmenī un Pensiju 2.līmenī uzkrāto pensiju kapitālu, kā arī citai oficiālajai saziņai, </w:t>
      </w:r>
      <w:r w:rsidR="004E1FD1">
        <w:rPr>
          <w:rFonts w:ascii="Times New Roman" w:hAnsi="Times New Roman" w:cs="Times New Roman"/>
          <w:sz w:val="24"/>
          <w:szCs w:val="24"/>
        </w:rPr>
        <w:t xml:space="preserve">ir izteikusi vairākus priekšlikumus, tai skaitā, </w:t>
      </w:r>
      <w:r w:rsidRPr="00EA3172">
        <w:rPr>
          <w:rFonts w:ascii="Times New Roman" w:hAnsi="Times New Roman" w:cs="Times New Roman"/>
          <w:sz w:val="24"/>
          <w:szCs w:val="24"/>
        </w:rPr>
        <w:t>izvērtēt iespēju atjaunot personu informēšanu, šim nolūkam izmantojot jaunos elektroniskos risinājumus – oficiālo elektronisko adresi</w:t>
      </w:r>
      <w:r w:rsidR="004E1FD1">
        <w:rPr>
          <w:rFonts w:ascii="Times New Roman" w:hAnsi="Times New Roman" w:cs="Times New Roman"/>
          <w:sz w:val="24"/>
          <w:szCs w:val="24"/>
        </w:rPr>
        <w:t>, pārskatīt un papildināt paziņojumos iedzīvotājiem iekļaujamo</w:t>
      </w:r>
      <w:r w:rsidRPr="00EA3172">
        <w:rPr>
          <w:rFonts w:ascii="Times New Roman" w:hAnsi="Times New Roman" w:cs="Times New Roman"/>
          <w:sz w:val="24"/>
          <w:szCs w:val="24"/>
        </w:rPr>
        <w:t xml:space="preserve"> </w:t>
      </w:r>
      <w:r w:rsidR="004E1FD1">
        <w:rPr>
          <w:rFonts w:ascii="Times New Roman" w:hAnsi="Times New Roman" w:cs="Times New Roman"/>
          <w:sz w:val="24"/>
          <w:szCs w:val="24"/>
        </w:rPr>
        <w:t>informāciju</w:t>
      </w:r>
      <w:r w:rsidRPr="00EA3172">
        <w:rPr>
          <w:rFonts w:ascii="Times New Roman" w:hAnsi="Times New Roman" w:cs="Times New Roman"/>
          <w:sz w:val="24"/>
          <w:szCs w:val="24"/>
        </w:rPr>
        <w:t>. Lai veicinātu sabie</w:t>
      </w:r>
      <w:r w:rsidR="00CA0136">
        <w:rPr>
          <w:rFonts w:ascii="Times New Roman" w:hAnsi="Times New Roman" w:cs="Times New Roman"/>
          <w:sz w:val="24"/>
          <w:szCs w:val="24"/>
        </w:rPr>
        <w:t>d</w:t>
      </w:r>
      <w:r w:rsidRPr="00EA3172">
        <w:rPr>
          <w:rFonts w:ascii="Times New Roman" w:hAnsi="Times New Roman" w:cs="Times New Roman"/>
          <w:sz w:val="24"/>
          <w:szCs w:val="24"/>
        </w:rPr>
        <w:t xml:space="preserve">rības uzticēšanos pensiju sistēmai, </w:t>
      </w:r>
      <w:r w:rsidR="004E1FD1">
        <w:rPr>
          <w:rFonts w:ascii="Times New Roman" w:hAnsi="Times New Roman" w:cs="Times New Roman"/>
          <w:sz w:val="24"/>
          <w:szCs w:val="24"/>
        </w:rPr>
        <w:t xml:space="preserve">Valsts Kontrole iesaka </w:t>
      </w:r>
      <w:r w:rsidRPr="00EA3172">
        <w:rPr>
          <w:rFonts w:ascii="Times New Roman" w:hAnsi="Times New Roman" w:cs="Times New Roman"/>
          <w:sz w:val="24"/>
          <w:szCs w:val="24"/>
        </w:rPr>
        <w:t>Labklājības ministrijai sadarbībā ar VSAA izvērtēt publiskojamo informāciju par piešķirto pensiju apmēriem un veikt informācijas precizējumu</w:t>
      </w:r>
    </w:p>
    <w:p w14:paraId="12E4FF98" w14:textId="3F948CEA" w:rsidR="00CA638A" w:rsidRPr="0015154B" w:rsidRDefault="00CA638A" w:rsidP="00B33541">
      <w:pPr>
        <w:spacing w:before="120" w:after="0" w:line="240" w:lineRule="auto"/>
        <w:ind w:firstLine="720"/>
        <w:jc w:val="both"/>
        <w:rPr>
          <w:rFonts w:ascii="Times New Roman" w:eastAsia="Calibri" w:hAnsi="Times New Roman" w:cs="Times New Roman"/>
          <w:sz w:val="24"/>
          <w:szCs w:val="24"/>
        </w:rPr>
      </w:pPr>
      <w:r w:rsidRPr="00EA3172">
        <w:rPr>
          <w:rFonts w:ascii="Times New Roman" w:hAnsi="Times New Roman" w:cs="Times New Roman"/>
          <w:sz w:val="24"/>
          <w:szCs w:val="24"/>
        </w:rPr>
        <w:t>2018.gada novembrī tika veikta sabiedriskās domas aptauja, kurā secināts, ka tikai 17%</w:t>
      </w:r>
      <w:r w:rsidRPr="002F5278">
        <w:rPr>
          <w:rFonts w:ascii="Times New Roman" w:hAnsi="Times New Roman" w:cs="Times New Roman"/>
          <w:sz w:val="24"/>
          <w:szCs w:val="24"/>
        </w:rPr>
        <w:t xml:space="preserve"> (no 1004 respondentiem)</w:t>
      </w:r>
      <w:r w:rsidRPr="00573B49">
        <w:rPr>
          <w:rFonts w:ascii="Times New Roman" w:hAnsi="Times New Roman" w:cs="Times New Roman"/>
          <w:sz w:val="24"/>
          <w:szCs w:val="24"/>
        </w:rPr>
        <w:t xml:space="preserve"> aptaujāto Latvijas iedzīvotāju izprot DI jēdzienu. Sabiedrība atbalsta šo grupu iekļaušanu sabiedrībā, t.sk. dzīvi ārpus ilgstošas sociālās aprūpes institūcijām, taču sabiedrības atbalsts cilvēkiem ar GRT ir ievērojami zemāks – tikai 65%, salīdzinot ar ārpusģimenes aprūpē esošiem bērniem un bērniem ar funkcionāliem traucējumiem, kuriem noteikta invaliditāte, kam atbalsts ir ~ 90%. Cilvēkiem ar GRT bieži nākas saskarties ar negatīvu attieksmi (bailes, nepatika, vēlme izvairīties) no citiem cilvēkiem savu veselības problēmu dēļ. Tā uzskata gandrīz puse (47%) aptaujāto Latvijas iedzīvotāju un 73% </w:t>
      </w:r>
      <w:r w:rsidRPr="00573B49">
        <w:rPr>
          <w:rFonts w:ascii="Times New Roman" w:hAnsi="Times New Roman" w:cs="Times New Roman"/>
          <w:sz w:val="24"/>
          <w:szCs w:val="24"/>
        </w:rPr>
        <w:lastRenderedPageBreak/>
        <w:t>respondentu, kuru ģimenēs ir cilvēks ar GRT. Vērtējot izmaiņas sabiedrības attieksmē pret cilvēkiem ar GRT pēdējā gada laikā, visbiežāk (44% gadījumu) tika pārstāvēts</w:t>
      </w:r>
      <w:r w:rsidRPr="0025422D">
        <w:rPr>
          <w:rFonts w:ascii="Times New Roman" w:hAnsi="Times New Roman" w:cs="Times New Roman"/>
          <w:sz w:val="24"/>
          <w:szCs w:val="24"/>
        </w:rPr>
        <w:t xml:space="preserve"> uzskats, ka attieksme pret cilvēkiem ar GRT sabiedrībā pēdējā gada laikā nav mainījusies. Viedoklis, ka negatīvā attieksme ir mazinājusies (minēja 26% respondentu) tika pārstāvēts biežāk nekā viedoklis, ka negatīvā attieksme ir pieaugusi (minēja 10% respo</w:t>
      </w:r>
      <w:r w:rsidRPr="00A857F2">
        <w:rPr>
          <w:rFonts w:ascii="Times New Roman" w:hAnsi="Times New Roman" w:cs="Times New Roman"/>
          <w:sz w:val="24"/>
          <w:szCs w:val="24"/>
        </w:rPr>
        <w:t>ndentu). Kritiskāk attieksmes pārmaiņas pret cilvēkiem ar GRT vērtēja tie pētījuma dalībnieki, kuru ģimenēs ir kāds cilvēks ar GRT. Lai palielinātu sabiedrības atbalstu DI procesam Latvijā un mazinātu aizspriedumus pret cilvēkiem ar GRT, ārpusģimenes aprūp</w:t>
      </w:r>
      <w:r w:rsidRPr="00662D1E">
        <w:rPr>
          <w:rFonts w:ascii="Times New Roman" w:hAnsi="Times New Roman" w:cs="Times New Roman"/>
          <w:sz w:val="24"/>
          <w:szCs w:val="24"/>
        </w:rPr>
        <w:t xml:space="preserve">ē esošiem bērniem un bērniem ar funkcionāliem traucējumiem, </w:t>
      </w:r>
      <w:r w:rsidR="004564D7" w:rsidRPr="009703E6">
        <w:rPr>
          <w:rFonts w:ascii="Times New Roman" w:hAnsi="Times New Roman" w:cs="Times New Roman"/>
          <w:sz w:val="24"/>
          <w:szCs w:val="24"/>
        </w:rPr>
        <w:t>nepieciešams turpināt dažādu izglītojošu un informatīvu pasākumu īstenošanu</w:t>
      </w:r>
      <w:r w:rsidRPr="0015154B">
        <w:rPr>
          <w:rFonts w:ascii="Times New Roman" w:eastAsia="Calibri" w:hAnsi="Times New Roman" w:cs="Times New Roman"/>
          <w:sz w:val="24"/>
          <w:szCs w:val="24"/>
        </w:rPr>
        <w:t>.</w:t>
      </w:r>
    </w:p>
    <w:p w14:paraId="4882E633" w14:textId="77777777" w:rsidR="004564D7" w:rsidRPr="0015154B" w:rsidRDefault="004564D7" w:rsidP="00C8766A">
      <w:pPr>
        <w:spacing w:after="0" w:line="240" w:lineRule="auto"/>
        <w:ind w:firstLine="720"/>
        <w:jc w:val="both"/>
        <w:rPr>
          <w:rFonts w:ascii="Times New Roman" w:hAnsi="Times New Roman" w:cs="Times New Roman"/>
          <w:sz w:val="24"/>
          <w:szCs w:val="24"/>
        </w:rPr>
      </w:pPr>
    </w:p>
    <w:p w14:paraId="0DFE9F6C" w14:textId="73033038" w:rsidR="00A26099" w:rsidRPr="0015154B" w:rsidRDefault="00C504E4" w:rsidP="00DA5144">
      <w:pPr>
        <w:pStyle w:val="Heading2"/>
      </w:pPr>
      <w:bookmarkStart w:id="105" w:name="_Toc55316130"/>
      <w:r>
        <w:t xml:space="preserve"> </w:t>
      </w:r>
      <w:r w:rsidR="00A26099" w:rsidRPr="0015154B">
        <w:t>Cilvēkkapitāls</w:t>
      </w:r>
      <w:bookmarkEnd w:id="105"/>
    </w:p>
    <w:p w14:paraId="5B3492C2" w14:textId="786DABEA" w:rsidR="00CF1505" w:rsidRPr="007157D3" w:rsidRDefault="00CF1505"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Labklājības nozares darbinieku profesionalitāte un iesaistīšanās ir virzītājspēks nozares stratēģisko mērķu sasniegšanā un kopējās misijas īstenošanā. Atbilstoši sociālā progresa rādītājam (angļu val. </w:t>
      </w:r>
      <w:r w:rsidRPr="0015154B">
        <w:rPr>
          <w:rFonts w:ascii="Times New Roman" w:hAnsi="Times New Roman" w:cs="Times New Roman"/>
          <w:i/>
          <w:iCs/>
          <w:sz w:val="24"/>
          <w:szCs w:val="24"/>
        </w:rPr>
        <w:t>social progress index</w:t>
      </w:r>
      <w:r w:rsidRPr="0015154B">
        <w:rPr>
          <w:rFonts w:ascii="Times New Roman" w:hAnsi="Times New Roman" w:cs="Times New Roman"/>
          <w:sz w:val="24"/>
          <w:szCs w:val="24"/>
        </w:rPr>
        <w:t>) Latvija ir 35.vietā starp 163 pasaules valstīm (Igaunija un Lietuva ir attiecīgi 24. un 32.vietā)</w:t>
      </w:r>
      <w:r w:rsidRPr="007157D3">
        <w:rPr>
          <w:rStyle w:val="FootnoteReference"/>
          <w:rFonts w:ascii="Times New Roman" w:hAnsi="Times New Roman" w:cs="Times New Roman"/>
          <w:sz w:val="24"/>
          <w:szCs w:val="24"/>
        </w:rPr>
        <w:footnoteReference w:id="221"/>
      </w:r>
      <w:r w:rsidRPr="007157D3">
        <w:rPr>
          <w:rFonts w:ascii="Times New Roman" w:hAnsi="Times New Roman" w:cs="Times New Roman"/>
          <w:sz w:val="24"/>
          <w:szCs w:val="24"/>
        </w:rPr>
        <w:t xml:space="preserve"> – tātad pārsniedzam vidējo līmeni, bet atpaliekam no Baltijas kaimiņvalstīm. Lai veidotos labklājības sistēma, kas efektīvi kalpotu sabiedrības attīstībai, ir vajadzīgi zinoši, prasmīgi un augsti iesaistīti darbinieki.</w:t>
      </w:r>
    </w:p>
    <w:p w14:paraId="0AEEF532" w14:textId="1F7BA182" w:rsidR="00CF1505" w:rsidRPr="009703E6" w:rsidRDefault="00CF1505" w:rsidP="00B33541">
      <w:pPr>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2019.gada nogalē LM resorā strādāja 5 328 nodarbināto</w:t>
      </w:r>
      <w:r w:rsidR="00142C2F">
        <w:rPr>
          <w:rFonts w:ascii="Times New Roman" w:hAnsi="Times New Roman" w:cs="Times New Roman"/>
          <w:sz w:val="24"/>
          <w:szCs w:val="24"/>
        </w:rPr>
        <w:t xml:space="preserve">, no tiem, </w:t>
      </w:r>
      <w:r w:rsidR="00142C2F" w:rsidRPr="00142C2F">
        <w:rPr>
          <w:rFonts w:ascii="Times New Roman" w:hAnsi="Times New Roman" w:cs="Times New Roman"/>
          <w:sz w:val="24"/>
          <w:szCs w:val="24"/>
        </w:rPr>
        <w:t>87 % sievietes un 13 % vīrieši</w:t>
      </w:r>
      <w:r w:rsidRPr="00142C2F">
        <w:rPr>
          <w:rFonts w:ascii="Times New Roman" w:hAnsi="Times New Roman" w:cs="Times New Roman"/>
          <w:sz w:val="24"/>
          <w:szCs w:val="24"/>
        </w:rPr>
        <w:t>. L</w:t>
      </w:r>
      <w:r w:rsidRPr="007157D3">
        <w:rPr>
          <w:rFonts w:ascii="Times New Roman" w:hAnsi="Times New Roman" w:cs="Times New Roman"/>
          <w:sz w:val="24"/>
          <w:szCs w:val="24"/>
        </w:rPr>
        <w:t xml:space="preserve">ielākās pēc nodarbināto skaita iestādes ir VSAA, NVA, valsts sociālās aprūpes centri, SIVA; vismazākā ir VBTAI </w:t>
      </w:r>
      <w:r w:rsidRPr="002F5278">
        <w:rPr>
          <w:rFonts w:ascii="Times New Roman" w:hAnsi="Times New Roman" w:cs="Times New Roman"/>
          <w:sz w:val="24"/>
          <w:szCs w:val="24"/>
          <w:highlight w:val="yellow"/>
        </w:rPr>
        <w:t>(skat. </w:t>
      </w:r>
      <w:r w:rsidR="00136A0C" w:rsidRPr="00573B49">
        <w:rPr>
          <w:rFonts w:ascii="Times New Roman" w:hAnsi="Times New Roman" w:cs="Times New Roman"/>
          <w:sz w:val="24"/>
          <w:szCs w:val="24"/>
          <w:highlight w:val="yellow"/>
        </w:rPr>
        <w:t>2</w:t>
      </w:r>
      <w:r w:rsidR="00C504E4">
        <w:rPr>
          <w:rFonts w:ascii="Times New Roman" w:hAnsi="Times New Roman" w:cs="Times New Roman"/>
          <w:sz w:val="24"/>
          <w:szCs w:val="24"/>
          <w:highlight w:val="yellow"/>
        </w:rPr>
        <w:t>6</w:t>
      </w:r>
      <w:r w:rsidR="00136A0C" w:rsidRPr="00573B49">
        <w:rPr>
          <w:rFonts w:ascii="Times New Roman" w:hAnsi="Times New Roman" w:cs="Times New Roman"/>
          <w:sz w:val="24"/>
          <w:szCs w:val="24"/>
          <w:highlight w:val="yellow"/>
        </w:rPr>
        <w:t>.</w:t>
      </w:r>
      <w:r w:rsidRPr="00573B49">
        <w:rPr>
          <w:rFonts w:ascii="Times New Roman" w:hAnsi="Times New Roman" w:cs="Times New Roman"/>
          <w:sz w:val="24"/>
          <w:szCs w:val="24"/>
          <w:highlight w:val="yellow"/>
        </w:rPr>
        <w:t>att</w:t>
      </w:r>
      <w:r w:rsidR="00015035" w:rsidRPr="00573B49">
        <w:rPr>
          <w:rFonts w:ascii="Times New Roman" w:hAnsi="Times New Roman" w:cs="Times New Roman"/>
          <w:sz w:val="24"/>
          <w:szCs w:val="24"/>
          <w:highlight w:val="yellow"/>
        </w:rPr>
        <w:t>ēlu</w:t>
      </w:r>
      <w:r w:rsidRPr="0025422D">
        <w:rPr>
          <w:rFonts w:ascii="Times New Roman" w:hAnsi="Times New Roman" w:cs="Times New Roman"/>
          <w:sz w:val="24"/>
          <w:szCs w:val="24"/>
        </w:rPr>
        <w:t>).</w:t>
      </w:r>
      <w:r w:rsidR="00291438" w:rsidRPr="00A857F2">
        <w:rPr>
          <w:rFonts w:ascii="Times New Roman" w:hAnsi="Times New Roman" w:cs="Times New Roman"/>
          <w:sz w:val="24"/>
          <w:szCs w:val="24"/>
        </w:rPr>
        <w:t xml:space="preserve"> Resora iestādes raksturojas ar izteiktu sieviešu pārsvaru nodarbināto kopskaitā. Sieviešu īpatsvars iestādēs ir diapazonā no 74 % (LM) līdz</w:t>
      </w:r>
      <w:r w:rsidR="00291438" w:rsidRPr="00662D1E">
        <w:rPr>
          <w:rFonts w:ascii="Times New Roman" w:hAnsi="Times New Roman" w:cs="Times New Roman"/>
          <w:sz w:val="24"/>
          <w:szCs w:val="24"/>
        </w:rPr>
        <w:t xml:space="preserve"> 94 % (VSAC “Zemgale”).</w:t>
      </w:r>
    </w:p>
    <w:p w14:paraId="0C41350A" w14:textId="77777777" w:rsidR="00CF1505" w:rsidRPr="0015154B" w:rsidRDefault="00CF1505" w:rsidP="00CF1505">
      <w:pPr>
        <w:spacing w:after="0" w:line="240" w:lineRule="auto"/>
        <w:jc w:val="both"/>
        <w:rPr>
          <w:rFonts w:ascii="Times New Roman" w:hAnsi="Times New Roman" w:cs="Times New Roman"/>
          <w:sz w:val="24"/>
          <w:szCs w:val="24"/>
          <w:highlight w:val="yellow"/>
        </w:rPr>
      </w:pPr>
    </w:p>
    <w:p w14:paraId="3C9C8B1D" w14:textId="69898080" w:rsidR="00CF1505" w:rsidRPr="0015154B" w:rsidRDefault="00136A0C" w:rsidP="00CF1505">
      <w:pPr>
        <w:spacing w:after="0" w:line="240" w:lineRule="auto"/>
        <w:jc w:val="both"/>
        <w:rPr>
          <w:rFonts w:ascii="Times New Roman" w:hAnsi="Times New Roman" w:cs="Times New Roman"/>
          <w:sz w:val="24"/>
          <w:szCs w:val="24"/>
        </w:rPr>
      </w:pPr>
      <w:r w:rsidRPr="00C504E4">
        <w:rPr>
          <w:rFonts w:ascii="Times New Roman" w:hAnsi="Times New Roman" w:cs="Times New Roman"/>
          <w:sz w:val="24"/>
          <w:szCs w:val="24"/>
        </w:rPr>
        <w:t>2</w:t>
      </w:r>
      <w:r w:rsidR="00C504E4" w:rsidRPr="00C504E4">
        <w:rPr>
          <w:rFonts w:ascii="Times New Roman" w:hAnsi="Times New Roman" w:cs="Times New Roman"/>
          <w:sz w:val="24"/>
          <w:szCs w:val="24"/>
        </w:rPr>
        <w:t>6</w:t>
      </w:r>
      <w:r w:rsidRPr="00C504E4">
        <w:rPr>
          <w:rFonts w:ascii="Times New Roman" w:hAnsi="Times New Roman" w:cs="Times New Roman"/>
          <w:sz w:val="24"/>
          <w:szCs w:val="24"/>
        </w:rPr>
        <w:t>.</w:t>
      </w:r>
      <w:r w:rsidR="00CF1505" w:rsidRPr="00C504E4">
        <w:rPr>
          <w:rFonts w:ascii="Times New Roman" w:hAnsi="Times New Roman" w:cs="Times New Roman"/>
          <w:sz w:val="24"/>
          <w:szCs w:val="24"/>
        </w:rPr>
        <w:t>attēls</w:t>
      </w:r>
    </w:p>
    <w:p w14:paraId="5C91A024" w14:textId="77777777" w:rsidR="00CF1505" w:rsidRPr="0015154B" w:rsidRDefault="00CF1505" w:rsidP="00CF1505">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LM resorā nodarbināto skaits uz 31.12.2019. (cilv.)</w:t>
      </w:r>
    </w:p>
    <w:p w14:paraId="59B95F4A" w14:textId="77777777" w:rsidR="00CF1505" w:rsidRPr="007157D3" w:rsidRDefault="00CF1505" w:rsidP="00CF1505">
      <w:pPr>
        <w:spacing w:after="0" w:line="240" w:lineRule="auto"/>
        <w:jc w:val="both"/>
        <w:rPr>
          <w:rFonts w:ascii="Times New Roman" w:hAnsi="Times New Roman" w:cs="Times New Roman"/>
          <w:sz w:val="24"/>
          <w:szCs w:val="24"/>
        </w:rPr>
      </w:pPr>
      <w:r w:rsidRPr="0062076E">
        <w:rPr>
          <w:noProof/>
        </w:rPr>
        <w:drawing>
          <wp:inline distT="0" distB="0" distL="0" distR="0" wp14:anchorId="2407C16D" wp14:editId="46D974D1">
            <wp:extent cx="5377218" cy="2538484"/>
            <wp:effectExtent l="0" t="0" r="0" b="0"/>
            <wp:docPr id="13" name="Diagramma 1">
              <a:extLst xmlns:a="http://schemas.openxmlformats.org/drawingml/2006/main">
                <a:ext uri="{FF2B5EF4-FFF2-40B4-BE49-F238E27FC236}">
                  <a16:creationId xmlns:a16="http://schemas.microsoft.com/office/drawing/2014/main" id="{3EDE7138-8B35-4A98-805B-1A88A63410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7898E66" w14:textId="62CEF12C" w:rsidR="00CF1505" w:rsidRPr="00857E45" w:rsidRDefault="00857E45" w:rsidP="00CF1505">
      <w:pPr>
        <w:spacing w:after="0" w:line="240" w:lineRule="auto"/>
        <w:jc w:val="both"/>
        <w:rPr>
          <w:rFonts w:ascii="Times New Roman" w:hAnsi="Times New Roman" w:cs="Times New Roman"/>
          <w:iCs/>
          <w:sz w:val="20"/>
          <w:szCs w:val="20"/>
        </w:rPr>
      </w:pPr>
      <w:r w:rsidRPr="00857E45">
        <w:rPr>
          <w:rFonts w:ascii="Times New Roman" w:hAnsi="Times New Roman" w:cs="Times New Roman"/>
          <w:iCs/>
          <w:sz w:val="20"/>
          <w:szCs w:val="20"/>
        </w:rPr>
        <w:t>Datu a</w:t>
      </w:r>
      <w:r w:rsidR="00CF1505" w:rsidRPr="00857E45">
        <w:rPr>
          <w:rFonts w:ascii="Times New Roman" w:hAnsi="Times New Roman" w:cs="Times New Roman"/>
          <w:iCs/>
          <w:sz w:val="20"/>
          <w:szCs w:val="20"/>
        </w:rPr>
        <w:t>vots: AUS dati</w:t>
      </w:r>
    </w:p>
    <w:p w14:paraId="3328A3D7" w14:textId="77777777" w:rsidR="00CF1505" w:rsidRPr="007157D3" w:rsidRDefault="00CF1505" w:rsidP="00CF1505">
      <w:pPr>
        <w:spacing w:after="0" w:line="240" w:lineRule="auto"/>
        <w:jc w:val="both"/>
        <w:rPr>
          <w:rFonts w:ascii="Times New Roman" w:hAnsi="Times New Roman" w:cs="Times New Roman"/>
          <w:sz w:val="24"/>
          <w:szCs w:val="24"/>
        </w:rPr>
      </w:pPr>
    </w:p>
    <w:p w14:paraId="71DF8E65" w14:textId="581D9E34" w:rsidR="00CF1505" w:rsidRPr="0015154B" w:rsidRDefault="00291438" w:rsidP="00291438">
      <w:pPr>
        <w:spacing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LM resorā vērojama nodarbināto novecošanās. Tie</w:t>
      </w:r>
      <w:r w:rsidRPr="002F5278">
        <w:rPr>
          <w:rFonts w:ascii="Times New Roman" w:hAnsi="Times New Roman" w:cs="Times New Roman"/>
          <w:sz w:val="24"/>
          <w:szCs w:val="24"/>
        </w:rPr>
        <w:t>ši</w:t>
      </w:r>
      <w:r w:rsidR="00CF1505" w:rsidRPr="00573B49">
        <w:rPr>
          <w:rFonts w:ascii="Times New Roman" w:hAnsi="Times New Roman" w:cs="Times New Roman"/>
          <w:sz w:val="24"/>
          <w:szCs w:val="24"/>
        </w:rPr>
        <w:t xml:space="preserve"> lielāk</w:t>
      </w:r>
      <w:r w:rsidRPr="00573B49">
        <w:rPr>
          <w:rFonts w:ascii="Times New Roman" w:hAnsi="Times New Roman" w:cs="Times New Roman"/>
          <w:sz w:val="24"/>
          <w:szCs w:val="24"/>
        </w:rPr>
        <w:t>aj</w:t>
      </w:r>
      <w:r w:rsidR="00CF1505" w:rsidRPr="00573B49">
        <w:rPr>
          <w:rFonts w:ascii="Times New Roman" w:hAnsi="Times New Roman" w:cs="Times New Roman"/>
          <w:sz w:val="24"/>
          <w:szCs w:val="24"/>
        </w:rPr>
        <w:t>ās iestād</w:t>
      </w:r>
      <w:r w:rsidRPr="0025422D">
        <w:rPr>
          <w:rFonts w:ascii="Times New Roman" w:hAnsi="Times New Roman" w:cs="Times New Roman"/>
          <w:sz w:val="24"/>
          <w:szCs w:val="24"/>
        </w:rPr>
        <w:t>ē</w:t>
      </w:r>
      <w:r w:rsidR="00CF1505" w:rsidRPr="00A857F2">
        <w:rPr>
          <w:rFonts w:ascii="Times New Roman" w:hAnsi="Times New Roman" w:cs="Times New Roman"/>
          <w:sz w:val="24"/>
          <w:szCs w:val="24"/>
        </w:rPr>
        <w:t xml:space="preserve">s – VSAA, valsts sociālās aprūpes centros, SIVA, kā arī VDEĀVK visvairāk </w:t>
      </w:r>
      <w:r w:rsidRPr="00662D1E">
        <w:rPr>
          <w:rFonts w:ascii="Times New Roman" w:hAnsi="Times New Roman" w:cs="Times New Roman"/>
          <w:sz w:val="24"/>
          <w:szCs w:val="24"/>
        </w:rPr>
        <w:t>pārstāvēt</w:t>
      </w:r>
      <w:r w:rsidRPr="009703E6">
        <w:rPr>
          <w:rFonts w:ascii="Times New Roman" w:hAnsi="Times New Roman" w:cs="Times New Roman"/>
          <w:sz w:val="24"/>
          <w:szCs w:val="24"/>
        </w:rPr>
        <w:t xml:space="preserve">i </w:t>
      </w:r>
      <w:r w:rsidR="00CF1505" w:rsidRPr="0015154B">
        <w:rPr>
          <w:rFonts w:ascii="Times New Roman" w:hAnsi="Times New Roman" w:cs="Times New Roman"/>
          <w:sz w:val="24"/>
          <w:szCs w:val="24"/>
        </w:rPr>
        <w:t>darbinieki vecumā virs 55 gadiem (</w:t>
      </w:r>
      <w:r w:rsidR="00CF1505" w:rsidRPr="0015154B">
        <w:rPr>
          <w:rFonts w:ascii="Times New Roman" w:hAnsi="Times New Roman" w:cs="Times New Roman"/>
          <w:sz w:val="24"/>
          <w:szCs w:val="24"/>
          <w:highlight w:val="yellow"/>
        </w:rPr>
        <w:t>skat. </w:t>
      </w:r>
      <w:r w:rsidR="00136A0C" w:rsidRPr="0015154B">
        <w:rPr>
          <w:rFonts w:ascii="Times New Roman" w:hAnsi="Times New Roman" w:cs="Times New Roman"/>
          <w:sz w:val="24"/>
          <w:szCs w:val="24"/>
          <w:highlight w:val="yellow"/>
        </w:rPr>
        <w:t>2</w:t>
      </w:r>
      <w:r w:rsidR="009767D0">
        <w:rPr>
          <w:rFonts w:ascii="Times New Roman" w:hAnsi="Times New Roman" w:cs="Times New Roman"/>
          <w:sz w:val="24"/>
          <w:szCs w:val="24"/>
          <w:highlight w:val="yellow"/>
        </w:rPr>
        <w:t>7</w:t>
      </w:r>
      <w:r w:rsidR="00136A0C" w:rsidRPr="0015154B">
        <w:rPr>
          <w:rFonts w:ascii="Times New Roman" w:hAnsi="Times New Roman" w:cs="Times New Roman"/>
          <w:sz w:val="24"/>
          <w:szCs w:val="24"/>
          <w:highlight w:val="yellow"/>
        </w:rPr>
        <w:t>.</w:t>
      </w:r>
      <w:r w:rsidR="00CF1505" w:rsidRPr="0015154B">
        <w:rPr>
          <w:rFonts w:ascii="Times New Roman" w:hAnsi="Times New Roman" w:cs="Times New Roman"/>
          <w:sz w:val="24"/>
          <w:szCs w:val="24"/>
          <w:highlight w:val="yellow"/>
        </w:rPr>
        <w:t>att</w:t>
      </w:r>
      <w:r w:rsidR="00015035" w:rsidRPr="0015154B">
        <w:rPr>
          <w:rFonts w:ascii="Times New Roman" w:hAnsi="Times New Roman" w:cs="Times New Roman"/>
          <w:sz w:val="24"/>
          <w:szCs w:val="24"/>
          <w:highlight w:val="yellow"/>
        </w:rPr>
        <w:t>ēlu</w:t>
      </w:r>
      <w:r w:rsidR="00CF1505" w:rsidRPr="0015154B">
        <w:rPr>
          <w:rFonts w:ascii="Times New Roman" w:hAnsi="Times New Roman" w:cs="Times New Roman"/>
          <w:sz w:val="24"/>
          <w:szCs w:val="24"/>
        </w:rPr>
        <w:t xml:space="preserve">). Jāatzīmē, ka īpaši liels nodarbināto skaits vecumā 65 vai vairāk gadu ir VDEĀVK, kur šādā vecumā ir gandrīz katrs trešais darbinieks. Paaugstināts strādājošo senioru skaits ir valsts sociālās aprūpes centros: VSAC “Rīga” – 14%, VSAC “Vidzeme”- 12%, VSAC “Zemgale” – 11%, VSAC “Kurzeme” – 10%. Pārējās iestādēs – VBTAI, LM, VDI, </w:t>
      </w:r>
      <w:r w:rsidR="00CF1505" w:rsidRPr="0015154B">
        <w:rPr>
          <w:rFonts w:ascii="Times New Roman" w:hAnsi="Times New Roman" w:cs="Times New Roman"/>
          <w:sz w:val="24"/>
          <w:szCs w:val="24"/>
        </w:rPr>
        <w:lastRenderedPageBreak/>
        <w:t>NVA – dominējošā vecumgrupa ir 31</w:t>
      </w:r>
      <w:r w:rsidR="00CF1505" w:rsidRPr="0015154B">
        <w:rPr>
          <w:rFonts w:ascii="Times New Roman" w:hAnsi="Times New Roman" w:cs="Times New Roman"/>
          <w:sz w:val="24"/>
          <w:szCs w:val="24"/>
        </w:rPr>
        <w:noBreakHyphen/>
        <w:t xml:space="preserve">45-gadīgie darbinieki. Kopumā aplūkojot resorā nodarbināto vecumstruktūru, var secināt, ka diezgan aktuāla ir pēctecības plānošana, darbinieku piesaiste, kā arī tādas cilvēkkapitāla politikas veidošana, kas aptvertu dažādu paaudžu darbinieku vajadzības. </w:t>
      </w:r>
    </w:p>
    <w:p w14:paraId="2866B719" w14:textId="77777777" w:rsidR="00CF1505" w:rsidRPr="0015154B" w:rsidRDefault="00CF1505" w:rsidP="00CF1505">
      <w:pPr>
        <w:spacing w:after="0" w:line="240" w:lineRule="auto"/>
        <w:jc w:val="both"/>
        <w:rPr>
          <w:rFonts w:ascii="Times New Roman" w:hAnsi="Times New Roman" w:cs="Times New Roman"/>
          <w:sz w:val="24"/>
          <w:szCs w:val="24"/>
        </w:rPr>
      </w:pPr>
    </w:p>
    <w:p w14:paraId="7B381AEA" w14:textId="77777777" w:rsidR="005E5CD1" w:rsidRDefault="005E5CD1">
      <w:pPr>
        <w:rPr>
          <w:rFonts w:ascii="Times New Roman" w:hAnsi="Times New Roman" w:cs="Times New Roman"/>
          <w:sz w:val="24"/>
          <w:szCs w:val="24"/>
        </w:rPr>
      </w:pPr>
      <w:r>
        <w:rPr>
          <w:rFonts w:ascii="Times New Roman" w:hAnsi="Times New Roman" w:cs="Times New Roman"/>
          <w:sz w:val="24"/>
          <w:szCs w:val="24"/>
        </w:rPr>
        <w:br w:type="page"/>
      </w:r>
    </w:p>
    <w:p w14:paraId="078AFE0C" w14:textId="549F381A" w:rsidR="00CF1505" w:rsidRPr="0015154B" w:rsidRDefault="00136A0C" w:rsidP="00CF1505">
      <w:pPr>
        <w:spacing w:after="0" w:line="240" w:lineRule="auto"/>
        <w:jc w:val="both"/>
        <w:rPr>
          <w:rFonts w:ascii="Times New Roman" w:hAnsi="Times New Roman" w:cs="Times New Roman"/>
          <w:sz w:val="24"/>
          <w:szCs w:val="24"/>
        </w:rPr>
      </w:pPr>
      <w:r w:rsidRPr="009767D0">
        <w:rPr>
          <w:rFonts w:ascii="Times New Roman" w:hAnsi="Times New Roman" w:cs="Times New Roman"/>
          <w:sz w:val="24"/>
          <w:szCs w:val="24"/>
        </w:rPr>
        <w:lastRenderedPageBreak/>
        <w:t>2</w:t>
      </w:r>
      <w:r w:rsidR="009767D0" w:rsidRPr="009767D0">
        <w:rPr>
          <w:rFonts w:ascii="Times New Roman" w:hAnsi="Times New Roman" w:cs="Times New Roman"/>
          <w:sz w:val="24"/>
          <w:szCs w:val="24"/>
        </w:rPr>
        <w:t>7</w:t>
      </w:r>
      <w:r w:rsidRPr="009767D0">
        <w:rPr>
          <w:rFonts w:ascii="Times New Roman" w:hAnsi="Times New Roman" w:cs="Times New Roman"/>
          <w:sz w:val="24"/>
          <w:szCs w:val="24"/>
        </w:rPr>
        <w:t>.</w:t>
      </w:r>
      <w:r w:rsidR="00CF1505" w:rsidRPr="009767D0">
        <w:rPr>
          <w:rFonts w:ascii="Times New Roman" w:hAnsi="Times New Roman" w:cs="Times New Roman"/>
          <w:sz w:val="24"/>
          <w:szCs w:val="24"/>
        </w:rPr>
        <w:t>attēls</w:t>
      </w:r>
    </w:p>
    <w:p w14:paraId="2150C9A9" w14:textId="77777777" w:rsidR="00291438" w:rsidRPr="0015154B" w:rsidRDefault="00291438" w:rsidP="00CF1505">
      <w:pPr>
        <w:spacing w:after="0" w:line="240" w:lineRule="auto"/>
        <w:jc w:val="center"/>
        <w:rPr>
          <w:rFonts w:ascii="Times New Roman" w:hAnsi="Times New Roman" w:cs="Times New Roman"/>
          <w:sz w:val="24"/>
          <w:szCs w:val="24"/>
        </w:rPr>
      </w:pPr>
    </w:p>
    <w:p w14:paraId="7A40BC2B" w14:textId="0F7547D1" w:rsidR="00CF1505" w:rsidRPr="0015154B" w:rsidRDefault="00CF1505" w:rsidP="00CF1505">
      <w:pPr>
        <w:spacing w:after="0" w:line="240" w:lineRule="auto"/>
        <w:jc w:val="center"/>
        <w:rPr>
          <w:rFonts w:ascii="Times New Roman" w:hAnsi="Times New Roman" w:cs="Times New Roman"/>
          <w:b/>
          <w:sz w:val="24"/>
          <w:szCs w:val="24"/>
        </w:rPr>
      </w:pPr>
      <w:r w:rsidRPr="0015154B">
        <w:rPr>
          <w:rFonts w:ascii="Times New Roman" w:hAnsi="Times New Roman" w:cs="Times New Roman"/>
          <w:b/>
          <w:color w:val="002060"/>
          <w:sz w:val="24"/>
          <w:szCs w:val="24"/>
        </w:rPr>
        <w:t>LM resorā nodarbināto sadalījums pēc vecumgrupām uz 31.12.2019. (%)</w:t>
      </w:r>
    </w:p>
    <w:p w14:paraId="207FA519" w14:textId="77777777" w:rsidR="00CF1505" w:rsidRPr="007157D3" w:rsidRDefault="00CF1505" w:rsidP="00CF1505">
      <w:pPr>
        <w:spacing w:after="0" w:line="240" w:lineRule="auto"/>
        <w:jc w:val="both"/>
        <w:rPr>
          <w:rFonts w:ascii="Times New Roman" w:hAnsi="Times New Roman" w:cs="Times New Roman"/>
          <w:sz w:val="24"/>
          <w:szCs w:val="24"/>
        </w:rPr>
      </w:pPr>
      <w:r w:rsidRPr="0062076E">
        <w:rPr>
          <w:noProof/>
        </w:rPr>
        <w:drawing>
          <wp:inline distT="0" distB="0" distL="0" distR="0" wp14:anchorId="49D2928D" wp14:editId="1F636366">
            <wp:extent cx="5315803" cy="2668137"/>
            <wp:effectExtent l="0" t="0" r="0" b="0"/>
            <wp:docPr id="4" name="Diagramma 4">
              <a:extLst xmlns:a="http://schemas.openxmlformats.org/drawingml/2006/main">
                <a:ext uri="{FF2B5EF4-FFF2-40B4-BE49-F238E27FC236}">
                  <a16:creationId xmlns:a16="http://schemas.microsoft.com/office/drawing/2014/main" id="{9527E969-F9B5-4F84-90A5-F88F59020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BED8413" w14:textId="2990A2DE" w:rsidR="00CF1505" w:rsidRPr="00857E45" w:rsidRDefault="00857E45" w:rsidP="00CF1505">
      <w:pPr>
        <w:spacing w:after="0" w:line="240" w:lineRule="auto"/>
        <w:jc w:val="both"/>
        <w:rPr>
          <w:rFonts w:ascii="Times New Roman" w:hAnsi="Times New Roman" w:cs="Times New Roman"/>
          <w:iCs/>
          <w:sz w:val="20"/>
          <w:szCs w:val="20"/>
        </w:rPr>
      </w:pPr>
      <w:r w:rsidRPr="00857E45">
        <w:rPr>
          <w:rFonts w:ascii="Times New Roman" w:hAnsi="Times New Roman" w:cs="Times New Roman"/>
          <w:iCs/>
          <w:sz w:val="20"/>
          <w:szCs w:val="20"/>
        </w:rPr>
        <w:t>Datu a</w:t>
      </w:r>
      <w:r w:rsidR="00CF1505" w:rsidRPr="00857E45">
        <w:rPr>
          <w:rFonts w:ascii="Times New Roman" w:hAnsi="Times New Roman" w:cs="Times New Roman"/>
          <w:iCs/>
          <w:sz w:val="20"/>
          <w:szCs w:val="20"/>
        </w:rPr>
        <w:t>vots: AUS dati</w:t>
      </w:r>
    </w:p>
    <w:p w14:paraId="41F0BE7E" w14:textId="77777777" w:rsidR="00CF1505" w:rsidRPr="007157D3" w:rsidRDefault="00CF1505" w:rsidP="00CF1505">
      <w:pPr>
        <w:spacing w:after="0" w:line="240" w:lineRule="auto"/>
        <w:jc w:val="both"/>
        <w:rPr>
          <w:rFonts w:ascii="Times New Roman" w:hAnsi="Times New Roman" w:cs="Times New Roman"/>
          <w:sz w:val="24"/>
          <w:szCs w:val="24"/>
        </w:rPr>
      </w:pPr>
    </w:p>
    <w:p w14:paraId="4BC8CFB3" w14:textId="77777777" w:rsidR="00CF1505" w:rsidRPr="00573B49" w:rsidRDefault="00CF1505" w:rsidP="00B33541">
      <w:pPr>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sz w:val="24"/>
          <w:szCs w:val="24"/>
        </w:rPr>
        <w:t xml:space="preserve">LM resora vairākās iestādēs valsts pārvaldes reformas ietvaros tiek veikta funkciju pārskatīšana un amata vietu samazināšana. Būtisks amatu vietu un nodarbināto skaita samazinājums bijis valsts sociālās aprūpes centros “Vidzeme”, “Latgale”, “Zemgale” un </w:t>
      </w:r>
      <w:r w:rsidRPr="00573B49">
        <w:rPr>
          <w:rFonts w:ascii="Times New Roman" w:hAnsi="Times New Roman" w:cs="Times New Roman"/>
          <w:sz w:val="24"/>
          <w:szCs w:val="24"/>
        </w:rPr>
        <w:t>“Rīga”, kā arī VSAA un NVA. Katras jaunas funkcijas nodrošināšanai nepieciešamība pēc papildu nodarbinātajiem tiek skatīta, vērtējot procesus un pārstrukturizējot amatu vietas gan iestādē, gan starp nozares iestādēm. Šāda pieeja tiek īstenota arī gadījumos, kad tiek izvirzītas konkrētas politikas prioritātes un īsos termiņos jāīsteno virkne jaunu politikas izmaiņu.</w:t>
      </w:r>
    </w:p>
    <w:p w14:paraId="71D4DD64" w14:textId="1C227631" w:rsidR="00CF1505" w:rsidRPr="0025422D" w:rsidRDefault="00CF1505" w:rsidP="00B33541">
      <w:pPr>
        <w:spacing w:before="120" w:after="0" w:line="240" w:lineRule="auto"/>
        <w:ind w:firstLine="720"/>
        <w:jc w:val="both"/>
        <w:rPr>
          <w:rFonts w:ascii="Times New Roman" w:hAnsi="Times New Roman" w:cs="Times New Roman"/>
          <w:sz w:val="24"/>
          <w:szCs w:val="24"/>
        </w:rPr>
      </w:pPr>
      <w:r w:rsidRPr="00573B49">
        <w:rPr>
          <w:rFonts w:ascii="Times New Roman" w:hAnsi="Times New Roman" w:cs="Times New Roman"/>
          <w:sz w:val="24"/>
          <w:szCs w:val="24"/>
        </w:rPr>
        <w:t xml:space="preserve">Amatu vietu un nodarbināto skaita samazināšana nedrīkst būt par iemeslu tam, ka iestāžu darbinieki tiek pārslogoti. Kā liecina 2018.gadā </w:t>
      </w:r>
      <w:r w:rsidRPr="0025422D">
        <w:rPr>
          <w:rFonts w:ascii="Times New Roman" w:hAnsi="Times New Roman" w:cs="Times New Roman"/>
          <w:i/>
          <w:iCs/>
          <w:sz w:val="24"/>
          <w:szCs w:val="24"/>
        </w:rPr>
        <w:t>TNS La</w:t>
      </w:r>
      <w:r w:rsidRPr="00A857F2">
        <w:rPr>
          <w:rFonts w:ascii="Times New Roman" w:hAnsi="Times New Roman" w:cs="Times New Roman"/>
          <w:i/>
          <w:iCs/>
          <w:sz w:val="24"/>
          <w:szCs w:val="24"/>
        </w:rPr>
        <w:t>tvia</w:t>
      </w:r>
      <w:r w:rsidRPr="00662D1E">
        <w:rPr>
          <w:rFonts w:ascii="Times New Roman" w:hAnsi="Times New Roman" w:cs="Times New Roman"/>
          <w:sz w:val="24"/>
          <w:szCs w:val="24"/>
        </w:rPr>
        <w:t xml:space="preserve"> veiktās darba ņēmēju aptaujas rezultāti, gandrīz puse darbinieku piedzīvojuši profesionālo izdegšanu. Turklāt salīdzinoši biežāk izdegšanu piedzīvo sievietes, darbinieki, kuri vidēji nostrādā vairāk nekā 40 stundas nedēļā, kā arī tie, kuri ir neapmier</w:t>
      </w:r>
      <w:r w:rsidRPr="009703E6">
        <w:rPr>
          <w:rFonts w:ascii="Times New Roman" w:hAnsi="Times New Roman" w:cs="Times New Roman"/>
          <w:sz w:val="24"/>
          <w:szCs w:val="24"/>
        </w:rPr>
        <w:t>ināti ar savu pašreizējo darbu un savu darba slodzi uzskata par augstu.</w:t>
      </w:r>
      <w:r w:rsidRPr="007157D3">
        <w:rPr>
          <w:rStyle w:val="FootnoteReference"/>
          <w:rFonts w:ascii="Times New Roman" w:hAnsi="Times New Roman" w:cs="Times New Roman"/>
          <w:sz w:val="24"/>
          <w:szCs w:val="24"/>
        </w:rPr>
        <w:footnoteReference w:id="222"/>
      </w:r>
      <w:r w:rsidRPr="007157D3">
        <w:rPr>
          <w:rFonts w:ascii="Times New Roman" w:hAnsi="Times New Roman" w:cs="Times New Roman"/>
          <w:sz w:val="24"/>
          <w:szCs w:val="24"/>
        </w:rPr>
        <w:t xml:space="preserve"> Darbinieku pārslodzes problēma novērojama arī resora iestādēs, jo viens no biežākiem iemesliem darbinieku brīvprātīgajai aiziešanai ir pārmērīgā darba apjoma un psihoemocionālās spriedzes faktors</w:t>
      </w:r>
      <w:r w:rsidR="00270D2C" w:rsidRPr="007157D3">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223"/>
      </w:r>
      <w:r w:rsidRPr="007157D3">
        <w:rPr>
          <w:rFonts w:ascii="Times New Roman" w:hAnsi="Times New Roman" w:cs="Times New Roman"/>
          <w:sz w:val="24"/>
          <w:szCs w:val="24"/>
        </w:rPr>
        <w:t xml:space="preserve"> Lai novērstu šād</w:t>
      </w:r>
      <w:r w:rsidR="00270D2C" w:rsidRPr="007157D3">
        <w:rPr>
          <w:rFonts w:ascii="Times New Roman" w:hAnsi="Times New Roman" w:cs="Times New Roman"/>
          <w:sz w:val="24"/>
          <w:szCs w:val="24"/>
        </w:rPr>
        <w:t>u</w:t>
      </w:r>
      <w:r w:rsidRPr="007157D3">
        <w:rPr>
          <w:rFonts w:ascii="Times New Roman" w:hAnsi="Times New Roman" w:cs="Times New Roman"/>
          <w:sz w:val="24"/>
          <w:szCs w:val="24"/>
        </w:rPr>
        <w:t xml:space="preserve"> negatīv</w:t>
      </w:r>
      <w:r w:rsidR="00270D2C" w:rsidRPr="002F5278">
        <w:rPr>
          <w:rFonts w:ascii="Times New Roman" w:hAnsi="Times New Roman" w:cs="Times New Roman"/>
          <w:sz w:val="24"/>
          <w:szCs w:val="24"/>
        </w:rPr>
        <w:t>o</w:t>
      </w:r>
      <w:r w:rsidRPr="00573B49">
        <w:rPr>
          <w:rFonts w:ascii="Times New Roman" w:hAnsi="Times New Roman" w:cs="Times New Roman"/>
          <w:sz w:val="24"/>
          <w:szCs w:val="24"/>
        </w:rPr>
        <w:t xml:space="preserve"> </w:t>
      </w:r>
      <w:r w:rsidR="00270D2C" w:rsidRPr="00573B49">
        <w:rPr>
          <w:rFonts w:ascii="Times New Roman" w:hAnsi="Times New Roman" w:cs="Times New Roman"/>
          <w:sz w:val="24"/>
          <w:szCs w:val="24"/>
        </w:rPr>
        <w:t>tendenču</w:t>
      </w:r>
      <w:r w:rsidRPr="00573B49">
        <w:rPr>
          <w:rFonts w:ascii="Times New Roman" w:hAnsi="Times New Roman" w:cs="Times New Roman"/>
          <w:sz w:val="24"/>
          <w:szCs w:val="24"/>
        </w:rPr>
        <w:t xml:space="preserve"> iesakņošanos, ir nepieciešams pasākumu komplekss, kas ietvertu funkciju un pakalpojumu apjomam optimālā nodarbināto skaita prognozēšanu, efektīvu pārmaiņu vadīšanu, darbinieku apmācības jauniem uzdevumiem </w:t>
      </w:r>
      <w:r w:rsidRPr="0025422D">
        <w:rPr>
          <w:rFonts w:ascii="Times New Roman" w:hAnsi="Times New Roman" w:cs="Times New Roman"/>
          <w:sz w:val="24"/>
          <w:szCs w:val="24"/>
        </w:rPr>
        <w:t xml:space="preserve">un metodēm. </w:t>
      </w:r>
    </w:p>
    <w:p w14:paraId="0E3E3D97" w14:textId="0578CE82" w:rsidR="00CF1505" w:rsidRPr="0025422D" w:rsidRDefault="00270D2C" w:rsidP="00B33541">
      <w:pPr>
        <w:spacing w:before="120" w:after="0" w:line="240" w:lineRule="auto"/>
        <w:ind w:firstLine="720"/>
        <w:jc w:val="both"/>
        <w:rPr>
          <w:rFonts w:ascii="Times New Roman" w:hAnsi="Times New Roman" w:cs="Times New Roman"/>
          <w:sz w:val="24"/>
          <w:szCs w:val="24"/>
        </w:rPr>
      </w:pPr>
      <w:r w:rsidRPr="00A857F2">
        <w:rPr>
          <w:rFonts w:ascii="Times New Roman" w:hAnsi="Times New Roman" w:cs="Times New Roman"/>
          <w:sz w:val="24"/>
          <w:szCs w:val="24"/>
        </w:rPr>
        <w:t>Statistikas dati par a</w:t>
      </w:r>
      <w:r w:rsidR="00CF1505" w:rsidRPr="00662D1E">
        <w:rPr>
          <w:rFonts w:ascii="Times New Roman" w:hAnsi="Times New Roman" w:cs="Times New Roman"/>
          <w:sz w:val="24"/>
          <w:szCs w:val="24"/>
        </w:rPr>
        <w:t>tbrīvot</w:t>
      </w:r>
      <w:r w:rsidRPr="009703E6">
        <w:rPr>
          <w:rFonts w:ascii="Times New Roman" w:hAnsi="Times New Roman" w:cs="Times New Roman"/>
          <w:sz w:val="24"/>
          <w:szCs w:val="24"/>
        </w:rPr>
        <w:t>ajiem</w:t>
      </w:r>
      <w:r w:rsidR="00CF1505" w:rsidRPr="0015154B">
        <w:rPr>
          <w:rFonts w:ascii="Times New Roman" w:hAnsi="Times New Roman" w:cs="Times New Roman"/>
          <w:sz w:val="24"/>
          <w:szCs w:val="24"/>
        </w:rPr>
        <w:t xml:space="preserve"> darbiniek</w:t>
      </w:r>
      <w:r w:rsidRPr="0015154B">
        <w:rPr>
          <w:rFonts w:ascii="Times New Roman" w:hAnsi="Times New Roman" w:cs="Times New Roman"/>
          <w:sz w:val="24"/>
          <w:szCs w:val="24"/>
        </w:rPr>
        <w:t>iem liecina</w:t>
      </w:r>
      <w:r w:rsidR="00CF1505" w:rsidRPr="0015154B">
        <w:rPr>
          <w:rFonts w:ascii="Times New Roman" w:hAnsi="Times New Roman" w:cs="Times New Roman"/>
          <w:sz w:val="24"/>
          <w:szCs w:val="24"/>
        </w:rPr>
        <w:t>, ka resorā ir paaugstināt</w:t>
      </w:r>
      <w:r w:rsidRPr="0015154B">
        <w:rPr>
          <w:rFonts w:ascii="Times New Roman" w:hAnsi="Times New Roman" w:cs="Times New Roman"/>
          <w:sz w:val="24"/>
          <w:szCs w:val="24"/>
        </w:rPr>
        <w:t>a</w:t>
      </w:r>
      <w:r w:rsidR="00CF1505" w:rsidRPr="0015154B">
        <w:rPr>
          <w:rFonts w:ascii="Times New Roman" w:hAnsi="Times New Roman" w:cs="Times New Roman"/>
          <w:sz w:val="24"/>
          <w:szCs w:val="24"/>
        </w:rPr>
        <w:t xml:space="preserve"> personāla kustība</w:t>
      </w:r>
      <w:r w:rsidRPr="0015154B">
        <w:rPr>
          <w:rFonts w:ascii="Times New Roman" w:hAnsi="Times New Roman" w:cs="Times New Roman"/>
          <w:sz w:val="24"/>
          <w:szCs w:val="24"/>
        </w:rPr>
        <w:t>.</w:t>
      </w:r>
      <w:r w:rsidR="00CF1505" w:rsidRPr="0015154B">
        <w:rPr>
          <w:rFonts w:ascii="Times New Roman" w:hAnsi="Times New Roman" w:cs="Times New Roman"/>
          <w:sz w:val="24"/>
          <w:szCs w:val="24"/>
        </w:rPr>
        <w:t xml:space="preserve"> Latvijā organizāciju gada vidējais personāla mainības līmenis ir 7</w:t>
      </w:r>
      <w:r w:rsidR="00CF1505" w:rsidRPr="0015154B">
        <w:rPr>
          <w:rFonts w:ascii="Times New Roman" w:hAnsi="Times New Roman" w:cs="Times New Roman"/>
          <w:sz w:val="24"/>
          <w:szCs w:val="24"/>
        </w:rPr>
        <w:noBreakHyphen/>
        <w:t>11 % robežās</w:t>
      </w:r>
      <w:r w:rsidR="00CF1505" w:rsidRPr="007157D3">
        <w:rPr>
          <w:rStyle w:val="FootnoteReference"/>
          <w:rFonts w:ascii="Times New Roman" w:hAnsi="Times New Roman" w:cs="Times New Roman"/>
          <w:sz w:val="24"/>
          <w:szCs w:val="24"/>
        </w:rPr>
        <w:footnoteReference w:id="224"/>
      </w:r>
      <w:r w:rsidR="00CF1505" w:rsidRPr="007157D3">
        <w:rPr>
          <w:rFonts w:ascii="Times New Roman" w:hAnsi="Times New Roman" w:cs="Times New Roman"/>
          <w:sz w:val="24"/>
          <w:szCs w:val="24"/>
        </w:rPr>
        <w:t xml:space="preserve">, bet </w:t>
      </w:r>
      <w:r w:rsidRPr="007157D3">
        <w:rPr>
          <w:rFonts w:ascii="Times New Roman" w:hAnsi="Times New Roman" w:cs="Times New Roman"/>
          <w:sz w:val="24"/>
          <w:szCs w:val="24"/>
        </w:rPr>
        <w:t xml:space="preserve">LM </w:t>
      </w:r>
      <w:r w:rsidR="00CF1505" w:rsidRPr="007157D3">
        <w:rPr>
          <w:rFonts w:ascii="Times New Roman" w:hAnsi="Times New Roman" w:cs="Times New Roman"/>
          <w:sz w:val="24"/>
          <w:szCs w:val="24"/>
        </w:rPr>
        <w:t>resorā tas ir augstāks un ar tendenci aizvien pieaugt (</w:t>
      </w:r>
      <w:r w:rsidR="00CF1505" w:rsidRPr="002F5278">
        <w:rPr>
          <w:rFonts w:ascii="Times New Roman" w:hAnsi="Times New Roman" w:cs="Times New Roman"/>
          <w:sz w:val="24"/>
          <w:szCs w:val="24"/>
          <w:highlight w:val="yellow"/>
        </w:rPr>
        <w:t>skat. </w:t>
      </w:r>
      <w:r w:rsidR="00136A0C" w:rsidRPr="00573B49">
        <w:rPr>
          <w:rFonts w:ascii="Times New Roman" w:hAnsi="Times New Roman" w:cs="Times New Roman"/>
          <w:sz w:val="24"/>
          <w:szCs w:val="24"/>
          <w:highlight w:val="yellow"/>
        </w:rPr>
        <w:t>2</w:t>
      </w:r>
      <w:r w:rsidR="009767D0">
        <w:rPr>
          <w:rFonts w:ascii="Times New Roman" w:hAnsi="Times New Roman" w:cs="Times New Roman"/>
          <w:sz w:val="24"/>
          <w:szCs w:val="24"/>
          <w:highlight w:val="yellow"/>
        </w:rPr>
        <w:t>8</w:t>
      </w:r>
      <w:r w:rsidR="00136A0C" w:rsidRPr="00573B49">
        <w:rPr>
          <w:rFonts w:ascii="Times New Roman" w:hAnsi="Times New Roman" w:cs="Times New Roman"/>
          <w:sz w:val="24"/>
          <w:szCs w:val="24"/>
          <w:highlight w:val="yellow"/>
        </w:rPr>
        <w:t>.</w:t>
      </w:r>
      <w:r w:rsidR="00CF1505" w:rsidRPr="00573B49">
        <w:rPr>
          <w:rFonts w:ascii="Times New Roman" w:hAnsi="Times New Roman" w:cs="Times New Roman"/>
          <w:sz w:val="24"/>
          <w:szCs w:val="24"/>
          <w:highlight w:val="yellow"/>
        </w:rPr>
        <w:t>att</w:t>
      </w:r>
      <w:r w:rsidR="00015035" w:rsidRPr="00573B49">
        <w:rPr>
          <w:rFonts w:ascii="Times New Roman" w:hAnsi="Times New Roman" w:cs="Times New Roman"/>
          <w:sz w:val="24"/>
          <w:szCs w:val="24"/>
          <w:highlight w:val="yellow"/>
        </w:rPr>
        <w:t>ēlu</w:t>
      </w:r>
      <w:r w:rsidR="00CF1505" w:rsidRPr="0025422D">
        <w:rPr>
          <w:rFonts w:ascii="Times New Roman" w:hAnsi="Times New Roman" w:cs="Times New Roman"/>
          <w:sz w:val="24"/>
          <w:szCs w:val="24"/>
        </w:rPr>
        <w:t>).</w:t>
      </w:r>
    </w:p>
    <w:p w14:paraId="04CD91DE" w14:textId="77777777" w:rsidR="00CF1505" w:rsidRPr="00A857F2" w:rsidRDefault="00CF1505" w:rsidP="00CF1505">
      <w:pPr>
        <w:spacing w:after="0" w:line="240" w:lineRule="auto"/>
        <w:jc w:val="both"/>
        <w:rPr>
          <w:rFonts w:ascii="Times New Roman" w:hAnsi="Times New Roman" w:cs="Times New Roman"/>
          <w:sz w:val="24"/>
          <w:szCs w:val="24"/>
        </w:rPr>
      </w:pPr>
    </w:p>
    <w:p w14:paraId="2EDC59F4" w14:textId="77777777" w:rsidR="005E5CD1" w:rsidRDefault="005E5CD1">
      <w:pPr>
        <w:rPr>
          <w:rFonts w:ascii="Times New Roman" w:hAnsi="Times New Roman" w:cs="Times New Roman"/>
          <w:sz w:val="24"/>
          <w:szCs w:val="24"/>
        </w:rPr>
      </w:pPr>
      <w:r>
        <w:rPr>
          <w:rFonts w:ascii="Times New Roman" w:hAnsi="Times New Roman" w:cs="Times New Roman"/>
          <w:sz w:val="24"/>
          <w:szCs w:val="24"/>
        </w:rPr>
        <w:br w:type="page"/>
      </w:r>
    </w:p>
    <w:p w14:paraId="5D61941D" w14:textId="326D86E2" w:rsidR="00CF1505" w:rsidRPr="0015154B" w:rsidRDefault="00136A0C" w:rsidP="00CF1505">
      <w:pPr>
        <w:spacing w:after="0" w:line="240" w:lineRule="auto"/>
        <w:jc w:val="both"/>
        <w:rPr>
          <w:rFonts w:ascii="Times New Roman" w:hAnsi="Times New Roman" w:cs="Times New Roman"/>
          <w:sz w:val="24"/>
          <w:szCs w:val="24"/>
        </w:rPr>
      </w:pPr>
      <w:r w:rsidRPr="009767D0">
        <w:rPr>
          <w:rFonts w:ascii="Times New Roman" w:hAnsi="Times New Roman" w:cs="Times New Roman"/>
          <w:sz w:val="24"/>
          <w:szCs w:val="24"/>
        </w:rPr>
        <w:lastRenderedPageBreak/>
        <w:t>2</w:t>
      </w:r>
      <w:r w:rsidR="009767D0" w:rsidRPr="009767D0">
        <w:rPr>
          <w:rFonts w:ascii="Times New Roman" w:hAnsi="Times New Roman" w:cs="Times New Roman"/>
          <w:sz w:val="24"/>
          <w:szCs w:val="24"/>
        </w:rPr>
        <w:t>8</w:t>
      </w:r>
      <w:r w:rsidRPr="009767D0">
        <w:rPr>
          <w:rFonts w:ascii="Times New Roman" w:hAnsi="Times New Roman" w:cs="Times New Roman"/>
          <w:sz w:val="24"/>
          <w:szCs w:val="24"/>
        </w:rPr>
        <w:t>.</w:t>
      </w:r>
      <w:r w:rsidR="00CF1505" w:rsidRPr="009767D0">
        <w:rPr>
          <w:rFonts w:ascii="Times New Roman" w:hAnsi="Times New Roman" w:cs="Times New Roman"/>
          <w:sz w:val="24"/>
          <w:szCs w:val="24"/>
        </w:rPr>
        <w:t>attēls</w:t>
      </w:r>
    </w:p>
    <w:p w14:paraId="3FD30DBF" w14:textId="77777777" w:rsidR="00270D2C" w:rsidRPr="0015154B" w:rsidRDefault="00270D2C" w:rsidP="00CF1505">
      <w:pPr>
        <w:spacing w:after="0" w:line="240" w:lineRule="auto"/>
        <w:jc w:val="center"/>
        <w:rPr>
          <w:rFonts w:ascii="Times New Roman" w:hAnsi="Times New Roman" w:cs="Times New Roman"/>
          <w:sz w:val="24"/>
          <w:szCs w:val="24"/>
        </w:rPr>
      </w:pPr>
    </w:p>
    <w:p w14:paraId="037C0BA8" w14:textId="6A547670" w:rsidR="00CF1505" w:rsidRPr="0015154B" w:rsidRDefault="00CF1505" w:rsidP="00CF1505">
      <w:pPr>
        <w:spacing w:after="0" w:line="240" w:lineRule="auto"/>
        <w:jc w:val="center"/>
        <w:rPr>
          <w:rFonts w:ascii="Times New Roman" w:hAnsi="Times New Roman" w:cs="Times New Roman"/>
          <w:b/>
          <w:sz w:val="24"/>
          <w:szCs w:val="24"/>
        </w:rPr>
      </w:pPr>
      <w:r w:rsidRPr="0015154B">
        <w:rPr>
          <w:rFonts w:ascii="Times New Roman" w:hAnsi="Times New Roman" w:cs="Times New Roman"/>
          <w:b/>
          <w:color w:val="002060"/>
          <w:sz w:val="24"/>
          <w:szCs w:val="24"/>
        </w:rPr>
        <w:t>Atbrīvoto nodarbināto īpatsvars nodarbināto kopskaitā LM resorā (%)</w:t>
      </w:r>
    </w:p>
    <w:p w14:paraId="45508672" w14:textId="77777777" w:rsidR="00270D2C" w:rsidRPr="0015154B" w:rsidRDefault="00270D2C" w:rsidP="00CF1505">
      <w:pPr>
        <w:spacing w:after="0" w:line="240" w:lineRule="auto"/>
        <w:jc w:val="center"/>
        <w:rPr>
          <w:rFonts w:ascii="Times New Roman" w:hAnsi="Times New Roman" w:cs="Times New Roman"/>
          <w:b/>
          <w:sz w:val="24"/>
          <w:szCs w:val="24"/>
        </w:rPr>
      </w:pPr>
    </w:p>
    <w:p w14:paraId="48D7EDD1" w14:textId="77777777" w:rsidR="00CF1505" w:rsidRPr="007157D3" w:rsidRDefault="00CF1505" w:rsidP="00CF1505">
      <w:pPr>
        <w:spacing w:after="0" w:line="240" w:lineRule="auto"/>
        <w:jc w:val="both"/>
        <w:rPr>
          <w:rFonts w:ascii="Times New Roman" w:hAnsi="Times New Roman" w:cs="Times New Roman"/>
          <w:sz w:val="24"/>
          <w:szCs w:val="24"/>
        </w:rPr>
      </w:pPr>
      <w:r w:rsidRPr="0062076E">
        <w:rPr>
          <w:rFonts w:ascii="Times New Roman" w:hAnsi="Times New Roman" w:cs="Times New Roman"/>
          <w:noProof/>
          <w:sz w:val="24"/>
          <w:szCs w:val="24"/>
        </w:rPr>
        <w:drawing>
          <wp:inline distT="0" distB="0" distL="0" distR="0" wp14:anchorId="5E1DED95" wp14:editId="42E901FE">
            <wp:extent cx="5305425" cy="2057400"/>
            <wp:effectExtent l="0" t="0" r="9525" b="0"/>
            <wp:docPr id="1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05425" cy="2057400"/>
                    </a:xfrm>
                    <a:prstGeom prst="rect">
                      <a:avLst/>
                    </a:prstGeom>
                    <a:noFill/>
                    <a:ln>
                      <a:noFill/>
                    </a:ln>
                  </pic:spPr>
                </pic:pic>
              </a:graphicData>
            </a:graphic>
          </wp:inline>
        </w:drawing>
      </w:r>
    </w:p>
    <w:p w14:paraId="1ECB5733" w14:textId="2C0FD155" w:rsidR="00CF1505" w:rsidRPr="00857E45" w:rsidRDefault="00857E45" w:rsidP="00CF1505">
      <w:pPr>
        <w:spacing w:after="0" w:line="240" w:lineRule="auto"/>
        <w:jc w:val="both"/>
        <w:rPr>
          <w:rFonts w:ascii="Times New Roman" w:hAnsi="Times New Roman" w:cs="Times New Roman"/>
          <w:iCs/>
          <w:sz w:val="20"/>
          <w:szCs w:val="20"/>
        </w:rPr>
      </w:pPr>
      <w:r w:rsidRPr="00857E45">
        <w:rPr>
          <w:rFonts w:ascii="Times New Roman" w:hAnsi="Times New Roman" w:cs="Times New Roman"/>
          <w:iCs/>
          <w:sz w:val="20"/>
          <w:szCs w:val="20"/>
        </w:rPr>
        <w:t>Datu a</w:t>
      </w:r>
      <w:r w:rsidR="00CF1505" w:rsidRPr="00857E45">
        <w:rPr>
          <w:rFonts w:ascii="Times New Roman" w:hAnsi="Times New Roman" w:cs="Times New Roman"/>
          <w:iCs/>
          <w:sz w:val="20"/>
          <w:szCs w:val="20"/>
        </w:rPr>
        <w:t>vots: AUS dati</w:t>
      </w:r>
    </w:p>
    <w:p w14:paraId="79DD050F" w14:textId="77777777" w:rsidR="00CF1505" w:rsidRPr="007157D3" w:rsidRDefault="00CF1505" w:rsidP="00CF1505">
      <w:pPr>
        <w:spacing w:after="0" w:line="240" w:lineRule="auto"/>
        <w:jc w:val="both"/>
        <w:rPr>
          <w:rFonts w:ascii="Times New Roman" w:hAnsi="Times New Roman" w:cs="Times New Roman"/>
          <w:sz w:val="24"/>
          <w:szCs w:val="24"/>
        </w:rPr>
      </w:pPr>
    </w:p>
    <w:p w14:paraId="2F17FFDE" w14:textId="711D06DF" w:rsidR="00CF1505" w:rsidRPr="007157D3" w:rsidRDefault="00CF1505" w:rsidP="00B33541">
      <w:pPr>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sz w:val="24"/>
          <w:szCs w:val="24"/>
        </w:rPr>
        <w:t xml:space="preserve">Paaugstināta personāla kustība resorā ir saistīta gan ar amata vietu samazināšanu, iekšējo pārstrukturizēšanu, gan ar darbinieku darba </w:t>
      </w:r>
      <w:r w:rsidRPr="00573B49">
        <w:rPr>
          <w:rFonts w:ascii="Times New Roman" w:hAnsi="Times New Roman" w:cs="Times New Roman"/>
          <w:sz w:val="24"/>
          <w:szCs w:val="24"/>
        </w:rPr>
        <w:t>uzteikumiem. Piemēram, 2019.gadā VSAC “Rīga” personāla kustību būtiski ietekmēja filiāles “Baldone” darbības izbeigšana – šī iemesla dēļ tika atbrīvoti 124 darbinieki, bet gandrīz tikpat daudz bija darbinieku uzteikumu (123 uzteikumi)</w:t>
      </w:r>
      <w:r w:rsidRPr="007157D3">
        <w:rPr>
          <w:rStyle w:val="FootnoteReference"/>
          <w:rFonts w:ascii="Times New Roman" w:hAnsi="Times New Roman" w:cs="Times New Roman"/>
          <w:sz w:val="24"/>
          <w:szCs w:val="24"/>
        </w:rPr>
        <w:footnoteReference w:id="225"/>
      </w:r>
      <w:r w:rsidRPr="007157D3">
        <w:rPr>
          <w:rFonts w:ascii="Times New Roman" w:hAnsi="Times New Roman" w:cs="Times New Roman"/>
          <w:sz w:val="24"/>
          <w:szCs w:val="24"/>
        </w:rPr>
        <w:t>. Valsts sociālās aprūpes centros darbu pamet biežāk sociālajā</w:t>
      </w:r>
      <w:r w:rsidRPr="002F5278">
        <w:rPr>
          <w:rFonts w:ascii="Times New Roman" w:hAnsi="Times New Roman" w:cs="Times New Roman"/>
          <w:sz w:val="24"/>
          <w:szCs w:val="24"/>
        </w:rPr>
        <w:t xml:space="preserve"> aprūpē un saimniecības darbā iesaistītais personāls pārsvarā pieaugošā darba apjoma, psihoemocionālās un fiziskās pārslodzes, zema atalgojuma</w:t>
      </w:r>
      <w:r w:rsidR="00270D2C" w:rsidRPr="00573B49">
        <w:rPr>
          <w:rFonts w:ascii="Times New Roman" w:hAnsi="Times New Roman" w:cs="Times New Roman"/>
          <w:sz w:val="24"/>
          <w:szCs w:val="24"/>
        </w:rPr>
        <w:t xml:space="preserve"> dēļ</w:t>
      </w:r>
      <w:r w:rsidRPr="00573B49">
        <w:rPr>
          <w:rFonts w:ascii="Times New Roman" w:hAnsi="Times New Roman" w:cs="Times New Roman"/>
          <w:sz w:val="24"/>
          <w:szCs w:val="24"/>
        </w:rPr>
        <w:t>.</w:t>
      </w:r>
      <w:r w:rsidRPr="007157D3">
        <w:rPr>
          <w:rStyle w:val="FootnoteReference"/>
          <w:rFonts w:ascii="Times New Roman" w:hAnsi="Times New Roman" w:cs="Times New Roman"/>
          <w:sz w:val="24"/>
          <w:szCs w:val="24"/>
        </w:rPr>
        <w:footnoteReference w:id="226"/>
      </w:r>
      <w:r w:rsidRPr="007157D3">
        <w:rPr>
          <w:rFonts w:ascii="Times New Roman" w:hAnsi="Times New Roman" w:cs="Times New Roman"/>
          <w:sz w:val="24"/>
          <w:szCs w:val="24"/>
        </w:rPr>
        <w:t xml:space="preserve"> Pārslodze un nekonkurētspējīgs</w:t>
      </w:r>
      <w:r w:rsidRPr="002F5278">
        <w:rPr>
          <w:rFonts w:ascii="Times New Roman" w:hAnsi="Times New Roman" w:cs="Times New Roman"/>
          <w:sz w:val="24"/>
          <w:szCs w:val="24"/>
        </w:rPr>
        <w:t>, amata prasībām neatbilstošs atalg</w:t>
      </w:r>
      <w:r w:rsidRPr="00573B49">
        <w:rPr>
          <w:rFonts w:ascii="Times New Roman" w:hAnsi="Times New Roman" w:cs="Times New Roman"/>
          <w:sz w:val="24"/>
          <w:szCs w:val="24"/>
        </w:rPr>
        <w:t xml:space="preserve">ojums ir biežākie iemesli darbinieku uzteikumiem arī citās </w:t>
      </w:r>
      <w:r w:rsidR="00270D2C" w:rsidRPr="00573B49">
        <w:rPr>
          <w:rFonts w:ascii="Times New Roman" w:hAnsi="Times New Roman" w:cs="Times New Roman"/>
          <w:sz w:val="24"/>
          <w:szCs w:val="24"/>
        </w:rPr>
        <w:t xml:space="preserve">LM </w:t>
      </w:r>
      <w:r w:rsidRPr="00573B49">
        <w:rPr>
          <w:rFonts w:ascii="Times New Roman" w:hAnsi="Times New Roman" w:cs="Times New Roman"/>
          <w:sz w:val="24"/>
          <w:szCs w:val="24"/>
        </w:rPr>
        <w:t>resora iestādēs.</w:t>
      </w:r>
      <w:r w:rsidRPr="007157D3">
        <w:rPr>
          <w:rStyle w:val="FootnoteReference"/>
          <w:rFonts w:ascii="Times New Roman" w:hAnsi="Times New Roman" w:cs="Times New Roman"/>
          <w:sz w:val="24"/>
          <w:szCs w:val="24"/>
        </w:rPr>
        <w:footnoteReference w:id="227"/>
      </w:r>
    </w:p>
    <w:p w14:paraId="46BFC562" w14:textId="6DDDCD16" w:rsidR="00CF1505" w:rsidRPr="0015154B" w:rsidRDefault="00270D2C" w:rsidP="00B33541">
      <w:pPr>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LM r</w:t>
      </w:r>
      <w:r w:rsidR="00CF1505" w:rsidRPr="007157D3">
        <w:rPr>
          <w:rFonts w:ascii="Times New Roman" w:hAnsi="Times New Roman" w:cs="Times New Roman"/>
          <w:sz w:val="24"/>
          <w:szCs w:val="24"/>
        </w:rPr>
        <w:t>esora iestāžu nodarbināto mēneša vidējais darba samaksas apmērs galve</w:t>
      </w:r>
      <w:r w:rsidR="00CF1505" w:rsidRPr="002F5278">
        <w:rPr>
          <w:rFonts w:ascii="Times New Roman" w:hAnsi="Times New Roman" w:cs="Times New Roman"/>
          <w:sz w:val="24"/>
          <w:szCs w:val="24"/>
        </w:rPr>
        <w:t>nokārt ir atkarīgs no nodarbināto skaita sadalījuma pēc mēnešalgas grupām. Salīdzinoši augstāks darba s</w:t>
      </w:r>
      <w:r w:rsidR="00CF1505" w:rsidRPr="00573B49">
        <w:rPr>
          <w:rFonts w:ascii="Times New Roman" w:hAnsi="Times New Roman" w:cs="Times New Roman"/>
          <w:sz w:val="24"/>
          <w:szCs w:val="24"/>
        </w:rPr>
        <w:t>amaksas apmērs ir LM, kas izskaidrojams ar vadītāju un vecāko speciālistu lielāku īpatsvaru ministrijas nodarbināto kopskaitā (</w:t>
      </w:r>
      <w:r w:rsidR="00CF1505" w:rsidRPr="00573B49">
        <w:rPr>
          <w:rFonts w:ascii="Times New Roman" w:hAnsi="Times New Roman" w:cs="Times New Roman"/>
          <w:sz w:val="24"/>
          <w:szCs w:val="24"/>
          <w:highlight w:val="yellow"/>
        </w:rPr>
        <w:t>skat. </w:t>
      </w:r>
      <w:r w:rsidR="00136A0C" w:rsidRPr="00573B49">
        <w:rPr>
          <w:rFonts w:ascii="Times New Roman" w:hAnsi="Times New Roman" w:cs="Times New Roman"/>
          <w:sz w:val="24"/>
          <w:szCs w:val="24"/>
          <w:highlight w:val="yellow"/>
        </w:rPr>
        <w:t>2</w:t>
      </w:r>
      <w:r w:rsidR="009767D0">
        <w:rPr>
          <w:rFonts w:ascii="Times New Roman" w:hAnsi="Times New Roman" w:cs="Times New Roman"/>
          <w:sz w:val="24"/>
          <w:szCs w:val="24"/>
          <w:highlight w:val="yellow"/>
        </w:rPr>
        <w:t>9</w:t>
      </w:r>
      <w:r w:rsidR="00136A0C" w:rsidRPr="00573B49">
        <w:rPr>
          <w:rFonts w:ascii="Times New Roman" w:hAnsi="Times New Roman" w:cs="Times New Roman"/>
          <w:sz w:val="24"/>
          <w:szCs w:val="24"/>
          <w:highlight w:val="yellow"/>
        </w:rPr>
        <w:t>.</w:t>
      </w:r>
      <w:r w:rsidR="00CF1505" w:rsidRPr="0025422D">
        <w:rPr>
          <w:rFonts w:ascii="Times New Roman" w:hAnsi="Times New Roman" w:cs="Times New Roman"/>
          <w:sz w:val="24"/>
          <w:szCs w:val="24"/>
          <w:highlight w:val="yellow"/>
        </w:rPr>
        <w:t>att</w:t>
      </w:r>
      <w:r w:rsidR="00015035" w:rsidRPr="00A857F2">
        <w:rPr>
          <w:rFonts w:ascii="Times New Roman" w:hAnsi="Times New Roman" w:cs="Times New Roman"/>
          <w:sz w:val="24"/>
          <w:szCs w:val="24"/>
          <w:highlight w:val="yellow"/>
        </w:rPr>
        <w:t>ēlu</w:t>
      </w:r>
      <w:r w:rsidR="00CF1505" w:rsidRPr="00662D1E">
        <w:rPr>
          <w:rFonts w:ascii="Times New Roman" w:hAnsi="Times New Roman" w:cs="Times New Roman"/>
          <w:sz w:val="24"/>
          <w:szCs w:val="24"/>
          <w:highlight w:val="yellow"/>
        </w:rPr>
        <w:t>).</w:t>
      </w:r>
      <w:r w:rsidR="00CF1505" w:rsidRPr="009703E6">
        <w:rPr>
          <w:rFonts w:ascii="Times New Roman" w:hAnsi="Times New Roman" w:cs="Times New Roman"/>
          <w:sz w:val="24"/>
          <w:szCs w:val="24"/>
        </w:rPr>
        <w:t xml:space="preserve"> Zemākais darba samaksas apmērs ir valsts sociālās aprūpes centros, jo tajos pārsvarā strādā darbinieki, kuru da</w:t>
      </w:r>
      <w:r w:rsidR="00CF1505" w:rsidRPr="0015154B">
        <w:rPr>
          <w:rFonts w:ascii="Times New Roman" w:hAnsi="Times New Roman" w:cs="Times New Roman"/>
          <w:sz w:val="24"/>
          <w:szCs w:val="24"/>
        </w:rPr>
        <w:t>rbs atbilst zemākām mēnešalgu grupām.</w:t>
      </w:r>
    </w:p>
    <w:p w14:paraId="5F01F602" w14:textId="77777777" w:rsidR="005E5CD1" w:rsidRPr="007157D3" w:rsidRDefault="005E5CD1" w:rsidP="005E5CD1">
      <w:pPr>
        <w:spacing w:before="120" w:after="0" w:line="240" w:lineRule="auto"/>
        <w:ind w:firstLine="720"/>
        <w:jc w:val="both"/>
        <w:rPr>
          <w:rFonts w:ascii="Times New Roman" w:hAnsi="Times New Roman" w:cs="Times New Roman"/>
          <w:sz w:val="24"/>
          <w:szCs w:val="24"/>
        </w:rPr>
      </w:pPr>
      <w:r w:rsidRPr="00573B49">
        <w:rPr>
          <w:rFonts w:ascii="Times New Roman" w:hAnsi="Times New Roman" w:cs="Times New Roman"/>
          <w:sz w:val="24"/>
          <w:szCs w:val="24"/>
        </w:rPr>
        <w:t>Salīdzinošie pētījumi par atalgojuma apmēru liecina, ka valsts pārvaldē un pakļautībā esošajās iestādēs gandrīz visās mēnešalgas grupās mēneša vidējā darba samaksa būtiski atpaliek no tās, ko saņem līdzīgā pēc sarežģītības un atbildības darba darītāji privātajā sekto</w:t>
      </w:r>
      <w:r w:rsidRPr="0025422D">
        <w:rPr>
          <w:rFonts w:ascii="Times New Roman" w:hAnsi="Times New Roman" w:cs="Times New Roman"/>
          <w:sz w:val="24"/>
          <w:szCs w:val="24"/>
        </w:rPr>
        <w:t>rā.</w:t>
      </w:r>
      <w:r w:rsidRPr="007157D3">
        <w:rPr>
          <w:rStyle w:val="FootnoteReference"/>
          <w:rFonts w:ascii="Times New Roman" w:hAnsi="Times New Roman" w:cs="Times New Roman"/>
          <w:sz w:val="24"/>
          <w:szCs w:val="24"/>
        </w:rPr>
        <w:footnoteReference w:id="228"/>
      </w:r>
      <w:r w:rsidRPr="007157D3">
        <w:rPr>
          <w:rFonts w:ascii="Times New Roman" w:hAnsi="Times New Roman" w:cs="Times New Roman"/>
          <w:sz w:val="24"/>
          <w:szCs w:val="24"/>
        </w:rPr>
        <w:t xml:space="preserve"> </w:t>
      </w:r>
    </w:p>
    <w:p w14:paraId="4604235B" w14:textId="77777777" w:rsidR="00CF1505" w:rsidRPr="0015154B" w:rsidRDefault="00CF1505" w:rsidP="00CF1505">
      <w:pPr>
        <w:spacing w:after="0" w:line="240" w:lineRule="auto"/>
        <w:jc w:val="both"/>
        <w:rPr>
          <w:rFonts w:ascii="Times New Roman" w:hAnsi="Times New Roman" w:cs="Times New Roman"/>
          <w:sz w:val="24"/>
          <w:szCs w:val="24"/>
        </w:rPr>
      </w:pPr>
    </w:p>
    <w:p w14:paraId="2FF05597" w14:textId="77777777" w:rsidR="005E5CD1" w:rsidRDefault="005E5CD1">
      <w:pPr>
        <w:rPr>
          <w:rFonts w:ascii="Times New Roman" w:hAnsi="Times New Roman" w:cs="Times New Roman"/>
          <w:sz w:val="24"/>
          <w:szCs w:val="24"/>
        </w:rPr>
      </w:pPr>
      <w:r>
        <w:rPr>
          <w:rFonts w:ascii="Times New Roman" w:hAnsi="Times New Roman" w:cs="Times New Roman"/>
          <w:sz w:val="24"/>
          <w:szCs w:val="24"/>
        </w:rPr>
        <w:br w:type="page"/>
      </w:r>
    </w:p>
    <w:p w14:paraId="6E14AB40" w14:textId="5673B4EA" w:rsidR="00270D2C" w:rsidRDefault="00136A0C" w:rsidP="009767D0">
      <w:pPr>
        <w:spacing w:after="0" w:line="240" w:lineRule="auto"/>
        <w:jc w:val="both"/>
        <w:rPr>
          <w:rFonts w:ascii="Times New Roman" w:hAnsi="Times New Roman" w:cs="Times New Roman"/>
          <w:sz w:val="24"/>
          <w:szCs w:val="24"/>
        </w:rPr>
      </w:pPr>
      <w:r w:rsidRPr="009767D0">
        <w:rPr>
          <w:rFonts w:ascii="Times New Roman" w:hAnsi="Times New Roman" w:cs="Times New Roman"/>
          <w:sz w:val="24"/>
          <w:szCs w:val="24"/>
        </w:rPr>
        <w:lastRenderedPageBreak/>
        <w:t>2</w:t>
      </w:r>
      <w:r w:rsidR="009767D0" w:rsidRPr="009767D0">
        <w:rPr>
          <w:rFonts w:ascii="Times New Roman" w:hAnsi="Times New Roman" w:cs="Times New Roman"/>
          <w:sz w:val="24"/>
          <w:szCs w:val="24"/>
        </w:rPr>
        <w:t>9</w:t>
      </w:r>
      <w:r w:rsidRPr="009767D0">
        <w:rPr>
          <w:rFonts w:ascii="Times New Roman" w:hAnsi="Times New Roman" w:cs="Times New Roman"/>
          <w:sz w:val="24"/>
          <w:szCs w:val="24"/>
        </w:rPr>
        <w:t>.</w:t>
      </w:r>
      <w:r w:rsidR="00CF1505" w:rsidRPr="009767D0">
        <w:rPr>
          <w:rFonts w:ascii="Times New Roman" w:hAnsi="Times New Roman" w:cs="Times New Roman"/>
          <w:sz w:val="24"/>
          <w:szCs w:val="24"/>
        </w:rPr>
        <w:t>attēls</w:t>
      </w:r>
    </w:p>
    <w:p w14:paraId="158D743A" w14:textId="77777777" w:rsidR="009767D0" w:rsidRPr="0015154B" w:rsidRDefault="009767D0" w:rsidP="009767D0">
      <w:pPr>
        <w:spacing w:after="0" w:line="240" w:lineRule="auto"/>
        <w:jc w:val="both"/>
        <w:rPr>
          <w:rFonts w:ascii="Times New Roman" w:hAnsi="Times New Roman" w:cs="Times New Roman"/>
          <w:sz w:val="24"/>
          <w:szCs w:val="24"/>
        </w:rPr>
      </w:pPr>
    </w:p>
    <w:p w14:paraId="089CF597" w14:textId="61C2027D" w:rsidR="00CF1505" w:rsidRPr="0015154B" w:rsidRDefault="00CF1505" w:rsidP="00CF1505">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Nodarbināto mēneša vidējā darba samaksa LM resora iestādēs un atsevišķās nozarēs 2019. g. (e</w:t>
      </w:r>
      <w:r w:rsidR="00E07E75">
        <w:rPr>
          <w:rFonts w:ascii="Times New Roman" w:hAnsi="Times New Roman" w:cs="Times New Roman"/>
          <w:b/>
          <w:color w:val="002060"/>
          <w:sz w:val="24"/>
          <w:szCs w:val="24"/>
        </w:rPr>
        <w:t>i</w:t>
      </w:r>
      <w:r w:rsidRPr="0015154B">
        <w:rPr>
          <w:rFonts w:ascii="Times New Roman" w:hAnsi="Times New Roman" w:cs="Times New Roman"/>
          <w:b/>
          <w:color w:val="002060"/>
          <w:sz w:val="24"/>
          <w:szCs w:val="24"/>
        </w:rPr>
        <w:t>ro)</w:t>
      </w:r>
    </w:p>
    <w:p w14:paraId="08864FF1" w14:textId="77777777" w:rsidR="00CF1505" w:rsidRPr="007157D3" w:rsidRDefault="00CF1505" w:rsidP="00CF1505">
      <w:pPr>
        <w:spacing w:after="0" w:line="240" w:lineRule="auto"/>
        <w:jc w:val="both"/>
        <w:rPr>
          <w:rFonts w:ascii="Times New Roman" w:hAnsi="Times New Roman" w:cs="Times New Roman"/>
          <w:sz w:val="24"/>
          <w:szCs w:val="24"/>
        </w:rPr>
      </w:pPr>
      <w:r w:rsidRPr="0062076E">
        <w:rPr>
          <w:noProof/>
        </w:rPr>
        <w:drawing>
          <wp:inline distT="0" distB="0" distL="0" distR="0" wp14:anchorId="03D3FF18" wp14:editId="7FFE411D">
            <wp:extent cx="5274310" cy="3016155"/>
            <wp:effectExtent l="0" t="0" r="2540" b="13335"/>
            <wp:docPr id="17" name="Diagramma 7">
              <a:extLst xmlns:a="http://schemas.openxmlformats.org/drawingml/2006/main">
                <a:ext uri="{FF2B5EF4-FFF2-40B4-BE49-F238E27FC236}">
                  <a16:creationId xmlns:a16="http://schemas.microsoft.com/office/drawing/2014/main" id="{0B82CFDF-1DC3-4212-BD22-E9BDD2BBC4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3B578DD" w14:textId="7A0EDC64" w:rsidR="00CF1505" w:rsidRPr="009767D0" w:rsidRDefault="009767D0" w:rsidP="00CF1505">
      <w:pPr>
        <w:spacing w:after="0" w:line="240" w:lineRule="auto"/>
        <w:jc w:val="both"/>
        <w:rPr>
          <w:rFonts w:ascii="Times New Roman" w:hAnsi="Times New Roman" w:cs="Times New Roman"/>
          <w:iCs/>
          <w:sz w:val="20"/>
          <w:szCs w:val="20"/>
        </w:rPr>
      </w:pPr>
      <w:r w:rsidRPr="009767D0">
        <w:rPr>
          <w:rFonts w:ascii="Times New Roman" w:hAnsi="Times New Roman" w:cs="Times New Roman"/>
          <w:iCs/>
          <w:sz w:val="20"/>
          <w:szCs w:val="20"/>
        </w:rPr>
        <w:t xml:space="preserve">Datu </w:t>
      </w:r>
      <w:r>
        <w:rPr>
          <w:rFonts w:ascii="Times New Roman" w:hAnsi="Times New Roman" w:cs="Times New Roman"/>
          <w:iCs/>
          <w:sz w:val="20"/>
          <w:szCs w:val="20"/>
        </w:rPr>
        <w:t>a</w:t>
      </w:r>
      <w:r w:rsidR="00CF1505" w:rsidRPr="009767D0">
        <w:rPr>
          <w:rFonts w:ascii="Times New Roman" w:hAnsi="Times New Roman" w:cs="Times New Roman"/>
          <w:iCs/>
          <w:sz w:val="20"/>
          <w:szCs w:val="20"/>
        </w:rPr>
        <w:t>vots: AUS dati, CSP dati (DSG030. Strādājošo mēneša vidējā darba samaksa pa darbības veidiem)</w:t>
      </w:r>
    </w:p>
    <w:p w14:paraId="03EA857D" w14:textId="77777777" w:rsidR="00CF1505" w:rsidRPr="00573B49" w:rsidRDefault="00CF1505" w:rsidP="00CF1505">
      <w:pPr>
        <w:spacing w:after="0" w:line="240" w:lineRule="auto"/>
        <w:jc w:val="both"/>
        <w:rPr>
          <w:rFonts w:ascii="Times New Roman" w:hAnsi="Times New Roman" w:cs="Times New Roman"/>
          <w:sz w:val="24"/>
          <w:szCs w:val="24"/>
        </w:rPr>
      </w:pPr>
    </w:p>
    <w:p w14:paraId="12389987" w14:textId="076A3DE7" w:rsidR="00CF1505" w:rsidRPr="00A857F2" w:rsidRDefault="00CF1505" w:rsidP="00B33541">
      <w:pPr>
        <w:spacing w:before="120" w:after="0" w:line="240" w:lineRule="auto"/>
        <w:ind w:firstLine="720"/>
        <w:jc w:val="both"/>
        <w:rPr>
          <w:rFonts w:ascii="Times New Roman" w:hAnsi="Times New Roman" w:cs="Times New Roman"/>
          <w:sz w:val="24"/>
          <w:szCs w:val="24"/>
        </w:rPr>
      </w:pPr>
      <w:r w:rsidRPr="007157D3">
        <w:rPr>
          <w:rFonts w:ascii="Times New Roman" w:hAnsi="Times New Roman" w:cs="Times New Roman"/>
          <w:sz w:val="24"/>
          <w:szCs w:val="24"/>
        </w:rPr>
        <w:t>Nekonkurētspējīgs darba samaksas apmērs ir viens no galvenajiem iemesliem ne tikai grūtai esošo profesionāļu noturēšanai, bet arī jaunu darbinieku piesaistei. Liels ilgstošo vakanču</w:t>
      </w:r>
      <w:r w:rsidRPr="007157D3">
        <w:rPr>
          <w:rStyle w:val="FootnoteReference"/>
          <w:rFonts w:ascii="Times New Roman" w:hAnsi="Times New Roman" w:cs="Times New Roman"/>
          <w:sz w:val="24"/>
          <w:szCs w:val="24"/>
        </w:rPr>
        <w:footnoteReference w:id="229"/>
      </w:r>
      <w:r w:rsidRPr="007157D3">
        <w:rPr>
          <w:rFonts w:ascii="Times New Roman" w:hAnsi="Times New Roman" w:cs="Times New Roman"/>
          <w:sz w:val="24"/>
          <w:szCs w:val="24"/>
        </w:rPr>
        <w:t xml:space="preserve"> skaits saglabājās NVA, VDI, VBTAI (</w:t>
      </w:r>
      <w:r w:rsidRPr="002F5278">
        <w:rPr>
          <w:rFonts w:ascii="Times New Roman" w:hAnsi="Times New Roman" w:cs="Times New Roman"/>
          <w:sz w:val="24"/>
          <w:szCs w:val="24"/>
          <w:highlight w:val="yellow"/>
        </w:rPr>
        <w:t>skat. </w:t>
      </w:r>
      <w:r w:rsidR="00136A0C" w:rsidRPr="00573B49">
        <w:rPr>
          <w:rFonts w:ascii="Times New Roman" w:hAnsi="Times New Roman" w:cs="Times New Roman"/>
          <w:sz w:val="24"/>
          <w:szCs w:val="24"/>
          <w:highlight w:val="yellow"/>
        </w:rPr>
        <w:t>3</w:t>
      </w:r>
      <w:r w:rsidR="009767D0">
        <w:rPr>
          <w:rFonts w:ascii="Times New Roman" w:hAnsi="Times New Roman" w:cs="Times New Roman"/>
          <w:sz w:val="24"/>
          <w:szCs w:val="24"/>
          <w:highlight w:val="yellow"/>
        </w:rPr>
        <w:t>3</w:t>
      </w:r>
      <w:r w:rsidR="00136A0C" w:rsidRPr="00573B49">
        <w:rPr>
          <w:rFonts w:ascii="Times New Roman" w:hAnsi="Times New Roman" w:cs="Times New Roman"/>
          <w:sz w:val="24"/>
          <w:szCs w:val="24"/>
          <w:highlight w:val="yellow"/>
        </w:rPr>
        <w:t>.</w:t>
      </w:r>
      <w:r w:rsidRPr="00573B49">
        <w:rPr>
          <w:rFonts w:ascii="Times New Roman" w:hAnsi="Times New Roman" w:cs="Times New Roman"/>
          <w:sz w:val="24"/>
          <w:szCs w:val="24"/>
          <w:highlight w:val="yellow"/>
        </w:rPr>
        <w:t>tab</w:t>
      </w:r>
      <w:r w:rsidR="00015035" w:rsidRPr="00573B49">
        <w:rPr>
          <w:rFonts w:ascii="Times New Roman" w:hAnsi="Times New Roman" w:cs="Times New Roman"/>
          <w:sz w:val="24"/>
          <w:szCs w:val="24"/>
          <w:highlight w:val="yellow"/>
        </w:rPr>
        <w:t>ulu</w:t>
      </w:r>
      <w:r w:rsidRPr="0025422D">
        <w:rPr>
          <w:rFonts w:ascii="Times New Roman" w:hAnsi="Times New Roman" w:cs="Times New Roman"/>
          <w:sz w:val="24"/>
          <w:szCs w:val="24"/>
          <w:highlight w:val="yellow"/>
        </w:rPr>
        <w:t>).</w:t>
      </w:r>
      <w:r w:rsidRPr="00A857F2">
        <w:rPr>
          <w:rFonts w:ascii="Times New Roman" w:hAnsi="Times New Roman" w:cs="Times New Roman"/>
          <w:sz w:val="24"/>
          <w:szCs w:val="24"/>
        </w:rPr>
        <w:t xml:space="preserve"> </w:t>
      </w:r>
    </w:p>
    <w:p w14:paraId="20668F6F" w14:textId="77777777" w:rsidR="00CF1505" w:rsidRPr="00662D1E" w:rsidRDefault="00CF1505" w:rsidP="00CF1505">
      <w:pPr>
        <w:spacing w:after="0" w:line="240" w:lineRule="auto"/>
        <w:jc w:val="both"/>
        <w:rPr>
          <w:rFonts w:ascii="Times New Roman" w:hAnsi="Times New Roman" w:cs="Times New Roman"/>
          <w:sz w:val="24"/>
          <w:szCs w:val="24"/>
        </w:rPr>
      </w:pPr>
    </w:p>
    <w:p w14:paraId="1999626E" w14:textId="731DC075" w:rsidR="00CF1505" w:rsidRPr="0015154B" w:rsidRDefault="00136A0C" w:rsidP="00CF1505">
      <w:pPr>
        <w:spacing w:after="0" w:line="240" w:lineRule="auto"/>
        <w:jc w:val="both"/>
        <w:rPr>
          <w:rFonts w:ascii="Times New Roman" w:hAnsi="Times New Roman" w:cs="Times New Roman"/>
          <w:sz w:val="24"/>
          <w:szCs w:val="24"/>
        </w:rPr>
      </w:pPr>
      <w:r w:rsidRPr="009767D0">
        <w:rPr>
          <w:rFonts w:ascii="Times New Roman" w:hAnsi="Times New Roman" w:cs="Times New Roman"/>
          <w:sz w:val="24"/>
          <w:szCs w:val="24"/>
        </w:rPr>
        <w:t>3</w:t>
      </w:r>
      <w:r w:rsidR="009767D0" w:rsidRPr="009767D0">
        <w:rPr>
          <w:rFonts w:ascii="Times New Roman" w:hAnsi="Times New Roman" w:cs="Times New Roman"/>
          <w:sz w:val="24"/>
          <w:szCs w:val="24"/>
        </w:rPr>
        <w:t>3</w:t>
      </w:r>
      <w:r w:rsidRPr="009767D0">
        <w:rPr>
          <w:rFonts w:ascii="Times New Roman" w:hAnsi="Times New Roman" w:cs="Times New Roman"/>
          <w:sz w:val="24"/>
          <w:szCs w:val="24"/>
        </w:rPr>
        <w:t>.</w:t>
      </w:r>
      <w:r w:rsidR="00CF1505" w:rsidRPr="009767D0">
        <w:rPr>
          <w:rFonts w:ascii="Times New Roman" w:hAnsi="Times New Roman" w:cs="Times New Roman"/>
          <w:sz w:val="24"/>
          <w:szCs w:val="24"/>
        </w:rPr>
        <w:t>tabula</w:t>
      </w:r>
    </w:p>
    <w:p w14:paraId="09213C79" w14:textId="77777777" w:rsidR="00270D2C" w:rsidRPr="0015154B" w:rsidRDefault="00270D2C" w:rsidP="00CF1505">
      <w:pPr>
        <w:spacing w:after="0" w:line="240" w:lineRule="auto"/>
        <w:jc w:val="center"/>
        <w:rPr>
          <w:rFonts w:ascii="Times New Roman" w:hAnsi="Times New Roman" w:cs="Times New Roman"/>
          <w:sz w:val="24"/>
          <w:szCs w:val="24"/>
        </w:rPr>
      </w:pPr>
    </w:p>
    <w:p w14:paraId="2C61C5EB" w14:textId="3D33D939" w:rsidR="00CF1505" w:rsidRPr="0015154B" w:rsidRDefault="00CF1505" w:rsidP="00CF1505">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Ilgstošo vakanču īpatsvars kopējā amata vietu skaitā LM resora iestādēs (%)</w:t>
      </w:r>
    </w:p>
    <w:tbl>
      <w:tblPr>
        <w:tblW w:w="5000" w:type="pct"/>
        <w:tblLook w:val="04A0" w:firstRow="1" w:lastRow="0" w:firstColumn="1" w:lastColumn="0" w:noHBand="0" w:noVBand="1"/>
      </w:tblPr>
      <w:tblGrid>
        <w:gridCol w:w="3864"/>
        <w:gridCol w:w="2464"/>
        <w:gridCol w:w="2738"/>
      </w:tblGrid>
      <w:tr w:rsidR="00CF1505" w:rsidRPr="0015154B" w14:paraId="62AE48CA" w14:textId="77777777" w:rsidTr="00F726AE">
        <w:trPr>
          <w:trHeight w:val="600"/>
        </w:trPr>
        <w:tc>
          <w:tcPr>
            <w:tcW w:w="2131" w:type="pct"/>
            <w:tcBorders>
              <w:top w:val="nil"/>
              <w:left w:val="nil"/>
              <w:bottom w:val="nil"/>
              <w:right w:val="single" w:sz="4" w:space="0" w:color="auto"/>
            </w:tcBorders>
            <w:shd w:val="clear" w:color="auto" w:fill="auto"/>
            <w:noWrap/>
            <w:vAlign w:val="bottom"/>
            <w:hideMark/>
          </w:tcPr>
          <w:p w14:paraId="3DF28570" w14:textId="77777777" w:rsidR="00CF1505" w:rsidRPr="0015154B" w:rsidRDefault="00CF1505" w:rsidP="00F726AE">
            <w:pPr>
              <w:spacing w:after="0" w:line="240" w:lineRule="auto"/>
              <w:rPr>
                <w:rFonts w:ascii="Times New Roman" w:eastAsia="Times New Roman" w:hAnsi="Times New Roman" w:cs="Times New Roman"/>
                <w:sz w:val="24"/>
                <w:szCs w:val="24"/>
                <w:lang w:eastAsia="lv-LV"/>
              </w:rPr>
            </w:pPr>
          </w:p>
        </w:tc>
        <w:tc>
          <w:tcPr>
            <w:tcW w:w="1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F5F4F4"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Uz 2018. gada 31. decembri</w:t>
            </w:r>
          </w:p>
        </w:tc>
        <w:tc>
          <w:tcPr>
            <w:tcW w:w="15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C2F142"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Uz 2019. gada 31. decembri</w:t>
            </w:r>
          </w:p>
        </w:tc>
      </w:tr>
      <w:tr w:rsidR="00CF1505" w:rsidRPr="0015154B" w14:paraId="7862C35C" w14:textId="77777777" w:rsidTr="00F726AE">
        <w:trPr>
          <w:trHeight w:val="300"/>
        </w:trPr>
        <w:tc>
          <w:tcPr>
            <w:tcW w:w="2131"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532B6917" w14:textId="77777777" w:rsidR="00CF1505" w:rsidRPr="0015154B" w:rsidRDefault="00CF1505" w:rsidP="00F726AE">
            <w:pPr>
              <w:spacing w:after="0" w:line="240" w:lineRule="auto"/>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LM</w:t>
            </w:r>
          </w:p>
        </w:tc>
        <w:tc>
          <w:tcPr>
            <w:tcW w:w="1359" w:type="pct"/>
            <w:tcBorders>
              <w:top w:val="single" w:sz="4" w:space="0" w:color="auto"/>
              <w:left w:val="nil"/>
              <w:bottom w:val="single" w:sz="4" w:space="0" w:color="auto"/>
              <w:right w:val="single" w:sz="4" w:space="0" w:color="auto"/>
            </w:tcBorders>
            <w:shd w:val="clear" w:color="000000" w:fill="FB9F76"/>
            <w:noWrap/>
            <w:vAlign w:val="center"/>
            <w:hideMark/>
          </w:tcPr>
          <w:p w14:paraId="436B6CEC" w14:textId="77777777" w:rsidR="00CF1505" w:rsidRPr="0015154B" w:rsidRDefault="00CF1505" w:rsidP="00F726AE">
            <w:pPr>
              <w:spacing w:after="0" w:line="240" w:lineRule="auto"/>
              <w:jc w:val="center"/>
              <w:rPr>
                <w:rFonts w:ascii="Times New Roman" w:eastAsia="Times New Roman" w:hAnsi="Times New Roman" w:cs="Times New Roman"/>
                <w:b/>
                <w:bCs/>
                <w:color w:val="FF0000"/>
                <w:lang w:eastAsia="lv-LV"/>
              </w:rPr>
            </w:pPr>
            <w:r w:rsidRPr="0015154B">
              <w:rPr>
                <w:rFonts w:ascii="Times New Roman" w:eastAsia="Times New Roman" w:hAnsi="Times New Roman" w:cs="Times New Roman"/>
                <w:b/>
                <w:bCs/>
                <w:color w:val="FF0000"/>
                <w:lang w:eastAsia="lv-LV"/>
              </w:rPr>
              <w:t>8,8</w:t>
            </w:r>
          </w:p>
        </w:tc>
        <w:tc>
          <w:tcPr>
            <w:tcW w:w="1510" w:type="pct"/>
            <w:tcBorders>
              <w:top w:val="single" w:sz="4" w:space="0" w:color="auto"/>
              <w:left w:val="single" w:sz="4" w:space="0" w:color="auto"/>
              <w:bottom w:val="single" w:sz="4" w:space="0" w:color="auto"/>
              <w:right w:val="single" w:sz="4" w:space="0" w:color="auto"/>
            </w:tcBorders>
            <w:shd w:val="clear" w:color="000000" w:fill="D1DD81"/>
            <w:noWrap/>
            <w:vAlign w:val="center"/>
            <w:hideMark/>
          </w:tcPr>
          <w:p w14:paraId="0B3E8436"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2,2</w:t>
            </w:r>
          </w:p>
        </w:tc>
      </w:tr>
      <w:tr w:rsidR="00CF1505" w:rsidRPr="0015154B" w14:paraId="3AEE3716"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7FEDA604" w14:textId="77777777" w:rsidR="00CF1505" w:rsidRPr="0015154B" w:rsidRDefault="00CF1505" w:rsidP="00F726AE">
            <w:pPr>
              <w:spacing w:after="0" w:line="240" w:lineRule="auto"/>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NVA</w:t>
            </w:r>
          </w:p>
        </w:tc>
        <w:tc>
          <w:tcPr>
            <w:tcW w:w="1359" w:type="pct"/>
            <w:tcBorders>
              <w:top w:val="single" w:sz="4" w:space="0" w:color="auto"/>
              <w:left w:val="nil"/>
              <w:bottom w:val="single" w:sz="4" w:space="0" w:color="auto"/>
              <w:right w:val="single" w:sz="4" w:space="0" w:color="auto"/>
            </w:tcBorders>
            <w:shd w:val="clear" w:color="000000" w:fill="FEC87E"/>
            <w:noWrap/>
            <w:vAlign w:val="center"/>
            <w:hideMark/>
          </w:tcPr>
          <w:p w14:paraId="5B06E28F" w14:textId="77777777" w:rsidR="00CF1505" w:rsidRPr="0015154B" w:rsidRDefault="00CF1505" w:rsidP="00F726AE">
            <w:pPr>
              <w:spacing w:after="0" w:line="240" w:lineRule="auto"/>
              <w:jc w:val="center"/>
              <w:rPr>
                <w:rFonts w:ascii="Times New Roman" w:eastAsia="Times New Roman" w:hAnsi="Times New Roman" w:cs="Times New Roman"/>
                <w:b/>
                <w:bCs/>
                <w:color w:val="FF0000"/>
                <w:lang w:eastAsia="lv-LV"/>
              </w:rPr>
            </w:pPr>
            <w:r w:rsidRPr="0015154B">
              <w:rPr>
                <w:rFonts w:ascii="Times New Roman" w:eastAsia="Times New Roman" w:hAnsi="Times New Roman" w:cs="Times New Roman"/>
                <w:b/>
                <w:bCs/>
                <w:color w:val="FF0000"/>
                <w:lang w:eastAsia="lv-LV"/>
              </w:rPr>
              <w:t>5,7</w:t>
            </w:r>
          </w:p>
        </w:tc>
        <w:tc>
          <w:tcPr>
            <w:tcW w:w="1510" w:type="pct"/>
            <w:tcBorders>
              <w:top w:val="single" w:sz="4" w:space="0" w:color="auto"/>
              <w:left w:val="single" w:sz="4" w:space="0" w:color="auto"/>
              <w:bottom w:val="single" w:sz="4" w:space="0" w:color="auto"/>
              <w:right w:val="single" w:sz="4" w:space="0" w:color="auto"/>
            </w:tcBorders>
            <w:shd w:val="clear" w:color="000000" w:fill="F97A6F"/>
            <w:noWrap/>
            <w:vAlign w:val="center"/>
            <w:hideMark/>
          </w:tcPr>
          <w:p w14:paraId="322E7293" w14:textId="77777777" w:rsidR="00CF1505" w:rsidRPr="0015154B" w:rsidRDefault="00CF1505" w:rsidP="00F726AE">
            <w:pPr>
              <w:spacing w:after="0" w:line="240" w:lineRule="auto"/>
              <w:jc w:val="center"/>
              <w:rPr>
                <w:rFonts w:ascii="Times New Roman" w:eastAsia="Times New Roman" w:hAnsi="Times New Roman" w:cs="Times New Roman"/>
                <w:b/>
                <w:bCs/>
                <w:color w:val="FF0000"/>
                <w:lang w:eastAsia="lv-LV"/>
              </w:rPr>
            </w:pPr>
            <w:r w:rsidRPr="0015154B">
              <w:rPr>
                <w:rFonts w:ascii="Times New Roman" w:eastAsia="Times New Roman" w:hAnsi="Times New Roman" w:cs="Times New Roman"/>
                <w:b/>
                <w:bCs/>
                <w:color w:val="FF0000"/>
                <w:lang w:eastAsia="lv-LV"/>
              </w:rPr>
              <w:t>11,5</w:t>
            </w:r>
          </w:p>
        </w:tc>
      </w:tr>
      <w:tr w:rsidR="00CF1505" w:rsidRPr="0015154B" w14:paraId="7CE3600E"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5FC41DFB" w14:textId="77777777" w:rsidR="00CF1505" w:rsidRPr="0015154B" w:rsidRDefault="00CF1505" w:rsidP="00F726AE">
            <w:pPr>
              <w:spacing w:after="0" w:line="240" w:lineRule="auto"/>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VSAA</w:t>
            </w:r>
          </w:p>
        </w:tc>
        <w:tc>
          <w:tcPr>
            <w:tcW w:w="1359" w:type="pct"/>
            <w:tcBorders>
              <w:top w:val="single" w:sz="4" w:space="0" w:color="auto"/>
              <w:left w:val="nil"/>
              <w:bottom w:val="single" w:sz="4" w:space="0" w:color="auto"/>
              <w:right w:val="single" w:sz="4" w:space="0" w:color="auto"/>
            </w:tcBorders>
            <w:shd w:val="clear" w:color="000000" w:fill="95CC7D"/>
            <w:noWrap/>
            <w:vAlign w:val="center"/>
            <w:hideMark/>
          </w:tcPr>
          <w:p w14:paraId="01BF21F8"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1,0</w:t>
            </w:r>
          </w:p>
        </w:tc>
        <w:tc>
          <w:tcPr>
            <w:tcW w:w="1510" w:type="pct"/>
            <w:tcBorders>
              <w:top w:val="single" w:sz="4" w:space="0" w:color="auto"/>
              <w:left w:val="single" w:sz="4" w:space="0" w:color="auto"/>
              <w:bottom w:val="single" w:sz="4" w:space="0" w:color="auto"/>
              <w:right w:val="single" w:sz="4" w:space="0" w:color="auto"/>
            </w:tcBorders>
            <w:shd w:val="clear" w:color="000000" w:fill="68BF7B"/>
            <w:noWrap/>
            <w:vAlign w:val="center"/>
            <w:hideMark/>
          </w:tcPr>
          <w:p w14:paraId="1C86DD45"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0,1</w:t>
            </w:r>
          </w:p>
        </w:tc>
      </w:tr>
      <w:tr w:rsidR="00CF1505" w:rsidRPr="0015154B" w14:paraId="12D91D0E"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39E8EE93" w14:textId="77777777" w:rsidR="00CF1505" w:rsidRPr="0015154B" w:rsidRDefault="00CF1505" w:rsidP="00F726AE">
            <w:pPr>
              <w:spacing w:after="0" w:line="240" w:lineRule="auto"/>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VDI</w:t>
            </w:r>
          </w:p>
        </w:tc>
        <w:tc>
          <w:tcPr>
            <w:tcW w:w="1359" w:type="pct"/>
            <w:tcBorders>
              <w:top w:val="single" w:sz="4" w:space="0" w:color="auto"/>
              <w:left w:val="nil"/>
              <w:bottom w:val="single" w:sz="4" w:space="0" w:color="auto"/>
              <w:right w:val="single" w:sz="4" w:space="0" w:color="auto"/>
            </w:tcBorders>
            <w:shd w:val="clear" w:color="000000" w:fill="F96B6C"/>
            <w:noWrap/>
            <w:vAlign w:val="center"/>
            <w:hideMark/>
          </w:tcPr>
          <w:p w14:paraId="3815500D" w14:textId="77777777" w:rsidR="00CF1505" w:rsidRPr="0015154B" w:rsidRDefault="00CF1505" w:rsidP="00F726AE">
            <w:pPr>
              <w:spacing w:after="0" w:line="240" w:lineRule="auto"/>
              <w:jc w:val="center"/>
              <w:rPr>
                <w:rFonts w:ascii="Times New Roman" w:eastAsia="Times New Roman" w:hAnsi="Times New Roman" w:cs="Times New Roman"/>
                <w:b/>
                <w:bCs/>
                <w:color w:val="FF0000"/>
                <w:lang w:eastAsia="lv-LV"/>
              </w:rPr>
            </w:pPr>
            <w:r w:rsidRPr="0015154B">
              <w:rPr>
                <w:rFonts w:ascii="Times New Roman" w:eastAsia="Times New Roman" w:hAnsi="Times New Roman" w:cs="Times New Roman"/>
                <w:b/>
                <w:bCs/>
                <w:color w:val="FF0000"/>
                <w:lang w:eastAsia="lv-LV"/>
              </w:rPr>
              <w:t>12,6</w:t>
            </w:r>
          </w:p>
        </w:tc>
        <w:tc>
          <w:tcPr>
            <w:tcW w:w="1510" w:type="pct"/>
            <w:tcBorders>
              <w:top w:val="single" w:sz="4" w:space="0" w:color="auto"/>
              <w:left w:val="single" w:sz="4" w:space="0" w:color="auto"/>
              <w:bottom w:val="single" w:sz="4" w:space="0" w:color="auto"/>
              <w:right w:val="single" w:sz="4" w:space="0" w:color="auto"/>
            </w:tcBorders>
            <w:shd w:val="clear" w:color="000000" w:fill="FB9C75"/>
            <w:noWrap/>
            <w:vAlign w:val="center"/>
            <w:hideMark/>
          </w:tcPr>
          <w:p w14:paraId="24ACC39D" w14:textId="77777777" w:rsidR="00CF1505" w:rsidRPr="0015154B" w:rsidRDefault="00CF1505" w:rsidP="00F726AE">
            <w:pPr>
              <w:spacing w:after="0" w:line="240" w:lineRule="auto"/>
              <w:jc w:val="center"/>
              <w:rPr>
                <w:rFonts w:ascii="Times New Roman" w:eastAsia="Times New Roman" w:hAnsi="Times New Roman" w:cs="Times New Roman"/>
                <w:b/>
                <w:bCs/>
                <w:color w:val="FF0000"/>
                <w:lang w:eastAsia="lv-LV"/>
              </w:rPr>
            </w:pPr>
            <w:r w:rsidRPr="0015154B">
              <w:rPr>
                <w:rFonts w:ascii="Times New Roman" w:eastAsia="Times New Roman" w:hAnsi="Times New Roman" w:cs="Times New Roman"/>
                <w:b/>
                <w:bCs/>
                <w:color w:val="FF0000"/>
                <w:lang w:eastAsia="lv-LV"/>
              </w:rPr>
              <w:t>9,0</w:t>
            </w:r>
          </w:p>
        </w:tc>
      </w:tr>
      <w:tr w:rsidR="00CF1505" w:rsidRPr="0015154B" w14:paraId="1038DE7A"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2E3C4C59" w14:textId="77777777" w:rsidR="00CF1505" w:rsidRPr="0015154B" w:rsidRDefault="00CF1505" w:rsidP="00F726AE">
            <w:pPr>
              <w:spacing w:after="0" w:line="240" w:lineRule="auto"/>
              <w:rPr>
                <w:rFonts w:ascii="Times New Roman" w:eastAsia="Times New Roman" w:hAnsi="Times New Roman" w:cs="Times New Roman"/>
                <w:lang w:eastAsia="lv-LV"/>
              </w:rPr>
            </w:pPr>
            <w:r w:rsidRPr="0015154B">
              <w:rPr>
                <w:rFonts w:ascii="Times New Roman" w:eastAsia="Times New Roman" w:hAnsi="Times New Roman" w:cs="Times New Roman"/>
                <w:lang w:eastAsia="lv-LV"/>
              </w:rPr>
              <w:t>VBTAI</w:t>
            </w:r>
          </w:p>
        </w:tc>
        <w:tc>
          <w:tcPr>
            <w:tcW w:w="1359" w:type="pct"/>
            <w:tcBorders>
              <w:top w:val="single" w:sz="4" w:space="0" w:color="auto"/>
              <w:left w:val="nil"/>
              <w:bottom w:val="single" w:sz="4" w:space="0" w:color="auto"/>
              <w:right w:val="single" w:sz="4" w:space="0" w:color="auto"/>
            </w:tcBorders>
            <w:shd w:val="clear" w:color="000000" w:fill="F8696B"/>
            <w:noWrap/>
            <w:vAlign w:val="center"/>
            <w:hideMark/>
          </w:tcPr>
          <w:p w14:paraId="5A49B6E4" w14:textId="77777777" w:rsidR="00CF1505" w:rsidRPr="0015154B" w:rsidRDefault="00CF1505" w:rsidP="00F726AE">
            <w:pPr>
              <w:spacing w:after="0" w:line="240" w:lineRule="auto"/>
              <w:jc w:val="center"/>
              <w:rPr>
                <w:rFonts w:ascii="Times New Roman" w:eastAsia="Times New Roman" w:hAnsi="Times New Roman" w:cs="Times New Roman"/>
                <w:b/>
                <w:bCs/>
                <w:color w:val="FF0000"/>
                <w:lang w:eastAsia="lv-LV"/>
              </w:rPr>
            </w:pPr>
            <w:r w:rsidRPr="0015154B">
              <w:rPr>
                <w:rFonts w:ascii="Times New Roman" w:eastAsia="Times New Roman" w:hAnsi="Times New Roman" w:cs="Times New Roman"/>
                <w:b/>
                <w:bCs/>
                <w:color w:val="FF0000"/>
                <w:lang w:eastAsia="lv-LV"/>
              </w:rPr>
              <w:t>12,7</w:t>
            </w:r>
          </w:p>
        </w:tc>
        <w:tc>
          <w:tcPr>
            <w:tcW w:w="1510" w:type="pct"/>
            <w:tcBorders>
              <w:top w:val="single" w:sz="4" w:space="0" w:color="auto"/>
              <w:left w:val="single" w:sz="4" w:space="0" w:color="auto"/>
              <w:bottom w:val="single" w:sz="4" w:space="0" w:color="auto"/>
              <w:right w:val="single" w:sz="4" w:space="0" w:color="auto"/>
            </w:tcBorders>
            <w:shd w:val="clear" w:color="000000" w:fill="FCA878"/>
            <w:noWrap/>
            <w:vAlign w:val="center"/>
            <w:hideMark/>
          </w:tcPr>
          <w:p w14:paraId="58FA2A62" w14:textId="77777777" w:rsidR="00CF1505" w:rsidRPr="0015154B" w:rsidRDefault="00CF1505" w:rsidP="00F726AE">
            <w:pPr>
              <w:spacing w:after="0" w:line="240" w:lineRule="auto"/>
              <w:jc w:val="center"/>
              <w:rPr>
                <w:rFonts w:ascii="Times New Roman" w:eastAsia="Times New Roman" w:hAnsi="Times New Roman" w:cs="Times New Roman"/>
                <w:b/>
                <w:bCs/>
                <w:color w:val="FF0000"/>
                <w:lang w:eastAsia="lv-LV"/>
              </w:rPr>
            </w:pPr>
            <w:r w:rsidRPr="0015154B">
              <w:rPr>
                <w:rFonts w:ascii="Times New Roman" w:eastAsia="Times New Roman" w:hAnsi="Times New Roman" w:cs="Times New Roman"/>
                <w:b/>
                <w:bCs/>
                <w:color w:val="FF0000"/>
                <w:lang w:eastAsia="lv-LV"/>
              </w:rPr>
              <w:t>8,1</w:t>
            </w:r>
          </w:p>
        </w:tc>
      </w:tr>
      <w:tr w:rsidR="00CF1505" w:rsidRPr="0015154B" w14:paraId="0AC56C8D"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70BB9EDF" w14:textId="77777777" w:rsidR="00CF1505" w:rsidRPr="0015154B" w:rsidRDefault="00CF1505" w:rsidP="00F726AE">
            <w:pPr>
              <w:spacing w:after="0" w:line="240" w:lineRule="auto"/>
              <w:rPr>
                <w:rFonts w:ascii="Times New Roman" w:eastAsia="Times New Roman" w:hAnsi="Times New Roman" w:cs="Times New Roman"/>
                <w:lang w:eastAsia="lv-LV"/>
              </w:rPr>
            </w:pPr>
            <w:r w:rsidRPr="0015154B">
              <w:rPr>
                <w:rFonts w:ascii="Times New Roman" w:eastAsia="Times New Roman" w:hAnsi="Times New Roman" w:cs="Times New Roman"/>
                <w:lang w:eastAsia="lv-LV"/>
              </w:rPr>
              <w:t>VDEĀVK</w:t>
            </w:r>
          </w:p>
        </w:tc>
        <w:tc>
          <w:tcPr>
            <w:tcW w:w="1359" w:type="pct"/>
            <w:tcBorders>
              <w:top w:val="single" w:sz="4" w:space="0" w:color="auto"/>
              <w:left w:val="nil"/>
              <w:bottom w:val="single" w:sz="4" w:space="0" w:color="auto"/>
              <w:right w:val="single" w:sz="4" w:space="0" w:color="auto"/>
            </w:tcBorders>
            <w:shd w:val="clear" w:color="000000" w:fill="FCA276"/>
            <w:noWrap/>
            <w:vAlign w:val="center"/>
            <w:hideMark/>
          </w:tcPr>
          <w:p w14:paraId="68CAC5D3" w14:textId="77777777" w:rsidR="00CF1505" w:rsidRPr="0015154B" w:rsidRDefault="00CF1505" w:rsidP="00F726AE">
            <w:pPr>
              <w:spacing w:after="0" w:line="240" w:lineRule="auto"/>
              <w:jc w:val="center"/>
              <w:rPr>
                <w:rFonts w:ascii="Times New Roman" w:eastAsia="Times New Roman" w:hAnsi="Times New Roman" w:cs="Times New Roman"/>
                <w:b/>
                <w:bCs/>
                <w:color w:val="FF0000"/>
                <w:lang w:eastAsia="lv-LV"/>
              </w:rPr>
            </w:pPr>
            <w:r w:rsidRPr="0015154B">
              <w:rPr>
                <w:rFonts w:ascii="Times New Roman" w:eastAsia="Times New Roman" w:hAnsi="Times New Roman" w:cs="Times New Roman"/>
                <w:b/>
                <w:bCs/>
                <w:color w:val="FF0000"/>
                <w:lang w:eastAsia="lv-LV"/>
              </w:rPr>
              <w:t>8,5</w:t>
            </w:r>
          </w:p>
        </w:tc>
        <w:tc>
          <w:tcPr>
            <w:tcW w:w="1510" w:type="pct"/>
            <w:tcBorders>
              <w:top w:val="single" w:sz="4" w:space="0" w:color="auto"/>
              <w:left w:val="single" w:sz="4" w:space="0" w:color="auto"/>
              <w:bottom w:val="single" w:sz="4" w:space="0" w:color="auto"/>
              <w:right w:val="single" w:sz="4" w:space="0" w:color="auto"/>
            </w:tcBorders>
            <w:shd w:val="clear" w:color="000000" w:fill="FFE283"/>
            <w:noWrap/>
            <w:vAlign w:val="center"/>
            <w:hideMark/>
          </w:tcPr>
          <w:p w14:paraId="46141062"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3,8</w:t>
            </w:r>
          </w:p>
        </w:tc>
      </w:tr>
      <w:tr w:rsidR="00CF1505" w:rsidRPr="0015154B" w14:paraId="6B45520B"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52E214BE" w14:textId="77777777" w:rsidR="00CF1505" w:rsidRPr="0015154B" w:rsidRDefault="00CF1505" w:rsidP="00F726AE">
            <w:pPr>
              <w:spacing w:after="0" w:line="240" w:lineRule="auto"/>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SIVA</w:t>
            </w:r>
          </w:p>
        </w:tc>
        <w:tc>
          <w:tcPr>
            <w:tcW w:w="1359" w:type="pct"/>
            <w:tcBorders>
              <w:top w:val="single" w:sz="4" w:space="0" w:color="auto"/>
              <w:left w:val="nil"/>
              <w:bottom w:val="single" w:sz="4" w:space="0" w:color="auto"/>
              <w:right w:val="single" w:sz="4" w:space="0" w:color="auto"/>
            </w:tcBorders>
            <w:shd w:val="clear" w:color="000000" w:fill="9CCE7E"/>
            <w:noWrap/>
            <w:vAlign w:val="center"/>
            <w:hideMark/>
          </w:tcPr>
          <w:p w14:paraId="4642ADB7"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1,2</w:t>
            </w:r>
          </w:p>
        </w:tc>
        <w:tc>
          <w:tcPr>
            <w:tcW w:w="1510" w:type="pct"/>
            <w:tcBorders>
              <w:top w:val="single" w:sz="4" w:space="0" w:color="auto"/>
              <w:left w:val="single" w:sz="4" w:space="0" w:color="auto"/>
              <w:bottom w:val="single" w:sz="4" w:space="0" w:color="auto"/>
              <w:right w:val="single" w:sz="4" w:space="0" w:color="auto"/>
            </w:tcBorders>
            <w:shd w:val="clear" w:color="000000" w:fill="71C27B"/>
            <w:noWrap/>
            <w:vAlign w:val="center"/>
            <w:hideMark/>
          </w:tcPr>
          <w:p w14:paraId="070F2684"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0,3</w:t>
            </w:r>
          </w:p>
        </w:tc>
      </w:tr>
      <w:tr w:rsidR="00CF1505" w:rsidRPr="0015154B" w14:paraId="31B7ACD4"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5D6963C2" w14:textId="77777777" w:rsidR="00CF1505" w:rsidRPr="0015154B" w:rsidRDefault="00CF1505" w:rsidP="00F726AE">
            <w:pPr>
              <w:spacing w:after="0" w:line="240" w:lineRule="auto"/>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VSAC "Rīga"</w:t>
            </w:r>
          </w:p>
        </w:tc>
        <w:tc>
          <w:tcPr>
            <w:tcW w:w="1359" w:type="pct"/>
            <w:tcBorders>
              <w:top w:val="single" w:sz="4" w:space="0" w:color="auto"/>
              <w:left w:val="nil"/>
              <w:bottom w:val="single" w:sz="4" w:space="0" w:color="auto"/>
              <w:right w:val="single" w:sz="4" w:space="0" w:color="auto"/>
            </w:tcBorders>
            <w:shd w:val="clear" w:color="000000" w:fill="9ECF7E"/>
            <w:noWrap/>
            <w:vAlign w:val="center"/>
            <w:hideMark/>
          </w:tcPr>
          <w:p w14:paraId="2F24FBBE"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1,2</w:t>
            </w:r>
          </w:p>
        </w:tc>
        <w:tc>
          <w:tcPr>
            <w:tcW w:w="1510" w:type="pct"/>
            <w:tcBorders>
              <w:top w:val="single" w:sz="4" w:space="0" w:color="auto"/>
              <w:left w:val="single" w:sz="4" w:space="0" w:color="auto"/>
              <w:bottom w:val="single" w:sz="4" w:space="0" w:color="auto"/>
              <w:right w:val="single" w:sz="4" w:space="0" w:color="auto"/>
            </w:tcBorders>
            <w:shd w:val="clear" w:color="000000" w:fill="C2D980"/>
            <w:noWrap/>
            <w:vAlign w:val="center"/>
            <w:hideMark/>
          </w:tcPr>
          <w:p w14:paraId="38DA81F0"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1,9</w:t>
            </w:r>
          </w:p>
        </w:tc>
      </w:tr>
      <w:tr w:rsidR="00CF1505" w:rsidRPr="0015154B" w14:paraId="20A39D62"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6E6E1648" w14:textId="77777777" w:rsidR="00CF1505" w:rsidRPr="0015154B" w:rsidRDefault="00CF1505" w:rsidP="00F726AE">
            <w:pPr>
              <w:spacing w:after="0" w:line="240" w:lineRule="auto"/>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VSAC "Latgale"</w:t>
            </w:r>
          </w:p>
        </w:tc>
        <w:tc>
          <w:tcPr>
            <w:tcW w:w="1359" w:type="pct"/>
            <w:tcBorders>
              <w:top w:val="single" w:sz="4" w:space="0" w:color="auto"/>
              <w:left w:val="nil"/>
              <w:bottom w:val="single" w:sz="4" w:space="0" w:color="auto"/>
              <w:right w:val="single" w:sz="4" w:space="0" w:color="auto"/>
            </w:tcBorders>
            <w:shd w:val="clear" w:color="000000" w:fill="F7E883"/>
            <w:noWrap/>
            <w:vAlign w:val="center"/>
            <w:hideMark/>
          </w:tcPr>
          <w:p w14:paraId="1059BD1F"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3,0</w:t>
            </w:r>
          </w:p>
        </w:tc>
        <w:tc>
          <w:tcPr>
            <w:tcW w:w="1510" w:type="pct"/>
            <w:tcBorders>
              <w:top w:val="single" w:sz="4" w:space="0" w:color="auto"/>
              <w:left w:val="single" w:sz="4" w:space="0" w:color="auto"/>
              <w:bottom w:val="single" w:sz="4" w:space="0" w:color="auto"/>
              <w:right w:val="single" w:sz="4" w:space="0" w:color="auto"/>
            </w:tcBorders>
            <w:shd w:val="clear" w:color="000000" w:fill="92CB7D"/>
            <w:noWrap/>
            <w:vAlign w:val="center"/>
            <w:hideMark/>
          </w:tcPr>
          <w:p w14:paraId="5DB91691"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0,9</w:t>
            </w:r>
          </w:p>
        </w:tc>
      </w:tr>
      <w:tr w:rsidR="00CF1505" w:rsidRPr="0015154B" w14:paraId="496C04F8"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3FD970E0" w14:textId="77777777" w:rsidR="00CF1505" w:rsidRPr="0015154B" w:rsidRDefault="00CF1505" w:rsidP="00F726AE">
            <w:pPr>
              <w:spacing w:after="0" w:line="240" w:lineRule="auto"/>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VSAC "Zemgale"</w:t>
            </w:r>
          </w:p>
        </w:tc>
        <w:tc>
          <w:tcPr>
            <w:tcW w:w="1359" w:type="pct"/>
            <w:tcBorders>
              <w:top w:val="single" w:sz="4" w:space="0" w:color="auto"/>
              <w:left w:val="nil"/>
              <w:bottom w:val="single" w:sz="4" w:space="0" w:color="auto"/>
              <w:right w:val="single" w:sz="4" w:space="0" w:color="auto"/>
            </w:tcBorders>
            <w:shd w:val="clear" w:color="000000" w:fill="FFEA84"/>
            <w:noWrap/>
            <w:vAlign w:val="center"/>
            <w:hideMark/>
          </w:tcPr>
          <w:p w14:paraId="13CC04AA"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3,3</w:t>
            </w:r>
          </w:p>
        </w:tc>
        <w:tc>
          <w:tcPr>
            <w:tcW w:w="1510" w:type="pct"/>
            <w:tcBorders>
              <w:top w:val="single" w:sz="4" w:space="0" w:color="auto"/>
              <w:left w:val="single" w:sz="4" w:space="0" w:color="auto"/>
              <w:bottom w:val="single" w:sz="4" w:space="0" w:color="auto"/>
              <w:right w:val="single" w:sz="4" w:space="0" w:color="auto"/>
            </w:tcBorders>
            <w:shd w:val="clear" w:color="000000" w:fill="FFE383"/>
            <w:noWrap/>
            <w:vAlign w:val="center"/>
            <w:hideMark/>
          </w:tcPr>
          <w:p w14:paraId="14DBA595"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3,7</w:t>
            </w:r>
          </w:p>
        </w:tc>
      </w:tr>
      <w:tr w:rsidR="00CF1505" w:rsidRPr="0015154B" w14:paraId="310B7220" w14:textId="77777777" w:rsidTr="00F726AE">
        <w:trPr>
          <w:trHeight w:val="300"/>
        </w:trPr>
        <w:tc>
          <w:tcPr>
            <w:tcW w:w="2131" w:type="pct"/>
            <w:tcBorders>
              <w:top w:val="nil"/>
              <w:left w:val="single" w:sz="4" w:space="0" w:color="auto"/>
              <w:bottom w:val="single" w:sz="4" w:space="0" w:color="auto"/>
              <w:right w:val="single" w:sz="4" w:space="0" w:color="auto"/>
            </w:tcBorders>
            <w:shd w:val="clear" w:color="000000" w:fill="FFFFFF"/>
            <w:vAlign w:val="bottom"/>
            <w:hideMark/>
          </w:tcPr>
          <w:p w14:paraId="50076EA4" w14:textId="77777777" w:rsidR="00CF1505" w:rsidRPr="0015154B" w:rsidRDefault="00CF1505" w:rsidP="00F726AE">
            <w:pPr>
              <w:spacing w:after="0" w:line="240" w:lineRule="auto"/>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VSAC "Kurzeme"</w:t>
            </w:r>
          </w:p>
        </w:tc>
        <w:tc>
          <w:tcPr>
            <w:tcW w:w="1359" w:type="pct"/>
            <w:tcBorders>
              <w:top w:val="single" w:sz="4" w:space="0" w:color="auto"/>
              <w:left w:val="nil"/>
              <w:bottom w:val="single" w:sz="4" w:space="0" w:color="auto"/>
              <w:right w:val="single" w:sz="4" w:space="0" w:color="auto"/>
            </w:tcBorders>
            <w:shd w:val="clear" w:color="000000" w:fill="74C27B"/>
            <w:noWrap/>
            <w:vAlign w:val="center"/>
            <w:hideMark/>
          </w:tcPr>
          <w:p w14:paraId="482C6D88"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0,3</w:t>
            </w:r>
          </w:p>
        </w:tc>
        <w:tc>
          <w:tcPr>
            <w:tcW w:w="1510" w:type="pct"/>
            <w:tcBorders>
              <w:top w:val="single" w:sz="4" w:space="0" w:color="auto"/>
              <w:left w:val="single" w:sz="4" w:space="0" w:color="auto"/>
              <w:bottom w:val="single" w:sz="4" w:space="0" w:color="auto"/>
              <w:right w:val="single" w:sz="4" w:space="0" w:color="auto"/>
            </w:tcBorders>
            <w:shd w:val="clear" w:color="000000" w:fill="63BE7B"/>
            <w:noWrap/>
            <w:vAlign w:val="center"/>
            <w:hideMark/>
          </w:tcPr>
          <w:p w14:paraId="6B72E015" w14:textId="77777777" w:rsidR="00CF1505" w:rsidRPr="0015154B" w:rsidRDefault="00CF1505" w:rsidP="00F726AE">
            <w:pPr>
              <w:spacing w:after="0" w:line="240" w:lineRule="auto"/>
              <w:jc w:val="center"/>
              <w:rPr>
                <w:rFonts w:ascii="Times New Roman" w:eastAsia="Times New Roman" w:hAnsi="Times New Roman" w:cs="Times New Roman"/>
                <w:color w:val="000000"/>
                <w:lang w:eastAsia="lv-LV"/>
              </w:rPr>
            </w:pPr>
            <w:r w:rsidRPr="0015154B">
              <w:rPr>
                <w:rFonts w:ascii="Times New Roman" w:eastAsia="Times New Roman" w:hAnsi="Times New Roman" w:cs="Times New Roman"/>
                <w:color w:val="000000"/>
                <w:lang w:eastAsia="lv-LV"/>
              </w:rPr>
              <w:t>0,0</w:t>
            </w:r>
          </w:p>
        </w:tc>
      </w:tr>
    </w:tbl>
    <w:p w14:paraId="1F261011" w14:textId="719BFA62" w:rsidR="00CF1505" w:rsidRPr="009767D0" w:rsidRDefault="009767D0" w:rsidP="00CF1505">
      <w:pPr>
        <w:spacing w:after="0" w:line="240" w:lineRule="auto"/>
        <w:jc w:val="both"/>
        <w:rPr>
          <w:rFonts w:ascii="Times New Roman" w:hAnsi="Times New Roman" w:cs="Times New Roman"/>
          <w:sz w:val="24"/>
          <w:szCs w:val="24"/>
        </w:rPr>
      </w:pPr>
      <w:r w:rsidRPr="009767D0">
        <w:rPr>
          <w:rFonts w:ascii="Times New Roman" w:hAnsi="Times New Roman" w:cs="Times New Roman"/>
          <w:iCs/>
          <w:sz w:val="20"/>
          <w:szCs w:val="20"/>
        </w:rPr>
        <w:t>Datu a</w:t>
      </w:r>
      <w:r w:rsidR="00CF1505" w:rsidRPr="009767D0">
        <w:rPr>
          <w:rFonts w:ascii="Times New Roman" w:hAnsi="Times New Roman" w:cs="Times New Roman"/>
          <w:iCs/>
          <w:sz w:val="20"/>
          <w:szCs w:val="20"/>
        </w:rPr>
        <w:t>vots: AUS dati</w:t>
      </w:r>
    </w:p>
    <w:p w14:paraId="124318DF" w14:textId="77777777" w:rsidR="00CF1505" w:rsidRPr="0015154B" w:rsidRDefault="00CF1505" w:rsidP="00CF1505">
      <w:pPr>
        <w:spacing w:after="0" w:line="240" w:lineRule="auto"/>
        <w:jc w:val="both"/>
        <w:rPr>
          <w:rFonts w:ascii="Times New Roman" w:hAnsi="Times New Roman" w:cs="Times New Roman"/>
          <w:sz w:val="24"/>
          <w:szCs w:val="24"/>
        </w:rPr>
      </w:pPr>
    </w:p>
    <w:p w14:paraId="331DDB6F" w14:textId="61FE7E16" w:rsidR="00CF1505" w:rsidRPr="0015154B" w:rsidRDefault="00CF1505"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Darbinieku piesaisti sarežģ</w:t>
      </w:r>
      <w:r w:rsidR="00CA0136">
        <w:rPr>
          <w:rFonts w:ascii="Times New Roman" w:hAnsi="Times New Roman" w:cs="Times New Roman"/>
          <w:sz w:val="24"/>
          <w:szCs w:val="24"/>
        </w:rPr>
        <w:t>ī</w:t>
      </w:r>
      <w:r w:rsidR="0062076E">
        <w:rPr>
          <w:rFonts w:ascii="Times New Roman" w:hAnsi="Times New Roman" w:cs="Times New Roman"/>
          <w:sz w:val="24"/>
          <w:szCs w:val="24"/>
        </w:rPr>
        <w:t xml:space="preserve"> </w:t>
      </w:r>
      <w:r w:rsidRPr="0015154B">
        <w:rPr>
          <w:rFonts w:ascii="Times New Roman" w:hAnsi="Times New Roman" w:cs="Times New Roman"/>
          <w:sz w:val="24"/>
          <w:szCs w:val="24"/>
        </w:rPr>
        <w:t xml:space="preserve">specifiskās prasības izglītībai, zināšanām un prasmēm, kas ir nepieciešamas, lai iestādes varētu nodrošināt kvalitatīvus pakalpojumus. Latvijā vajadzīgo </w:t>
      </w:r>
      <w:r w:rsidRPr="0015154B">
        <w:rPr>
          <w:rFonts w:ascii="Times New Roman" w:hAnsi="Times New Roman" w:cs="Times New Roman"/>
          <w:sz w:val="24"/>
          <w:szCs w:val="24"/>
        </w:rPr>
        <w:lastRenderedPageBreak/>
        <w:t xml:space="preserve">speciālistu, īpaši aprūpes un sociālās jomas nozarēs, dramatiski trūkst. </w:t>
      </w:r>
      <w:r w:rsidR="00270D2C" w:rsidRPr="0015154B">
        <w:rPr>
          <w:rFonts w:ascii="Times New Roman" w:hAnsi="Times New Roman" w:cs="Times New Roman"/>
          <w:sz w:val="24"/>
          <w:szCs w:val="24"/>
        </w:rPr>
        <w:t>LM r</w:t>
      </w:r>
      <w:r w:rsidRPr="0015154B">
        <w:rPr>
          <w:rFonts w:ascii="Times New Roman" w:hAnsi="Times New Roman" w:cs="Times New Roman"/>
          <w:sz w:val="24"/>
          <w:szCs w:val="24"/>
        </w:rPr>
        <w:t xml:space="preserve">esorā veiktā un plānotā procesu digitalizācija daļēji atrisina darbinieku trūkuma problēmu, jo darbi, kas prasa cilvēku tiešu mijiedarbību, kritisku un uz vērtībām balstītu domāšanu, nav pilnīgi digitalizējami. Ņemot vērā </w:t>
      </w:r>
      <w:r w:rsidR="00270D2C" w:rsidRPr="0015154B">
        <w:rPr>
          <w:rFonts w:ascii="Times New Roman" w:hAnsi="Times New Roman" w:cs="Times New Roman"/>
          <w:sz w:val="24"/>
          <w:szCs w:val="24"/>
        </w:rPr>
        <w:t xml:space="preserve">LM </w:t>
      </w:r>
      <w:r w:rsidRPr="0015154B">
        <w:rPr>
          <w:rFonts w:ascii="Times New Roman" w:hAnsi="Times New Roman" w:cs="Times New Roman"/>
          <w:sz w:val="24"/>
          <w:szCs w:val="24"/>
        </w:rPr>
        <w:t xml:space="preserve">resora iestādēs esošo </w:t>
      </w:r>
      <w:r w:rsidR="00270D2C" w:rsidRPr="0015154B">
        <w:rPr>
          <w:rFonts w:ascii="Times New Roman" w:hAnsi="Times New Roman" w:cs="Times New Roman"/>
          <w:sz w:val="24"/>
          <w:szCs w:val="24"/>
        </w:rPr>
        <w:t>sarežģīto</w:t>
      </w:r>
      <w:r w:rsidRPr="0015154B">
        <w:rPr>
          <w:rFonts w:ascii="Times New Roman" w:hAnsi="Times New Roman" w:cs="Times New Roman"/>
          <w:sz w:val="24"/>
          <w:szCs w:val="24"/>
        </w:rPr>
        <w:t xml:space="preserve"> situāciju darbinieku noturēšanā un piesaistē, ir svarīgi risināt atalgojuma jautājumu, panākot, lai nodarbināto darba samaksas apmērs tuvinātos konkurētspējīgam līmenim.</w:t>
      </w:r>
    </w:p>
    <w:p w14:paraId="1B78028D" w14:textId="77777777" w:rsidR="00CF1505" w:rsidRPr="0015154B" w:rsidRDefault="00CF1505"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 xml:space="preserve">Procesu pakāpeniskā digitalizācija resorā aktualizējusi vajadzību pēc atbilstošām digitālām prasmēm nodarbinātajiem visās resora iestādēs, tāpēc jāveic šo prasmju attīstīšana. Padotības iestādēs uzsvars liekams arī uz sadarbības, klientu apkalpošanas un vadības kompetenču izkopšanu. LM kā labklājības nozares politikas veidotājai prioritāri, lai tajā strādājošie vadītāji, politikas plānotāji un ieviesēji, atbalsta funkciju veicēji būtu kompetenti pakalpojumu inovācijās, spētu pārvaldīt uzdevumus un veidot efektīvu sadarbību. Vienlaikus resora nodarbinātajiem nepieciešams stiprināt specifiskās profesionālās zināšanas un prasmes. Nodarbināto profesionālās pilnveides pasākumi jāizstrādā ciešā sasaistē ar plānotajām izmaiņām pakalpojuma dizainā. </w:t>
      </w:r>
    </w:p>
    <w:p w14:paraId="66068ACD" w14:textId="77777777" w:rsidR="00CF1505" w:rsidRPr="0015154B" w:rsidRDefault="00CF1505" w:rsidP="00CF1505">
      <w:pPr>
        <w:spacing w:after="0" w:line="240" w:lineRule="auto"/>
        <w:jc w:val="both"/>
        <w:rPr>
          <w:rFonts w:ascii="Times New Roman" w:hAnsi="Times New Roman" w:cs="Times New Roman"/>
          <w:sz w:val="24"/>
          <w:szCs w:val="24"/>
          <w:highlight w:val="yellow"/>
        </w:rPr>
      </w:pPr>
    </w:p>
    <w:p w14:paraId="19B0883E" w14:textId="07E188ED" w:rsidR="001A7C09" w:rsidRPr="0015154B" w:rsidRDefault="009767D0" w:rsidP="00DA5144">
      <w:pPr>
        <w:pStyle w:val="Heading2"/>
      </w:pPr>
      <w:bookmarkStart w:id="106" w:name="_Toc55316131"/>
      <w:r>
        <w:t xml:space="preserve"> </w:t>
      </w:r>
      <w:r w:rsidR="00936E50" w:rsidRPr="0015154B">
        <w:t>IKT, infrastruktūras un darba procesu attīstība un modernizācija</w:t>
      </w:r>
      <w:bookmarkEnd w:id="106"/>
    </w:p>
    <w:p w14:paraId="38910EFD" w14:textId="3AFCBBA7" w:rsidR="00452E8E" w:rsidRPr="0015154B" w:rsidRDefault="00D06282" w:rsidP="00B33541">
      <w:pPr>
        <w:pStyle w:val="Default"/>
        <w:spacing w:before="120"/>
        <w:ind w:firstLine="720"/>
        <w:jc w:val="both"/>
      </w:pPr>
      <w:r w:rsidRPr="0015154B">
        <w:t xml:space="preserve">Labklājības nozares iestāžu </w:t>
      </w:r>
      <w:r w:rsidRPr="0015154B">
        <w:rPr>
          <w:b/>
        </w:rPr>
        <w:t>IKT infrastruktūra un pakalpojumi</w:t>
      </w:r>
      <w:r w:rsidRPr="0015154B">
        <w:t xml:space="preserve"> tiek nodrošināti un uzturēti vairāk par 140 dažādiem servisiem/pakalpojumiem</w:t>
      </w:r>
      <w:r w:rsidR="003443D5" w:rsidRPr="0015154B">
        <w:t>.</w:t>
      </w:r>
      <w:r w:rsidRPr="0015154B">
        <w:t xml:space="preserve"> </w:t>
      </w:r>
      <w:r w:rsidR="00452E8E" w:rsidRPr="0015154B">
        <w:t>N</w:t>
      </w:r>
      <w:r w:rsidR="001C68FC" w:rsidRPr="0015154B">
        <w:t>ozarē jau ir realizēti nozīmīgi IKT funkciju centralizācijas un optimizācijas pasākumi vienotajam datu pārraides tīklam, datu centram, grāmatvedības un personāla vadības, telefonijas, aktīvās direktorijas un e-pasta risinājumiem</w:t>
      </w:r>
      <w:r w:rsidRPr="0015154B">
        <w:t>.</w:t>
      </w:r>
      <w:r w:rsidR="003443D5" w:rsidRPr="0015154B">
        <w:t xml:space="preserve"> </w:t>
      </w:r>
      <w:r w:rsidR="00D2305B" w:rsidRPr="0015154B">
        <w:t xml:space="preserve">LM nozares IKT centralizācijas ietvaros veikta serveru infrastruktūras, tīkla un IT administratoru centralizācija, radot priekšnoteikumus, lai izveidotu centralizētu IKT organizāciju, kas varētu veidot un uzturēt vienotus IKT pakalpojumus </w:t>
      </w:r>
      <w:r w:rsidR="00BA760C" w:rsidRPr="0015154B">
        <w:t xml:space="preserve">ne tikai </w:t>
      </w:r>
      <w:r w:rsidR="00D2305B" w:rsidRPr="0015154B">
        <w:t xml:space="preserve">visām </w:t>
      </w:r>
      <w:r w:rsidR="00CA0136">
        <w:t>l</w:t>
      </w:r>
      <w:r w:rsidR="00D2305B" w:rsidRPr="0015154B">
        <w:t>abklājības resora iestādēm</w:t>
      </w:r>
      <w:r w:rsidR="00BA760C" w:rsidRPr="0015154B">
        <w:t>, bet arī sniegt starpreso</w:t>
      </w:r>
      <w:r w:rsidR="00CA0136">
        <w:t>r</w:t>
      </w:r>
      <w:r w:rsidR="00BA760C" w:rsidRPr="0015154B">
        <w:t>u koplietošanas pakalpojumus kompetenču centra statusa ietvaros</w:t>
      </w:r>
      <w:r w:rsidR="00D2305B" w:rsidRPr="0015154B">
        <w:t>. Jau šobrīd ir vairāki pakalpojumi, kas tiek darbināti centralizēti un kas sniedz būtiskus ieguvumus, jo ļauj analizēt atsevišķu IT procesu efektivitāti dažādās iestādēs. Centralizācijas ietvaros ir veikta lielākās daļas serveru virtualizācija un tie tiek uzturēti VSAA nodrošinātajā datu centrā</w:t>
      </w:r>
      <w:r w:rsidR="007851A8" w:rsidRPr="0015154B">
        <w:t xml:space="preserve">. </w:t>
      </w:r>
      <w:r w:rsidR="00452E8E" w:rsidRPr="0015154B">
        <w:t>Tā kā nozares IKT pakalpojumu centralizācijas process ir veiksmīgi uzsākts, tad būtu nepieciešams turpināt IKT resursu optimizāciju un paplašināt esošo, centralizēti sniegto pakalpojumu klāstu.</w:t>
      </w:r>
    </w:p>
    <w:p w14:paraId="436F2AE0" w14:textId="1E8667F0" w:rsidR="00452E8E" w:rsidRPr="0015154B" w:rsidRDefault="00452E8E" w:rsidP="00B33541">
      <w:pPr>
        <w:pStyle w:val="Default"/>
        <w:spacing w:before="120"/>
        <w:ind w:firstLine="720"/>
        <w:jc w:val="both"/>
      </w:pPr>
      <w:r w:rsidRPr="0015154B">
        <w:t xml:space="preserve">Labklājības nozares IKT centralizācijas norit līdztekus ar vienota IKT infrastruktūras drošības tehniskās uzraudzības risinājuma ieviešanu. </w:t>
      </w:r>
      <w:r w:rsidRPr="0015154B">
        <w:rPr>
          <w:shd w:val="clear" w:color="auto" w:fill="FFFFFF"/>
        </w:rPr>
        <w:t>Palielinoties esošo informācijas sistēmu datu apjomam un to lietojamības intensitātei,</w:t>
      </w:r>
      <w:r w:rsidRPr="0015154B">
        <w:t xml:space="preserve"> pieaug arī ar IKT saistīto ievainojamību un risku skaits. Pastāvīgi mainās arī ārējie faktori, kas rada objektīvu vajadzību nozarē nodrošināt un pastāvīgi pilnveidot ne tikai atbilstošas personāla kompetences, bet arī ieviest un izmantot mūsdienīgus tehnoloģiskus risinājumus savlaicīgai drošības notikumu un apdraudējumu identificēšanai un novēršanai.</w:t>
      </w:r>
    </w:p>
    <w:p w14:paraId="01C557C6" w14:textId="37B77614" w:rsidR="003443D5" w:rsidRPr="0015154B" w:rsidRDefault="003443D5" w:rsidP="00B33541">
      <w:pPr>
        <w:spacing w:before="120" w:after="0" w:line="240" w:lineRule="auto"/>
        <w:ind w:firstLine="720"/>
        <w:jc w:val="both"/>
        <w:rPr>
          <w:rFonts w:ascii="Times New Roman" w:hAnsi="Times New Roman" w:cs="Times New Roman"/>
          <w:sz w:val="24"/>
          <w:szCs w:val="24"/>
        </w:rPr>
      </w:pPr>
      <w:r w:rsidRPr="0015154B">
        <w:rPr>
          <w:rFonts w:ascii="Times New Roman" w:hAnsi="Times New Roman" w:cs="Times New Roman"/>
          <w:sz w:val="24"/>
          <w:szCs w:val="24"/>
        </w:rPr>
        <w:t>Šobrīd labklājības nozarē informācijas apstrāde ir organizēta pa nozares iestādēm. Katra no LM padotības iestādēm ir attīstījusi savas pamatdarbības procesiem atbalstošas informācijas sistēmas (</w:t>
      </w:r>
      <w:r w:rsidRPr="0015154B">
        <w:rPr>
          <w:rFonts w:ascii="Times New Roman" w:hAnsi="Times New Roman" w:cs="Times New Roman"/>
          <w:sz w:val="24"/>
          <w:szCs w:val="24"/>
          <w:highlight w:val="yellow"/>
        </w:rPr>
        <w:t>skat</w:t>
      </w:r>
      <w:r w:rsidR="00136A0C" w:rsidRPr="0015154B">
        <w:rPr>
          <w:rFonts w:ascii="Times New Roman" w:hAnsi="Times New Roman" w:cs="Times New Roman"/>
          <w:sz w:val="24"/>
          <w:szCs w:val="24"/>
          <w:highlight w:val="yellow"/>
        </w:rPr>
        <w:t xml:space="preserve">. </w:t>
      </w:r>
      <w:r w:rsidR="009767D0">
        <w:rPr>
          <w:rFonts w:ascii="Times New Roman" w:hAnsi="Times New Roman" w:cs="Times New Roman"/>
          <w:sz w:val="24"/>
          <w:szCs w:val="24"/>
          <w:highlight w:val="yellow"/>
        </w:rPr>
        <w:t>30</w:t>
      </w:r>
      <w:r w:rsidR="00136A0C" w:rsidRPr="0015154B">
        <w:rPr>
          <w:rFonts w:ascii="Times New Roman" w:hAnsi="Times New Roman" w:cs="Times New Roman"/>
          <w:sz w:val="24"/>
          <w:szCs w:val="24"/>
          <w:highlight w:val="yellow"/>
        </w:rPr>
        <w:t>.</w:t>
      </w:r>
      <w:r w:rsidRPr="0015154B">
        <w:rPr>
          <w:rFonts w:ascii="Times New Roman" w:hAnsi="Times New Roman" w:cs="Times New Roman"/>
          <w:sz w:val="24"/>
          <w:szCs w:val="24"/>
          <w:highlight w:val="yellow"/>
        </w:rPr>
        <w:t>attēlu</w:t>
      </w:r>
      <w:r w:rsidRPr="0015154B">
        <w:rPr>
          <w:rFonts w:ascii="Times New Roman" w:hAnsi="Times New Roman" w:cs="Times New Roman"/>
          <w:sz w:val="24"/>
          <w:szCs w:val="24"/>
        </w:rPr>
        <w:t xml:space="preserve">). </w:t>
      </w:r>
    </w:p>
    <w:p w14:paraId="0B230332" w14:textId="77777777" w:rsidR="00141B01" w:rsidRPr="0015154B" w:rsidRDefault="00141B01" w:rsidP="00141B01">
      <w:pPr>
        <w:spacing w:after="0" w:line="240" w:lineRule="auto"/>
        <w:jc w:val="both"/>
        <w:rPr>
          <w:rFonts w:ascii="Times New Roman" w:hAnsi="Times New Roman" w:cs="Times New Roman"/>
          <w:sz w:val="24"/>
          <w:szCs w:val="24"/>
          <w:highlight w:val="yellow"/>
        </w:rPr>
      </w:pPr>
    </w:p>
    <w:p w14:paraId="24A31179" w14:textId="77777777" w:rsidR="005E5CD1" w:rsidRDefault="005E5CD1">
      <w:pPr>
        <w:rPr>
          <w:rFonts w:ascii="Times New Roman" w:hAnsi="Times New Roman" w:cs="Times New Roman"/>
          <w:sz w:val="24"/>
          <w:szCs w:val="24"/>
        </w:rPr>
      </w:pPr>
      <w:r>
        <w:rPr>
          <w:rFonts w:ascii="Times New Roman" w:hAnsi="Times New Roman" w:cs="Times New Roman"/>
          <w:sz w:val="24"/>
          <w:szCs w:val="24"/>
        </w:rPr>
        <w:br w:type="page"/>
      </w:r>
    </w:p>
    <w:p w14:paraId="2BAABF52" w14:textId="7787826A" w:rsidR="003443D5" w:rsidRPr="0015154B" w:rsidRDefault="009767D0" w:rsidP="00141B01">
      <w:pPr>
        <w:spacing w:after="0" w:line="240" w:lineRule="auto"/>
        <w:jc w:val="both"/>
        <w:rPr>
          <w:rFonts w:ascii="Times New Roman" w:hAnsi="Times New Roman" w:cs="Times New Roman"/>
          <w:sz w:val="24"/>
          <w:szCs w:val="24"/>
        </w:rPr>
      </w:pPr>
      <w:r w:rsidRPr="009767D0">
        <w:rPr>
          <w:rFonts w:ascii="Times New Roman" w:hAnsi="Times New Roman" w:cs="Times New Roman"/>
          <w:sz w:val="24"/>
          <w:szCs w:val="24"/>
        </w:rPr>
        <w:lastRenderedPageBreak/>
        <w:t>30</w:t>
      </w:r>
      <w:r w:rsidR="003443D5" w:rsidRPr="009767D0">
        <w:rPr>
          <w:rFonts w:ascii="Times New Roman" w:hAnsi="Times New Roman" w:cs="Times New Roman"/>
          <w:sz w:val="24"/>
          <w:szCs w:val="24"/>
        </w:rPr>
        <w:t>.attēls</w:t>
      </w:r>
    </w:p>
    <w:p w14:paraId="0107547A" w14:textId="44A41BF2" w:rsidR="003443D5" w:rsidRPr="0015154B" w:rsidRDefault="003443D5" w:rsidP="00930458">
      <w:pPr>
        <w:spacing w:after="0" w:line="240" w:lineRule="auto"/>
        <w:jc w:val="center"/>
        <w:rPr>
          <w:rFonts w:ascii="Times New Roman" w:hAnsi="Times New Roman" w:cs="Times New Roman"/>
          <w:b/>
          <w:color w:val="002060"/>
          <w:sz w:val="24"/>
          <w:szCs w:val="24"/>
        </w:rPr>
      </w:pPr>
      <w:r w:rsidRPr="0015154B">
        <w:rPr>
          <w:rFonts w:ascii="Times New Roman" w:hAnsi="Times New Roman" w:cs="Times New Roman"/>
          <w:b/>
          <w:color w:val="002060"/>
          <w:sz w:val="24"/>
          <w:szCs w:val="24"/>
        </w:rPr>
        <w:t>Labklājības nozares iestāžu pamatprocesu atbalsta informācijas sistēmas</w:t>
      </w:r>
    </w:p>
    <w:p w14:paraId="599D8404" w14:textId="1653C332" w:rsidR="00D06282" w:rsidRPr="0015154B" w:rsidRDefault="00D06282" w:rsidP="00141B01">
      <w:pPr>
        <w:spacing w:after="0" w:line="240" w:lineRule="auto"/>
        <w:jc w:val="both"/>
        <w:rPr>
          <w:rFonts w:ascii="Times New Roman" w:hAnsi="Times New Roman" w:cs="Times New Roman"/>
          <w:sz w:val="24"/>
          <w:szCs w:val="24"/>
        </w:rPr>
      </w:pPr>
    </w:p>
    <w:p w14:paraId="0ADE67AC" w14:textId="77777777" w:rsidR="00D06282" w:rsidRPr="007157D3" w:rsidRDefault="00D06282" w:rsidP="00141B01">
      <w:pPr>
        <w:pStyle w:val="Caption"/>
        <w:jc w:val="center"/>
        <w:rPr>
          <w:sz w:val="24"/>
          <w:szCs w:val="24"/>
        </w:rPr>
      </w:pPr>
      <w:r w:rsidRPr="0062076E">
        <w:rPr>
          <w:noProof/>
          <w:sz w:val="24"/>
          <w:szCs w:val="24"/>
        </w:rPr>
        <w:drawing>
          <wp:inline distT="0" distB="0" distL="0" distR="0" wp14:anchorId="46376434" wp14:editId="5814FF8D">
            <wp:extent cx="5270500" cy="3073400"/>
            <wp:effectExtent l="0" t="0" r="6350" b="0"/>
            <wp:docPr id="5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13BD946" w14:textId="71174D7C" w:rsidR="00D06282" w:rsidRPr="00EA3172" w:rsidRDefault="000F0C45" w:rsidP="000F0C45">
      <w:pPr>
        <w:pStyle w:val="Caption"/>
        <w:rPr>
          <w:b w:val="0"/>
        </w:rPr>
      </w:pPr>
      <w:r w:rsidRPr="00EA3172">
        <w:rPr>
          <w:b w:val="0"/>
        </w:rPr>
        <w:t>Datu avots: LM</w:t>
      </w:r>
    </w:p>
    <w:p w14:paraId="684215F4" w14:textId="77777777" w:rsidR="00452E8E" w:rsidRPr="007157D3" w:rsidRDefault="00452E8E" w:rsidP="00141B01">
      <w:pPr>
        <w:spacing w:after="0" w:line="240" w:lineRule="auto"/>
        <w:jc w:val="both"/>
        <w:rPr>
          <w:rFonts w:ascii="Times New Roman" w:hAnsi="Times New Roman" w:cs="Times New Roman"/>
          <w:sz w:val="24"/>
          <w:szCs w:val="24"/>
        </w:rPr>
      </w:pPr>
    </w:p>
    <w:p w14:paraId="6B15F7F8" w14:textId="60FD1601" w:rsidR="00D06282" w:rsidRPr="00573B49" w:rsidRDefault="00D06282" w:rsidP="00B33541">
      <w:pPr>
        <w:spacing w:before="120" w:after="0" w:line="240" w:lineRule="auto"/>
        <w:ind w:firstLine="720"/>
        <w:jc w:val="both"/>
        <w:rPr>
          <w:rFonts w:ascii="Times New Roman" w:hAnsi="Times New Roman" w:cs="Times New Roman"/>
          <w:sz w:val="24"/>
          <w:szCs w:val="24"/>
        </w:rPr>
      </w:pPr>
      <w:r w:rsidRPr="002F5278">
        <w:rPr>
          <w:rFonts w:ascii="Times New Roman" w:hAnsi="Times New Roman" w:cs="Times New Roman"/>
          <w:sz w:val="24"/>
          <w:szCs w:val="24"/>
        </w:rPr>
        <w:t xml:space="preserve">Galvenās informācijas sistēmu attīstības problēmas, kas radušās nozares iestāžu informācijas sistēmu </w:t>
      </w:r>
      <w:r w:rsidR="00141B01" w:rsidRPr="00573B49">
        <w:rPr>
          <w:rFonts w:ascii="Times New Roman" w:hAnsi="Times New Roman" w:cs="Times New Roman"/>
          <w:sz w:val="24"/>
          <w:szCs w:val="24"/>
        </w:rPr>
        <w:t>neatkarīgas</w:t>
      </w:r>
      <w:r w:rsidRPr="00573B49">
        <w:rPr>
          <w:rFonts w:ascii="Times New Roman" w:hAnsi="Times New Roman" w:cs="Times New Roman"/>
          <w:sz w:val="24"/>
          <w:szCs w:val="24"/>
        </w:rPr>
        <w:t xml:space="preserve"> attīstības rezultātā, ir: </w:t>
      </w:r>
    </w:p>
    <w:p w14:paraId="7ADA24DE" w14:textId="28905DC9" w:rsidR="00775696" w:rsidRPr="0015154B" w:rsidRDefault="00775696" w:rsidP="00B33541">
      <w:pPr>
        <w:pStyle w:val="ListParagraph"/>
        <w:numPr>
          <w:ilvl w:val="0"/>
          <w:numId w:val="45"/>
        </w:numPr>
        <w:spacing w:before="120" w:after="0" w:line="240" w:lineRule="auto"/>
        <w:jc w:val="both"/>
        <w:rPr>
          <w:sz w:val="28"/>
          <w:szCs w:val="28"/>
        </w:rPr>
      </w:pPr>
      <w:r w:rsidRPr="0025422D">
        <w:rPr>
          <w:rFonts w:ascii="Times New Roman" w:hAnsi="Times New Roman" w:cs="Times New Roman"/>
          <w:sz w:val="24"/>
          <w:szCs w:val="24"/>
        </w:rPr>
        <w:t>Atšķirīgas un/vai novecojušas tehnoloģiskās platformas, kas apgrūtina iespēju savienot sistēmas vienotā platformā un centralizēti tās pārvaldīt</w:t>
      </w:r>
      <w:r w:rsidR="00132AC4" w:rsidRPr="00A857F2">
        <w:rPr>
          <w:rFonts w:ascii="Times New Roman" w:hAnsi="Times New Roman" w:cs="Times New Roman"/>
          <w:sz w:val="24"/>
          <w:szCs w:val="24"/>
        </w:rPr>
        <w:t xml:space="preserve">, </w:t>
      </w:r>
      <w:r w:rsidR="00B10017" w:rsidRPr="00662D1E">
        <w:rPr>
          <w:rFonts w:ascii="Times New Roman" w:hAnsi="Times New Roman" w:cs="Times New Roman"/>
          <w:sz w:val="24"/>
          <w:szCs w:val="24"/>
        </w:rPr>
        <w:t xml:space="preserve">ierobežo </w:t>
      </w:r>
      <w:r w:rsidR="00132AC4" w:rsidRPr="009703E6">
        <w:rPr>
          <w:rFonts w:ascii="Times New Roman" w:hAnsi="Times New Roman" w:cs="Times New Roman"/>
          <w:sz w:val="24"/>
          <w:szCs w:val="24"/>
        </w:rPr>
        <w:t xml:space="preserve">saderību ar citām valsts līmeņa </w:t>
      </w:r>
      <w:r w:rsidR="000F4705" w:rsidRPr="0015154B">
        <w:rPr>
          <w:rFonts w:ascii="Times New Roman" w:hAnsi="Times New Roman" w:cs="Times New Roman"/>
          <w:sz w:val="24"/>
          <w:szCs w:val="24"/>
        </w:rPr>
        <w:t xml:space="preserve">informācijas sistēmām (turpmāk - </w:t>
      </w:r>
      <w:r w:rsidR="00132AC4" w:rsidRPr="0015154B">
        <w:rPr>
          <w:rFonts w:ascii="Times New Roman" w:hAnsi="Times New Roman" w:cs="Times New Roman"/>
          <w:sz w:val="24"/>
          <w:szCs w:val="24"/>
        </w:rPr>
        <w:t>IS</w:t>
      </w:r>
      <w:r w:rsidR="000F4705" w:rsidRPr="0015154B">
        <w:rPr>
          <w:rFonts w:ascii="Times New Roman" w:hAnsi="Times New Roman" w:cs="Times New Roman"/>
          <w:sz w:val="24"/>
          <w:szCs w:val="24"/>
        </w:rPr>
        <w:t>)</w:t>
      </w:r>
      <w:r w:rsidR="00C12802" w:rsidRPr="0015154B">
        <w:rPr>
          <w:rFonts w:ascii="Times New Roman" w:hAnsi="Times New Roman" w:cs="Times New Roman"/>
          <w:sz w:val="24"/>
          <w:szCs w:val="24"/>
        </w:rPr>
        <w:t xml:space="preserve">. </w:t>
      </w:r>
      <w:r w:rsidR="000F4705" w:rsidRPr="0015154B">
        <w:rPr>
          <w:rFonts w:ascii="Times New Roman" w:hAnsi="Times New Roman" w:cs="Times New Roman"/>
          <w:sz w:val="24"/>
          <w:szCs w:val="24"/>
        </w:rPr>
        <w:t>T</w:t>
      </w:r>
      <w:r w:rsidR="00C12802" w:rsidRPr="0015154B">
        <w:rPr>
          <w:rFonts w:ascii="Times New Roman" w:hAnsi="Times New Roman" w:cs="Times New Roman"/>
          <w:sz w:val="24"/>
          <w:szCs w:val="24"/>
        </w:rPr>
        <w:t xml:space="preserve">ikai daļa no </w:t>
      </w:r>
      <w:r w:rsidR="000F4705" w:rsidRPr="0015154B">
        <w:rPr>
          <w:rFonts w:ascii="Times New Roman" w:hAnsi="Times New Roman" w:cs="Times New Roman"/>
          <w:sz w:val="24"/>
          <w:szCs w:val="24"/>
        </w:rPr>
        <w:t xml:space="preserve">sociālo </w:t>
      </w:r>
      <w:r w:rsidR="00C12802" w:rsidRPr="0015154B">
        <w:rPr>
          <w:rFonts w:ascii="Times New Roman" w:hAnsi="Times New Roman" w:cs="Times New Roman"/>
          <w:sz w:val="24"/>
          <w:szCs w:val="24"/>
        </w:rPr>
        <w:t xml:space="preserve">pakalpojumu  sniedzējiem </w:t>
      </w:r>
      <w:r w:rsidR="000F4705" w:rsidRPr="0015154B">
        <w:rPr>
          <w:rFonts w:ascii="Times New Roman" w:hAnsi="Times New Roman" w:cs="Times New Roman"/>
          <w:sz w:val="24"/>
          <w:szCs w:val="24"/>
        </w:rPr>
        <w:t>d</w:t>
      </w:r>
      <w:r w:rsidR="00C12802" w:rsidRPr="0015154B">
        <w:rPr>
          <w:rFonts w:ascii="Times New Roman" w:hAnsi="Times New Roman" w:cs="Times New Roman"/>
          <w:sz w:val="24"/>
          <w:szCs w:val="24"/>
        </w:rPr>
        <w:t xml:space="preserve">atus par sniegtajiem pakalpojumiem uzkrāj </w:t>
      </w:r>
      <w:r w:rsidR="005076F1" w:rsidRPr="0015154B">
        <w:rPr>
          <w:rFonts w:ascii="Times New Roman" w:hAnsi="Times New Roman" w:cs="Times New Roman"/>
          <w:sz w:val="24"/>
          <w:szCs w:val="24"/>
        </w:rPr>
        <w:t>IS</w:t>
      </w:r>
      <w:r w:rsidR="00C12802" w:rsidRPr="0015154B">
        <w:rPr>
          <w:rFonts w:ascii="Times New Roman" w:hAnsi="Times New Roman" w:cs="Times New Roman"/>
          <w:sz w:val="24"/>
          <w:szCs w:val="24"/>
        </w:rPr>
        <w:t xml:space="preserve">. Katra no šīm </w:t>
      </w:r>
      <w:r w:rsidR="005076F1" w:rsidRPr="0015154B">
        <w:rPr>
          <w:rFonts w:ascii="Times New Roman" w:hAnsi="Times New Roman" w:cs="Times New Roman"/>
          <w:sz w:val="24"/>
          <w:szCs w:val="24"/>
        </w:rPr>
        <w:t>IS</w:t>
      </w:r>
      <w:r w:rsidR="00C12802" w:rsidRPr="0015154B">
        <w:rPr>
          <w:rFonts w:ascii="Times New Roman" w:hAnsi="Times New Roman" w:cs="Times New Roman"/>
          <w:sz w:val="24"/>
          <w:szCs w:val="24"/>
        </w:rPr>
        <w:t xml:space="preserve"> veidota savā laikā, izmantojot atšķirīgus</w:t>
      </w:r>
      <w:r w:rsidR="008A4C71" w:rsidRPr="0015154B">
        <w:rPr>
          <w:rFonts w:ascii="Times New Roman" w:hAnsi="Times New Roman" w:cs="Times New Roman"/>
          <w:sz w:val="24"/>
          <w:szCs w:val="24"/>
        </w:rPr>
        <w:t xml:space="preserve"> tehniskos</w:t>
      </w:r>
      <w:r w:rsidR="00C12802" w:rsidRPr="0015154B">
        <w:rPr>
          <w:rFonts w:ascii="Times New Roman" w:hAnsi="Times New Roman" w:cs="Times New Roman"/>
          <w:sz w:val="24"/>
          <w:szCs w:val="24"/>
        </w:rPr>
        <w:t xml:space="preserve"> risinājumus. Līdzšinējā pieredze liecina, ka lokālo sistēmu integrācija ar valsts informācijas sistēmām norit lēni, jo sistēmu integrācijai ir nepieciešami </w:t>
      </w:r>
      <w:r w:rsidR="00BA760C" w:rsidRPr="0015154B">
        <w:rPr>
          <w:rFonts w:ascii="Times New Roman" w:hAnsi="Times New Roman" w:cs="Times New Roman"/>
          <w:sz w:val="24"/>
          <w:szCs w:val="24"/>
        </w:rPr>
        <w:t xml:space="preserve">gan finanšu </w:t>
      </w:r>
      <w:r w:rsidR="00C12802" w:rsidRPr="0015154B">
        <w:rPr>
          <w:rFonts w:ascii="Times New Roman" w:hAnsi="Times New Roman" w:cs="Times New Roman"/>
          <w:sz w:val="24"/>
          <w:szCs w:val="24"/>
        </w:rPr>
        <w:t xml:space="preserve">resursi, </w:t>
      </w:r>
      <w:r w:rsidR="00BA760C" w:rsidRPr="0015154B">
        <w:rPr>
          <w:rFonts w:ascii="Times New Roman" w:hAnsi="Times New Roman" w:cs="Times New Roman"/>
          <w:sz w:val="24"/>
          <w:szCs w:val="24"/>
        </w:rPr>
        <w:t xml:space="preserve">gan </w:t>
      </w:r>
      <w:r w:rsidR="00C12802" w:rsidRPr="0015154B">
        <w:rPr>
          <w:rFonts w:ascii="Times New Roman" w:hAnsi="Times New Roman" w:cs="Times New Roman"/>
          <w:sz w:val="24"/>
          <w:szCs w:val="24"/>
        </w:rPr>
        <w:t>izmaiņas normatīvajos aktos  elektroniskai datu apstrādei. Tāpat sociālo pakalpojumu jomas lokālo informācijas sistēmu  integrāciju ar valsts informācijas sistēmā</w:t>
      </w:r>
      <w:r w:rsidR="00DA30B1" w:rsidRPr="0015154B">
        <w:rPr>
          <w:rFonts w:ascii="Times New Roman" w:hAnsi="Times New Roman" w:cs="Times New Roman"/>
          <w:sz w:val="24"/>
          <w:szCs w:val="24"/>
        </w:rPr>
        <w:t>m</w:t>
      </w:r>
      <w:r w:rsidR="00C12802" w:rsidRPr="0015154B">
        <w:rPr>
          <w:rFonts w:ascii="Times New Roman" w:hAnsi="Times New Roman" w:cs="Times New Roman"/>
          <w:sz w:val="24"/>
          <w:szCs w:val="24"/>
        </w:rPr>
        <w:t xml:space="preserve"> sarežģ</w:t>
      </w:r>
      <w:r w:rsidR="0062076E">
        <w:rPr>
          <w:rFonts w:ascii="Times New Roman" w:hAnsi="Times New Roman" w:cs="Times New Roman"/>
          <w:sz w:val="24"/>
          <w:szCs w:val="24"/>
        </w:rPr>
        <w:t>ī</w:t>
      </w:r>
      <w:r w:rsidR="00C12802" w:rsidRPr="0015154B">
        <w:rPr>
          <w:rFonts w:ascii="Times New Roman" w:hAnsi="Times New Roman" w:cs="Times New Roman"/>
          <w:sz w:val="24"/>
          <w:szCs w:val="24"/>
        </w:rPr>
        <w:t xml:space="preserve"> apstāklis, ka katrai lokālajai informācijas sistēmai ir savas pārzinis. Ne vienmēr sistēmu uzturētāji un pārziņi  vai turētāji ir motivēti izstrādāt un nodrošināt lokālo sistēmu integrāciju ar valsts informācijas sistēmām. Pastāvīgs un ilgstošs resursu trūkums informācijas sistēmu uzturēšanai rada situāciju, kad pieejamais finansējums tiek tērēts tikai akūtu problēmu risināšanai, nevis stratēģiskai informācijas sistēmu attīstībai. Problēmu saasina arī atšķirīgu tehnoloģisko risinājumu izraisīti </w:t>
      </w:r>
      <w:r w:rsidR="0062076E">
        <w:rPr>
          <w:rFonts w:ascii="Times New Roman" w:hAnsi="Times New Roman" w:cs="Times New Roman"/>
          <w:sz w:val="24"/>
          <w:szCs w:val="24"/>
        </w:rPr>
        <w:t>sa</w:t>
      </w:r>
      <w:r w:rsidR="00C12802" w:rsidRPr="0015154B">
        <w:rPr>
          <w:rFonts w:ascii="Times New Roman" w:hAnsi="Times New Roman" w:cs="Times New Roman"/>
          <w:sz w:val="24"/>
          <w:szCs w:val="24"/>
        </w:rPr>
        <w:t>darbspējas ierobežojumi. Novecojušas arhitektūras risinājumi šobrīd var būt pieejami tikai atsevišķās darbstacijās, lai gan pareizāk būtu izmantot centralizētas datu krātuves, kurām piekļuve tiktu organizēta ar nozaru un valsts mēroga datu  savietotāju starpniecību</w:t>
      </w:r>
      <w:r w:rsidR="0062076E">
        <w:rPr>
          <w:rFonts w:ascii="Times New Roman" w:hAnsi="Times New Roman" w:cs="Times New Roman"/>
          <w:sz w:val="24"/>
          <w:szCs w:val="24"/>
        </w:rPr>
        <w:t>.</w:t>
      </w:r>
    </w:p>
    <w:p w14:paraId="73191B2A" w14:textId="44DCD080" w:rsidR="003443D5" w:rsidRPr="0015154B" w:rsidRDefault="00D06282" w:rsidP="00B33541">
      <w:pPr>
        <w:pStyle w:val="ListParagraph"/>
        <w:numPr>
          <w:ilvl w:val="0"/>
          <w:numId w:val="44"/>
        </w:num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Nozares klientiem sniedzamo pakalpojumu atbalsts ir sadrumstalots pa atsevišķu iestāžu informācijas sistēmām, nenodrošinot iespēju vienotai klientu apkalpošanai un pat vienas nozares informācijas apstrādes vides ietvaros nenodrošinot normatīvo aktu prasību par atkārtotas informācijas nepieprasīšanu izpildi</w:t>
      </w:r>
      <w:r w:rsidR="0062076E">
        <w:rPr>
          <w:rFonts w:ascii="Times New Roman" w:hAnsi="Times New Roman" w:cs="Times New Roman"/>
          <w:sz w:val="24"/>
          <w:szCs w:val="24"/>
        </w:rPr>
        <w:t>.</w:t>
      </w:r>
    </w:p>
    <w:p w14:paraId="4969723A" w14:textId="07408D44" w:rsidR="003443D5" w:rsidRPr="0015154B" w:rsidRDefault="00D06282" w:rsidP="00B33541">
      <w:pPr>
        <w:pStyle w:val="ListParagraph"/>
        <w:numPr>
          <w:ilvl w:val="0"/>
          <w:numId w:val="44"/>
        </w:num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t>Nozares iestāžu elektronisko datu apmaiņa ar ārējiem – iekšzemes un starptautiskiem partneriem tiek pārvaldīta atsevišķu nozares iestāžu līmenī, bet netiek koordinēta nozares līmenī</w:t>
      </w:r>
      <w:r w:rsidR="0062076E">
        <w:rPr>
          <w:rFonts w:ascii="Times New Roman" w:hAnsi="Times New Roman" w:cs="Times New Roman"/>
          <w:sz w:val="24"/>
          <w:szCs w:val="24"/>
        </w:rPr>
        <w:t>.</w:t>
      </w:r>
    </w:p>
    <w:p w14:paraId="62FA3F52" w14:textId="661D8A16" w:rsidR="00D06282" w:rsidRPr="0015154B" w:rsidRDefault="00D06282" w:rsidP="00B33541">
      <w:pPr>
        <w:pStyle w:val="ListParagraph"/>
        <w:numPr>
          <w:ilvl w:val="0"/>
          <w:numId w:val="44"/>
        </w:numPr>
        <w:spacing w:before="120" w:after="0" w:line="240" w:lineRule="auto"/>
        <w:jc w:val="both"/>
        <w:rPr>
          <w:rFonts w:ascii="Times New Roman" w:hAnsi="Times New Roman" w:cs="Times New Roman"/>
          <w:sz w:val="24"/>
          <w:szCs w:val="24"/>
        </w:rPr>
      </w:pPr>
      <w:r w:rsidRPr="0015154B">
        <w:rPr>
          <w:rFonts w:ascii="Times New Roman" w:hAnsi="Times New Roman" w:cs="Times New Roman"/>
          <w:sz w:val="24"/>
          <w:szCs w:val="24"/>
        </w:rPr>
        <w:lastRenderedPageBreak/>
        <w:t>Nozares IKT pārvaldībai nepieciešamā statistiskā informācija tiek iegūta no dažādām organizācijas padotības iestāžu statistikas struktūrvienībām, kuras ir sadrumstalotas arī izmantojamo tehnoloģisko risinājumu ziņā. Organizācijas un datu sadrumstalotība un dažādu tehnoloģisku risinājumu izmantošana ierobežo iespējas uzlabot vadības informācijas iegūšanas efektivitāti – t.i.</w:t>
      </w:r>
      <w:r w:rsidR="005A0F0F" w:rsidRPr="0015154B">
        <w:rPr>
          <w:rFonts w:ascii="Times New Roman" w:hAnsi="Times New Roman" w:cs="Times New Roman"/>
          <w:sz w:val="24"/>
          <w:szCs w:val="24"/>
        </w:rPr>
        <w:t>,</w:t>
      </w:r>
      <w:r w:rsidRPr="0015154B">
        <w:rPr>
          <w:rFonts w:ascii="Times New Roman" w:hAnsi="Times New Roman" w:cs="Times New Roman"/>
          <w:sz w:val="24"/>
          <w:szCs w:val="24"/>
        </w:rPr>
        <w:t xml:space="preserve"> neļauj nozares pārvaldībai nepieciešamo statistisko informāciju iegūt ātrāk un lētāk, nezaudējot iegūto datu kvalitāti. </w:t>
      </w:r>
    </w:p>
    <w:p w14:paraId="355C1E9B" w14:textId="5B5F4028" w:rsidR="00D06282" w:rsidRPr="0015154B" w:rsidRDefault="00D06282" w:rsidP="0062076E">
      <w:pPr>
        <w:tabs>
          <w:tab w:val="left" w:pos="0"/>
        </w:tabs>
        <w:spacing w:before="120" w:after="0" w:line="240" w:lineRule="auto"/>
        <w:ind w:firstLine="709"/>
        <w:jc w:val="both"/>
        <w:rPr>
          <w:rFonts w:ascii="Times New Roman" w:hAnsi="Times New Roman" w:cs="Times New Roman"/>
          <w:sz w:val="24"/>
          <w:szCs w:val="24"/>
        </w:rPr>
      </w:pPr>
      <w:r w:rsidRPr="0015154B">
        <w:rPr>
          <w:rFonts w:ascii="Times New Roman" w:hAnsi="Times New Roman" w:cs="Times New Roman"/>
          <w:sz w:val="24"/>
          <w:szCs w:val="24"/>
        </w:rPr>
        <w:t>Jebkuriem turpmākajiem IKT attīstības projektiem ir j</w:t>
      </w:r>
      <w:r w:rsidR="00141B01" w:rsidRPr="0015154B">
        <w:rPr>
          <w:rFonts w:ascii="Times New Roman" w:hAnsi="Times New Roman" w:cs="Times New Roman"/>
          <w:sz w:val="24"/>
          <w:szCs w:val="24"/>
        </w:rPr>
        <w:t>āvirzās uz</w:t>
      </w:r>
      <w:r w:rsidRPr="0015154B">
        <w:rPr>
          <w:rFonts w:ascii="Times New Roman" w:hAnsi="Times New Roman" w:cs="Times New Roman"/>
          <w:sz w:val="24"/>
          <w:szCs w:val="24"/>
        </w:rPr>
        <w:t xml:space="preserve"> centralizāciju un jaunos risinājumus jāveido tā, lai tie atbilstu mūsdienu tehnoloģiskajām tendencēm, funkcionāli nepārklātos un veicinātu uzlabojumus IKT jomā</w:t>
      </w:r>
      <w:r w:rsidR="003D2755" w:rsidRPr="0015154B">
        <w:rPr>
          <w:rFonts w:ascii="Times New Roman" w:hAnsi="Times New Roman" w:cs="Times New Roman"/>
          <w:sz w:val="24"/>
          <w:szCs w:val="24"/>
        </w:rPr>
        <w:t>, samazinātu funkciju dublēšanos un administratīvajām funkcijām veltīto darba laiku un resursus.</w:t>
      </w:r>
    </w:p>
    <w:p w14:paraId="59BF86B8" w14:textId="5080C4A5" w:rsidR="00903C6E" w:rsidRPr="0015154B" w:rsidRDefault="00903C6E" w:rsidP="00B33541">
      <w:pPr>
        <w:spacing w:before="120" w:after="0" w:line="240" w:lineRule="auto"/>
        <w:ind w:firstLine="720"/>
        <w:jc w:val="both"/>
        <w:rPr>
          <w:rFonts w:ascii="Times New Roman" w:hAnsi="Times New Roman" w:cs="Times New Roman"/>
          <w:bCs/>
          <w:iCs/>
          <w:color w:val="000000" w:themeColor="text1"/>
          <w:sz w:val="24"/>
          <w:szCs w:val="24"/>
        </w:rPr>
      </w:pPr>
      <w:r w:rsidRPr="0015154B">
        <w:rPr>
          <w:rFonts w:ascii="Times New Roman" w:hAnsi="Times New Roman" w:cs="Times New Roman"/>
          <w:bCs/>
          <w:iCs/>
          <w:color w:val="000000" w:themeColor="text1"/>
          <w:sz w:val="24"/>
          <w:szCs w:val="24"/>
        </w:rPr>
        <w:t xml:space="preserve">Labklājības nozare ir aktīva elektronisko pakalpojumu piegādātāja Latvijas iedzīvotājiem, par ko ne reizi vien ir saņemta atzinība </w:t>
      </w:r>
      <w:r w:rsidR="002142D3" w:rsidRPr="0015154B">
        <w:rPr>
          <w:rFonts w:ascii="Times New Roman" w:hAnsi="Times New Roman" w:cs="Times New Roman"/>
          <w:bCs/>
          <w:iCs/>
          <w:color w:val="000000" w:themeColor="text1"/>
          <w:sz w:val="24"/>
          <w:szCs w:val="24"/>
        </w:rPr>
        <w:t xml:space="preserve">no </w:t>
      </w:r>
      <w:r w:rsidR="00287E2D" w:rsidRPr="0015154B">
        <w:rPr>
          <w:rFonts w:ascii="Times New Roman" w:hAnsi="Times New Roman" w:cs="Times New Roman"/>
          <w:bCs/>
          <w:iCs/>
          <w:color w:val="000000" w:themeColor="text1"/>
          <w:sz w:val="24"/>
          <w:szCs w:val="24"/>
        </w:rPr>
        <w:t>VARAM</w:t>
      </w:r>
      <w:r w:rsidR="002142D3" w:rsidRPr="0015154B">
        <w:rPr>
          <w:rFonts w:ascii="Times New Roman" w:hAnsi="Times New Roman" w:cs="Times New Roman"/>
          <w:bCs/>
          <w:iCs/>
          <w:color w:val="000000" w:themeColor="text1"/>
          <w:sz w:val="24"/>
          <w:szCs w:val="24"/>
        </w:rPr>
        <w:t xml:space="preserve"> un Latvijas informācijas un komunikācijas tehnoloģiju asociācijas </w:t>
      </w:r>
      <w:r w:rsidRPr="0015154B">
        <w:rPr>
          <w:rFonts w:ascii="Times New Roman" w:hAnsi="Times New Roman" w:cs="Times New Roman"/>
          <w:bCs/>
          <w:iCs/>
          <w:color w:val="000000" w:themeColor="text1"/>
          <w:sz w:val="24"/>
          <w:szCs w:val="24"/>
        </w:rPr>
        <w:t xml:space="preserve">par ieguldījumu pakalpojumu digitalizācijā, nodrošinot klientiem draudzīgu apkalpošanu. Valsts elektronisko pakalpojumu portālā Latvija.lv ir pieejama virkne e-iesniegumu, e-lēmumu, e-izziņu un daudzu citu elektronisku formu, ko nozares pakalpojumu pieprasītāji var pieprasīt un saņemt attālināti. </w:t>
      </w:r>
      <w:r w:rsidR="002142D3" w:rsidRPr="0015154B">
        <w:rPr>
          <w:rFonts w:ascii="Times New Roman" w:hAnsi="Times New Roman" w:cs="Times New Roman"/>
          <w:bCs/>
          <w:iCs/>
          <w:color w:val="000000" w:themeColor="text1"/>
          <w:sz w:val="24"/>
          <w:szCs w:val="24"/>
        </w:rPr>
        <w:t xml:space="preserve">Visaktīvāk tiek izmantoti VSAA e-pakalpojumi, bet ne mazāk nozīmīgi ir arī </w:t>
      </w:r>
      <w:r w:rsidR="00287E2D" w:rsidRPr="0015154B">
        <w:rPr>
          <w:rFonts w:ascii="Times New Roman" w:hAnsi="Times New Roman" w:cs="Times New Roman"/>
          <w:bCs/>
          <w:iCs/>
          <w:color w:val="000000" w:themeColor="text1"/>
          <w:sz w:val="24"/>
          <w:szCs w:val="24"/>
        </w:rPr>
        <w:t>VDI</w:t>
      </w:r>
      <w:r w:rsidR="002142D3" w:rsidRPr="0015154B">
        <w:rPr>
          <w:rFonts w:ascii="Times New Roman" w:hAnsi="Times New Roman" w:cs="Times New Roman"/>
          <w:bCs/>
          <w:iCs/>
          <w:color w:val="000000" w:themeColor="text1"/>
          <w:sz w:val="24"/>
          <w:szCs w:val="24"/>
        </w:rPr>
        <w:t xml:space="preserve"> pakalpojumi uzņēmējiem, </w:t>
      </w:r>
      <w:r w:rsidR="00287E2D" w:rsidRPr="0015154B">
        <w:rPr>
          <w:rFonts w:ascii="Times New Roman" w:hAnsi="Times New Roman" w:cs="Times New Roman"/>
          <w:bCs/>
          <w:iCs/>
          <w:color w:val="000000" w:themeColor="text1"/>
          <w:sz w:val="24"/>
          <w:szCs w:val="24"/>
        </w:rPr>
        <w:t>VDEĀVK</w:t>
      </w:r>
      <w:r w:rsidR="002142D3" w:rsidRPr="0015154B">
        <w:rPr>
          <w:rFonts w:ascii="Times New Roman" w:hAnsi="Times New Roman" w:cs="Times New Roman"/>
          <w:bCs/>
          <w:iCs/>
          <w:color w:val="000000" w:themeColor="text1"/>
          <w:sz w:val="24"/>
          <w:szCs w:val="24"/>
        </w:rPr>
        <w:t xml:space="preserve"> sniegtā informācija personām ar invaliditāti, </w:t>
      </w:r>
      <w:r w:rsidR="00287E2D" w:rsidRPr="0015154B">
        <w:rPr>
          <w:rFonts w:ascii="Times New Roman" w:hAnsi="Times New Roman" w:cs="Times New Roman"/>
          <w:bCs/>
          <w:iCs/>
          <w:color w:val="000000" w:themeColor="text1"/>
          <w:sz w:val="24"/>
          <w:szCs w:val="24"/>
        </w:rPr>
        <w:t>LM</w:t>
      </w:r>
      <w:r w:rsidR="002142D3" w:rsidRPr="0015154B">
        <w:rPr>
          <w:rFonts w:ascii="Times New Roman" w:hAnsi="Times New Roman" w:cs="Times New Roman"/>
          <w:bCs/>
          <w:iCs/>
          <w:color w:val="000000" w:themeColor="text1"/>
          <w:sz w:val="24"/>
          <w:szCs w:val="24"/>
        </w:rPr>
        <w:t xml:space="preserve"> e-pakalpojumi informācijas apstrādei sistēmā SPOLIS. </w:t>
      </w:r>
    </w:p>
    <w:p w14:paraId="6C0A2FDB" w14:textId="36FEEB59" w:rsidR="002142D3" w:rsidRPr="0015154B" w:rsidRDefault="002142D3" w:rsidP="00B33541">
      <w:pPr>
        <w:spacing w:before="120" w:after="0" w:line="240" w:lineRule="auto"/>
        <w:ind w:firstLine="720"/>
        <w:jc w:val="both"/>
        <w:rPr>
          <w:rFonts w:ascii="Times New Roman" w:hAnsi="Times New Roman" w:cs="Times New Roman"/>
          <w:bCs/>
          <w:iCs/>
          <w:color w:val="000000" w:themeColor="text1"/>
          <w:sz w:val="24"/>
          <w:szCs w:val="24"/>
        </w:rPr>
      </w:pPr>
      <w:r w:rsidRPr="0015154B">
        <w:rPr>
          <w:rFonts w:ascii="Times New Roman" w:hAnsi="Times New Roman" w:cs="Times New Roman"/>
          <w:bCs/>
          <w:iCs/>
          <w:color w:val="000000" w:themeColor="text1"/>
          <w:sz w:val="24"/>
          <w:szCs w:val="24"/>
        </w:rPr>
        <w:t>Nākamais solis e-pakalpojumu attīstībā ir to automatizācija un proaktīvas formas izstrāde, lai klientiem attiecīgajā dzīves situācijā pakalpojums tiktu piedāvāts, izmantojot valsts informācijas sistēmās pieejamiem datus un veicot to analīzi ar mākslīgā intelekta algoritmiem. Piemēram, ja bērns ir nācis pasaulē, tad valstij būtu proaktīvi jā</w:t>
      </w:r>
      <w:r w:rsidR="008C36DD" w:rsidRPr="0015154B">
        <w:rPr>
          <w:rFonts w:ascii="Times New Roman" w:hAnsi="Times New Roman" w:cs="Times New Roman"/>
          <w:bCs/>
          <w:iCs/>
          <w:color w:val="000000" w:themeColor="text1"/>
          <w:sz w:val="24"/>
          <w:szCs w:val="24"/>
        </w:rPr>
        <w:t>p</w:t>
      </w:r>
      <w:r w:rsidRPr="0015154B">
        <w:rPr>
          <w:rFonts w:ascii="Times New Roman" w:hAnsi="Times New Roman" w:cs="Times New Roman"/>
          <w:bCs/>
          <w:iCs/>
          <w:color w:val="000000" w:themeColor="text1"/>
          <w:sz w:val="24"/>
          <w:szCs w:val="24"/>
        </w:rPr>
        <w:t xml:space="preserve">iedāvā atbilstoši piederīgais pakalpojums, kā tas daļēji jau tiek realizēts ar slimības lapu apstrādi, iesaistot VSAA un NVD datu bāzes. </w:t>
      </w:r>
      <w:r w:rsidR="008C36DD" w:rsidRPr="0015154B">
        <w:rPr>
          <w:rFonts w:ascii="Times New Roman" w:hAnsi="Times New Roman" w:cs="Times New Roman"/>
          <w:bCs/>
          <w:iCs/>
          <w:color w:val="000000" w:themeColor="text1"/>
          <w:sz w:val="24"/>
          <w:szCs w:val="24"/>
        </w:rPr>
        <w:t xml:space="preserve">Izaicinājums ir arī datu kvalitāte, kas katras IS datu turētājam ir jānodrošina, ja notiek tik intensīva informācijas apmaiņa. </w:t>
      </w:r>
    </w:p>
    <w:p w14:paraId="639FD4DC" w14:textId="6D6DE838" w:rsidR="00C5571D" w:rsidRPr="0015154B" w:rsidRDefault="008C36DD" w:rsidP="00B33541">
      <w:pPr>
        <w:spacing w:before="120" w:after="0" w:line="240" w:lineRule="auto"/>
        <w:ind w:firstLine="720"/>
        <w:jc w:val="both"/>
        <w:rPr>
          <w:rFonts w:ascii="Times New Roman" w:hAnsi="Times New Roman" w:cs="Times New Roman"/>
          <w:bCs/>
          <w:iCs/>
          <w:color w:val="000000" w:themeColor="text1"/>
          <w:sz w:val="24"/>
          <w:szCs w:val="24"/>
        </w:rPr>
      </w:pPr>
      <w:r w:rsidRPr="0015154B">
        <w:rPr>
          <w:rFonts w:ascii="Times New Roman" w:hAnsi="Times New Roman" w:cs="Times New Roman"/>
          <w:bCs/>
          <w:iCs/>
          <w:color w:val="000000" w:themeColor="text1"/>
          <w:sz w:val="24"/>
          <w:szCs w:val="24"/>
        </w:rPr>
        <w:t xml:space="preserve">Samazinoties cilvēkkapitāla pieejamībai, iestādes vēlas pēc iespējas vairāk izmantot IKT piedāvātās iespējas un tas ir izaicinājums IS izstrādātājiem, kā veidot mērķarhitektūru, lai datus var izmantot atkārtoti un lai klienti paši varētu maksimāli iesaistīties pakalpojumu apstrādē. </w:t>
      </w:r>
      <w:r w:rsidR="00C5571D" w:rsidRPr="0015154B">
        <w:rPr>
          <w:rFonts w:ascii="Times New Roman" w:hAnsi="Times New Roman" w:cs="Times New Roman"/>
          <w:bCs/>
          <w:iCs/>
          <w:color w:val="000000" w:themeColor="text1"/>
          <w:sz w:val="24"/>
          <w:szCs w:val="24"/>
        </w:rPr>
        <w:t xml:space="preserve">VDI </w:t>
      </w:r>
      <w:r w:rsidRPr="0015154B">
        <w:rPr>
          <w:rFonts w:ascii="Times New Roman" w:hAnsi="Times New Roman" w:cs="Times New Roman"/>
          <w:bCs/>
          <w:iCs/>
          <w:color w:val="000000" w:themeColor="text1"/>
          <w:sz w:val="24"/>
          <w:szCs w:val="24"/>
        </w:rPr>
        <w:t xml:space="preserve">biznesa procesu attīstībai ir plānots pēc iespējas vairāk </w:t>
      </w:r>
      <w:r w:rsidR="00C5571D" w:rsidRPr="0015154B">
        <w:rPr>
          <w:rFonts w:ascii="Times New Roman" w:hAnsi="Times New Roman" w:cs="Times New Roman"/>
          <w:bCs/>
          <w:iCs/>
          <w:color w:val="000000" w:themeColor="text1"/>
          <w:sz w:val="24"/>
          <w:szCs w:val="24"/>
        </w:rPr>
        <w:t>piedāvāt uzņēmējiem IKT atbalsta rīkus risku pašnovērtējumam, jaunu pakalpojumu izmantošanai, e-mācību videi savu prasmju uzlabošanai. Pielietojot mākslīgā intelekta algoritmus un analītiku no pieejamiem starpresoru datu avotiem, VDI plāno preventīvi informēt un sniegt konsultācijas darba devējiem par iespējamiem pārkāpumiem nevis inspicēt un sodīt, kas ir jau sekundāra reakcija uz notikumu.</w:t>
      </w:r>
    </w:p>
    <w:p w14:paraId="2AE09A81" w14:textId="70957651" w:rsidR="0051576E" w:rsidRPr="0015154B" w:rsidRDefault="00C5571D" w:rsidP="00B33541">
      <w:pPr>
        <w:spacing w:before="120" w:after="0" w:line="240" w:lineRule="auto"/>
        <w:ind w:firstLine="720"/>
        <w:jc w:val="both"/>
        <w:rPr>
          <w:rFonts w:ascii="Times New Roman" w:hAnsi="Times New Roman" w:cs="Times New Roman"/>
          <w:bCs/>
          <w:iCs/>
          <w:color w:val="000000" w:themeColor="text1"/>
          <w:sz w:val="24"/>
          <w:szCs w:val="24"/>
        </w:rPr>
      </w:pPr>
      <w:r w:rsidRPr="0015154B">
        <w:rPr>
          <w:rFonts w:ascii="Times New Roman" w:hAnsi="Times New Roman" w:cs="Times New Roman"/>
          <w:bCs/>
          <w:iCs/>
          <w:color w:val="000000" w:themeColor="text1"/>
          <w:sz w:val="24"/>
          <w:szCs w:val="24"/>
        </w:rPr>
        <w:t xml:space="preserve">Būtiski izaicinājumi ir nozares pamatdarbības lielo informācijas sistēmu modernizācija. </w:t>
      </w:r>
      <w:r w:rsidR="00C00A2D" w:rsidRPr="0015154B">
        <w:rPr>
          <w:rFonts w:ascii="Times New Roman" w:hAnsi="Times New Roman" w:cs="Times New Roman"/>
          <w:bCs/>
          <w:iCs/>
          <w:color w:val="000000" w:themeColor="text1"/>
          <w:sz w:val="24"/>
          <w:szCs w:val="24"/>
        </w:rPr>
        <w:t>Būtiska ir</w:t>
      </w:r>
      <w:r w:rsidRPr="0015154B">
        <w:rPr>
          <w:rFonts w:ascii="Times New Roman" w:hAnsi="Times New Roman" w:cs="Times New Roman"/>
          <w:bCs/>
          <w:iCs/>
          <w:color w:val="000000" w:themeColor="text1"/>
          <w:sz w:val="24"/>
          <w:szCs w:val="24"/>
        </w:rPr>
        <w:t xml:space="preserve"> kritisk</w:t>
      </w:r>
      <w:r w:rsidR="0051576E" w:rsidRPr="0015154B">
        <w:rPr>
          <w:rFonts w:ascii="Times New Roman" w:hAnsi="Times New Roman" w:cs="Times New Roman"/>
          <w:bCs/>
          <w:iCs/>
          <w:color w:val="000000" w:themeColor="text1"/>
          <w:sz w:val="24"/>
          <w:szCs w:val="24"/>
        </w:rPr>
        <w:t>o</w:t>
      </w:r>
      <w:r w:rsidRPr="0015154B">
        <w:rPr>
          <w:rFonts w:ascii="Times New Roman" w:hAnsi="Times New Roman" w:cs="Times New Roman"/>
          <w:bCs/>
          <w:iCs/>
          <w:color w:val="000000" w:themeColor="text1"/>
          <w:sz w:val="24"/>
          <w:szCs w:val="24"/>
        </w:rPr>
        <w:t xml:space="preserve"> IS </w:t>
      </w:r>
      <w:r w:rsidR="0051576E" w:rsidRPr="0015154B">
        <w:rPr>
          <w:rFonts w:ascii="Times New Roman" w:hAnsi="Times New Roman" w:cs="Times New Roman"/>
          <w:bCs/>
          <w:iCs/>
          <w:color w:val="000000" w:themeColor="text1"/>
          <w:sz w:val="24"/>
          <w:szCs w:val="24"/>
        </w:rPr>
        <w:t xml:space="preserve">nepārtrauktas darbības nodrošināšana </w:t>
      </w:r>
      <w:r w:rsidRPr="0015154B">
        <w:rPr>
          <w:rFonts w:ascii="Times New Roman" w:hAnsi="Times New Roman" w:cs="Times New Roman"/>
          <w:bCs/>
          <w:iCs/>
          <w:color w:val="000000" w:themeColor="text1"/>
          <w:sz w:val="24"/>
          <w:szCs w:val="24"/>
        </w:rPr>
        <w:t>un to rezerves kopiju uzglabāšan</w:t>
      </w:r>
      <w:r w:rsidR="0051576E" w:rsidRPr="0015154B">
        <w:rPr>
          <w:rFonts w:ascii="Times New Roman" w:hAnsi="Times New Roman" w:cs="Times New Roman"/>
          <w:bCs/>
          <w:iCs/>
          <w:color w:val="000000" w:themeColor="text1"/>
          <w:sz w:val="24"/>
          <w:szCs w:val="24"/>
        </w:rPr>
        <w:t>a</w:t>
      </w:r>
      <w:r w:rsidRPr="0015154B">
        <w:rPr>
          <w:rFonts w:ascii="Times New Roman" w:hAnsi="Times New Roman" w:cs="Times New Roman"/>
          <w:bCs/>
          <w:iCs/>
          <w:color w:val="000000" w:themeColor="text1"/>
          <w:sz w:val="24"/>
          <w:szCs w:val="24"/>
        </w:rPr>
        <w:t xml:space="preserve"> attālinātos datu centros, lai mazinātu risku zaudēt datu kritisko masu. Vislielākā pēc apjoma un funkcijas nozarē ir Sociālās apdrošināšanas sistēma SAIS, kuras pārbūv</w:t>
      </w:r>
      <w:r w:rsidR="0051576E" w:rsidRPr="0015154B">
        <w:rPr>
          <w:rFonts w:ascii="Times New Roman" w:hAnsi="Times New Roman" w:cs="Times New Roman"/>
          <w:bCs/>
          <w:iCs/>
          <w:color w:val="000000" w:themeColor="text1"/>
          <w:sz w:val="24"/>
          <w:szCs w:val="24"/>
        </w:rPr>
        <w:t>e</w:t>
      </w:r>
      <w:r w:rsidRPr="0015154B">
        <w:rPr>
          <w:rFonts w:ascii="Times New Roman" w:hAnsi="Times New Roman" w:cs="Times New Roman"/>
          <w:bCs/>
          <w:iCs/>
          <w:color w:val="000000" w:themeColor="text1"/>
          <w:sz w:val="24"/>
          <w:szCs w:val="24"/>
        </w:rPr>
        <w:t xml:space="preserve"> ir </w:t>
      </w:r>
      <w:r w:rsidR="0051576E" w:rsidRPr="0015154B">
        <w:rPr>
          <w:rFonts w:ascii="Times New Roman" w:hAnsi="Times New Roman" w:cs="Times New Roman"/>
          <w:bCs/>
          <w:iCs/>
          <w:color w:val="000000" w:themeColor="text1"/>
          <w:sz w:val="24"/>
          <w:szCs w:val="24"/>
        </w:rPr>
        <w:t>plānota</w:t>
      </w:r>
      <w:r w:rsidRPr="0015154B">
        <w:rPr>
          <w:rFonts w:ascii="Times New Roman" w:hAnsi="Times New Roman" w:cs="Times New Roman"/>
          <w:bCs/>
          <w:iCs/>
          <w:color w:val="000000" w:themeColor="text1"/>
          <w:sz w:val="24"/>
          <w:szCs w:val="24"/>
        </w:rPr>
        <w:t xml:space="preserve"> 2021.-2027.g.</w:t>
      </w:r>
      <w:r w:rsidR="00BA30FB" w:rsidRPr="0015154B">
        <w:rPr>
          <w:rFonts w:ascii="Times New Roman" w:hAnsi="Times New Roman" w:cs="Times New Roman"/>
          <w:bCs/>
          <w:iCs/>
          <w:color w:val="000000" w:themeColor="text1"/>
          <w:sz w:val="24"/>
          <w:szCs w:val="24"/>
        </w:rPr>
        <w:t xml:space="preserve"> </w:t>
      </w:r>
      <w:r w:rsidRPr="0015154B">
        <w:rPr>
          <w:rFonts w:ascii="Times New Roman" w:hAnsi="Times New Roman" w:cs="Times New Roman"/>
          <w:bCs/>
          <w:iCs/>
          <w:color w:val="000000" w:themeColor="text1"/>
          <w:sz w:val="24"/>
          <w:szCs w:val="24"/>
        </w:rPr>
        <w:t>plānošanas periodā, lai apvienotu visus funkcionalitātes moduļus vienotā tehnoloģiskā risinājumā</w:t>
      </w:r>
      <w:r w:rsidR="009D04A1" w:rsidRPr="0015154B">
        <w:rPr>
          <w:rFonts w:ascii="Times New Roman" w:hAnsi="Times New Roman" w:cs="Times New Roman"/>
          <w:bCs/>
          <w:iCs/>
          <w:color w:val="000000" w:themeColor="text1"/>
          <w:sz w:val="24"/>
          <w:szCs w:val="24"/>
        </w:rPr>
        <w:t xml:space="preserve"> un iestrādātu datu apmaiņu ar citām valsts informācijas sistēmām</w:t>
      </w:r>
      <w:r w:rsidRPr="0015154B">
        <w:rPr>
          <w:rFonts w:ascii="Times New Roman" w:hAnsi="Times New Roman" w:cs="Times New Roman"/>
          <w:bCs/>
          <w:iCs/>
          <w:color w:val="000000" w:themeColor="text1"/>
          <w:sz w:val="24"/>
          <w:szCs w:val="24"/>
        </w:rPr>
        <w:t>.</w:t>
      </w:r>
      <w:r w:rsidR="00BA30FB" w:rsidRPr="0015154B">
        <w:rPr>
          <w:rFonts w:ascii="Times New Roman" w:hAnsi="Times New Roman" w:cs="Times New Roman"/>
          <w:bCs/>
          <w:iCs/>
          <w:color w:val="000000" w:themeColor="text1"/>
          <w:sz w:val="24"/>
          <w:szCs w:val="24"/>
        </w:rPr>
        <w:t xml:space="preserve"> </w:t>
      </w:r>
      <w:r w:rsidR="0051576E" w:rsidRPr="0015154B">
        <w:rPr>
          <w:rFonts w:ascii="Times New Roman" w:hAnsi="Times New Roman" w:cs="Times New Roman"/>
          <w:bCs/>
          <w:iCs/>
          <w:color w:val="000000" w:themeColor="text1"/>
          <w:sz w:val="24"/>
          <w:szCs w:val="24"/>
        </w:rPr>
        <w:t xml:space="preserve">Lai nodrošinātu datu elektronisku apmaiņu starp ES dalībvalstīm, Eiropas Ekonomikas zonas valstīm vai Šveices Konfederāciju (turpmāk – dalībvalstis), VSAA sadarbībā ar NVD īstenoja Latvijas sociālās drošības informācijas elektroniskās apmaiņas projektu “LatEESSI” (turpmāk – Projekts). Projekta ietvaros cita starpā  izveidota </w:t>
      </w:r>
      <w:bookmarkStart w:id="107" w:name="_Hlk29465595"/>
      <w:r w:rsidR="0051576E" w:rsidRPr="0015154B">
        <w:rPr>
          <w:rFonts w:ascii="Times New Roman" w:hAnsi="Times New Roman" w:cs="Times New Roman"/>
          <w:bCs/>
          <w:iCs/>
          <w:color w:val="000000" w:themeColor="text1"/>
          <w:sz w:val="24"/>
          <w:szCs w:val="24"/>
        </w:rPr>
        <w:t xml:space="preserve">starptautiskās sadarbības informācijas sistēma </w:t>
      </w:r>
      <w:bookmarkEnd w:id="107"/>
      <w:r w:rsidR="0051576E" w:rsidRPr="0015154B">
        <w:rPr>
          <w:rFonts w:ascii="Times New Roman" w:hAnsi="Times New Roman" w:cs="Times New Roman"/>
          <w:bCs/>
          <w:iCs/>
          <w:color w:val="000000" w:themeColor="text1"/>
          <w:sz w:val="24"/>
          <w:szCs w:val="24"/>
        </w:rPr>
        <w:t xml:space="preserve">(turpmāk – SSIS) un Nacionālā aplikācijas aizstājēja jeb Reference Implementation of National Implementation (turpmāk – RINA), kas nodrošina datu apmaiņu sociālās drošības jomā starp  dalībvalstīm. Būtiskākā aktivitāte saistīta ar programmatūras RINA pārņemšanu dalībvalstu uzturēšanā, kas prasīs gan juridisku, gan personāla, gan finanšu jautājumu </w:t>
      </w:r>
      <w:r w:rsidR="0051576E" w:rsidRPr="0015154B">
        <w:rPr>
          <w:rFonts w:ascii="Times New Roman" w:hAnsi="Times New Roman" w:cs="Times New Roman"/>
          <w:bCs/>
          <w:iCs/>
          <w:color w:val="000000" w:themeColor="text1"/>
          <w:sz w:val="24"/>
          <w:szCs w:val="24"/>
        </w:rPr>
        <w:lastRenderedPageBreak/>
        <w:t>risinājumus Latvijā, kas būs izaicinājums datu apmaiņā iesais</w:t>
      </w:r>
      <w:r w:rsidR="00CA0136">
        <w:rPr>
          <w:rFonts w:ascii="Times New Roman" w:hAnsi="Times New Roman" w:cs="Times New Roman"/>
          <w:bCs/>
          <w:iCs/>
          <w:color w:val="000000" w:themeColor="text1"/>
          <w:sz w:val="24"/>
          <w:szCs w:val="24"/>
        </w:rPr>
        <w:t>t</w:t>
      </w:r>
      <w:r w:rsidR="0051576E" w:rsidRPr="0015154B">
        <w:rPr>
          <w:rFonts w:ascii="Times New Roman" w:hAnsi="Times New Roman" w:cs="Times New Roman"/>
          <w:bCs/>
          <w:iCs/>
          <w:color w:val="000000" w:themeColor="text1"/>
          <w:sz w:val="24"/>
          <w:szCs w:val="24"/>
        </w:rPr>
        <w:t>ītajām institūcijām - VSAA un NV</w:t>
      </w:r>
      <w:r w:rsidR="00CA0136">
        <w:rPr>
          <w:rFonts w:ascii="Times New Roman" w:hAnsi="Times New Roman" w:cs="Times New Roman"/>
          <w:bCs/>
          <w:iCs/>
          <w:color w:val="000000" w:themeColor="text1"/>
          <w:sz w:val="24"/>
          <w:szCs w:val="24"/>
        </w:rPr>
        <w:t>D</w:t>
      </w:r>
      <w:r w:rsidR="0051576E" w:rsidRPr="0015154B">
        <w:rPr>
          <w:rFonts w:ascii="Times New Roman" w:hAnsi="Times New Roman" w:cs="Times New Roman"/>
          <w:bCs/>
          <w:iCs/>
          <w:color w:val="000000" w:themeColor="text1"/>
          <w:sz w:val="24"/>
          <w:szCs w:val="24"/>
        </w:rPr>
        <w:t>.</w:t>
      </w:r>
    </w:p>
    <w:p w14:paraId="6C978282" w14:textId="75F09DBF" w:rsidR="008C36DD" w:rsidRPr="0015154B" w:rsidRDefault="00BA30FB" w:rsidP="00B33541">
      <w:pPr>
        <w:spacing w:before="120" w:after="0" w:line="240" w:lineRule="auto"/>
        <w:ind w:firstLine="720"/>
        <w:jc w:val="both"/>
        <w:rPr>
          <w:rFonts w:ascii="Times New Roman" w:hAnsi="Times New Roman" w:cs="Times New Roman"/>
          <w:bCs/>
          <w:iCs/>
          <w:color w:val="000000" w:themeColor="text1"/>
          <w:sz w:val="24"/>
          <w:szCs w:val="24"/>
        </w:rPr>
      </w:pPr>
      <w:r w:rsidRPr="0015154B">
        <w:rPr>
          <w:rFonts w:ascii="Times New Roman" w:hAnsi="Times New Roman" w:cs="Times New Roman"/>
          <w:bCs/>
          <w:iCs/>
          <w:color w:val="000000" w:themeColor="text1"/>
          <w:sz w:val="24"/>
          <w:szCs w:val="24"/>
        </w:rPr>
        <w:t>Arī sociālās politikas monitoringa sistēma SPOLIS ir sasniegusi kritisko brieduma pakāpi, kad nav iespējama tālāka tehnoloģiska attīstība, lai iekļautos valstī noteiktajā IKT mērķarhitektūrā, kas valstās uz mikroservisiem. Datu apmaiņa starp sistēmām SPOLIS un pašvaldību sociālās palīdzības administrēšanas lietojumprogrammu SOPA ir tehniski smagnēja un finansiāli dārga uzturēšanā. Sociālo pakalpojumu attīstībai ir nepieciešams veidot kopēju abu sistēmu platformu e-aprūpe, lai nodrošinātu piekļuvi pakalpojumu datiem gan valsts iestādēm, gan pašvaldībām, gan komersantiem.</w:t>
      </w:r>
    </w:p>
    <w:p w14:paraId="3C55E447" w14:textId="47F450E8" w:rsidR="003F5246" w:rsidRPr="00A857F2" w:rsidRDefault="009741B1" w:rsidP="00B33541">
      <w:pPr>
        <w:spacing w:before="120" w:after="0" w:line="240" w:lineRule="auto"/>
        <w:ind w:firstLine="720"/>
        <w:jc w:val="both"/>
        <w:rPr>
          <w:rFonts w:ascii="Times New Roman" w:hAnsi="Times New Roman" w:cs="Times New Roman"/>
          <w:sz w:val="24"/>
          <w:szCs w:val="24"/>
        </w:rPr>
      </w:pPr>
      <w:r w:rsidRPr="0062076E">
        <w:rPr>
          <w:noProof/>
        </w:rPr>
        <mc:AlternateContent>
          <mc:Choice Requires="wpg">
            <w:drawing>
              <wp:anchor distT="45720" distB="45720" distL="182880" distR="182880" simplePos="0" relativeHeight="251669504" behindDoc="0" locked="0" layoutInCell="1" allowOverlap="1" wp14:anchorId="482B4F41" wp14:editId="48AD3AD4">
                <wp:simplePos x="0" y="0"/>
                <wp:positionH relativeFrom="margin">
                  <wp:align>center</wp:align>
                </wp:positionH>
                <wp:positionV relativeFrom="paragraph">
                  <wp:posOffset>2045970</wp:posOffset>
                </wp:positionV>
                <wp:extent cx="5476875" cy="2992120"/>
                <wp:effectExtent l="0" t="0" r="9525" b="0"/>
                <wp:wrapTopAndBottom/>
                <wp:docPr id="43" name="Group 43"/>
                <wp:cNvGraphicFramePr/>
                <a:graphic xmlns:a="http://schemas.openxmlformats.org/drawingml/2006/main">
                  <a:graphicData uri="http://schemas.microsoft.com/office/word/2010/wordprocessingGroup">
                    <wpg:wgp>
                      <wpg:cNvGrpSpPr/>
                      <wpg:grpSpPr>
                        <a:xfrm>
                          <a:off x="0" y="0"/>
                          <a:ext cx="5476875" cy="2992120"/>
                          <a:chOff x="0" y="0"/>
                          <a:chExt cx="3567448" cy="1539569"/>
                        </a:xfrm>
                      </wpg:grpSpPr>
                      <wps:wsp>
                        <wps:cNvPr id="44" name="Rectangle 44"/>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C2EA8C" w14:textId="09F1D2BF" w:rsidR="00D67CF6" w:rsidRPr="00D272D9" w:rsidRDefault="00D67CF6">
                              <w:pPr>
                                <w:jc w:val="center"/>
                                <w:rPr>
                                  <w:rFonts w:ascii="Times New Roman" w:eastAsiaTheme="majorEastAsia" w:hAnsi="Times New Roman" w:cs="Times New Roman"/>
                                  <w:b/>
                                  <w:color w:val="FFFFFF" w:themeColor="background1"/>
                                  <w:sz w:val="28"/>
                                  <w:szCs w:val="28"/>
                                </w:rPr>
                              </w:pPr>
                              <w:r w:rsidRPr="00D272D9">
                                <w:rPr>
                                  <w:rFonts w:ascii="Times New Roman" w:eastAsiaTheme="majorEastAsia" w:hAnsi="Times New Roman" w:cs="Times New Roman"/>
                                  <w:b/>
                                  <w:color w:val="FFFFFF" w:themeColor="background1"/>
                                  <w:sz w:val="28"/>
                                  <w:szCs w:val="28"/>
                                </w:rPr>
                                <w:t>IZAICINĀJUMI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 Box 45"/>
                        <wps:cNvSpPr txBox="1"/>
                        <wps:spPr>
                          <a:xfrm>
                            <a:off x="0" y="252695"/>
                            <a:ext cx="3567448" cy="1286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6E8BB7" w14:textId="55279B0C" w:rsidR="00D67CF6" w:rsidRPr="00A64ACD" w:rsidRDefault="00D67CF6" w:rsidP="00974071">
                              <w:pPr>
                                <w:pStyle w:val="ListParagraph"/>
                                <w:numPr>
                                  <w:ilvl w:val="0"/>
                                  <w:numId w:val="27"/>
                                </w:numPr>
                                <w:spacing w:after="0" w:line="240" w:lineRule="auto"/>
                                <w:jc w:val="both"/>
                                <w:rPr>
                                  <w:rFonts w:ascii="Times New Roman" w:hAnsi="Times New Roman" w:cs="Times New Roman"/>
                                  <w:color w:val="3E762A" w:themeColor="accent1" w:themeShade="BF"/>
                                  <w:sz w:val="24"/>
                                  <w:szCs w:val="24"/>
                                </w:rPr>
                              </w:pPr>
                              <w:r w:rsidRPr="00A64ACD">
                                <w:rPr>
                                  <w:rFonts w:ascii="Times New Roman" w:hAnsi="Times New Roman" w:cs="Times New Roman"/>
                                  <w:color w:val="3E762A" w:themeColor="accent1" w:themeShade="BF"/>
                                  <w:sz w:val="24"/>
                                  <w:szCs w:val="24"/>
                                </w:rPr>
                                <w:t>LM resorā nodarbināto novecošanās un augstā personāla mainība</w:t>
                              </w:r>
                            </w:p>
                            <w:p w14:paraId="54D1F5E5" w14:textId="190F5393" w:rsidR="00D67CF6" w:rsidRPr="005C3800" w:rsidRDefault="00D67CF6" w:rsidP="00974071">
                              <w:pPr>
                                <w:pStyle w:val="ListParagraph"/>
                                <w:numPr>
                                  <w:ilvl w:val="0"/>
                                  <w:numId w:val="46"/>
                                </w:numPr>
                                <w:spacing w:after="0" w:line="240" w:lineRule="auto"/>
                                <w:ind w:left="714" w:hanging="357"/>
                                <w:rPr>
                                  <w:caps/>
                                  <w:color w:val="3E762A" w:themeColor="accent1" w:themeShade="BF"/>
                                  <w:sz w:val="26"/>
                                  <w:szCs w:val="26"/>
                                </w:rPr>
                              </w:pPr>
                              <w:r w:rsidRPr="00A64ACD">
                                <w:rPr>
                                  <w:rFonts w:ascii="Times New Roman" w:hAnsi="Times New Roman" w:cs="Times New Roman"/>
                                  <w:color w:val="3E762A" w:themeColor="accent1" w:themeShade="BF"/>
                                  <w:sz w:val="24"/>
                                  <w:szCs w:val="24"/>
                                </w:rPr>
                                <w:t>Nekonkurētspējīgs atalgojums LM resora iestādēs gan salīdzinājumā ar privāto sektoru, gan citām valsts pārvaldes institūcijām</w:t>
                              </w:r>
                            </w:p>
                            <w:p w14:paraId="7C05DD74" w14:textId="094AED95" w:rsidR="00D67CF6" w:rsidRPr="0062156B"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D</w:t>
                              </w:r>
                              <w:r w:rsidRPr="0062156B">
                                <w:rPr>
                                  <w:rFonts w:ascii="Times New Roman" w:hAnsi="Times New Roman" w:cs="Times New Roman"/>
                                  <w:color w:val="3E762A" w:themeColor="accent1" w:themeShade="BF"/>
                                  <w:sz w:val="24"/>
                                  <w:szCs w:val="24"/>
                                </w:rPr>
                                <w:t>arbinieku profesionālās izdegšanas riska palielin</w:t>
                              </w:r>
                              <w:r>
                                <w:rPr>
                                  <w:rFonts w:ascii="Times New Roman" w:hAnsi="Times New Roman" w:cs="Times New Roman"/>
                                  <w:color w:val="3E762A" w:themeColor="accent1" w:themeShade="BF"/>
                                  <w:sz w:val="24"/>
                                  <w:szCs w:val="24"/>
                                </w:rPr>
                                <w:t>āš</w:t>
                              </w:r>
                              <w:r w:rsidRPr="0062156B">
                                <w:rPr>
                                  <w:rFonts w:ascii="Times New Roman" w:hAnsi="Times New Roman" w:cs="Times New Roman"/>
                                  <w:color w:val="3E762A" w:themeColor="accent1" w:themeShade="BF"/>
                                  <w:sz w:val="24"/>
                                  <w:szCs w:val="24"/>
                                </w:rPr>
                                <w:t>anās</w:t>
                              </w:r>
                            </w:p>
                            <w:p w14:paraId="7D2ECF1F" w14:textId="38B33877" w:rsidR="00D67CF6"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Integrētās pieejas personu ar invaliditāti, sieviešu un vīriešu vienlīdzīgu tiesību un iespēju nodrošināšanā ieviešana visos politikas plānošanas posmos un plānošanas līmeņos</w:t>
                              </w:r>
                            </w:p>
                            <w:p w14:paraId="2EFC1E8B" w14:textId="3C21F132" w:rsidR="00D67CF6"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sidRPr="000C0574">
                                <w:rPr>
                                  <w:rFonts w:ascii="Times New Roman" w:hAnsi="Times New Roman" w:cs="Times New Roman"/>
                                  <w:color w:val="3E762A" w:themeColor="accent1" w:themeShade="BF"/>
                                  <w:sz w:val="24"/>
                                  <w:szCs w:val="24"/>
                                </w:rPr>
                                <w:t>Zems iedzīvotāju finanšu pratības līmenis, kas var negatīvi ietekmēt ienākumu līmeni un iesaisti nodarbinātībā</w:t>
                              </w:r>
                            </w:p>
                            <w:p w14:paraId="55F0F12B" w14:textId="6AC09777" w:rsidR="00D67CF6" w:rsidRPr="009741B1"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Pilnīgas, kvalitatīvas un savlaicīgas informācijas/ datu pieejamības  un datu analīzes metožu un instrumentu nodrošināšana</w:t>
                              </w:r>
                            </w:p>
                            <w:p w14:paraId="065D0256" w14:textId="2DDA9725" w:rsidR="00D67CF6"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sidRPr="006271CA">
                                <w:rPr>
                                  <w:rFonts w:ascii="Times New Roman" w:hAnsi="Times New Roman" w:cs="Times New Roman"/>
                                  <w:color w:val="3E762A" w:themeColor="accent1" w:themeShade="BF"/>
                                  <w:sz w:val="24"/>
                                  <w:szCs w:val="24"/>
                                </w:rPr>
                                <w:t>Atšķirīgas un/vai novecojušas tehnoloģiskās platformas, kas apgrūtina iespēju savienot sistēmas vienotā platformā un centralizēti tās pārvaldīt</w:t>
                              </w:r>
                            </w:p>
                            <w:p w14:paraId="35E523BC" w14:textId="70A45FC0" w:rsidR="00D67CF6" w:rsidRPr="006271CA"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sidRPr="006271CA">
                                <w:rPr>
                                  <w:rFonts w:ascii="Times New Roman" w:hAnsi="Times New Roman" w:cs="Times New Roman"/>
                                  <w:color w:val="3E762A" w:themeColor="accent1" w:themeShade="BF"/>
                                  <w:sz w:val="24"/>
                                  <w:szCs w:val="24"/>
                                </w:rPr>
                                <w:t>Nozares pamatdarbības lielo informācijas sistēmu modernizācija</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2B4F41" id="Group 43" o:spid="_x0000_s1060" style="position:absolute;left:0;text-align:left;margin-left:0;margin-top:161.1pt;width:431.25pt;height:235.6pt;z-index:251669504;mso-wrap-distance-left:14.4pt;mso-wrap-distance-top:3.6pt;mso-wrap-distance-right:14.4pt;mso-wrap-distance-bottom:3.6pt;mso-position-horizontal:center;mso-position-horizontal-relative:margin;mso-position-vertical-relative:text;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">
                <v:rect id="Rectangle 44" o:spid="_x0000_s106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" fillcolor="#549e39 [3204]" stroked="f" strokeweight="1pt">
                  <v:textbox>
                    <w:txbxContent>
                      <w:p w14:paraId="32C2EA8C" w14:textId="09F1D2BF" w:rsidR="00D67CF6" w:rsidRPr="00D272D9" w:rsidRDefault="00D67CF6">
                        <w:pPr>
                          <w:jc w:val="center"/>
                          <w:rPr>
                            <w:rFonts w:ascii="Times New Roman" w:eastAsiaTheme="majorEastAsia" w:hAnsi="Times New Roman" w:cs="Times New Roman"/>
                            <w:b/>
                            <w:color w:val="FFFFFF" w:themeColor="background1"/>
                            <w:sz w:val="28"/>
                            <w:szCs w:val="28"/>
                          </w:rPr>
                        </w:pPr>
                        <w:r w:rsidRPr="00D272D9">
                          <w:rPr>
                            <w:rFonts w:ascii="Times New Roman" w:eastAsiaTheme="majorEastAsia" w:hAnsi="Times New Roman" w:cs="Times New Roman"/>
                            <w:b/>
                            <w:color w:val="FFFFFF" w:themeColor="background1"/>
                            <w:sz w:val="28"/>
                            <w:szCs w:val="28"/>
                          </w:rPr>
                          <w:t>IZAICINĀJUMI</w:t>
                        </w:r>
                      </w:p>
                    </w:txbxContent>
                  </v:textbox>
                </v:rect>
                <v:shape id="Text Box 45" o:spid="_x0000_s1062"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" filled="f" stroked="f" strokeweight=".5pt">
                  <v:textbox inset=",7.2pt,,0">
                    <w:txbxContent>
                      <w:p w14:paraId="4D6E8BB7" w14:textId="55279B0C" w:rsidR="00D67CF6" w:rsidRPr="00A64ACD" w:rsidRDefault="00D67CF6" w:rsidP="00974071">
                        <w:pPr>
                          <w:pStyle w:val="ListParagraph"/>
                          <w:numPr>
                            <w:ilvl w:val="0"/>
                            <w:numId w:val="27"/>
                          </w:numPr>
                          <w:spacing w:after="0" w:line="240" w:lineRule="auto"/>
                          <w:jc w:val="both"/>
                          <w:rPr>
                            <w:rFonts w:ascii="Times New Roman" w:hAnsi="Times New Roman" w:cs="Times New Roman"/>
                            <w:color w:val="3E762A" w:themeColor="accent1" w:themeShade="BF"/>
                            <w:sz w:val="24"/>
                            <w:szCs w:val="24"/>
                          </w:rPr>
                        </w:pPr>
                        <w:r w:rsidRPr="00A64ACD">
                          <w:rPr>
                            <w:rFonts w:ascii="Times New Roman" w:hAnsi="Times New Roman" w:cs="Times New Roman"/>
                            <w:color w:val="3E762A" w:themeColor="accent1" w:themeShade="BF"/>
                            <w:sz w:val="24"/>
                            <w:szCs w:val="24"/>
                          </w:rPr>
                          <w:t>LM resorā nodarbināto novecošanās un augstā personāla mainība</w:t>
                        </w:r>
                      </w:p>
                      <w:p w14:paraId="54D1F5E5" w14:textId="190F5393" w:rsidR="00D67CF6" w:rsidRPr="005C3800" w:rsidRDefault="00D67CF6" w:rsidP="00974071">
                        <w:pPr>
                          <w:pStyle w:val="ListParagraph"/>
                          <w:numPr>
                            <w:ilvl w:val="0"/>
                            <w:numId w:val="46"/>
                          </w:numPr>
                          <w:spacing w:after="0" w:line="240" w:lineRule="auto"/>
                          <w:ind w:left="714" w:hanging="357"/>
                          <w:rPr>
                            <w:caps/>
                            <w:color w:val="3E762A" w:themeColor="accent1" w:themeShade="BF"/>
                            <w:sz w:val="26"/>
                            <w:szCs w:val="26"/>
                          </w:rPr>
                        </w:pPr>
                        <w:r w:rsidRPr="00A64ACD">
                          <w:rPr>
                            <w:rFonts w:ascii="Times New Roman" w:hAnsi="Times New Roman" w:cs="Times New Roman"/>
                            <w:color w:val="3E762A" w:themeColor="accent1" w:themeShade="BF"/>
                            <w:sz w:val="24"/>
                            <w:szCs w:val="24"/>
                          </w:rPr>
                          <w:t>Nekonkurētspējīgs atalgojums LM resora iestādēs gan salīdzinājumā ar privāto sektoru, gan citām valsts pārvaldes institūcijām</w:t>
                        </w:r>
                      </w:p>
                      <w:p w14:paraId="7C05DD74" w14:textId="094AED95" w:rsidR="00D67CF6" w:rsidRPr="0062156B"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D</w:t>
                        </w:r>
                        <w:r w:rsidRPr="0062156B">
                          <w:rPr>
                            <w:rFonts w:ascii="Times New Roman" w:hAnsi="Times New Roman" w:cs="Times New Roman"/>
                            <w:color w:val="3E762A" w:themeColor="accent1" w:themeShade="BF"/>
                            <w:sz w:val="24"/>
                            <w:szCs w:val="24"/>
                          </w:rPr>
                          <w:t>arbinieku profesionālās izdegšanas riska palielin</w:t>
                        </w:r>
                        <w:r>
                          <w:rPr>
                            <w:rFonts w:ascii="Times New Roman" w:hAnsi="Times New Roman" w:cs="Times New Roman"/>
                            <w:color w:val="3E762A" w:themeColor="accent1" w:themeShade="BF"/>
                            <w:sz w:val="24"/>
                            <w:szCs w:val="24"/>
                          </w:rPr>
                          <w:t>āš</w:t>
                        </w:r>
                        <w:r w:rsidRPr="0062156B">
                          <w:rPr>
                            <w:rFonts w:ascii="Times New Roman" w:hAnsi="Times New Roman" w:cs="Times New Roman"/>
                            <w:color w:val="3E762A" w:themeColor="accent1" w:themeShade="BF"/>
                            <w:sz w:val="24"/>
                            <w:szCs w:val="24"/>
                          </w:rPr>
                          <w:t>anās</w:t>
                        </w:r>
                      </w:p>
                      <w:p w14:paraId="7D2ECF1F" w14:textId="38B33877" w:rsidR="00D67CF6"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Integrētās pieejas personu ar invaliditāti, sieviešu un vīriešu vienlīdzīgu tiesību un iespēju nodrošināšanā ieviešana visos politikas plānošanas posmos un plānošanas līmeņos</w:t>
                        </w:r>
                      </w:p>
                      <w:p w14:paraId="2EFC1E8B" w14:textId="3C21F132" w:rsidR="00D67CF6"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sidRPr="000C0574">
                          <w:rPr>
                            <w:rFonts w:ascii="Times New Roman" w:hAnsi="Times New Roman" w:cs="Times New Roman"/>
                            <w:color w:val="3E762A" w:themeColor="accent1" w:themeShade="BF"/>
                            <w:sz w:val="24"/>
                            <w:szCs w:val="24"/>
                          </w:rPr>
                          <w:t>Zems iedzīvotāju finanšu pratības līmenis, kas var negatīvi ietekmēt ienākumu līmeni un iesaisti nodarbinātībā</w:t>
                        </w:r>
                      </w:p>
                      <w:p w14:paraId="55F0F12B" w14:textId="6AC09777" w:rsidR="00D67CF6" w:rsidRPr="009741B1"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Pr>
                            <w:rFonts w:ascii="Times New Roman" w:hAnsi="Times New Roman" w:cs="Times New Roman"/>
                            <w:color w:val="3E762A" w:themeColor="accent1" w:themeShade="BF"/>
                            <w:sz w:val="24"/>
                            <w:szCs w:val="24"/>
                          </w:rPr>
                          <w:t>Pilnīgas, kvalitatīvas un savlaicīgas informācijas/ datu pieejamības  un datu analīzes metožu un instrumentu nodrošināšana</w:t>
                        </w:r>
                      </w:p>
                      <w:p w14:paraId="065D0256" w14:textId="2DDA9725" w:rsidR="00D67CF6"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sidRPr="006271CA">
                          <w:rPr>
                            <w:rFonts w:ascii="Times New Roman" w:hAnsi="Times New Roman" w:cs="Times New Roman"/>
                            <w:color w:val="3E762A" w:themeColor="accent1" w:themeShade="BF"/>
                            <w:sz w:val="24"/>
                            <w:szCs w:val="24"/>
                          </w:rPr>
                          <w:t>Atšķirīgas un/vai novecojušas tehnoloģiskās platformas, kas apgrūtina iespēju savienot sistēmas vienotā platformā un centralizēti tās pārvaldīt</w:t>
                        </w:r>
                      </w:p>
                      <w:p w14:paraId="35E523BC" w14:textId="70A45FC0" w:rsidR="00D67CF6" w:rsidRPr="006271CA" w:rsidRDefault="00D67CF6" w:rsidP="00974071">
                        <w:pPr>
                          <w:pStyle w:val="ListParagraph"/>
                          <w:numPr>
                            <w:ilvl w:val="0"/>
                            <w:numId w:val="46"/>
                          </w:numPr>
                          <w:spacing w:after="0" w:line="240" w:lineRule="auto"/>
                          <w:ind w:left="714" w:hanging="357"/>
                          <w:rPr>
                            <w:rFonts w:ascii="Times New Roman" w:hAnsi="Times New Roman" w:cs="Times New Roman"/>
                            <w:color w:val="3E762A" w:themeColor="accent1" w:themeShade="BF"/>
                            <w:sz w:val="24"/>
                            <w:szCs w:val="24"/>
                          </w:rPr>
                        </w:pPr>
                        <w:r w:rsidRPr="006271CA">
                          <w:rPr>
                            <w:rFonts w:ascii="Times New Roman" w:hAnsi="Times New Roman" w:cs="Times New Roman"/>
                            <w:color w:val="3E762A" w:themeColor="accent1" w:themeShade="BF"/>
                            <w:sz w:val="24"/>
                            <w:szCs w:val="24"/>
                          </w:rPr>
                          <w:t>Nozares pamatdarbības lielo informācijas sistēmu modernizācija</w:t>
                        </w:r>
                      </w:p>
                    </w:txbxContent>
                  </v:textbox>
                </v:shape>
                <w10:wrap type="topAndBottom" anchorx="margin"/>
              </v:group>
            </w:pict>
          </mc:Fallback>
        </mc:AlternateContent>
      </w:r>
      <w:r w:rsidR="00BA30FB" w:rsidRPr="007157D3">
        <w:rPr>
          <w:rFonts w:ascii="Times New Roman" w:hAnsi="Times New Roman" w:cs="Times New Roman"/>
          <w:bCs/>
          <w:iCs/>
          <w:color w:val="000000" w:themeColor="text1"/>
          <w:sz w:val="24"/>
          <w:szCs w:val="24"/>
        </w:rPr>
        <w:t xml:space="preserve">Labklājības nozares IKT attīstība cieši saistīta ar VARAM </w:t>
      </w:r>
      <w:r w:rsidR="0051576E" w:rsidRPr="007157D3">
        <w:rPr>
          <w:rFonts w:ascii="Times New Roman" w:hAnsi="Times New Roman" w:cs="Times New Roman"/>
          <w:bCs/>
          <w:iCs/>
          <w:color w:val="000000" w:themeColor="text1"/>
          <w:sz w:val="24"/>
          <w:szCs w:val="24"/>
        </w:rPr>
        <w:t>noteikto pieeju</w:t>
      </w:r>
      <w:r w:rsidR="00BA30FB" w:rsidRPr="007157D3">
        <w:rPr>
          <w:rFonts w:ascii="Times New Roman" w:hAnsi="Times New Roman" w:cs="Times New Roman"/>
          <w:bCs/>
          <w:iCs/>
          <w:color w:val="000000" w:themeColor="text1"/>
          <w:sz w:val="24"/>
          <w:szCs w:val="24"/>
        </w:rPr>
        <w:t>, kā veidot efektīvu IKT pārvaldību valsts līmenī, izmantojot katra IKT pakalpojuma sniedzēja kompetenci. VSAA datu centra pieredze ir novērtēta, to iekļaujot plāno</w:t>
      </w:r>
      <w:r w:rsidR="00BA30FB" w:rsidRPr="002F5278">
        <w:rPr>
          <w:rFonts w:ascii="Times New Roman" w:hAnsi="Times New Roman" w:cs="Times New Roman"/>
          <w:bCs/>
          <w:iCs/>
          <w:color w:val="000000" w:themeColor="text1"/>
          <w:sz w:val="24"/>
          <w:szCs w:val="24"/>
        </w:rPr>
        <w:t xml:space="preserve">to kompetenču centru ezerā. LM plāno 2023.gadā pēc </w:t>
      </w:r>
      <w:r w:rsidR="00CA0136">
        <w:rPr>
          <w:rFonts w:ascii="Times New Roman" w:hAnsi="Times New Roman" w:cs="Times New Roman"/>
          <w:bCs/>
          <w:iCs/>
          <w:color w:val="000000" w:themeColor="text1"/>
          <w:sz w:val="24"/>
          <w:szCs w:val="24"/>
        </w:rPr>
        <w:t>l</w:t>
      </w:r>
      <w:r w:rsidR="00BA30FB" w:rsidRPr="002F5278">
        <w:rPr>
          <w:rFonts w:ascii="Times New Roman" w:hAnsi="Times New Roman" w:cs="Times New Roman"/>
          <w:bCs/>
          <w:iCs/>
          <w:color w:val="000000" w:themeColor="text1"/>
          <w:sz w:val="24"/>
          <w:szCs w:val="24"/>
        </w:rPr>
        <w:t>abklājības nozares IKT centralizācijas projekta pab</w:t>
      </w:r>
      <w:r w:rsidR="00BA30FB" w:rsidRPr="00573B49">
        <w:rPr>
          <w:rFonts w:ascii="Times New Roman" w:hAnsi="Times New Roman" w:cs="Times New Roman"/>
          <w:bCs/>
          <w:iCs/>
          <w:color w:val="000000" w:themeColor="text1"/>
          <w:sz w:val="24"/>
          <w:szCs w:val="24"/>
        </w:rPr>
        <w:t>eigšanas nodrošināt infrastruktūras pakalpojumus arī citu resoru iestādēm. Protams, izaicinājums ir veiksm</w:t>
      </w:r>
      <w:r w:rsidR="009D04A1" w:rsidRPr="00573B49">
        <w:rPr>
          <w:rFonts w:ascii="Times New Roman" w:hAnsi="Times New Roman" w:cs="Times New Roman"/>
          <w:bCs/>
          <w:iCs/>
          <w:color w:val="000000" w:themeColor="text1"/>
          <w:sz w:val="24"/>
          <w:szCs w:val="24"/>
        </w:rPr>
        <w:t xml:space="preserve">īga projekta realizācija. Papildu nozare IKT </w:t>
      </w:r>
      <w:r w:rsidR="0062076E">
        <w:rPr>
          <w:rFonts w:ascii="Times New Roman" w:hAnsi="Times New Roman" w:cs="Times New Roman"/>
          <w:bCs/>
          <w:iCs/>
          <w:color w:val="000000" w:themeColor="text1"/>
          <w:sz w:val="24"/>
          <w:szCs w:val="24"/>
        </w:rPr>
        <w:t>attīstība</w:t>
      </w:r>
      <w:r w:rsidR="009D04A1" w:rsidRPr="00573B49">
        <w:rPr>
          <w:rFonts w:ascii="Times New Roman" w:hAnsi="Times New Roman" w:cs="Times New Roman"/>
          <w:bCs/>
          <w:iCs/>
          <w:color w:val="000000" w:themeColor="text1"/>
          <w:sz w:val="24"/>
          <w:szCs w:val="24"/>
        </w:rPr>
        <w:t xml:space="preserve"> tiek salāgota ar valsts IKT projektu rezultātiem, piemēram, iestādes pakāpeniski pāriet uz jauna formāta tīmekļvietnes mājas lapām, lai paaugstinātu kvalitāti lietojamības kritērijiem, it īpaši personām ar redzes vai dzirdes traucējumiem. Vienots mājas lapu dizains visām valsts iestādēm uzlabo lietotājam navigāciju informācijas meklējumos</w:t>
      </w:r>
      <w:r w:rsidR="0051576E" w:rsidRPr="0025422D">
        <w:rPr>
          <w:rFonts w:ascii="Times New Roman" w:hAnsi="Times New Roman" w:cs="Times New Roman"/>
          <w:bCs/>
          <w:iCs/>
          <w:color w:val="000000" w:themeColor="text1"/>
          <w:sz w:val="24"/>
          <w:szCs w:val="24"/>
        </w:rPr>
        <w:t>.</w:t>
      </w:r>
    </w:p>
    <w:sectPr w:rsidR="003F5246" w:rsidRPr="00A857F2" w:rsidSect="00A97B2B">
      <w:headerReference w:type="default" r:id="rId5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5125" w14:textId="77777777" w:rsidR="00D67CF6" w:rsidRDefault="00D67CF6" w:rsidP="00200837">
      <w:pPr>
        <w:spacing w:after="0" w:line="240" w:lineRule="auto"/>
      </w:pPr>
      <w:r>
        <w:separator/>
      </w:r>
    </w:p>
  </w:endnote>
  <w:endnote w:type="continuationSeparator" w:id="0">
    <w:p w14:paraId="6D556438" w14:textId="77777777" w:rsidR="00D67CF6" w:rsidRDefault="00D67CF6" w:rsidP="00200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DaxlinePro-Regular">
    <w:altName w:val="Arial"/>
    <w:panose1 w:val="00000000000000000000"/>
    <w:charset w:val="EE"/>
    <w:family w:val="swiss"/>
    <w:notTrueType/>
    <w:pitch w:val="default"/>
    <w:sig w:usb0="00000005" w:usb1="00000000" w:usb2="00000000" w:usb3="00000000" w:csb0="00000002" w:csb1="00000000"/>
  </w:font>
  <w:font w:name="Marlett">
    <w:panose1 w:val="00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EE"/>
    <w:family w:val="auto"/>
    <w:notTrueType/>
    <w:pitch w:val="default"/>
    <w:sig w:usb0="00000007" w:usb1="00000000" w:usb2="00000000" w:usb3="00000000" w:csb0="00000003" w:csb1="00000000"/>
  </w:font>
  <w:font w:name="Times New Roman,Italic">
    <w:altName w:val="MS Gothic"/>
    <w:panose1 w:val="00000000000000000000"/>
    <w:charset w:val="80"/>
    <w:family w:val="auto"/>
    <w:notTrueType/>
    <w:pitch w:val="default"/>
    <w:sig w:usb0="00000000"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736E3" w14:textId="77777777" w:rsidR="00D67CF6" w:rsidRDefault="00D67CF6" w:rsidP="00200837">
      <w:pPr>
        <w:spacing w:after="0" w:line="240" w:lineRule="auto"/>
      </w:pPr>
      <w:r>
        <w:separator/>
      </w:r>
    </w:p>
  </w:footnote>
  <w:footnote w:type="continuationSeparator" w:id="0">
    <w:p w14:paraId="332D2BAA" w14:textId="77777777" w:rsidR="00D67CF6" w:rsidRDefault="00D67CF6" w:rsidP="00200837">
      <w:pPr>
        <w:spacing w:after="0" w:line="240" w:lineRule="auto"/>
      </w:pPr>
      <w:r>
        <w:continuationSeparator/>
      </w:r>
    </w:p>
  </w:footnote>
  <w:footnote w:id="1">
    <w:p w14:paraId="056F05C5" w14:textId="05B1D01B" w:rsidR="00D67CF6" w:rsidRPr="001413AC" w:rsidRDefault="00D67CF6" w:rsidP="001413AC">
      <w:pPr>
        <w:pStyle w:val="FootnoteText"/>
        <w:spacing w:after="0" w:line="240" w:lineRule="auto"/>
        <w:rPr>
          <w:rFonts w:ascii="Times New Roman" w:hAnsi="Times New Roman"/>
          <w:lang w:val="lv-LV"/>
        </w:rPr>
      </w:pPr>
      <w:r w:rsidRPr="001413AC">
        <w:rPr>
          <w:rStyle w:val="FootnoteReference"/>
          <w:rFonts w:ascii="Times New Roman" w:hAnsi="Times New Roman"/>
        </w:rPr>
        <w:footnoteRef/>
      </w:r>
      <w:r w:rsidRPr="001413AC">
        <w:rPr>
          <w:rFonts w:ascii="Times New Roman" w:hAnsi="Times New Roman"/>
        </w:rPr>
        <w:t xml:space="preserve"> </w:t>
      </w:r>
      <w:r>
        <w:rPr>
          <w:rFonts w:ascii="Times New Roman" w:hAnsi="Times New Roman"/>
          <w:lang w:val="lv-LV"/>
        </w:rPr>
        <w:t xml:space="preserve">Eirostat datu bāze, </w:t>
      </w:r>
      <w:r w:rsidRPr="001413AC">
        <w:rPr>
          <w:rFonts w:ascii="Times New Roman" w:hAnsi="Times New Roman"/>
          <w:lang w:val="lv-LV"/>
        </w:rPr>
        <w:t xml:space="preserve">datu tabula [demo_gind] </w:t>
      </w:r>
    </w:p>
  </w:footnote>
  <w:footnote w:id="2">
    <w:p w14:paraId="3E4327D8" w14:textId="77777777" w:rsidR="00D67CF6" w:rsidRPr="00D671DD" w:rsidRDefault="00D67CF6" w:rsidP="00D671DD">
      <w:pPr>
        <w:pStyle w:val="FootnoteText"/>
        <w:spacing w:after="0" w:line="240" w:lineRule="auto"/>
        <w:rPr>
          <w:rFonts w:ascii="Times New Roman" w:hAnsi="Times New Roman"/>
          <w:lang w:val="lv-LV"/>
        </w:rPr>
      </w:pPr>
      <w:r w:rsidRPr="00D671DD">
        <w:rPr>
          <w:rStyle w:val="FootnoteReference"/>
          <w:rFonts w:ascii="Times New Roman" w:hAnsi="Times New Roman"/>
        </w:rPr>
        <w:footnoteRef/>
      </w:r>
      <w:r w:rsidRPr="00D671DD">
        <w:rPr>
          <w:rFonts w:ascii="Times New Roman" w:hAnsi="Times New Roman"/>
        </w:rPr>
        <w:t xml:space="preserve"> </w:t>
      </w:r>
      <w:r w:rsidRPr="00D671DD">
        <w:rPr>
          <w:rFonts w:ascii="Times New Roman" w:hAnsi="Times New Roman"/>
          <w:lang w:val="lv-LV"/>
        </w:rPr>
        <w:t xml:space="preserve">CSP datu bāze, datu tabula IDG130. </w:t>
      </w:r>
    </w:p>
  </w:footnote>
  <w:footnote w:id="3">
    <w:p w14:paraId="315C585F" w14:textId="77777777" w:rsidR="00D67CF6" w:rsidRPr="00D671DD" w:rsidRDefault="00D67CF6" w:rsidP="00D671DD">
      <w:pPr>
        <w:pStyle w:val="FootnoteText"/>
        <w:spacing w:after="0" w:line="240" w:lineRule="auto"/>
        <w:rPr>
          <w:rFonts w:ascii="Times New Roman" w:hAnsi="Times New Roman"/>
          <w:lang w:val="lv-LV"/>
        </w:rPr>
      </w:pPr>
      <w:r w:rsidRPr="00D671DD">
        <w:rPr>
          <w:rStyle w:val="FootnoteReference"/>
          <w:rFonts w:ascii="Times New Roman" w:hAnsi="Times New Roman"/>
        </w:rPr>
        <w:footnoteRef/>
      </w:r>
      <w:r w:rsidRPr="00D671DD">
        <w:rPr>
          <w:rFonts w:ascii="Times New Roman" w:hAnsi="Times New Roman"/>
        </w:rPr>
        <w:t xml:space="preserve"> </w:t>
      </w:r>
      <w:r w:rsidRPr="00D671DD">
        <w:rPr>
          <w:rFonts w:ascii="Times New Roman" w:hAnsi="Times New Roman"/>
          <w:lang w:val="lv-LV"/>
        </w:rPr>
        <w:t xml:space="preserve">CSP datu bāze, datu tabula [IDG130]. </w:t>
      </w:r>
    </w:p>
  </w:footnote>
  <w:footnote w:id="4">
    <w:p w14:paraId="3EB6F241" w14:textId="237A9965" w:rsidR="00D67CF6" w:rsidRPr="00D671DD" w:rsidRDefault="00D67CF6" w:rsidP="00D671DD">
      <w:pPr>
        <w:pStyle w:val="FootnoteText"/>
        <w:spacing w:after="0" w:line="240" w:lineRule="auto"/>
        <w:rPr>
          <w:rFonts w:ascii="Times New Roman" w:hAnsi="Times New Roman"/>
          <w:lang w:val="lv-LV"/>
        </w:rPr>
      </w:pPr>
      <w:r w:rsidRPr="005976A7">
        <w:rPr>
          <w:rStyle w:val="FootnoteReference"/>
          <w:rFonts w:ascii="Times New Roman" w:hAnsi="Times New Roman"/>
        </w:rPr>
        <w:footnoteRef/>
      </w:r>
      <w:r w:rsidRPr="005976A7">
        <w:rPr>
          <w:rFonts w:ascii="Times New Roman" w:hAnsi="Times New Roman"/>
        </w:rPr>
        <w:t xml:space="preserve"> </w:t>
      </w:r>
      <w:r w:rsidRPr="005976A7">
        <w:rPr>
          <w:rFonts w:ascii="Times New Roman" w:hAnsi="Times New Roman"/>
          <w:lang w:val="lv-LV"/>
        </w:rPr>
        <w:t>E</w:t>
      </w:r>
      <w:r>
        <w:rPr>
          <w:rFonts w:ascii="Times New Roman" w:hAnsi="Times New Roman"/>
          <w:lang w:val="lv-LV"/>
        </w:rPr>
        <w:t>i</w:t>
      </w:r>
      <w:r w:rsidRPr="005976A7">
        <w:rPr>
          <w:rFonts w:ascii="Times New Roman" w:hAnsi="Times New Roman"/>
          <w:lang w:val="lv-LV"/>
        </w:rPr>
        <w:t>rostat datu bāz</w:t>
      </w:r>
      <w:r>
        <w:rPr>
          <w:rFonts w:ascii="Times New Roman" w:hAnsi="Times New Roman"/>
          <w:lang w:val="lv-LV"/>
        </w:rPr>
        <w:t>e</w:t>
      </w:r>
      <w:r w:rsidRPr="005976A7">
        <w:rPr>
          <w:rFonts w:ascii="Times New Roman" w:hAnsi="Times New Roman"/>
          <w:lang w:val="lv-LV"/>
        </w:rPr>
        <w:t>, datu kods TPS00199</w:t>
      </w:r>
      <w:r w:rsidRPr="00D671DD">
        <w:rPr>
          <w:rFonts w:ascii="Times New Roman" w:hAnsi="Times New Roman"/>
          <w:lang w:val="lv-LV"/>
        </w:rPr>
        <w:t xml:space="preserve"> </w:t>
      </w:r>
    </w:p>
  </w:footnote>
  <w:footnote w:id="5">
    <w:p w14:paraId="0B7874DE" w14:textId="77777777" w:rsidR="00D67CF6" w:rsidRPr="00C93556" w:rsidRDefault="00D67CF6" w:rsidP="00C93556">
      <w:pPr>
        <w:pStyle w:val="FootnoteText"/>
        <w:spacing w:after="0" w:line="240" w:lineRule="auto"/>
        <w:rPr>
          <w:rFonts w:ascii="Times New Roman" w:hAnsi="Times New Roman"/>
          <w:lang w:val="lv-LV"/>
        </w:rPr>
      </w:pPr>
      <w:r w:rsidRPr="00C93556">
        <w:rPr>
          <w:rStyle w:val="FootnoteReference"/>
          <w:rFonts w:ascii="Times New Roman" w:hAnsi="Times New Roman"/>
        </w:rPr>
        <w:footnoteRef/>
      </w:r>
      <w:r w:rsidRPr="00C93556">
        <w:rPr>
          <w:rFonts w:ascii="Times New Roman" w:hAnsi="Times New Roman"/>
        </w:rPr>
        <w:t xml:space="preserve"> European Commission,Directorate-General for Economic and Financial Affairs. </w:t>
      </w:r>
      <w:r w:rsidRPr="00C93556">
        <w:rPr>
          <w:rFonts w:ascii="Times New Roman" w:hAnsi="Times New Roman"/>
          <w:bCs/>
        </w:rPr>
        <w:t>The 2018 Ageing Report.</w:t>
      </w:r>
      <w:r w:rsidRPr="00C93556">
        <w:rPr>
          <w:rFonts w:ascii="Times New Roman" w:hAnsi="Times New Roman"/>
          <w:b/>
          <w:bCs/>
        </w:rPr>
        <w:t xml:space="preserve"> </w:t>
      </w:r>
      <w:r w:rsidRPr="00C93556">
        <w:rPr>
          <w:rFonts w:ascii="Times New Roman" w:hAnsi="Times New Roman"/>
        </w:rPr>
        <w:t>Economic and Budgetary Projections for the EU Member States (2016-2070)</w:t>
      </w:r>
    </w:p>
  </w:footnote>
  <w:footnote w:id="6">
    <w:p w14:paraId="2728268B" w14:textId="268683B8" w:rsidR="00D67CF6" w:rsidRPr="00C93556" w:rsidRDefault="00D67CF6" w:rsidP="00C93556">
      <w:pPr>
        <w:pStyle w:val="FootnoteText"/>
        <w:spacing w:after="0" w:line="240" w:lineRule="auto"/>
        <w:rPr>
          <w:rFonts w:ascii="Times New Roman" w:hAnsi="Times New Roman"/>
          <w:lang w:val="lv-LV"/>
        </w:rPr>
      </w:pPr>
      <w:r w:rsidRPr="00C93556">
        <w:rPr>
          <w:rStyle w:val="FootnoteReference"/>
          <w:rFonts w:ascii="Times New Roman" w:hAnsi="Times New Roman"/>
        </w:rPr>
        <w:footnoteRef/>
      </w:r>
      <w:r w:rsidRPr="00C93556">
        <w:rPr>
          <w:rFonts w:ascii="Times New Roman" w:hAnsi="Times New Roman"/>
        </w:rPr>
        <w:t xml:space="preserve"> </w:t>
      </w:r>
      <w:r w:rsidRPr="00C93556">
        <w:rPr>
          <w:rFonts w:ascii="Times New Roman" w:hAnsi="Times New Roman"/>
          <w:lang w:val="lv-LV"/>
        </w:rPr>
        <w:t>CSP datu bāze, datu tabula [IRG020]</w:t>
      </w:r>
    </w:p>
  </w:footnote>
  <w:footnote w:id="7">
    <w:p w14:paraId="70A7BDF6" w14:textId="6EF8B4CC" w:rsidR="00D67CF6" w:rsidRPr="00C93556" w:rsidRDefault="00D67CF6" w:rsidP="00C93556">
      <w:pPr>
        <w:pStyle w:val="FootnoteText"/>
        <w:spacing w:after="0" w:line="240" w:lineRule="auto"/>
        <w:rPr>
          <w:rFonts w:ascii="Times New Roman" w:hAnsi="Times New Roman"/>
          <w:lang w:val="lv-LV"/>
        </w:rPr>
      </w:pPr>
      <w:r w:rsidRPr="00C93556">
        <w:rPr>
          <w:rStyle w:val="FootnoteReference"/>
          <w:rFonts w:ascii="Times New Roman" w:hAnsi="Times New Roman"/>
        </w:rPr>
        <w:footnoteRef/>
      </w:r>
      <w:r w:rsidRPr="00C93556">
        <w:rPr>
          <w:rFonts w:ascii="Times New Roman" w:hAnsi="Times New Roman"/>
        </w:rPr>
        <w:t xml:space="preserve"> </w:t>
      </w:r>
      <w:r w:rsidRPr="00C93556">
        <w:rPr>
          <w:rFonts w:ascii="Times New Roman" w:hAnsi="Times New Roman"/>
          <w:lang w:val="lv-LV"/>
        </w:rPr>
        <w:t>2008.gada bāzes vērtība- 583 tūkstoši personu jeb 27,3%.</w:t>
      </w:r>
    </w:p>
  </w:footnote>
  <w:footnote w:id="8">
    <w:p w14:paraId="2B19B1D6" w14:textId="3DC1A5ED" w:rsidR="00D67CF6" w:rsidRPr="006D6565" w:rsidRDefault="00D67CF6" w:rsidP="00E07E75">
      <w:pPr>
        <w:pStyle w:val="FootnoteText"/>
        <w:spacing w:after="0" w:line="240" w:lineRule="auto"/>
        <w:rPr>
          <w:rFonts w:ascii="Times New Roman" w:hAnsi="Times New Roman"/>
          <w:lang w:val="lv-LV"/>
        </w:rPr>
      </w:pPr>
      <w:r w:rsidRPr="006D6565">
        <w:rPr>
          <w:rStyle w:val="FootnoteReference"/>
          <w:rFonts w:ascii="Times New Roman" w:hAnsi="Times New Roman"/>
        </w:rPr>
        <w:footnoteRef/>
      </w:r>
      <w:r w:rsidRPr="006D6565">
        <w:rPr>
          <w:rFonts w:ascii="Times New Roman" w:hAnsi="Times New Roman"/>
        </w:rPr>
        <w:t xml:space="preserve"> </w:t>
      </w:r>
      <w:r w:rsidRPr="006D6565">
        <w:rPr>
          <w:rFonts w:ascii="Times New Roman" w:hAnsi="Times New Roman"/>
          <w:lang w:val="lv-LV"/>
        </w:rPr>
        <w:t xml:space="preserve">CSP interneta vietne, skat. </w:t>
      </w:r>
      <w:hyperlink r:id="rId1" w:history="1">
        <w:r w:rsidRPr="006D6565">
          <w:rPr>
            <w:rStyle w:val="Hyperlink"/>
            <w:rFonts w:ascii="Times New Roman" w:hAnsi="Times New Roman"/>
          </w:rPr>
          <w:t>https://www.csb.gov.lv/lv/Statistika/Covid19/majsaimniecibu-uzkrajumi</w:t>
        </w:r>
      </w:hyperlink>
    </w:p>
  </w:footnote>
  <w:footnote w:id="9">
    <w:p w14:paraId="6CF5E01B" w14:textId="1CF14DDD" w:rsidR="00D67CF6" w:rsidRPr="000132BB" w:rsidRDefault="00D67CF6" w:rsidP="00E07E75">
      <w:pPr>
        <w:pStyle w:val="FootnoteText"/>
        <w:spacing w:after="0" w:line="240" w:lineRule="auto"/>
        <w:rPr>
          <w:rFonts w:ascii="Times New Roman" w:hAnsi="Times New Roman"/>
          <w:lang w:val="lv-LV"/>
        </w:rPr>
      </w:pPr>
      <w:r w:rsidRPr="00E87868">
        <w:rPr>
          <w:rStyle w:val="FootnoteReference"/>
          <w:rFonts w:ascii="Times New Roman" w:hAnsi="Times New Roman"/>
        </w:rPr>
        <w:footnoteRef/>
      </w:r>
      <w:r w:rsidRPr="00E87868">
        <w:rPr>
          <w:rFonts w:ascii="Times New Roman" w:hAnsi="Times New Roman"/>
        </w:rPr>
        <w:t xml:space="preserve"> </w:t>
      </w:r>
      <w:r w:rsidRPr="00E87868">
        <w:rPr>
          <w:rFonts w:ascii="Times New Roman" w:hAnsi="Times New Roman"/>
          <w:lang w:val="lv-LV"/>
        </w:rPr>
        <w:t>CSP monetārās nabadzības un ienākumu nevienlīdzības indikatorus publicē, norādot faktisko  gadu, kad iedzīvotāju ienākumu gūti, nevis ar atsauci uz apsekojuma norises gadu, kā to publicē E</w:t>
      </w:r>
      <w:r>
        <w:rPr>
          <w:rFonts w:ascii="Times New Roman" w:hAnsi="Times New Roman"/>
          <w:lang w:val="lv-LV"/>
        </w:rPr>
        <w:t>i</w:t>
      </w:r>
      <w:r w:rsidRPr="00E87868">
        <w:rPr>
          <w:rFonts w:ascii="Times New Roman" w:hAnsi="Times New Roman"/>
          <w:lang w:val="lv-LV"/>
        </w:rPr>
        <w:t>rostat. Piemēram, monetārās nabadzības un ienākumu nevienlīdzības 2018.gada dati E</w:t>
      </w:r>
      <w:r>
        <w:rPr>
          <w:rFonts w:ascii="Times New Roman" w:hAnsi="Times New Roman"/>
          <w:lang w:val="lv-LV"/>
        </w:rPr>
        <w:t>i</w:t>
      </w:r>
      <w:r w:rsidRPr="00E87868">
        <w:rPr>
          <w:rFonts w:ascii="Times New Roman" w:hAnsi="Times New Roman"/>
          <w:lang w:val="lv-LV"/>
        </w:rPr>
        <w:t xml:space="preserve">rostat datubāzē publicēti ar norādi uz </w:t>
      </w:r>
      <w:r w:rsidRPr="000132BB">
        <w:rPr>
          <w:rFonts w:ascii="Times New Roman" w:hAnsi="Times New Roman"/>
          <w:lang w:val="lv-LV"/>
        </w:rPr>
        <w:t>2019.gadu. Tālāk tekstā veikta analīze, izmantojot Eirostat pieeju perioda norādīšanā, lai sniegtu salīdzinājumu arī ar ES28, Lietuvas un Igaunijas situāciju.</w:t>
      </w:r>
    </w:p>
  </w:footnote>
  <w:footnote w:id="10">
    <w:p w14:paraId="49AAA187" w14:textId="77777777" w:rsidR="00D67CF6" w:rsidRPr="004067C1" w:rsidRDefault="00D67CF6" w:rsidP="00E91408">
      <w:pPr>
        <w:pStyle w:val="FootnoteText"/>
        <w:spacing w:after="0" w:line="240" w:lineRule="auto"/>
        <w:rPr>
          <w:rFonts w:ascii="Times New Roman" w:hAnsi="Times New Roman"/>
          <w:lang w:val="lv-LV"/>
        </w:rPr>
      </w:pPr>
      <w:r w:rsidRPr="00DF10AD">
        <w:rPr>
          <w:rStyle w:val="FootnoteReference"/>
          <w:rFonts w:ascii="Times New Roman" w:hAnsi="Times New Roman"/>
        </w:rPr>
        <w:footnoteRef/>
      </w:r>
      <w:r w:rsidRPr="00DF10AD">
        <w:rPr>
          <w:rFonts w:ascii="Times New Roman" w:hAnsi="Times New Roman"/>
        </w:rPr>
        <w:t xml:space="preserve"> </w:t>
      </w:r>
      <w:r w:rsidRPr="00DF10AD">
        <w:rPr>
          <w:rFonts w:ascii="Times New Roman" w:hAnsi="Times New Roman"/>
          <w:lang w:val="lv-LV"/>
        </w:rPr>
        <w:t xml:space="preserve">CSP datu bāze, datu tabula </w:t>
      </w:r>
      <w:r>
        <w:rPr>
          <w:rFonts w:ascii="Times New Roman" w:hAnsi="Times New Roman"/>
          <w:lang w:val="lv-LV"/>
        </w:rPr>
        <w:t>N</w:t>
      </w:r>
      <w:r>
        <w:rPr>
          <w:rFonts w:ascii="Times New Roman" w:hAnsi="Times New Roman"/>
          <w:bCs/>
          <w:color w:val="222222"/>
          <w:shd w:val="clear" w:color="auto" w:fill="FFFFFF"/>
        </w:rPr>
        <w:t>IG03</w:t>
      </w:r>
      <w:r w:rsidRPr="00DF10AD">
        <w:rPr>
          <w:rFonts w:ascii="Times New Roman" w:hAnsi="Times New Roman"/>
          <w:bCs/>
          <w:color w:val="222222"/>
          <w:shd w:val="clear" w:color="auto" w:fill="FFFFFF"/>
        </w:rPr>
        <w:t>0</w:t>
      </w:r>
    </w:p>
  </w:footnote>
  <w:footnote w:id="11">
    <w:p w14:paraId="3AEF110E" w14:textId="77777777" w:rsidR="00D67CF6" w:rsidRPr="00501C0C" w:rsidRDefault="00D67CF6" w:rsidP="00200837">
      <w:pPr>
        <w:pStyle w:val="FootnoteText"/>
        <w:spacing w:after="0" w:line="240" w:lineRule="auto"/>
        <w:rPr>
          <w:rFonts w:ascii="Times New Roman" w:hAnsi="Times New Roman"/>
          <w:lang w:val="lv-LV"/>
        </w:rPr>
      </w:pPr>
      <w:r w:rsidRPr="00501C0C">
        <w:rPr>
          <w:rStyle w:val="FootnoteReference"/>
          <w:rFonts w:ascii="Times New Roman" w:hAnsi="Times New Roman"/>
        </w:rPr>
        <w:footnoteRef/>
      </w:r>
      <w:r w:rsidRPr="00501C0C">
        <w:rPr>
          <w:rFonts w:ascii="Times New Roman" w:hAnsi="Times New Roman"/>
        </w:rPr>
        <w:t xml:space="preserve"> </w:t>
      </w:r>
      <w:r w:rsidRPr="00501C0C">
        <w:rPr>
          <w:rFonts w:ascii="Times New Roman" w:hAnsi="Times New Roman"/>
          <w:lang w:val="lv-LV"/>
        </w:rPr>
        <w:t>CSP datu bāze, datu tabula N</w:t>
      </w:r>
      <w:r w:rsidRPr="00501C0C">
        <w:rPr>
          <w:rFonts w:ascii="Times New Roman" w:hAnsi="Times New Roman"/>
          <w:bCs/>
          <w:color w:val="222222"/>
          <w:shd w:val="clear" w:color="auto" w:fill="FFFFFF"/>
        </w:rPr>
        <w:t>IG0</w:t>
      </w:r>
      <w:r>
        <w:rPr>
          <w:rFonts w:ascii="Times New Roman" w:hAnsi="Times New Roman"/>
          <w:bCs/>
          <w:color w:val="222222"/>
          <w:shd w:val="clear" w:color="auto" w:fill="FFFFFF"/>
          <w:lang w:val="lv-LV"/>
        </w:rPr>
        <w:t>5</w:t>
      </w:r>
      <w:r w:rsidRPr="00501C0C">
        <w:rPr>
          <w:rFonts w:ascii="Times New Roman" w:hAnsi="Times New Roman"/>
          <w:bCs/>
          <w:color w:val="222222"/>
          <w:shd w:val="clear" w:color="auto" w:fill="FFFFFF"/>
        </w:rPr>
        <w:t>0</w:t>
      </w:r>
    </w:p>
  </w:footnote>
  <w:footnote w:id="12">
    <w:p w14:paraId="006E0B8C" w14:textId="77777777" w:rsidR="00D67CF6" w:rsidRPr="008F021B" w:rsidRDefault="00D67CF6" w:rsidP="00200837">
      <w:pPr>
        <w:shd w:val="clear" w:color="auto" w:fill="FCFCFC"/>
        <w:spacing w:after="0" w:line="240" w:lineRule="auto"/>
        <w:rPr>
          <w:rFonts w:ascii="Times New Roman" w:eastAsia="Times New Roman" w:hAnsi="Times New Roman" w:cs="Times New Roman"/>
          <w:bCs/>
          <w:color w:val="000000"/>
          <w:sz w:val="20"/>
          <w:szCs w:val="20"/>
          <w:lang w:eastAsia="lv-LV"/>
        </w:rPr>
      </w:pPr>
      <w:r w:rsidRPr="008F021B">
        <w:rPr>
          <w:rStyle w:val="FootnoteReference"/>
          <w:rFonts w:ascii="Times New Roman" w:hAnsi="Times New Roman" w:cs="Times New Roman"/>
          <w:sz w:val="20"/>
          <w:szCs w:val="20"/>
        </w:rPr>
        <w:footnoteRef/>
      </w:r>
      <w:r w:rsidRPr="008F021B">
        <w:rPr>
          <w:rFonts w:ascii="Times New Roman" w:hAnsi="Times New Roman" w:cs="Times New Roman"/>
          <w:sz w:val="20"/>
          <w:szCs w:val="20"/>
        </w:rPr>
        <w:t xml:space="preserve"> Eirostat datu bāze, datu tabula [</w:t>
      </w:r>
      <w:r w:rsidRPr="008F021B">
        <w:rPr>
          <w:rFonts w:ascii="Times New Roman" w:eastAsia="Times New Roman" w:hAnsi="Times New Roman" w:cs="Times New Roman"/>
          <w:bCs/>
          <w:color w:val="000000"/>
          <w:sz w:val="20"/>
          <w:szCs w:val="20"/>
          <w:lang w:eastAsia="lv-LV"/>
        </w:rPr>
        <w:t>ilc_iw01]</w:t>
      </w:r>
    </w:p>
  </w:footnote>
  <w:footnote w:id="13">
    <w:p w14:paraId="18BDBBF3" w14:textId="7BA7D3F9" w:rsidR="00D67CF6" w:rsidRPr="008F021B" w:rsidRDefault="00D67CF6" w:rsidP="00200837">
      <w:pPr>
        <w:pStyle w:val="FootnoteText"/>
        <w:spacing w:after="0" w:line="240" w:lineRule="auto"/>
        <w:rPr>
          <w:rFonts w:ascii="Times New Roman" w:hAnsi="Times New Roman"/>
          <w:lang w:val="lv-LV"/>
        </w:rPr>
      </w:pPr>
      <w:r w:rsidRPr="0061394B">
        <w:rPr>
          <w:rStyle w:val="FootnoteReference"/>
          <w:rFonts w:ascii="Times New Roman" w:hAnsi="Times New Roman"/>
        </w:rPr>
        <w:footnoteRef/>
      </w:r>
      <w:r w:rsidRPr="0061394B">
        <w:rPr>
          <w:rFonts w:ascii="Times New Roman" w:hAnsi="Times New Roman"/>
        </w:rPr>
        <w:t xml:space="preserve"> </w:t>
      </w:r>
      <w:r w:rsidRPr="0061394B">
        <w:rPr>
          <w:rFonts w:ascii="Times New Roman" w:hAnsi="Times New Roman"/>
          <w:lang w:val="lv-LV"/>
        </w:rPr>
        <w:t>LM aprēķini, balstoties uz pašvaldību sniegto ikmēneša pārskatu par sociālo palīdzību</w:t>
      </w:r>
    </w:p>
  </w:footnote>
  <w:footnote w:id="14">
    <w:p w14:paraId="41E014B2" w14:textId="77777777" w:rsidR="00D67CF6" w:rsidRPr="00D127B6" w:rsidRDefault="00D67CF6" w:rsidP="00D127B6">
      <w:pPr>
        <w:shd w:val="clear" w:color="auto" w:fill="FCFCFC"/>
        <w:spacing w:after="0" w:line="240" w:lineRule="auto"/>
        <w:rPr>
          <w:rFonts w:ascii="Times New Roman" w:eastAsia="Times New Roman" w:hAnsi="Times New Roman" w:cs="Times New Roman"/>
          <w:bCs/>
          <w:color w:val="000000"/>
          <w:sz w:val="20"/>
          <w:szCs w:val="20"/>
          <w:lang w:eastAsia="lv-LV"/>
        </w:rPr>
      </w:pPr>
      <w:r w:rsidRPr="00D127B6">
        <w:rPr>
          <w:rStyle w:val="FootnoteReference"/>
          <w:rFonts w:ascii="Times New Roman" w:hAnsi="Times New Roman" w:cs="Times New Roman"/>
          <w:sz w:val="20"/>
          <w:szCs w:val="20"/>
        </w:rPr>
        <w:footnoteRef/>
      </w:r>
      <w:r w:rsidRPr="00D127B6">
        <w:rPr>
          <w:rFonts w:ascii="Times New Roman" w:hAnsi="Times New Roman" w:cs="Times New Roman"/>
          <w:sz w:val="20"/>
          <w:szCs w:val="20"/>
        </w:rPr>
        <w:t xml:space="preserve"> Eirostat datu bāze, datu tabula [</w:t>
      </w:r>
      <w:r w:rsidRPr="00D127B6">
        <w:rPr>
          <w:rFonts w:ascii="Times New Roman" w:eastAsia="Times New Roman" w:hAnsi="Times New Roman" w:cs="Times New Roman"/>
          <w:bCs/>
          <w:color w:val="000000"/>
          <w:sz w:val="20"/>
          <w:szCs w:val="20"/>
          <w:lang w:eastAsia="lv-LV"/>
        </w:rPr>
        <w:t>ilc_iw03]</w:t>
      </w:r>
    </w:p>
  </w:footnote>
  <w:footnote w:id="15">
    <w:p w14:paraId="4C86D794" w14:textId="6F6687FA" w:rsidR="00D67CF6" w:rsidRPr="00D127B6" w:rsidRDefault="00D67CF6" w:rsidP="00D127B6">
      <w:pPr>
        <w:pStyle w:val="FootnoteText"/>
        <w:spacing w:after="0" w:line="240" w:lineRule="auto"/>
        <w:rPr>
          <w:rFonts w:ascii="Times New Roman" w:hAnsi="Times New Roman"/>
          <w:lang w:val="lv-LV"/>
        </w:rPr>
      </w:pPr>
      <w:r w:rsidRPr="0076183B">
        <w:rPr>
          <w:rStyle w:val="FootnoteReference"/>
          <w:rFonts w:ascii="Times New Roman" w:hAnsi="Times New Roman"/>
        </w:rPr>
        <w:footnoteRef/>
      </w:r>
      <w:r w:rsidRPr="0076183B">
        <w:rPr>
          <w:rFonts w:ascii="Times New Roman" w:hAnsi="Times New Roman"/>
        </w:rPr>
        <w:t xml:space="preserve"> </w:t>
      </w:r>
      <w:r w:rsidRPr="0076183B">
        <w:rPr>
          <w:rFonts w:ascii="Times New Roman" w:hAnsi="Times New Roman"/>
          <w:lang w:val="lv-LV"/>
        </w:rPr>
        <w:t>CSP, informatīvais apskats “Nabadzības risks un sociālā atstumtība Latvijā</w:t>
      </w:r>
      <w:r>
        <w:rPr>
          <w:rFonts w:ascii="Times New Roman" w:hAnsi="Times New Roman"/>
          <w:lang w:val="lv-LV"/>
        </w:rPr>
        <w:t xml:space="preserve"> 2018.gadā</w:t>
      </w:r>
      <w:r w:rsidRPr="0076183B">
        <w:rPr>
          <w:rFonts w:ascii="Times New Roman" w:hAnsi="Times New Roman"/>
          <w:lang w:val="lv-LV"/>
        </w:rPr>
        <w:t>”, 2020, 7.lpp.</w:t>
      </w:r>
    </w:p>
  </w:footnote>
  <w:footnote w:id="16">
    <w:p w14:paraId="7D9759A9" w14:textId="14A7D2BD" w:rsidR="00D67CF6" w:rsidRPr="00D127B6" w:rsidRDefault="00D67CF6" w:rsidP="00D127B6">
      <w:pPr>
        <w:pStyle w:val="FootnoteText"/>
        <w:spacing w:after="0" w:line="240" w:lineRule="auto"/>
        <w:rPr>
          <w:rFonts w:ascii="Times New Roman" w:hAnsi="Times New Roman"/>
          <w:lang w:val="lv-LV"/>
        </w:rPr>
      </w:pPr>
      <w:r w:rsidRPr="00D127B6">
        <w:rPr>
          <w:rStyle w:val="FootnoteReference"/>
          <w:rFonts w:ascii="Times New Roman" w:hAnsi="Times New Roman"/>
        </w:rPr>
        <w:footnoteRef/>
      </w:r>
      <w:r w:rsidRPr="00D127B6">
        <w:rPr>
          <w:rFonts w:ascii="Times New Roman" w:hAnsi="Times New Roman"/>
        </w:rPr>
        <w:t xml:space="preserve"> </w:t>
      </w:r>
      <w:r w:rsidRPr="00D127B6">
        <w:rPr>
          <w:rFonts w:ascii="Times New Roman" w:hAnsi="Times New Roman"/>
          <w:lang w:val="lv-LV"/>
        </w:rPr>
        <w:t>2018.gada dati par ES28</w:t>
      </w:r>
    </w:p>
  </w:footnote>
  <w:footnote w:id="17">
    <w:p w14:paraId="2114EBE1" w14:textId="6B3B6697" w:rsidR="00D67CF6" w:rsidRPr="00D127B6" w:rsidRDefault="00D67CF6" w:rsidP="00D127B6">
      <w:pPr>
        <w:pStyle w:val="FootnoteText"/>
        <w:spacing w:after="0" w:line="240" w:lineRule="auto"/>
        <w:rPr>
          <w:rFonts w:ascii="Times New Roman" w:hAnsi="Times New Roman"/>
          <w:lang w:val="lv-LV"/>
        </w:rPr>
      </w:pPr>
      <w:r w:rsidRPr="00D127B6">
        <w:rPr>
          <w:rStyle w:val="FootnoteReference"/>
          <w:rFonts w:ascii="Times New Roman" w:hAnsi="Times New Roman"/>
        </w:rPr>
        <w:footnoteRef/>
      </w:r>
      <w:r w:rsidRPr="00D127B6">
        <w:rPr>
          <w:rFonts w:ascii="Times New Roman" w:hAnsi="Times New Roman"/>
        </w:rPr>
        <w:t xml:space="preserve"> </w:t>
      </w:r>
      <w:r w:rsidRPr="00D127B6">
        <w:rPr>
          <w:rFonts w:ascii="Times New Roman" w:hAnsi="Times New Roman"/>
          <w:lang w:val="lv-LV"/>
        </w:rPr>
        <w:t>2018.gada dati par ES28</w:t>
      </w:r>
    </w:p>
  </w:footnote>
  <w:footnote w:id="18">
    <w:p w14:paraId="331EFC18" w14:textId="2921DCC8" w:rsidR="00D67CF6" w:rsidRPr="00D127B6" w:rsidRDefault="00D67CF6" w:rsidP="00D127B6">
      <w:pPr>
        <w:pStyle w:val="FootnoteText"/>
        <w:spacing w:after="0" w:line="240" w:lineRule="auto"/>
        <w:rPr>
          <w:rFonts w:ascii="Times New Roman" w:hAnsi="Times New Roman"/>
          <w:lang w:val="lv-LV"/>
        </w:rPr>
      </w:pPr>
      <w:r w:rsidRPr="00D127B6">
        <w:rPr>
          <w:rStyle w:val="FootnoteReference"/>
          <w:rFonts w:ascii="Times New Roman" w:hAnsi="Times New Roman"/>
        </w:rPr>
        <w:footnoteRef/>
      </w:r>
      <w:r w:rsidRPr="00D127B6">
        <w:rPr>
          <w:rFonts w:ascii="Times New Roman" w:hAnsi="Times New Roman"/>
        </w:rPr>
        <w:t xml:space="preserve"> </w:t>
      </w:r>
      <w:r w:rsidRPr="00D127B6">
        <w:rPr>
          <w:rFonts w:ascii="Times New Roman" w:hAnsi="Times New Roman"/>
          <w:lang w:val="lv-LV"/>
        </w:rPr>
        <w:t>2018.gada dati par ES28</w:t>
      </w:r>
    </w:p>
  </w:footnote>
  <w:footnote w:id="19">
    <w:p w14:paraId="35678725" w14:textId="037426F1" w:rsidR="00D67CF6" w:rsidRPr="00FF39A9" w:rsidRDefault="00D67CF6" w:rsidP="00501C7A">
      <w:pPr>
        <w:shd w:val="clear" w:color="auto" w:fill="FFFFFF"/>
        <w:spacing w:after="0" w:line="240" w:lineRule="auto"/>
        <w:jc w:val="both"/>
        <w:rPr>
          <w:rFonts w:ascii="Times New Roman" w:eastAsia="Times New Roman" w:hAnsi="Times New Roman" w:cs="Times New Roman"/>
          <w:color w:val="000000"/>
          <w:sz w:val="20"/>
          <w:szCs w:val="20"/>
          <w:lang w:eastAsia="lv-LV"/>
        </w:rPr>
      </w:pPr>
      <w:r w:rsidRPr="00FF39A9">
        <w:rPr>
          <w:rStyle w:val="FootnoteReference"/>
          <w:rFonts w:ascii="Times New Roman" w:hAnsi="Times New Roman" w:cs="Times New Roman"/>
          <w:sz w:val="20"/>
          <w:szCs w:val="20"/>
        </w:rPr>
        <w:footnoteRef/>
      </w:r>
      <w:r w:rsidRPr="00FF39A9">
        <w:rPr>
          <w:rFonts w:ascii="Times New Roman" w:hAnsi="Times New Roman" w:cs="Times New Roman"/>
          <w:sz w:val="20"/>
          <w:szCs w:val="20"/>
        </w:rPr>
        <w:t xml:space="preserve"> EK analīze un publicētie dati par personu ar invaliditāti nabadzības risku balstās uz EU-SILC datiem par personas veselības stāvokļa pašnovērtējumu (jautājumi: </w:t>
      </w:r>
      <w:r w:rsidRPr="00FF39A9">
        <w:rPr>
          <w:rFonts w:ascii="Times New Roman" w:eastAsia="Times New Roman" w:hAnsi="Times New Roman" w:cs="Times New Roman"/>
          <w:color w:val="000000"/>
          <w:sz w:val="20"/>
          <w:szCs w:val="20"/>
          <w:lang w:eastAsia="lv-LV"/>
        </w:rPr>
        <w:t xml:space="preserve">"Vai Jums ir kāda ilgstoša slimība vai ilgstoša veselības problēma?"; "Cik lielā mērā kāda veselības problēma vismaz pēdējo 6 mēnešu laikā ir Jūs ierobežojusi veikt aktivitātes, ko cilvēki parasti dara?") un kā personas ar invaliditāti tiek </w:t>
      </w:r>
      <w:r>
        <w:rPr>
          <w:rFonts w:ascii="Times New Roman" w:eastAsia="Times New Roman" w:hAnsi="Times New Roman" w:cs="Times New Roman"/>
          <w:color w:val="000000"/>
          <w:sz w:val="20"/>
          <w:szCs w:val="20"/>
          <w:lang w:eastAsia="lv-LV"/>
        </w:rPr>
        <w:t>uzskatītas</w:t>
      </w:r>
      <w:r w:rsidRPr="00FF39A9">
        <w:rPr>
          <w:rFonts w:ascii="Times New Roman" w:eastAsia="Times New Roman" w:hAnsi="Times New Roman" w:cs="Times New Roman"/>
          <w:color w:val="000000"/>
          <w:sz w:val="20"/>
          <w:szCs w:val="20"/>
          <w:lang w:eastAsia="lv-LV"/>
        </w:rPr>
        <w:t xml:space="preserve"> tās personas, kuras atbildējušas, ka viņām ir ierobežojumi un ir stipri ierobežojumi ikdienas aktivitāšu veikšanā. </w:t>
      </w:r>
      <w:r w:rsidRPr="00FF39A9">
        <w:rPr>
          <w:rFonts w:ascii="Times New Roman" w:hAnsi="Times New Roman" w:cs="Times New Roman"/>
          <w:sz w:val="20"/>
          <w:szCs w:val="20"/>
        </w:rPr>
        <w:t>Tas nozīmē, ka invaliditāti definīcija (interpretācija), balstoties uz EU-SILC datiem, neatbilst Latvijas tiesību aktos sniegtajam ietvaram.</w:t>
      </w:r>
    </w:p>
  </w:footnote>
  <w:footnote w:id="20">
    <w:p w14:paraId="2C610C98" w14:textId="65404D46" w:rsidR="00D67CF6" w:rsidRPr="008F021B" w:rsidRDefault="00D67CF6" w:rsidP="005C4C85">
      <w:pPr>
        <w:pStyle w:val="FootnoteText"/>
        <w:spacing w:after="0" w:line="240" w:lineRule="auto"/>
        <w:jc w:val="both"/>
        <w:rPr>
          <w:rFonts w:ascii="Times New Roman" w:hAnsi="Times New Roman"/>
          <w:highlight w:val="yellow"/>
        </w:rPr>
      </w:pPr>
      <w:r w:rsidRPr="008F021B">
        <w:rPr>
          <w:rStyle w:val="FootnoteReference"/>
          <w:rFonts w:ascii="Times New Roman" w:hAnsi="Times New Roman"/>
        </w:rPr>
        <w:footnoteRef/>
      </w:r>
      <w:r w:rsidRPr="008F021B">
        <w:rPr>
          <w:rFonts w:ascii="Times New Roman" w:hAnsi="Times New Roman"/>
        </w:rPr>
        <w:t xml:space="preserve"> CSP</w:t>
      </w:r>
      <w:r>
        <w:rPr>
          <w:rFonts w:ascii="Times New Roman" w:hAnsi="Times New Roman"/>
          <w:lang w:val="lv-LV"/>
        </w:rPr>
        <w:t xml:space="preserve"> datu bāze, datu tabula</w:t>
      </w:r>
      <w:r w:rsidRPr="008F021B">
        <w:rPr>
          <w:rFonts w:ascii="Times New Roman" w:hAnsi="Times New Roman"/>
        </w:rPr>
        <w:t xml:space="preserve"> IIG040</w:t>
      </w:r>
    </w:p>
  </w:footnote>
  <w:footnote w:id="21">
    <w:p w14:paraId="222CE42F" w14:textId="71B238EB" w:rsidR="00D67CF6" w:rsidRPr="008F021B" w:rsidRDefault="00D67CF6" w:rsidP="005C4C85">
      <w:pPr>
        <w:spacing w:after="0" w:line="240" w:lineRule="auto"/>
        <w:jc w:val="both"/>
        <w:rPr>
          <w:rFonts w:ascii="Times New Roman" w:hAnsi="Times New Roman" w:cs="Times New Roman"/>
          <w:bCs/>
          <w:sz w:val="20"/>
          <w:szCs w:val="20"/>
        </w:rPr>
      </w:pPr>
      <w:r w:rsidRPr="008F021B">
        <w:rPr>
          <w:rStyle w:val="FootnoteReference"/>
          <w:rFonts w:ascii="Times New Roman" w:hAnsi="Times New Roman" w:cs="Times New Roman"/>
          <w:sz w:val="20"/>
          <w:szCs w:val="20"/>
        </w:rPr>
        <w:footnoteRef/>
      </w:r>
      <w:r w:rsidRPr="008F021B">
        <w:rPr>
          <w:rFonts w:ascii="Times New Roman" w:hAnsi="Times New Roman" w:cs="Times New Roman"/>
          <w:sz w:val="20"/>
          <w:szCs w:val="20"/>
        </w:rPr>
        <w:t xml:space="preserve"> Nodibinājum</w:t>
      </w:r>
      <w:r>
        <w:rPr>
          <w:rFonts w:ascii="Times New Roman" w:hAnsi="Times New Roman" w:cs="Times New Roman"/>
          <w:sz w:val="20"/>
          <w:szCs w:val="20"/>
        </w:rPr>
        <w:t>s</w:t>
      </w:r>
      <w:r w:rsidRPr="008F021B">
        <w:rPr>
          <w:rFonts w:ascii="Times New Roman" w:hAnsi="Times New Roman" w:cs="Times New Roman"/>
          <w:sz w:val="20"/>
          <w:szCs w:val="20"/>
        </w:rPr>
        <w:t xml:space="preserve"> “Baltic Institute of Social Sciences”</w:t>
      </w:r>
      <w:r>
        <w:rPr>
          <w:rFonts w:ascii="Times New Roman" w:hAnsi="Times New Roman" w:cs="Times New Roman"/>
          <w:sz w:val="20"/>
          <w:szCs w:val="20"/>
        </w:rPr>
        <w:t xml:space="preserve">, </w:t>
      </w:r>
      <w:r w:rsidRPr="00E46C9B">
        <w:rPr>
          <w:rFonts w:ascii="Times New Roman" w:hAnsi="Times New Roman" w:cs="Times New Roman"/>
          <w:sz w:val="20"/>
          <w:szCs w:val="20"/>
        </w:rPr>
        <w:t>Ikgadējs nabadzības un sociālās atstumtības mazināšanas rīcībpolitikas izvērtējums (t.sk. izvērtējums par nevienlīdzību veselības aprūpē un nevienlīdzību mājokļa pieejamības jomā) Rīga</w:t>
      </w:r>
      <w:r>
        <w:rPr>
          <w:rFonts w:ascii="Times New Roman" w:hAnsi="Times New Roman" w:cs="Times New Roman"/>
          <w:bCs/>
          <w:sz w:val="20"/>
          <w:szCs w:val="20"/>
        </w:rPr>
        <w:t>, 2019.gada 19.jūnijs;</w:t>
      </w:r>
      <w:r w:rsidRPr="008F021B">
        <w:rPr>
          <w:rFonts w:ascii="Times New Roman" w:hAnsi="Times New Roman" w:cs="Times New Roman"/>
          <w:bCs/>
          <w:sz w:val="20"/>
          <w:szCs w:val="20"/>
        </w:rPr>
        <w:t xml:space="preserve"> pieejams: </w:t>
      </w:r>
      <w:hyperlink r:id="rId2" w:history="1">
        <w:r w:rsidRPr="00E46C9B">
          <w:rPr>
            <w:rFonts w:ascii="Times New Roman" w:hAnsi="Times New Roman" w:cs="Times New Roman"/>
            <w:sz w:val="20"/>
            <w:szCs w:val="20"/>
          </w:rPr>
          <w:t>http://petijumi.mk.gov.lv/node/3048</w:t>
        </w:r>
      </w:hyperlink>
    </w:p>
  </w:footnote>
  <w:footnote w:id="22">
    <w:p w14:paraId="5C34C3CF" w14:textId="77777777" w:rsidR="00D67CF6" w:rsidRPr="00BB53AA" w:rsidRDefault="00D67CF6" w:rsidP="00200837">
      <w:pPr>
        <w:pStyle w:val="FootnoteText"/>
        <w:spacing w:after="0" w:line="240" w:lineRule="auto"/>
        <w:rPr>
          <w:rFonts w:ascii="Times New Roman" w:hAnsi="Times New Roman"/>
          <w:lang w:val="lv-LV"/>
        </w:rPr>
      </w:pPr>
      <w:r w:rsidRPr="00BB53AA">
        <w:rPr>
          <w:rStyle w:val="FootnoteReference"/>
          <w:rFonts w:ascii="Times New Roman" w:hAnsi="Times New Roman"/>
        </w:rPr>
        <w:footnoteRef/>
      </w:r>
      <w:r w:rsidRPr="00BB53AA">
        <w:rPr>
          <w:rFonts w:ascii="Times New Roman" w:hAnsi="Times New Roman"/>
        </w:rPr>
        <w:t xml:space="preserve"> </w:t>
      </w:r>
      <w:r w:rsidRPr="00BB53AA">
        <w:rPr>
          <w:rFonts w:ascii="Times New Roman" w:hAnsi="Times New Roman"/>
          <w:lang w:val="lv-LV"/>
        </w:rPr>
        <w:t>CSP datu bāze, datu tabula MTG060</w:t>
      </w:r>
    </w:p>
  </w:footnote>
  <w:footnote w:id="23">
    <w:p w14:paraId="6F48C88B" w14:textId="77777777" w:rsidR="00D67CF6" w:rsidRPr="00E2732C" w:rsidRDefault="00D67CF6" w:rsidP="00200837">
      <w:pPr>
        <w:pStyle w:val="FootnoteText"/>
        <w:spacing w:after="0" w:line="240" w:lineRule="auto"/>
        <w:rPr>
          <w:rFonts w:ascii="Times New Roman" w:hAnsi="Times New Roman"/>
          <w:lang w:val="lv-LV"/>
        </w:rPr>
      </w:pPr>
      <w:r w:rsidRPr="00E2732C">
        <w:rPr>
          <w:rStyle w:val="FootnoteReference"/>
          <w:rFonts w:ascii="Times New Roman" w:hAnsi="Times New Roman"/>
        </w:rPr>
        <w:footnoteRef/>
      </w:r>
      <w:r w:rsidRPr="00E2732C">
        <w:rPr>
          <w:rFonts w:ascii="Times New Roman" w:hAnsi="Times New Roman"/>
        </w:rPr>
        <w:t xml:space="preserve"> </w:t>
      </w:r>
      <w:r w:rsidRPr="00E2732C">
        <w:rPr>
          <w:rFonts w:ascii="Times New Roman" w:hAnsi="Times New Roman"/>
          <w:lang w:val="lv-LV"/>
        </w:rPr>
        <w:t>CSP datu bāze, datu tabula MTG010</w:t>
      </w:r>
    </w:p>
  </w:footnote>
  <w:footnote w:id="24">
    <w:p w14:paraId="07BE1064" w14:textId="48C07C2A" w:rsidR="00D67CF6" w:rsidRPr="005A410F" w:rsidRDefault="00D67CF6" w:rsidP="005A410F">
      <w:pPr>
        <w:pStyle w:val="CommentText"/>
        <w:spacing w:after="0"/>
        <w:rPr>
          <w:rFonts w:ascii="Times New Roman" w:hAnsi="Times New Roman" w:cs="Times New Roman"/>
        </w:rPr>
      </w:pPr>
      <w:r w:rsidRPr="005A410F">
        <w:rPr>
          <w:rStyle w:val="FootnoteReference"/>
          <w:rFonts w:ascii="Times New Roman" w:hAnsi="Times New Roman" w:cs="Times New Roman"/>
        </w:rPr>
        <w:footnoteRef/>
      </w:r>
      <w:r w:rsidRPr="005A410F">
        <w:rPr>
          <w:rFonts w:ascii="Times New Roman" w:hAnsi="Times New Roman" w:cs="Times New Roman"/>
        </w:rPr>
        <w:t xml:space="preserve"> Eirostat datu bāze, datu tabula </w:t>
      </w:r>
      <w:r w:rsidRPr="005A410F">
        <w:rPr>
          <w:rFonts w:ascii="Times New Roman" w:hAnsi="Times New Roman" w:cs="Times New Roman"/>
          <w:bCs/>
          <w:color w:val="000000"/>
          <w:shd w:val="clear" w:color="auto" w:fill="FCFCFC"/>
        </w:rPr>
        <w:t>[lfsi_educ_a]</w:t>
      </w:r>
    </w:p>
  </w:footnote>
  <w:footnote w:id="25">
    <w:p w14:paraId="0E41E994" w14:textId="77777777" w:rsidR="00D67CF6" w:rsidRPr="00E21293" w:rsidRDefault="00D67CF6" w:rsidP="00200837">
      <w:pPr>
        <w:pStyle w:val="FootnoteText"/>
        <w:spacing w:after="0" w:line="240" w:lineRule="auto"/>
        <w:rPr>
          <w:rFonts w:ascii="Times New Roman" w:hAnsi="Times New Roman"/>
          <w:lang w:val="lv-LV"/>
        </w:rPr>
      </w:pPr>
      <w:r w:rsidRPr="00E21293">
        <w:rPr>
          <w:rStyle w:val="FootnoteReference"/>
          <w:rFonts w:ascii="Times New Roman" w:hAnsi="Times New Roman"/>
        </w:rPr>
        <w:footnoteRef/>
      </w:r>
      <w:r w:rsidRPr="00E21293">
        <w:rPr>
          <w:rFonts w:ascii="Times New Roman" w:hAnsi="Times New Roman"/>
        </w:rPr>
        <w:t xml:space="preserve"> </w:t>
      </w:r>
      <w:r w:rsidRPr="00E21293">
        <w:rPr>
          <w:rFonts w:ascii="Times New Roman" w:hAnsi="Times New Roman"/>
          <w:lang w:val="lv-LV"/>
        </w:rPr>
        <w:t xml:space="preserve">CSP datu bāze, datu tabula </w:t>
      </w:r>
      <w:r w:rsidRPr="00E21293">
        <w:rPr>
          <w:rFonts w:ascii="Times New Roman" w:hAnsi="Times New Roman"/>
          <w:bCs/>
          <w:color w:val="222222"/>
          <w:shd w:val="clear" w:color="auto" w:fill="FFFFFF"/>
        </w:rPr>
        <w:t>NB050c</w:t>
      </w:r>
    </w:p>
  </w:footnote>
  <w:footnote w:id="26">
    <w:p w14:paraId="11AA8EDC" w14:textId="77777777" w:rsidR="00D67CF6" w:rsidRPr="008C3582" w:rsidRDefault="00D67CF6" w:rsidP="00200837">
      <w:pPr>
        <w:pStyle w:val="FootnoteText"/>
        <w:rPr>
          <w:lang w:val="lv-LV"/>
        </w:rPr>
      </w:pPr>
      <w:r>
        <w:rPr>
          <w:rStyle w:val="FootnoteReference"/>
        </w:rPr>
        <w:footnoteRef/>
      </w:r>
      <w:r>
        <w:t xml:space="preserve"> </w:t>
      </w:r>
      <w:r w:rsidRPr="00E21293">
        <w:rPr>
          <w:rFonts w:ascii="Times New Roman" w:hAnsi="Times New Roman"/>
          <w:lang w:val="lv-LV"/>
        </w:rPr>
        <w:t xml:space="preserve">CSP datu bāze, datu tabula </w:t>
      </w:r>
      <w:r w:rsidRPr="00E21293">
        <w:rPr>
          <w:rFonts w:ascii="Times New Roman" w:hAnsi="Times New Roman"/>
          <w:bCs/>
          <w:color w:val="222222"/>
          <w:shd w:val="clear" w:color="auto" w:fill="FFFFFF"/>
        </w:rPr>
        <w:t>NB</w:t>
      </w:r>
      <w:r>
        <w:rPr>
          <w:rFonts w:ascii="Times New Roman" w:hAnsi="Times New Roman"/>
          <w:bCs/>
          <w:color w:val="222222"/>
          <w:shd w:val="clear" w:color="auto" w:fill="FFFFFF"/>
          <w:lang w:val="lv-LV"/>
        </w:rPr>
        <w:t>190</w:t>
      </w:r>
      <w:r w:rsidRPr="00E21293">
        <w:rPr>
          <w:rFonts w:ascii="Times New Roman" w:hAnsi="Times New Roman"/>
          <w:bCs/>
          <w:color w:val="222222"/>
          <w:shd w:val="clear" w:color="auto" w:fill="FFFFFF"/>
        </w:rPr>
        <w:t>c</w:t>
      </w:r>
    </w:p>
  </w:footnote>
  <w:footnote w:id="27">
    <w:p w14:paraId="75824DB1" w14:textId="7A762510" w:rsidR="00D67CF6" w:rsidRPr="00924C32" w:rsidRDefault="00D67CF6" w:rsidP="00924C32">
      <w:pPr>
        <w:spacing w:after="0" w:line="240" w:lineRule="auto"/>
        <w:rPr>
          <w:rFonts w:ascii="Times New Roman" w:hAnsi="Times New Roman" w:cs="Times New Roman"/>
          <w:sz w:val="20"/>
          <w:szCs w:val="20"/>
        </w:rPr>
      </w:pPr>
      <w:r w:rsidRPr="00924C32">
        <w:rPr>
          <w:rStyle w:val="FootnoteReference"/>
          <w:rFonts w:ascii="Times New Roman" w:hAnsi="Times New Roman" w:cs="Times New Roman"/>
          <w:sz w:val="20"/>
          <w:szCs w:val="20"/>
        </w:rPr>
        <w:footnoteRef/>
      </w:r>
      <w:r w:rsidRPr="00924C32">
        <w:rPr>
          <w:rFonts w:ascii="Times New Roman" w:hAnsi="Times New Roman" w:cs="Times New Roman"/>
          <w:sz w:val="20"/>
          <w:szCs w:val="20"/>
        </w:rPr>
        <w:t xml:space="preserve"> CSP datu bāze, datu tabulas </w:t>
      </w:r>
      <w:r w:rsidRPr="00924C32">
        <w:rPr>
          <w:rFonts w:ascii="Times New Roman" w:hAnsi="Times New Roman" w:cs="Times New Roman"/>
          <w:bCs/>
          <w:color w:val="000000"/>
          <w:sz w:val="20"/>
          <w:szCs w:val="20"/>
          <w:shd w:val="clear" w:color="auto" w:fill="FCFCFC"/>
        </w:rPr>
        <w:t>[lfsa_igar], [lfsa_epgar]</w:t>
      </w:r>
    </w:p>
    <w:p w14:paraId="45B8A8BE" w14:textId="519AAA64" w:rsidR="00D67CF6" w:rsidRPr="00924C32" w:rsidRDefault="00D67CF6">
      <w:pPr>
        <w:pStyle w:val="FootnoteText"/>
        <w:rPr>
          <w:lang w:val="lv-LV"/>
        </w:rPr>
      </w:pPr>
    </w:p>
  </w:footnote>
  <w:footnote w:id="28">
    <w:p w14:paraId="4A9BDD66" w14:textId="150EF090" w:rsidR="00D67CF6" w:rsidRPr="00183044" w:rsidRDefault="00D67CF6" w:rsidP="00183044">
      <w:pPr>
        <w:pStyle w:val="FootnoteText"/>
        <w:spacing w:after="0" w:line="240" w:lineRule="auto"/>
        <w:rPr>
          <w:rFonts w:ascii="Times New Roman" w:hAnsi="Times New Roman"/>
          <w:lang w:val="lv-LV"/>
        </w:rPr>
      </w:pPr>
      <w:r w:rsidRPr="00183044">
        <w:rPr>
          <w:rStyle w:val="FootnoteReference"/>
          <w:rFonts w:ascii="Times New Roman" w:hAnsi="Times New Roman"/>
        </w:rPr>
        <w:footnoteRef/>
      </w:r>
      <w:r w:rsidRPr="00183044">
        <w:rPr>
          <w:rFonts w:ascii="Times New Roman" w:hAnsi="Times New Roman"/>
        </w:rPr>
        <w:t xml:space="preserve"> </w:t>
      </w:r>
      <w:r w:rsidRPr="00183044">
        <w:rPr>
          <w:rFonts w:ascii="Times New Roman" w:hAnsi="Times New Roman"/>
          <w:lang w:val="lv-LV"/>
        </w:rPr>
        <w:t>Dati izgūti no Labklājības informācijas sistēmas LabIS 2020.gada janvārī</w:t>
      </w:r>
    </w:p>
  </w:footnote>
  <w:footnote w:id="29">
    <w:p w14:paraId="01B74AFC" w14:textId="04EC2ECC" w:rsidR="00D67CF6" w:rsidRPr="00FE5B27" w:rsidRDefault="00D67CF6" w:rsidP="00E07E75">
      <w:pPr>
        <w:pStyle w:val="FootnoteText"/>
        <w:spacing w:after="0" w:line="240" w:lineRule="auto"/>
        <w:rPr>
          <w:rFonts w:ascii="Times New Roman" w:hAnsi="Times New Roman"/>
          <w:lang w:val="lv-LV"/>
        </w:rPr>
      </w:pPr>
      <w:r w:rsidRPr="00FE5B27">
        <w:rPr>
          <w:rStyle w:val="FootnoteReference"/>
          <w:rFonts w:ascii="Times New Roman" w:hAnsi="Times New Roman"/>
        </w:rPr>
        <w:footnoteRef/>
      </w:r>
      <w:r w:rsidRPr="00FE5B27">
        <w:rPr>
          <w:rFonts w:ascii="Times New Roman" w:hAnsi="Times New Roman"/>
        </w:rPr>
        <w:t xml:space="preserve"> </w:t>
      </w:r>
      <w:r w:rsidRPr="00FE5B27">
        <w:rPr>
          <w:rFonts w:ascii="Times New Roman" w:hAnsi="Times New Roman"/>
          <w:lang w:val="lv-LV"/>
        </w:rPr>
        <w:t xml:space="preserve">Eirostat </w:t>
      </w:r>
      <w:r>
        <w:rPr>
          <w:rFonts w:ascii="Times New Roman" w:hAnsi="Times New Roman"/>
          <w:lang w:val="lv-LV"/>
        </w:rPr>
        <w:t xml:space="preserve">datu bāze, </w:t>
      </w:r>
      <w:r w:rsidRPr="00FE5B27">
        <w:rPr>
          <w:rFonts w:ascii="Times New Roman" w:hAnsi="Times New Roman"/>
          <w:lang w:val="lv-LV"/>
        </w:rPr>
        <w:t xml:space="preserve">datu bāze, tabula </w:t>
      </w:r>
      <w:r w:rsidRPr="00FE5B27">
        <w:rPr>
          <w:rFonts w:ascii="Times New Roman" w:hAnsi="Times New Roman"/>
        </w:rPr>
        <w:t>[spr_exp_gdp]</w:t>
      </w:r>
    </w:p>
  </w:footnote>
  <w:footnote w:id="30">
    <w:p w14:paraId="6FC45220" w14:textId="77777777" w:rsidR="00D67CF6" w:rsidRPr="00BE69E3" w:rsidRDefault="00D67CF6" w:rsidP="00BA6430">
      <w:pPr>
        <w:pStyle w:val="FootnoteText"/>
        <w:spacing w:after="0" w:line="240" w:lineRule="auto"/>
        <w:jc w:val="both"/>
        <w:rPr>
          <w:rFonts w:ascii="Times New Roman" w:eastAsia="Times New Roman" w:hAnsi="Times New Roman"/>
          <w:color w:val="000000"/>
          <w:lang w:eastAsia="lv-LV"/>
        </w:rPr>
      </w:pPr>
      <w:r w:rsidRPr="00BE69E3">
        <w:rPr>
          <w:rStyle w:val="FootnoteReference"/>
          <w:rFonts w:ascii="Times New Roman" w:hAnsi="Times New Roman"/>
        </w:rPr>
        <w:footnoteRef/>
      </w:r>
      <w:r w:rsidRPr="00BE69E3">
        <w:rPr>
          <w:rFonts w:ascii="Times New Roman" w:hAnsi="Times New Roman"/>
        </w:rPr>
        <w:t xml:space="preserve"> </w:t>
      </w:r>
      <w:r w:rsidRPr="00BE69E3">
        <w:rPr>
          <w:rFonts w:ascii="Times New Roman" w:eastAsia="Times New Roman" w:hAnsi="Times New Roman"/>
          <w:color w:val="000000"/>
          <w:lang w:eastAsia="lv-LV"/>
        </w:rPr>
        <w:t>Komisijas dienestu darba dokuments. Latvijas 2014.gada valsts reformu programmas un stabilitātes programmas novērtējums, SWD(2014) 415 final, 2.6.2014.; Ziņojums par valsti – Latvija (2015), SWD(2015) 33 final, 26.2.2015.; 2016.gada ziņojums par valsti – Latvija, SWD(2016) 82 final, 26.2.2016.; Ziņojums par Latviju – 2017.gads, SWD(2017) 79 final, 22.2.2017.; Ziņojums par Latviju – 2018.gads, SWD(2018) 2012 final/2, 18.4.2018.; 2019.gada ziņojums par Latviju, SWD(2019) 1013 final, 27.2.2019.; 2020.gada ziņojums par Latviju, SWD(2020) 513 final, 20.2.2020.</w:t>
      </w:r>
    </w:p>
  </w:footnote>
  <w:footnote w:id="31">
    <w:p w14:paraId="598F98C0" w14:textId="4FFE4622" w:rsidR="00D67CF6" w:rsidRPr="00571694" w:rsidRDefault="00D67CF6" w:rsidP="00200837">
      <w:pPr>
        <w:pStyle w:val="FootnoteText"/>
        <w:spacing w:after="0" w:line="240" w:lineRule="auto"/>
        <w:rPr>
          <w:rFonts w:ascii="Times New Roman" w:hAnsi="Times New Roman"/>
          <w:lang w:val="lv-LV"/>
        </w:rPr>
      </w:pPr>
      <w:r w:rsidRPr="00571694">
        <w:rPr>
          <w:rStyle w:val="FootnoteReference"/>
          <w:rFonts w:ascii="Times New Roman" w:hAnsi="Times New Roman"/>
        </w:rPr>
        <w:footnoteRef/>
      </w:r>
      <w:r w:rsidRPr="00571694">
        <w:rPr>
          <w:rFonts w:ascii="Times New Roman" w:hAnsi="Times New Roman"/>
        </w:rPr>
        <w:t xml:space="preserve"> C</w:t>
      </w:r>
      <w:r w:rsidRPr="00571694">
        <w:rPr>
          <w:rFonts w:ascii="Times New Roman" w:hAnsi="Times New Roman"/>
          <w:lang w:val="lv-LV"/>
        </w:rPr>
        <w:t>SP statistisko datu krājums “</w:t>
      </w:r>
      <w:r w:rsidRPr="00571694">
        <w:rPr>
          <w:rFonts w:ascii="Times New Roman" w:hAnsi="Times New Roman"/>
        </w:rPr>
        <w:t>Ienākumi un dzīves apstākļi Latvijā 2019.gadā</w:t>
      </w:r>
      <w:r w:rsidRPr="00571694">
        <w:rPr>
          <w:rFonts w:ascii="Times New Roman" w:hAnsi="Times New Roman"/>
          <w:lang w:val="lv-LV"/>
        </w:rPr>
        <w:t>”, Rīga 2020</w:t>
      </w:r>
      <w:r>
        <w:rPr>
          <w:rFonts w:ascii="Times New Roman" w:hAnsi="Times New Roman"/>
          <w:lang w:val="lv-LV"/>
        </w:rPr>
        <w:t>, 29.lpp.</w:t>
      </w:r>
    </w:p>
  </w:footnote>
  <w:footnote w:id="32">
    <w:p w14:paraId="74E3E9B8" w14:textId="0D98AF81" w:rsidR="00D67CF6" w:rsidRPr="005855B4" w:rsidRDefault="00D67CF6" w:rsidP="00200837">
      <w:pPr>
        <w:pStyle w:val="FootnoteText"/>
        <w:spacing w:after="0" w:line="240" w:lineRule="auto"/>
        <w:rPr>
          <w:rFonts w:ascii="Times New Roman" w:hAnsi="Times New Roman"/>
          <w:lang w:val="lv-LV"/>
        </w:rPr>
      </w:pPr>
      <w:r w:rsidRPr="005855B4">
        <w:rPr>
          <w:rStyle w:val="FootnoteReference"/>
          <w:rFonts w:ascii="Times New Roman" w:hAnsi="Times New Roman"/>
        </w:rPr>
        <w:footnoteRef/>
      </w:r>
      <w:r w:rsidRPr="005855B4">
        <w:rPr>
          <w:rFonts w:ascii="Times New Roman" w:hAnsi="Times New Roman"/>
        </w:rPr>
        <w:t xml:space="preserve"> </w:t>
      </w:r>
      <w:r w:rsidRPr="005855B4">
        <w:rPr>
          <w:rFonts w:ascii="Times New Roman" w:hAnsi="Times New Roman"/>
          <w:lang w:val="lv-LV"/>
        </w:rPr>
        <w:t>Eirostat datu bāze, datu tabula [TESPM050]</w:t>
      </w:r>
    </w:p>
  </w:footnote>
  <w:footnote w:id="33">
    <w:p w14:paraId="55CA028C" w14:textId="207DBD3F" w:rsidR="00D67CF6" w:rsidRPr="00E07E75" w:rsidRDefault="00D67CF6" w:rsidP="00E07E75">
      <w:pPr>
        <w:pStyle w:val="tv213"/>
        <w:shd w:val="clear" w:color="auto" w:fill="FFFFFF"/>
        <w:spacing w:before="0" w:beforeAutospacing="0" w:after="0" w:afterAutospacing="0"/>
        <w:rPr>
          <w:sz w:val="20"/>
          <w:szCs w:val="20"/>
        </w:rPr>
      </w:pPr>
      <w:r w:rsidRPr="00854BD7">
        <w:rPr>
          <w:rStyle w:val="FootnoteReference"/>
          <w:sz w:val="20"/>
          <w:szCs w:val="20"/>
        </w:rPr>
        <w:footnoteRef/>
      </w:r>
      <w:r w:rsidRPr="00854BD7">
        <w:rPr>
          <w:sz w:val="20"/>
          <w:szCs w:val="20"/>
        </w:rPr>
        <w:t xml:space="preserve"> </w:t>
      </w:r>
      <w:r w:rsidRPr="00E07E75">
        <w:rPr>
          <w:sz w:val="20"/>
          <w:szCs w:val="20"/>
        </w:rPr>
        <w:t>Ģimenes valsts pabalsts un piemaksas pie ģimenes valsts pabalsta; bērna kopšanas pabalsts; pabalsts aizbildnībā esoša bērna uzturēšanai; atlīdzība par aizbildņa pienākumu pildīšanu; atlīdzība par audžuģimenes pienākumu pildīšanu; pabalsts transporta izdevumu kompensēšanai invalīdiem, kuriem ir apgrūtināta pārvietošanās; valsts sociālā nodrošinājuma pabalsts; atlīdzība par adoptējamā bērna aprūpi; bērna invalīda kopšanas pabalsts; pabalsts invalīdam, kuram nepieciešama kopšana; bērna adopcijas pabalsts; valsts sociālais pabalsts ČAES avārijas seku likvidēšanas dalībniekam vai viņa ģimenei; valsts atbalsts ar celiakiju slimiem bērniem.</w:t>
      </w:r>
    </w:p>
  </w:footnote>
  <w:footnote w:id="34">
    <w:p w14:paraId="1F266247" w14:textId="0A14A0C2" w:rsidR="00D67CF6" w:rsidRPr="00E07E75" w:rsidRDefault="00D67CF6" w:rsidP="00E07E75">
      <w:pPr>
        <w:pStyle w:val="tv213"/>
        <w:shd w:val="clear" w:color="auto" w:fill="FFFFFF"/>
        <w:spacing w:before="0" w:beforeAutospacing="0" w:after="0" w:afterAutospacing="0"/>
        <w:rPr>
          <w:sz w:val="20"/>
          <w:szCs w:val="20"/>
        </w:rPr>
      </w:pPr>
      <w:r w:rsidRPr="00E07E75">
        <w:rPr>
          <w:rStyle w:val="FootnoteReference"/>
          <w:sz w:val="20"/>
          <w:szCs w:val="20"/>
        </w:rPr>
        <w:footnoteRef/>
      </w:r>
      <w:r w:rsidRPr="00E07E75">
        <w:rPr>
          <w:sz w:val="20"/>
          <w:szCs w:val="20"/>
        </w:rPr>
        <w:t xml:space="preserve"> Bērna piedzimšanas pabalsts; apbedīšanas pabalsts; atlīdzība par adopciju.</w:t>
      </w:r>
    </w:p>
  </w:footnote>
  <w:footnote w:id="35">
    <w:p w14:paraId="565BEDE4" w14:textId="77777777" w:rsidR="00D67CF6" w:rsidRPr="00E07E75" w:rsidRDefault="00D67CF6" w:rsidP="00E07E75">
      <w:pPr>
        <w:pStyle w:val="FootnoteText"/>
        <w:spacing w:after="0" w:line="240" w:lineRule="auto"/>
        <w:rPr>
          <w:rFonts w:ascii="Times New Roman" w:hAnsi="Times New Roman"/>
          <w:lang w:val="lv-LV"/>
        </w:rPr>
      </w:pPr>
      <w:r w:rsidRPr="00E07E75">
        <w:rPr>
          <w:rStyle w:val="FootnoteReference"/>
          <w:rFonts w:ascii="Times New Roman" w:hAnsi="Times New Roman"/>
        </w:rPr>
        <w:footnoteRef/>
      </w:r>
      <w:r w:rsidRPr="00E07E75">
        <w:rPr>
          <w:rFonts w:ascii="Times New Roman" w:hAnsi="Times New Roman"/>
          <w:lang w:val="en-US"/>
        </w:rPr>
        <w:t xml:space="preserve"> </w:t>
      </w:r>
      <w:r w:rsidRPr="00E07E75">
        <w:rPr>
          <w:rFonts w:ascii="Times New Roman" w:hAnsi="Times New Roman"/>
          <w:lang w:val="lv-LV"/>
        </w:rPr>
        <w:t>Sociālo pakalpojumu un sociālās palīdzības likuma 35.pants.</w:t>
      </w:r>
    </w:p>
  </w:footnote>
  <w:footnote w:id="36">
    <w:p w14:paraId="668A2E3A" w14:textId="4D3E9783" w:rsidR="00D67CF6" w:rsidRPr="00652FE6" w:rsidRDefault="00D67CF6" w:rsidP="00E34DEC">
      <w:pPr>
        <w:pStyle w:val="FootnoteText"/>
        <w:spacing w:after="0" w:line="240" w:lineRule="auto"/>
        <w:jc w:val="both"/>
        <w:rPr>
          <w:rFonts w:ascii="Times New Roman" w:hAnsi="Times New Roman"/>
          <w:lang w:val="lv-LV"/>
        </w:rPr>
      </w:pPr>
      <w:r w:rsidRPr="00652FE6">
        <w:rPr>
          <w:rStyle w:val="FootnoteReference"/>
          <w:rFonts w:ascii="Times New Roman" w:hAnsi="Times New Roman"/>
        </w:rPr>
        <w:footnoteRef/>
      </w:r>
      <w:r w:rsidRPr="00652FE6">
        <w:rPr>
          <w:rFonts w:ascii="Times New Roman" w:hAnsi="Times New Roman"/>
        </w:rPr>
        <w:t xml:space="preserve"> </w:t>
      </w:r>
      <w:r>
        <w:rPr>
          <w:rFonts w:ascii="Times New Roman" w:hAnsi="Times New Roman"/>
          <w:lang w:val="lv-LV"/>
        </w:rPr>
        <w:t>RSU</w:t>
      </w:r>
      <w:r w:rsidRPr="00652FE6">
        <w:rPr>
          <w:rFonts w:ascii="Times New Roman" w:hAnsi="Times New Roman"/>
          <w:lang w:val="lv-LV"/>
        </w:rPr>
        <w:t xml:space="preserve"> zinātniskā projekta </w:t>
      </w:r>
      <w:r w:rsidRPr="00652FE6">
        <w:rPr>
          <w:rFonts w:ascii="Times New Roman" w:hAnsi="Times New Roman"/>
          <w:b/>
          <w:bCs/>
          <w:lang w:val="lv-LV"/>
        </w:rPr>
        <w:t>„</w:t>
      </w:r>
      <w:r w:rsidRPr="00652FE6">
        <w:rPr>
          <w:rFonts w:ascii="Times New Roman" w:hAnsi="Times New Roman"/>
          <w:lang w:val="lv-LV"/>
        </w:rPr>
        <w:t xml:space="preserve">Krīzes pārvarēšana Latvijā: ekonomiskie, sociālie un komunikācijas aspekti” (RSU ZP 15/2013) ietvaros 2013.gadā veiktās aptaujas un Valsts pētījumu programmas  "Latvijas mantojums un nākotnes izaicinājumi valsts ilgtspējai" </w:t>
      </w:r>
      <w:r>
        <w:rPr>
          <w:rFonts w:ascii="Times New Roman" w:hAnsi="Times New Roman"/>
          <w:lang w:val="lv-LV"/>
        </w:rPr>
        <w:t>RSU</w:t>
      </w:r>
      <w:r w:rsidRPr="00652FE6">
        <w:rPr>
          <w:rFonts w:ascii="Times New Roman" w:hAnsi="Times New Roman"/>
          <w:lang w:val="lv-LV"/>
        </w:rPr>
        <w:t xml:space="preserve"> projekta “Latvijas valsts un sabiedrības izaicinājumi un risinājumi starptautiskā kontekstā (INTERFRAME-LV)” ietvaros 2019.gadā veiktās aptaujas datu masīva analīze</w:t>
      </w:r>
    </w:p>
  </w:footnote>
  <w:footnote w:id="37">
    <w:p w14:paraId="409F5FB6" w14:textId="54BCB55E" w:rsidR="00D67CF6" w:rsidRPr="00652FE6" w:rsidRDefault="00D67CF6" w:rsidP="00DB10CB">
      <w:pPr>
        <w:pStyle w:val="FootnoteText"/>
        <w:spacing w:after="0" w:line="240" w:lineRule="auto"/>
        <w:jc w:val="both"/>
        <w:rPr>
          <w:rFonts w:ascii="Times New Roman" w:hAnsi="Times New Roman"/>
          <w:lang w:val="lv-LV"/>
        </w:rPr>
      </w:pPr>
      <w:r w:rsidRPr="00652FE6">
        <w:rPr>
          <w:rStyle w:val="FootnoteReference"/>
          <w:rFonts w:ascii="Times New Roman" w:hAnsi="Times New Roman"/>
        </w:rPr>
        <w:footnoteRef/>
      </w:r>
      <w:r w:rsidRPr="00652FE6">
        <w:rPr>
          <w:rFonts w:ascii="Times New Roman" w:hAnsi="Times New Roman"/>
        </w:rPr>
        <w:t xml:space="preserve"> </w:t>
      </w:r>
      <w:bookmarkStart w:id="13" w:name="_Hlk55397890"/>
      <w:r w:rsidRPr="00652FE6">
        <w:rPr>
          <w:rFonts w:ascii="Times New Roman" w:hAnsi="Times New Roman"/>
          <w:lang w:val="lv-LV"/>
        </w:rPr>
        <w:t xml:space="preserve">Valsts pētījumu programmas  "Latvijas mantojums un nākotnes izaicinājumi valsts ilgtspējai" </w:t>
      </w:r>
      <w:r>
        <w:rPr>
          <w:rFonts w:ascii="Times New Roman" w:hAnsi="Times New Roman"/>
          <w:lang w:val="lv-LV"/>
        </w:rPr>
        <w:t>RSU</w:t>
      </w:r>
      <w:r w:rsidRPr="00652FE6">
        <w:rPr>
          <w:rFonts w:ascii="Times New Roman" w:hAnsi="Times New Roman"/>
          <w:lang w:val="lv-LV"/>
        </w:rPr>
        <w:t xml:space="preserve"> projekta “Latvijas valsts un sabiedrības izaicinājumi un risinājumi starptautiskā kontekstā (INTERFRAME-LV)” ietvaros 2019.gadā veiktā aptauja</w:t>
      </w:r>
      <w:bookmarkEnd w:id="13"/>
    </w:p>
  </w:footnote>
  <w:footnote w:id="38">
    <w:p w14:paraId="2F2E1E6F" w14:textId="1C045AE5" w:rsidR="00D67CF6" w:rsidRPr="00BA7456" w:rsidRDefault="00D67CF6" w:rsidP="00BA7456">
      <w:pPr>
        <w:pStyle w:val="FootnoteText"/>
        <w:spacing w:after="0" w:line="240" w:lineRule="auto"/>
        <w:rPr>
          <w:rFonts w:ascii="Times New Roman" w:hAnsi="Times New Roman"/>
          <w:lang w:val="lv-LV"/>
        </w:rPr>
      </w:pPr>
      <w:r w:rsidRPr="00BA7456">
        <w:rPr>
          <w:rStyle w:val="FootnoteReference"/>
          <w:rFonts w:ascii="Times New Roman" w:hAnsi="Times New Roman"/>
        </w:rPr>
        <w:footnoteRef/>
      </w:r>
      <w:r w:rsidRPr="00BA7456">
        <w:rPr>
          <w:rFonts w:ascii="Times New Roman" w:hAnsi="Times New Roman"/>
        </w:rPr>
        <w:t xml:space="preserve"> </w:t>
      </w:r>
      <w:r>
        <w:rPr>
          <w:rFonts w:ascii="Times New Roman" w:hAnsi="Times New Roman"/>
          <w:lang w:val="lv-LV"/>
        </w:rPr>
        <w:t>Turpat</w:t>
      </w:r>
    </w:p>
  </w:footnote>
  <w:footnote w:id="39">
    <w:p w14:paraId="3D6AEE91" w14:textId="383AAF37" w:rsidR="00D67CF6" w:rsidRPr="00DB10CB" w:rsidRDefault="00D67CF6" w:rsidP="00E14A75">
      <w:pPr>
        <w:pStyle w:val="FootnoteText"/>
        <w:spacing w:after="0" w:line="240" w:lineRule="auto"/>
        <w:jc w:val="both"/>
        <w:rPr>
          <w:rFonts w:ascii="Times New Roman" w:hAnsi="Times New Roman"/>
          <w:lang w:val="lv-LV"/>
        </w:rPr>
      </w:pPr>
      <w:r w:rsidRPr="00DB10CB">
        <w:rPr>
          <w:rStyle w:val="FootnoteReference"/>
          <w:rFonts w:ascii="Times New Roman" w:hAnsi="Times New Roman"/>
        </w:rPr>
        <w:footnoteRef/>
      </w:r>
      <w:r w:rsidRPr="00DB10CB">
        <w:rPr>
          <w:rFonts w:ascii="Times New Roman" w:hAnsi="Times New Roman"/>
        </w:rPr>
        <w:t xml:space="preserve"> </w:t>
      </w:r>
      <w:bookmarkStart w:id="15" w:name="_Hlk55397879"/>
      <w:r w:rsidRPr="00DB10CB">
        <w:rPr>
          <w:rFonts w:ascii="Times New Roman" w:hAnsi="Times New Roman"/>
        </w:rPr>
        <w:t>Valsts kontrole, Revīzijas ziņojums “Vai valsts politika pensiju sistēmas ilgtspējas nodrošināšanai ir efektīva?” (apstiprināts ar Valsts kontroles Trešā revīzijas departamenta 27.04.2017. lēmumu Nr.2.4.1-10/2016.; revīzijas publiskošanas datums 5.05.2017.)</w:t>
      </w:r>
      <w:bookmarkEnd w:id="15"/>
      <w:r w:rsidRPr="00DB10CB">
        <w:rPr>
          <w:rFonts w:ascii="Times New Roman" w:hAnsi="Times New Roman"/>
          <w:lang w:val="lv-LV"/>
        </w:rPr>
        <w:t xml:space="preserve">, pieejams: </w:t>
      </w:r>
      <w:hyperlink r:id="rId3" w:history="1">
        <w:r w:rsidRPr="00DB10CB">
          <w:rPr>
            <w:rStyle w:val="Hyperlink"/>
            <w:rFonts w:ascii="Times New Roman" w:hAnsi="Times New Roman"/>
          </w:rPr>
          <w:t>https://www.lrvk.gov.lv/lv/revizijas/revizijas/noslegtas-revizijas/valsts-politikas-efektivitate-pensiju-sistemas-ilgtspejas-nodrosinasanai</w:t>
        </w:r>
      </w:hyperlink>
    </w:p>
  </w:footnote>
  <w:footnote w:id="40">
    <w:p w14:paraId="7A269FE6" w14:textId="58075600" w:rsidR="00D67CF6" w:rsidRPr="003D5E9D" w:rsidRDefault="00D67CF6" w:rsidP="00335298">
      <w:pPr>
        <w:spacing w:after="0" w:line="240" w:lineRule="auto"/>
        <w:jc w:val="both"/>
        <w:rPr>
          <w:rFonts w:ascii="Times New Roman" w:hAnsi="Times New Roman"/>
          <w:sz w:val="20"/>
          <w:szCs w:val="20"/>
        </w:rPr>
      </w:pPr>
      <w:r w:rsidRPr="003D5E9D">
        <w:rPr>
          <w:rStyle w:val="FootnoteReference"/>
          <w:rFonts w:ascii="Times New Roman" w:hAnsi="Times New Roman" w:cs="Times New Roman"/>
          <w:sz w:val="20"/>
          <w:szCs w:val="20"/>
        </w:rPr>
        <w:footnoteRef/>
      </w:r>
      <w:r w:rsidRPr="003D5E9D">
        <w:rPr>
          <w:rFonts w:ascii="Times New Roman" w:hAnsi="Times New Roman" w:cs="Times New Roman"/>
          <w:sz w:val="20"/>
          <w:szCs w:val="20"/>
        </w:rPr>
        <w:t xml:space="preserve"> OECD (2018), OECD Reviews of Pension Systems: Latvia, OECD Publishing, Paris. </w:t>
      </w:r>
      <w:hyperlink r:id="rId4" w:history="1">
        <w:r w:rsidRPr="003D5E9D">
          <w:rPr>
            <w:rStyle w:val="Hyperlink"/>
            <w:rFonts w:ascii="Times New Roman" w:hAnsi="Times New Roman" w:cs="Times New Roman"/>
            <w:sz w:val="20"/>
            <w:szCs w:val="20"/>
          </w:rPr>
          <w:t>http://dx.doi.org/10.1787/9789264289390-en</w:t>
        </w:r>
      </w:hyperlink>
      <w:r w:rsidRPr="003D5E9D">
        <w:rPr>
          <w:rFonts w:ascii="Times New Roman" w:hAnsi="Times New Roman" w:cs="Times New Roman"/>
          <w:sz w:val="20"/>
          <w:szCs w:val="20"/>
        </w:rPr>
        <w:t xml:space="preserve">; European Union (2018), Pension Adequacy Report: current and future income adequacy in old age in the EU, Luxembourg; European Union (2018), Ageing Report, Brussels, </w:t>
      </w:r>
      <w:r w:rsidRPr="00894570">
        <w:rPr>
          <w:rFonts w:ascii="Times New Roman" w:hAnsi="Times New Roman" w:cs="Times New Roman"/>
          <w:sz w:val="20"/>
          <w:szCs w:val="20"/>
        </w:rPr>
        <w:t xml:space="preserve">Belgium;  </w:t>
      </w:r>
      <w:r w:rsidRPr="00894570">
        <w:rPr>
          <w:rFonts w:ascii="Times New Roman" w:eastAsia="Times New Roman" w:hAnsi="Times New Roman" w:cs="Times New Roman"/>
          <w:color w:val="000000"/>
          <w:sz w:val="20"/>
          <w:szCs w:val="20"/>
          <w:lang w:eastAsia="lv-LV"/>
        </w:rPr>
        <w:t>Komisijas dienestu darba dokuments. Ziņojums par valsti – Latvija (2015), SWD(2015) 33 final, 26.2.2015.;</w:t>
      </w:r>
      <w:r w:rsidRPr="00894570">
        <w:rPr>
          <w:rFonts w:ascii="Times New Roman" w:eastAsia="Times New Roman" w:hAnsi="Times New Roman"/>
          <w:color w:val="000000"/>
          <w:sz w:val="20"/>
          <w:szCs w:val="20"/>
          <w:lang w:eastAsia="lv-LV"/>
        </w:rPr>
        <w:t xml:space="preserve"> 2016.gada ziņojums par valsti – Latvija, SWD(2016) 82 final, 26.2.2016.; Ziņojums par Latviju – 2017.gads, SWD(2017) 79 final, 22.2.2017.; Ziņojums par Latviju – 2018.gads, SWD(2018) 2012 final/2, 18.4.2018.; 2019.gada ziņojums par Latviju, SWD(2019) 1013 final, 27.2.2019.; 2020</w:t>
      </w:r>
      <w:r w:rsidRPr="00EE5F86">
        <w:rPr>
          <w:rFonts w:ascii="Times New Roman" w:eastAsia="Times New Roman" w:hAnsi="Times New Roman"/>
          <w:color w:val="000000"/>
          <w:sz w:val="20"/>
          <w:szCs w:val="20"/>
          <w:lang w:eastAsia="lv-LV"/>
        </w:rPr>
        <w:t>.gada ziņojums par Latviju, SWD(2020) 513 final, 20.2.2020.</w:t>
      </w:r>
    </w:p>
  </w:footnote>
  <w:footnote w:id="41">
    <w:p w14:paraId="6163CF55" w14:textId="11A9B5D7" w:rsidR="00D67CF6" w:rsidRPr="00DB10CB" w:rsidRDefault="00D67CF6" w:rsidP="00DB10CB">
      <w:pPr>
        <w:pStyle w:val="FootnoteText"/>
        <w:spacing w:after="0" w:line="240" w:lineRule="auto"/>
        <w:rPr>
          <w:rFonts w:ascii="Times New Roman" w:hAnsi="Times New Roman"/>
        </w:rPr>
      </w:pPr>
      <w:r w:rsidRPr="00DB10CB">
        <w:rPr>
          <w:rStyle w:val="FootnoteReference"/>
          <w:rFonts w:ascii="Times New Roman" w:hAnsi="Times New Roman"/>
        </w:rPr>
        <w:footnoteRef/>
      </w:r>
      <w:r w:rsidRPr="00DB10CB">
        <w:rPr>
          <w:rFonts w:ascii="Times New Roman" w:hAnsi="Times New Roman"/>
        </w:rPr>
        <w:t xml:space="preserve"> </w:t>
      </w:r>
      <w:r w:rsidRPr="00DB10CB">
        <w:rPr>
          <w:rFonts w:ascii="Times New Roman" w:hAnsi="Times New Roman"/>
          <w:lang w:val="lv-LV"/>
        </w:rPr>
        <w:t>Economi</w:t>
      </w:r>
      <w:r>
        <w:rPr>
          <w:rFonts w:ascii="Times New Roman" w:hAnsi="Times New Roman"/>
          <w:lang w:val="lv-LV"/>
        </w:rPr>
        <w:t>c</w:t>
      </w:r>
      <w:r w:rsidRPr="00DB10CB">
        <w:rPr>
          <w:rFonts w:ascii="Times New Roman" w:hAnsi="Times New Roman"/>
          <w:lang w:val="lv-LV"/>
        </w:rPr>
        <w:t xml:space="preserve"> Policy Committee, Social Protection Committee, Joint Paper on Pensions, 2019, </w:t>
      </w:r>
      <w:r w:rsidRPr="00DB10CB">
        <w:rPr>
          <w:rFonts w:ascii="Times New Roman" w:hAnsi="Times New Roman"/>
        </w:rPr>
        <w:t>Brussels, 22/01/2020</w:t>
      </w:r>
      <w:r>
        <w:rPr>
          <w:rFonts w:ascii="Times New Roman" w:hAnsi="Times New Roman"/>
          <w:lang w:val="lv-LV"/>
        </w:rPr>
        <w:t>,</w:t>
      </w:r>
      <w:r w:rsidRPr="00DB10CB">
        <w:rPr>
          <w:rFonts w:ascii="Times New Roman" w:hAnsi="Times New Roman"/>
        </w:rPr>
        <w:t xml:space="preserve"> ecfin.cef.cpe(2020)469700</w:t>
      </w:r>
      <w:r w:rsidRPr="00DB10CB">
        <w:rPr>
          <w:rFonts w:ascii="Times New Roman" w:hAnsi="Times New Roman"/>
          <w:lang w:val="lv-LV"/>
        </w:rPr>
        <w:t xml:space="preserve">, pieejams: </w:t>
      </w:r>
      <w:hyperlink r:id="rId5" w:history="1">
        <w:r w:rsidRPr="00DB10CB">
          <w:rPr>
            <w:rStyle w:val="Hyperlink"/>
            <w:rFonts w:ascii="Times New Roman" w:hAnsi="Times New Roman"/>
          </w:rPr>
          <w:t>https://europa.eu/epc/system/files/2020-01/Joint-Paper-on-Pensions-2019.pdf</w:t>
        </w:r>
      </w:hyperlink>
    </w:p>
  </w:footnote>
  <w:footnote w:id="42">
    <w:p w14:paraId="44FD4765" w14:textId="386EAC99" w:rsidR="00D67CF6" w:rsidRPr="00DB10CB" w:rsidRDefault="00D67CF6">
      <w:pPr>
        <w:pStyle w:val="FootnoteText"/>
        <w:rPr>
          <w:lang w:val="lv-LV"/>
        </w:rPr>
      </w:pPr>
      <w:r>
        <w:rPr>
          <w:rStyle w:val="FootnoteReference"/>
        </w:rPr>
        <w:footnoteRef/>
      </w:r>
      <w:r>
        <w:t xml:space="preserve"> </w:t>
      </w:r>
      <w:r w:rsidRPr="00DB10CB">
        <w:rPr>
          <w:rFonts w:ascii="Times New Roman" w:hAnsi="Times New Roman"/>
          <w:lang w:val="lv-LV"/>
        </w:rPr>
        <w:t>Economi</w:t>
      </w:r>
      <w:r>
        <w:rPr>
          <w:rFonts w:ascii="Times New Roman" w:hAnsi="Times New Roman"/>
          <w:lang w:val="lv-LV"/>
        </w:rPr>
        <w:t>c</w:t>
      </w:r>
      <w:r w:rsidRPr="00DB10CB">
        <w:rPr>
          <w:rFonts w:ascii="Times New Roman" w:hAnsi="Times New Roman"/>
          <w:lang w:val="lv-LV"/>
        </w:rPr>
        <w:t xml:space="preserve"> Policy Committee, Social Protection Committee, Joint Paper on Pensions, 2019, </w:t>
      </w:r>
      <w:r w:rsidRPr="00DB10CB">
        <w:rPr>
          <w:rFonts w:ascii="Times New Roman" w:hAnsi="Times New Roman"/>
        </w:rPr>
        <w:t>Brussels, 22/01/2020</w:t>
      </w:r>
      <w:r>
        <w:rPr>
          <w:rFonts w:ascii="Times New Roman" w:hAnsi="Times New Roman"/>
          <w:lang w:val="lv-LV"/>
        </w:rPr>
        <w:t>,</w:t>
      </w:r>
      <w:r w:rsidRPr="00DB10CB">
        <w:rPr>
          <w:rFonts w:ascii="Times New Roman" w:hAnsi="Times New Roman"/>
        </w:rPr>
        <w:t xml:space="preserve"> ecfin.cef.cpe(2020)469700</w:t>
      </w:r>
      <w:r w:rsidRPr="00DB10CB">
        <w:rPr>
          <w:rFonts w:ascii="Times New Roman" w:hAnsi="Times New Roman"/>
          <w:lang w:val="lv-LV"/>
        </w:rPr>
        <w:t xml:space="preserve">, pieejams: </w:t>
      </w:r>
      <w:hyperlink r:id="rId6" w:history="1">
        <w:r w:rsidRPr="00DB10CB">
          <w:rPr>
            <w:rStyle w:val="Hyperlink"/>
            <w:rFonts w:ascii="Times New Roman" w:hAnsi="Times New Roman"/>
          </w:rPr>
          <w:t>https://europa.eu/epc/system/files/2020-01/Joint-Paper-on-Pensions-2019.pdf</w:t>
        </w:r>
      </w:hyperlink>
    </w:p>
  </w:footnote>
  <w:footnote w:id="43">
    <w:p w14:paraId="4646BFF1" w14:textId="77777777" w:rsidR="00D67CF6" w:rsidRPr="001C656E" w:rsidRDefault="00D67CF6" w:rsidP="001C656E">
      <w:pPr>
        <w:pStyle w:val="FootnoteText"/>
        <w:spacing w:after="0" w:line="240" w:lineRule="auto"/>
        <w:rPr>
          <w:rFonts w:ascii="Times New Roman" w:hAnsi="Times New Roman"/>
        </w:rPr>
      </w:pPr>
      <w:r w:rsidRPr="001C656E">
        <w:rPr>
          <w:rStyle w:val="FootnoteReference"/>
          <w:rFonts w:ascii="Times New Roman" w:hAnsi="Times New Roman"/>
        </w:rPr>
        <w:footnoteRef/>
      </w:r>
      <w:r w:rsidRPr="001C656E">
        <w:rPr>
          <w:rFonts w:ascii="Times New Roman" w:hAnsi="Times New Roman"/>
        </w:rPr>
        <w:t xml:space="preserve"> Pieņemti 2016.gada 8.decembrī, pieejams </w:t>
      </w:r>
      <w:r w:rsidRPr="001C656E">
        <w:rPr>
          <w:rFonts w:ascii="Times New Roman" w:hAnsi="Times New Roman"/>
          <w:color w:val="000000"/>
        </w:rPr>
        <w:t>http://data.consilium.europa.eu/doc/document/ST-15409-2016-INIT/en/pdf</w:t>
      </w:r>
    </w:p>
  </w:footnote>
  <w:footnote w:id="44">
    <w:p w14:paraId="18748D96" w14:textId="48E5E09F" w:rsidR="00D67CF6" w:rsidRPr="001C656E" w:rsidRDefault="00D67CF6" w:rsidP="001C656E">
      <w:pPr>
        <w:pStyle w:val="FootnoteText"/>
        <w:spacing w:after="0" w:line="240" w:lineRule="auto"/>
        <w:rPr>
          <w:rFonts w:ascii="Times New Roman" w:hAnsi="Times New Roman"/>
          <w:lang w:val="lv-LV"/>
        </w:rPr>
      </w:pPr>
      <w:r w:rsidRPr="001C656E">
        <w:rPr>
          <w:rStyle w:val="FootnoteReference"/>
          <w:rFonts w:ascii="Times New Roman" w:hAnsi="Times New Roman"/>
        </w:rPr>
        <w:footnoteRef/>
      </w:r>
      <w:r w:rsidRPr="001C656E">
        <w:rPr>
          <w:rFonts w:ascii="Times New Roman" w:hAnsi="Times New Roman"/>
        </w:rPr>
        <w:t xml:space="preserve"> </w:t>
      </w:r>
      <w:r w:rsidRPr="001C656E">
        <w:rPr>
          <w:rFonts w:ascii="Times New Roman" w:hAnsi="Times New Roman"/>
          <w:lang w:val="lv-LV"/>
        </w:rPr>
        <w:t>Eirostat</w:t>
      </w:r>
      <w:r w:rsidRPr="001C656E">
        <w:rPr>
          <w:rFonts w:ascii="Times New Roman" w:hAnsi="Times New Roman"/>
        </w:rPr>
        <w:t xml:space="preserve"> </w:t>
      </w:r>
      <w:r w:rsidRPr="001C656E">
        <w:rPr>
          <w:rFonts w:ascii="Times New Roman" w:hAnsi="Times New Roman"/>
          <w:lang w:val="lv-LV"/>
        </w:rPr>
        <w:t xml:space="preserve">datu bāze, datu tabula </w:t>
      </w:r>
      <w:r w:rsidRPr="001C656E">
        <w:rPr>
          <w:rFonts w:ascii="Times New Roman" w:hAnsi="Times New Roman"/>
          <w:bCs/>
          <w:color w:val="000000"/>
          <w:shd w:val="clear" w:color="auto" w:fill="FCFCFC"/>
        </w:rPr>
        <w:t>[ilc_pnp13]</w:t>
      </w:r>
    </w:p>
  </w:footnote>
  <w:footnote w:id="45">
    <w:p w14:paraId="3E004F83" w14:textId="39C616BB" w:rsidR="00D67CF6" w:rsidRPr="00B34E6E" w:rsidRDefault="00D67CF6" w:rsidP="00F13923">
      <w:pPr>
        <w:pStyle w:val="FootnoteText"/>
        <w:spacing w:after="0" w:line="240" w:lineRule="auto"/>
        <w:rPr>
          <w:rFonts w:ascii="Times New Roman" w:hAnsi="Times New Roman"/>
          <w:color w:val="00B050"/>
          <w:lang w:val="lv-LV"/>
        </w:rPr>
      </w:pPr>
      <w:r w:rsidRPr="00F13923">
        <w:rPr>
          <w:rStyle w:val="FootnoteReference"/>
          <w:rFonts w:ascii="Times New Roman" w:hAnsi="Times New Roman"/>
        </w:rPr>
        <w:footnoteRef/>
      </w:r>
      <w:r w:rsidRPr="00F13923">
        <w:rPr>
          <w:rFonts w:ascii="Times New Roman" w:hAnsi="Times New Roman"/>
          <w:lang w:val="lv-LV"/>
        </w:rPr>
        <w:t xml:space="preserve"> </w:t>
      </w:r>
      <w:r w:rsidRPr="00F13923">
        <w:rPr>
          <w:rFonts w:ascii="Times New Roman" w:hAnsi="Times New Roman"/>
          <w:lang w:val="lv-LV" w:eastAsia="lv-LV"/>
        </w:rPr>
        <w:t xml:space="preserve">LM </w:t>
      </w:r>
      <w:r w:rsidRPr="00F13923">
        <w:rPr>
          <w:rFonts w:ascii="Times New Roman" w:hAnsi="Times New Roman"/>
          <w:lang w:eastAsia="lv-LV"/>
        </w:rPr>
        <w:t>informatīv</w:t>
      </w:r>
      <w:r w:rsidRPr="00F13923">
        <w:rPr>
          <w:rFonts w:ascii="Times New Roman" w:hAnsi="Times New Roman"/>
          <w:lang w:val="lv-LV" w:eastAsia="lv-LV"/>
        </w:rPr>
        <w:t>ais</w:t>
      </w:r>
      <w:r w:rsidRPr="00F13923">
        <w:rPr>
          <w:rFonts w:ascii="Times New Roman" w:hAnsi="Times New Roman"/>
          <w:lang w:eastAsia="lv-LV"/>
        </w:rPr>
        <w:t xml:space="preserve"> ziņojum</w:t>
      </w:r>
      <w:r w:rsidRPr="00F13923">
        <w:rPr>
          <w:rFonts w:ascii="Times New Roman" w:hAnsi="Times New Roman"/>
          <w:lang w:val="lv-LV" w:eastAsia="lv-LV"/>
        </w:rPr>
        <w:t>s</w:t>
      </w:r>
      <w:r w:rsidRPr="00F13923">
        <w:rPr>
          <w:rFonts w:ascii="Times New Roman" w:hAnsi="Times New Roman"/>
          <w:lang w:eastAsia="lv-LV"/>
        </w:rPr>
        <w:t xml:space="preserve"> “Par samazinātu darbaspēka nodokļu likmju piemērošanu sezonālajos darbos nodarbināto ienākumam” (prot. Nr.13, 44.§</w:t>
      </w:r>
      <w:r w:rsidRPr="00F13923">
        <w:rPr>
          <w:rFonts w:ascii="Times New Roman" w:hAnsi="Times New Roman"/>
          <w:lang w:val="lv-LV" w:eastAsia="lv-LV"/>
        </w:rPr>
        <w:t xml:space="preserve">, izskatīts </w:t>
      </w:r>
      <w:r>
        <w:rPr>
          <w:rFonts w:ascii="Times New Roman" w:hAnsi="Times New Roman"/>
          <w:lang w:val="lv-LV" w:eastAsia="lv-LV"/>
        </w:rPr>
        <w:t>MK</w:t>
      </w:r>
      <w:r w:rsidRPr="00F13923">
        <w:rPr>
          <w:rFonts w:ascii="Times New Roman" w:hAnsi="Times New Roman"/>
          <w:lang w:eastAsia="lv-LV"/>
        </w:rPr>
        <w:t xml:space="preserve"> </w:t>
      </w:r>
      <w:r>
        <w:rPr>
          <w:rFonts w:ascii="Times New Roman" w:hAnsi="Times New Roman"/>
          <w:lang w:val="lv-LV" w:eastAsia="lv-LV"/>
        </w:rPr>
        <w:t>27.02.</w:t>
      </w:r>
      <w:r w:rsidRPr="00F13923">
        <w:rPr>
          <w:rFonts w:ascii="Times New Roman" w:hAnsi="Times New Roman"/>
          <w:lang w:eastAsia="lv-LV"/>
        </w:rPr>
        <w:t>2018.</w:t>
      </w:r>
      <w:r>
        <w:rPr>
          <w:rFonts w:ascii="Times New Roman" w:hAnsi="Times New Roman"/>
          <w:lang w:val="lv-LV" w:eastAsia="lv-LV"/>
        </w:rPr>
        <w:t xml:space="preserve"> </w:t>
      </w:r>
      <w:r w:rsidRPr="00F13923">
        <w:rPr>
          <w:rFonts w:ascii="Times New Roman" w:hAnsi="Times New Roman"/>
          <w:lang w:eastAsia="lv-LV"/>
        </w:rPr>
        <w:t>februāra sēdē</w:t>
      </w:r>
      <w:r>
        <w:rPr>
          <w:rFonts w:ascii="Times New Roman" w:hAnsi="Times New Roman"/>
          <w:lang w:val="lv-LV" w:eastAsia="lv-LV"/>
        </w:rPr>
        <w:t>)</w:t>
      </w:r>
    </w:p>
  </w:footnote>
  <w:footnote w:id="46">
    <w:p w14:paraId="75F2CFB8" w14:textId="587BC7AA" w:rsidR="00D67CF6" w:rsidRPr="00C35958" w:rsidRDefault="00D67CF6" w:rsidP="001C656E">
      <w:pPr>
        <w:pStyle w:val="FootnoteText"/>
        <w:keepLines/>
        <w:spacing w:after="0" w:line="240" w:lineRule="auto"/>
        <w:jc w:val="both"/>
        <w:rPr>
          <w:rFonts w:ascii="Times New Roman" w:hAnsi="Times New Roman"/>
          <w:lang w:val="lv-LV"/>
        </w:rPr>
      </w:pPr>
      <w:r w:rsidRPr="00C35958">
        <w:rPr>
          <w:rStyle w:val="FootnoteReference"/>
          <w:rFonts w:ascii="Times New Roman" w:hAnsi="Times New Roman"/>
        </w:rPr>
        <w:footnoteRef/>
      </w:r>
      <w:r w:rsidRPr="00C35958">
        <w:rPr>
          <w:rFonts w:ascii="Times New Roman" w:hAnsi="Times New Roman"/>
          <w:lang w:val="lv-LV"/>
        </w:rPr>
        <w:t xml:space="preserve"> L</w:t>
      </w:r>
      <w:r w:rsidRPr="00C35958">
        <w:rPr>
          <w:rFonts w:ascii="Times New Roman" w:eastAsia="Times New Roman" w:hAnsi="Times New Roman"/>
        </w:rPr>
        <w:t xml:space="preserve">īdz 2016.gada 31.decembrim mikrouzņēmuma nodokļa likme apgrozījumam līdz 100 000 </w:t>
      </w:r>
      <w:r>
        <w:rPr>
          <w:rFonts w:ascii="Times New Roman" w:eastAsia="Times New Roman" w:hAnsi="Times New Roman"/>
          <w:lang w:val="lv-LV"/>
        </w:rPr>
        <w:t>eiro</w:t>
      </w:r>
      <w:r w:rsidRPr="00C35958">
        <w:rPr>
          <w:rFonts w:ascii="Times New Roman" w:eastAsia="Times New Roman" w:hAnsi="Times New Roman"/>
        </w:rPr>
        <w:t xml:space="preserve"> bija 9%, no kuriem 72,4% tika novirzīti </w:t>
      </w:r>
      <w:r>
        <w:rPr>
          <w:rFonts w:ascii="Times New Roman" w:eastAsia="Times New Roman" w:hAnsi="Times New Roman"/>
          <w:lang w:val="lv-LV"/>
        </w:rPr>
        <w:t>VSAOI</w:t>
      </w:r>
      <w:r w:rsidRPr="00C35958">
        <w:rPr>
          <w:rFonts w:ascii="Times New Roman" w:hAnsi="Times New Roman"/>
        </w:rPr>
        <w:t>.</w:t>
      </w:r>
      <w:r w:rsidRPr="00C35958">
        <w:rPr>
          <w:rFonts w:ascii="Times New Roman" w:hAnsi="Times New Roman"/>
          <w:lang w:val="lv-LV"/>
        </w:rPr>
        <w:t xml:space="preserve"> 2017.gadā </w:t>
      </w:r>
      <w:r w:rsidRPr="00C35958">
        <w:rPr>
          <w:rFonts w:ascii="Times New Roman" w:eastAsia="Times New Roman" w:hAnsi="Times New Roman"/>
        </w:rPr>
        <w:t xml:space="preserve">mikrouzņēmumu nodokļa likme apgrozījumam līdz 7000 </w:t>
      </w:r>
      <w:r>
        <w:rPr>
          <w:rFonts w:ascii="Times New Roman" w:eastAsia="Times New Roman" w:hAnsi="Times New Roman"/>
          <w:lang w:val="lv-LV"/>
        </w:rPr>
        <w:t>eiro</w:t>
      </w:r>
      <w:r w:rsidRPr="00C35958">
        <w:rPr>
          <w:rFonts w:ascii="Times New Roman" w:eastAsia="Times New Roman" w:hAnsi="Times New Roman"/>
        </w:rPr>
        <w:t xml:space="preserve"> </w:t>
      </w:r>
      <w:r>
        <w:rPr>
          <w:rFonts w:ascii="Times New Roman" w:eastAsia="Times New Roman" w:hAnsi="Times New Roman"/>
          <w:lang w:val="lv-LV"/>
        </w:rPr>
        <w:t>bija</w:t>
      </w:r>
      <w:r w:rsidRPr="00C35958">
        <w:rPr>
          <w:rFonts w:ascii="Times New Roman" w:eastAsia="Times New Roman" w:hAnsi="Times New Roman"/>
        </w:rPr>
        <w:t xml:space="preserve"> 12%, savukārt no 7000,01 </w:t>
      </w:r>
      <w:r>
        <w:rPr>
          <w:rFonts w:ascii="Times New Roman" w:eastAsia="Times New Roman" w:hAnsi="Times New Roman"/>
          <w:lang w:val="lv-LV"/>
        </w:rPr>
        <w:t>eiro</w:t>
      </w:r>
      <w:r w:rsidRPr="00C35958">
        <w:rPr>
          <w:rFonts w:ascii="Times New Roman" w:eastAsia="Times New Roman" w:hAnsi="Times New Roman"/>
        </w:rPr>
        <w:t xml:space="preserve"> līdz 100 000 </w:t>
      </w:r>
      <w:r>
        <w:rPr>
          <w:rFonts w:ascii="Times New Roman" w:eastAsia="Times New Roman" w:hAnsi="Times New Roman"/>
          <w:lang w:val="lv-LV"/>
        </w:rPr>
        <w:t>eiro</w:t>
      </w:r>
      <w:r w:rsidRPr="00C35958">
        <w:rPr>
          <w:rFonts w:ascii="Times New Roman" w:eastAsia="Times New Roman" w:hAnsi="Times New Roman"/>
        </w:rPr>
        <w:t xml:space="preserve"> - 15%</w:t>
      </w:r>
      <w:r>
        <w:rPr>
          <w:rFonts w:ascii="Times New Roman" w:eastAsia="Times New Roman" w:hAnsi="Times New Roman"/>
          <w:lang w:val="lv-LV"/>
        </w:rPr>
        <w:t>, no kuriem</w:t>
      </w:r>
      <w:r w:rsidRPr="00C35958">
        <w:rPr>
          <w:rFonts w:ascii="Times New Roman" w:eastAsia="Times New Roman" w:hAnsi="Times New Roman"/>
        </w:rPr>
        <w:t xml:space="preserve"> 70,4 % tiek novirzīti </w:t>
      </w:r>
      <w:r>
        <w:rPr>
          <w:rFonts w:ascii="Times New Roman" w:eastAsia="Times New Roman" w:hAnsi="Times New Roman"/>
          <w:lang w:val="lv-LV"/>
        </w:rPr>
        <w:t>VSAOI.</w:t>
      </w:r>
    </w:p>
  </w:footnote>
  <w:footnote w:id="47">
    <w:p w14:paraId="65811404" w14:textId="76A36384" w:rsidR="00D67CF6" w:rsidRPr="00417A9F" w:rsidRDefault="00D67CF6" w:rsidP="001C656E">
      <w:pPr>
        <w:spacing w:after="0" w:line="240" w:lineRule="auto"/>
        <w:jc w:val="both"/>
        <w:rPr>
          <w:rFonts w:ascii="Times New Roman" w:hAnsi="Times New Roman"/>
        </w:rPr>
      </w:pPr>
      <w:r w:rsidRPr="00BD6A7B">
        <w:rPr>
          <w:rStyle w:val="FootnoteReference"/>
          <w:rFonts w:ascii="Times New Roman" w:hAnsi="Times New Roman" w:cs="Times New Roman"/>
          <w:sz w:val="20"/>
          <w:szCs w:val="20"/>
        </w:rPr>
        <w:footnoteRef/>
      </w:r>
      <w:r w:rsidRPr="00BD6A7B">
        <w:rPr>
          <w:rFonts w:ascii="Times New Roman" w:hAnsi="Times New Roman" w:cs="Times New Roman"/>
          <w:sz w:val="20"/>
          <w:szCs w:val="20"/>
        </w:rPr>
        <w:t xml:space="preserve"> Fiziska persona, kura nodarbojas ar: ādas un tekstilizstrādājumu amatniecību; apģērbu un apavu </w:t>
      </w:r>
      <w:r w:rsidRPr="00417A9F">
        <w:rPr>
          <w:rFonts w:ascii="Times New Roman" w:hAnsi="Times New Roman" w:cs="Times New Roman"/>
          <w:sz w:val="20"/>
          <w:szCs w:val="20"/>
        </w:rPr>
        <w:t>izgatavošanu un labošanu, pulksteņu un slēdzeņu labošanu, kā arī sniedz citus sadzīves pakalpojumus</w:t>
      </w:r>
      <w:r>
        <w:rPr>
          <w:rFonts w:ascii="Times New Roman" w:hAnsi="Times New Roman" w:cs="Times New Roman"/>
          <w:sz w:val="20"/>
          <w:szCs w:val="20"/>
        </w:rPr>
        <w:t xml:space="preserve">; </w:t>
      </w:r>
      <w:r w:rsidRPr="00417A9F">
        <w:rPr>
          <w:rFonts w:ascii="Times New Roman" w:hAnsi="Times New Roman" w:cs="Times New Roman"/>
          <w:sz w:val="20"/>
          <w:szCs w:val="20"/>
        </w:rPr>
        <w:t>amatniecības izstrādājumu izgatavošanu</w:t>
      </w:r>
      <w:r>
        <w:rPr>
          <w:rFonts w:ascii="Times New Roman" w:hAnsi="Times New Roman" w:cs="Times New Roman"/>
          <w:sz w:val="20"/>
          <w:szCs w:val="20"/>
        </w:rPr>
        <w:t xml:space="preserve">; </w:t>
      </w:r>
      <w:r w:rsidRPr="00417A9F">
        <w:rPr>
          <w:rFonts w:ascii="Times New Roman" w:hAnsi="Times New Roman" w:cs="Times New Roman"/>
          <w:sz w:val="20"/>
          <w:szCs w:val="20"/>
        </w:rPr>
        <w:t>floristiku</w:t>
      </w:r>
      <w:r>
        <w:rPr>
          <w:rFonts w:ascii="Times New Roman" w:hAnsi="Times New Roman" w:cs="Times New Roman"/>
          <w:sz w:val="20"/>
          <w:szCs w:val="20"/>
        </w:rPr>
        <w:t xml:space="preserve">; </w:t>
      </w:r>
      <w:r w:rsidRPr="00417A9F">
        <w:rPr>
          <w:rFonts w:ascii="Times New Roman" w:hAnsi="Times New Roman" w:cs="Times New Roman"/>
          <w:sz w:val="20"/>
          <w:szCs w:val="20"/>
        </w:rPr>
        <w:t>fotografēšanu, videoieraksta un audioieraksta pakalpojumiem</w:t>
      </w:r>
      <w:r>
        <w:rPr>
          <w:rFonts w:ascii="Times New Roman" w:hAnsi="Times New Roman" w:cs="Times New Roman"/>
          <w:sz w:val="20"/>
          <w:szCs w:val="20"/>
        </w:rPr>
        <w:t xml:space="preserve">; </w:t>
      </w:r>
      <w:r w:rsidRPr="00417A9F">
        <w:rPr>
          <w:rFonts w:ascii="Times New Roman" w:hAnsi="Times New Roman" w:cs="Times New Roman"/>
          <w:sz w:val="20"/>
          <w:szCs w:val="20"/>
        </w:rPr>
        <w:t>skaistumkopšanas pakalpojumiem</w:t>
      </w:r>
      <w:r>
        <w:rPr>
          <w:rFonts w:ascii="Times New Roman" w:hAnsi="Times New Roman" w:cs="Times New Roman"/>
          <w:sz w:val="20"/>
          <w:szCs w:val="20"/>
        </w:rPr>
        <w:t xml:space="preserve">; </w:t>
      </w:r>
      <w:r w:rsidRPr="00417A9F">
        <w:rPr>
          <w:rFonts w:ascii="Times New Roman" w:hAnsi="Times New Roman" w:cs="Times New Roman"/>
          <w:sz w:val="20"/>
          <w:szCs w:val="20"/>
        </w:rPr>
        <w:t>privātiem mājsaimniecības pakalpojumiem</w:t>
      </w:r>
      <w:r>
        <w:rPr>
          <w:rFonts w:ascii="Times New Roman" w:hAnsi="Times New Roman" w:cs="Times New Roman"/>
          <w:sz w:val="20"/>
          <w:szCs w:val="20"/>
        </w:rPr>
        <w:t xml:space="preserve">; </w:t>
      </w:r>
      <w:r w:rsidRPr="00417A9F">
        <w:rPr>
          <w:rFonts w:ascii="Times New Roman" w:hAnsi="Times New Roman" w:cs="Times New Roman"/>
          <w:sz w:val="20"/>
          <w:szCs w:val="20"/>
        </w:rPr>
        <w:t>mājas aprūpes pakalpojumiem.</w:t>
      </w:r>
    </w:p>
  </w:footnote>
  <w:footnote w:id="48">
    <w:p w14:paraId="6D3C1109" w14:textId="77777777" w:rsidR="00D67CF6" w:rsidRPr="006F5FAD" w:rsidRDefault="00D67CF6" w:rsidP="004178E6">
      <w:pPr>
        <w:pStyle w:val="FootnoteText"/>
        <w:spacing w:after="0" w:line="240" w:lineRule="auto"/>
        <w:rPr>
          <w:rFonts w:ascii="Times New Roman" w:eastAsia="Times New Roman" w:hAnsi="Times New Roman"/>
          <w:bCs/>
          <w:color w:val="000000" w:themeColor="text1"/>
          <w:lang w:eastAsia="lv-LV"/>
        </w:rPr>
      </w:pPr>
      <w:r w:rsidRPr="005233E6">
        <w:rPr>
          <w:rStyle w:val="FootnoteReference"/>
          <w:rFonts w:ascii="Times New Roman" w:hAnsi="Times New Roman"/>
        </w:rPr>
        <w:footnoteRef/>
      </w:r>
      <w:r w:rsidRPr="005233E6">
        <w:rPr>
          <w:rFonts w:ascii="Times New Roman" w:hAnsi="Times New Roman"/>
          <w:lang w:val="lv-LV"/>
        </w:rPr>
        <w:t xml:space="preserve"> </w:t>
      </w:r>
      <w:r w:rsidRPr="005233E6">
        <w:rPr>
          <w:rFonts w:ascii="Times New Roman" w:eastAsia="Times New Roman" w:hAnsi="Times New Roman"/>
          <w:bCs/>
          <w:color w:val="000000" w:themeColor="text1"/>
          <w:lang w:eastAsia="lv-LV"/>
        </w:rPr>
        <w:t xml:space="preserve">Lieta Nr. 2019-36-01 „Par likuma „Par valsts sociālo apdrošināšanu” 6. panta otrās daļas (redakcijā, kas bija spēkā no 1998. gada 1. janvāra līdz 2002. gada 31. decembrim) atbilstību Latvijas Republikas Satversmes 91. un </w:t>
      </w:r>
      <w:r w:rsidRPr="006F5FAD">
        <w:rPr>
          <w:rFonts w:ascii="Times New Roman" w:eastAsia="Times New Roman" w:hAnsi="Times New Roman"/>
          <w:bCs/>
          <w:color w:val="000000" w:themeColor="text1"/>
          <w:lang w:eastAsia="lv-LV"/>
        </w:rPr>
        <w:t>109. pantam”.</w:t>
      </w:r>
    </w:p>
  </w:footnote>
  <w:footnote w:id="49">
    <w:p w14:paraId="1979A8D2" w14:textId="0222B142" w:rsidR="00D67CF6" w:rsidRPr="006F5FAD" w:rsidRDefault="00D67CF6" w:rsidP="00457AF4">
      <w:pPr>
        <w:pStyle w:val="FootnoteText"/>
        <w:spacing w:after="0" w:line="240" w:lineRule="auto"/>
        <w:jc w:val="both"/>
        <w:rPr>
          <w:rFonts w:ascii="Times New Roman" w:hAnsi="Times New Roman"/>
          <w:lang w:val="lv-LV"/>
        </w:rPr>
      </w:pPr>
      <w:r w:rsidRPr="006F5FAD">
        <w:rPr>
          <w:rStyle w:val="FootnoteReference"/>
          <w:rFonts w:ascii="Times New Roman" w:hAnsi="Times New Roman"/>
        </w:rPr>
        <w:footnoteRef/>
      </w:r>
      <w:r w:rsidRPr="006F5FAD">
        <w:rPr>
          <w:rFonts w:ascii="Times New Roman" w:hAnsi="Times New Roman"/>
        </w:rPr>
        <w:t xml:space="preserve"> Valsts kontrole, Revīzijas ziņojums “Vai valsts politika pensiju sistēmas ilgtspējas nodrošināšanai ir efektīva?” (apstiprināts ar Valsts kontroles Trešā revīzijas departamenta 27.04.2017. lēmumu Nr.2.4.1-10/2016.; revīzijas publiskošanas datums 5.05.2017.)</w:t>
      </w:r>
      <w:r w:rsidRPr="006F5FAD">
        <w:rPr>
          <w:rFonts w:ascii="Times New Roman" w:hAnsi="Times New Roman"/>
          <w:lang w:val="lv-LV"/>
        </w:rPr>
        <w:t xml:space="preserve">, pieejams: </w:t>
      </w:r>
      <w:hyperlink r:id="rId7" w:history="1">
        <w:r w:rsidRPr="006F5FAD">
          <w:rPr>
            <w:rStyle w:val="Hyperlink"/>
            <w:rFonts w:ascii="Times New Roman" w:hAnsi="Times New Roman"/>
          </w:rPr>
          <w:t>https://www.lrvk.gov.lv/lv/revizijas/revizijas/noslegtas-revizijas/valsts-politikas-efektivitate-pensiju-sistemas-ilgtspejas-nodrosinasanai</w:t>
        </w:r>
      </w:hyperlink>
      <w:r w:rsidRPr="006F5FAD">
        <w:rPr>
          <w:rFonts w:ascii="Times New Roman" w:hAnsi="Times New Roman"/>
          <w:lang w:val="lv-LV"/>
        </w:rPr>
        <w:t xml:space="preserve">; </w:t>
      </w:r>
      <w:bookmarkStart w:id="21" w:name="_Hlk55401176"/>
      <w:r w:rsidRPr="006F5FAD">
        <w:rPr>
          <w:rFonts w:ascii="Times New Roman" w:hAnsi="Times New Roman"/>
        </w:rPr>
        <w:t>Valsts kontrole, Revīzijas ziņojums “Vai valstī īstenotā sociālās iekļaušanas politika sasniedz tai izvirzītos mērķus nabadzības mazināšanas jomā?” (apstiprināts ar Valsts kontroles Trešā revīzijas departamenta 28.04.2020. lēmumu Nr.2.4.1-7/2019</w:t>
      </w:r>
      <w:r w:rsidRPr="006F5FAD">
        <w:rPr>
          <w:rFonts w:ascii="Times New Roman" w:hAnsi="Times New Roman"/>
          <w:lang w:val="lv-LV"/>
        </w:rPr>
        <w:t xml:space="preserve">; </w:t>
      </w:r>
      <w:bookmarkStart w:id="22" w:name="_Hlk55401233"/>
      <w:r w:rsidRPr="006F5FAD">
        <w:rPr>
          <w:rFonts w:ascii="Times New Roman" w:hAnsi="Times New Roman"/>
        </w:rPr>
        <w:t>revīzijas publiskošanas datums</w:t>
      </w:r>
      <w:r w:rsidRPr="006F5FAD">
        <w:rPr>
          <w:rFonts w:ascii="Times New Roman" w:hAnsi="Times New Roman"/>
          <w:lang w:val="lv-LV"/>
        </w:rPr>
        <w:t xml:space="preserve"> 14.05.2020.</w:t>
      </w:r>
      <w:r w:rsidRPr="006F5FAD">
        <w:rPr>
          <w:rFonts w:ascii="Times New Roman" w:hAnsi="Times New Roman"/>
        </w:rPr>
        <w:t>)</w:t>
      </w:r>
      <w:bookmarkEnd w:id="21"/>
      <w:bookmarkEnd w:id="22"/>
      <w:r w:rsidRPr="006F5FAD">
        <w:rPr>
          <w:rFonts w:ascii="Times New Roman" w:hAnsi="Times New Roman"/>
          <w:lang w:val="lv-LV"/>
        </w:rPr>
        <w:t xml:space="preserve">, pieejams: </w:t>
      </w:r>
      <w:hyperlink r:id="rId8" w:history="1">
        <w:r w:rsidRPr="006F5FAD">
          <w:rPr>
            <w:rStyle w:val="Hyperlink"/>
            <w:rFonts w:ascii="Times New Roman" w:hAnsi="Times New Roman"/>
          </w:rPr>
          <w:t>https://www.lrvk.gov.lv/lv/revizijas/revizijas/noslegtas-revizijas/vai-valsti-istenota-socialas-ieklausanas-politika-sasniedz-tai-izvirzitos-merkus-nabadzibas-mazinasanas-joma</w:t>
        </w:r>
      </w:hyperlink>
    </w:p>
  </w:footnote>
  <w:footnote w:id="50">
    <w:p w14:paraId="2890946F" w14:textId="77777777" w:rsidR="00D67CF6" w:rsidRPr="00457AF4" w:rsidRDefault="00D67CF6" w:rsidP="00457AF4">
      <w:pPr>
        <w:pStyle w:val="FootnoteText"/>
        <w:spacing w:after="0" w:line="240" w:lineRule="auto"/>
        <w:rPr>
          <w:rFonts w:ascii="Times New Roman" w:hAnsi="Times New Roman"/>
        </w:rPr>
      </w:pPr>
      <w:r w:rsidRPr="00457AF4">
        <w:rPr>
          <w:rStyle w:val="FootnoteReference"/>
          <w:rFonts w:ascii="Times New Roman" w:hAnsi="Times New Roman"/>
        </w:rPr>
        <w:footnoteRef/>
      </w:r>
      <w:r w:rsidRPr="00457AF4">
        <w:rPr>
          <w:rFonts w:ascii="Times New Roman" w:hAnsi="Times New Roman"/>
        </w:rPr>
        <w:t xml:space="preserve"> Provizoriskais datu apkopojums veikts Padomes Sociālās aizsardzības komitejas Indikatoru apakšgrupas un Eiropas Komisijas darba ietvaros, testējot metodoloģijas projektu un monitoringa ietvaru Padomes 2019.gada 8.novembra ieteikumu par darbinieku un pašnodarbināto personu piekļuvi sociālajai aizsardzībai (2019/C 387/01) ieviešanas uzraudzībai.</w:t>
      </w:r>
    </w:p>
  </w:footnote>
  <w:footnote w:id="51">
    <w:p w14:paraId="40CDA5BF" w14:textId="4F32B6F6" w:rsidR="00D67CF6" w:rsidRPr="00F94FB3" w:rsidRDefault="00D67CF6" w:rsidP="00F94FB3">
      <w:pPr>
        <w:pStyle w:val="FootnoteText"/>
        <w:spacing w:after="0" w:line="240" w:lineRule="auto"/>
        <w:rPr>
          <w:rFonts w:ascii="Times New Roman" w:hAnsi="Times New Roman"/>
          <w:lang w:val="lv-LV"/>
        </w:rPr>
      </w:pPr>
      <w:r w:rsidRPr="00F94FB3">
        <w:rPr>
          <w:rStyle w:val="FootnoteReference"/>
          <w:rFonts w:ascii="Times New Roman" w:hAnsi="Times New Roman"/>
        </w:rPr>
        <w:footnoteRef/>
      </w:r>
      <w:r w:rsidRPr="00F94FB3">
        <w:rPr>
          <w:rFonts w:ascii="Times New Roman" w:hAnsi="Times New Roman"/>
        </w:rPr>
        <w:t xml:space="preserve"> </w:t>
      </w:r>
      <w:r>
        <w:rPr>
          <w:rFonts w:ascii="Times New Roman" w:hAnsi="Times New Roman"/>
          <w:color w:val="000000" w:themeColor="text1"/>
          <w:shd w:val="clear" w:color="auto" w:fill="FFFFFF"/>
          <w:lang w:val="lv-LV"/>
        </w:rPr>
        <w:t>VSAA</w:t>
      </w:r>
      <w:r w:rsidRPr="00F94FB3">
        <w:rPr>
          <w:rFonts w:ascii="Times New Roman" w:hAnsi="Times New Roman"/>
          <w:color w:val="000000" w:themeColor="text1"/>
          <w:shd w:val="clear" w:color="auto" w:fill="FFFFFF"/>
        </w:rPr>
        <w:t xml:space="preserve">  dati, kas sagatavoti 2020.gada aprīlī</w:t>
      </w:r>
    </w:p>
  </w:footnote>
  <w:footnote w:id="52">
    <w:p w14:paraId="3462F7C5" w14:textId="3424B7D5" w:rsidR="00D67CF6" w:rsidRPr="00417A9F" w:rsidRDefault="00D67CF6" w:rsidP="00457AF4">
      <w:pPr>
        <w:pStyle w:val="FootnoteText"/>
        <w:spacing w:after="0" w:line="240" w:lineRule="auto"/>
        <w:jc w:val="both"/>
        <w:rPr>
          <w:rFonts w:ascii="Times New Roman" w:hAnsi="Times New Roman"/>
          <w:lang w:val="lv-LV"/>
        </w:rPr>
      </w:pPr>
      <w:r w:rsidRPr="00417A9F">
        <w:rPr>
          <w:rStyle w:val="FootnoteReference"/>
          <w:rFonts w:ascii="Times New Roman" w:hAnsi="Times New Roman"/>
        </w:rPr>
        <w:footnoteRef/>
      </w:r>
      <w:r w:rsidRPr="00417A9F">
        <w:rPr>
          <w:rFonts w:ascii="Times New Roman" w:hAnsi="Times New Roman"/>
        </w:rPr>
        <w:t xml:space="preserve"> </w:t>
      </w:r>
      <w:r w:rsidRPr="00417A9F">
        <w:rPr>
          <w:rFonts w:ascii="Times New Roman" w:eastAsia="MS PGothic" w:hAnsi="Times New Roman"/>
          <w:kern w:val="24"/>
          <w:lang w:val="lv-LV"/>
        </w:rPr>
        <w:t>VID</w:t>
      </w:r>
      <w:r w:rsidRPr="00417A9F">
        <w:rPr>
          <w:rFonts w:ascii="Times New Roman" w:eastAsia="MS PGothic" w:hAnsi="Times New Roman"/>
          <w:kern w:val="24"/>
        </w:rPr>
        <w:t xml:space="preserve"> sniegtā informācija par periodu no 2018.gada oktobra līdz 2019.gada septembrim</w:t>
      </w:r>
    </w:p>
  </w:footnote>
  <w:footnote w:id="53">
    <w:p w14:paraId="47CB6A84" w14:textId="6AB901B2" w:rsidR="00D67CF6" w:rsidRPr="00487AAB" w:rsidRDefault="00D67CF6" w:rsidP="00457AF4">
      <w:pPr>
        <w:pStyle w:val="FootnoteText"/>
        <w:spacing w:after="0" w:line="240" w:lineRule="auto"/>
        <w:jc w:val="both"/>
        <w:rPr>
          <w:rFonts w:ascii="Times New Roman" w:hAnsi="Times New Roman"/>
          <w:lang w:val="lv-LV"/>
        </w:rPr>
      </w:pPr>
      <w:r w:rsidRPr="00487AAB">
        <w:rPr>
          <w:rStyle w:val="FootnoteReference"/>
          <w:rFonts w:ascii="Times New Roman" w:hAnsi="Times New Roman"/>
        </w:rPr>
        <w:footnoteRef/>
      </w:r>
      <w:r w:rsidRPr="00487AAB">
        <w:rPr>
          <w:rFonts w:ascii="Times New Roman" w:hAnsi="Times New Roman"/>
        </w:rPr>
        <w:t xml:space="preserve"> </w:t>
      </w:r>
      <w:r w:rsidRPr="00487AAB">
        <w:rPr>
          <w:rFonts w:ascii="Times New Roman" w:hAnsi="Times New Roman"/>
          <w:lang w:val="lv-LV"/>
        </w:rPr>
        <w:t>Pēc LM pieprasījuma VID sniegtā informācija par periodu līdz 31.05.2020.</w:t>
      </w:r>
    </w:p>
  </w:footnote>
  <w:footnote w:id="54">
    <w:p w14:paraId="4318CC40" w14:textId="0F00CF9A" w:rsidR="00D67CF6" w:rsidRPr="004C522B" w:rsidRDefault="00D67CF6" w:rsidP="00457AF4">
      <w:pPr>
        <w:pStyle w:val="FootnoteText"/>
        <w:spacing w:after="0" w:line="240" w:lineRule="auto"/>
        <w:jc w:val="both"/>
        <w:rPr>
          <w:rFonts w:ascii="Times New Roman" w:hAnsi="Times New Roman"/>
          <w:lang w:val="lv-LV"/>
        </w:rPr>
      </w:pPr>
      <w:r w:rsidRPr="004C522B">
        <w:rPr>
          <w:rStyle w:val="FootnoteReference"/>
          <w:rFonts w:ascii="Times New Roman" w:hAnsi="Times New Roman"/>
        </w:rPr>
        <w:footnoteRef/>
      </w:r>
      <w:r w:rsidRPr="004C522B">
        <w:rPr>
          <w:rFonts w:ascii="Times New Roman" w:hAnsi="Times New Roman"/>
        </w:rPr>
        <w:t xml:space="preserve"> </w:t>
      </w:r>
      <w:r w:rsidRPr="00F9444A">
        <w:rPr>
          <w:rFonts w:ascii="Times New Roman" w:eastAsia="Times New Roman" w:hAnsi="Times New Roman"/>
          <w:bCs/>
          <w:color w:val="000000" w:themeColor="text1"/>
          <w:lang w:eastAsia="lv-LV"/>
        </w:rPr>
        <w:t xml:space="preserve">Ministru kabineta </w:t>
      </w:r>
      <w:r w:rsidRPr="00F9444A">
        <w:rPr>
          <w:rFonts w:ascii="Times New Roman" w:eastAsia="Times New Roman" w:hAnsi="Times New Roman"/>
          <w:color w:val="000000" w:themeColor="text1"/>
          <w:lang w:eastAsia="lv-LV"/>
        </w:rPr>
        <w:t>2020.gada 26.mart</w:t>
      </w:r>
      <w:r w:rsidRPr="00EE39B0">
        <w:rPr>
          <w:rFonts w:ascii="Times New Roman" w:eastAsia="Times New Roman" w:hAnsi="Times New Roman"/>
          <w:color w:val="000000" w:themeColor="text1"/>
          <w:lang w:eastAsia="lv-LV"/>
        </w:rPr>
        <w:t>a</w:t>
      </w:r>
      <w:r w:rsidRPr="00F9444A">
        <w:rPr>
          <w:rFonts w:ascii="Times New Roman" w:eastAsia="Times New Roman" w:hAnsi="Times New Roman"/>
          <w:color w:val="000000" w:themeColor="text1"/>
          <w:lang w:eastAsia="lv-LV"/>
        </w:rPr>
        <w:t xml:space="preserve"> </w:t>
      </w:r>
      <w:r w:rsidRPr="00F9444A">
        <w:rPr>
          <w:rFonts w:ascii="Times New Roman" w:eastAsia="Times New Roman" w:hAnsi="Times New Roman"/>
          <w:bCs/>
          <w:color w:val="000000" w:themeColor="text1"/>
          <w:lang w:eastAsia="lv-LV"/>
        </w:rPr>
        <w:t>noteikumi Nr. 165</w:t>
      </w:r>
      <w:r w:rsidRPr="00EE39B0">
        <w:rPr>
          <w:rFonts w:ascii="Times New Roman" w:eastAsia="Times New Roman" w:hAnsi="Times New Roman"/>
          <w:bCs/>
          <w:color w:val="000000" w:themeColor="text1"/>
          <w:lang w:eastAsia="lv-LV"/>
        </w:rPr>
        <w:t xml:space="preserve">, 12.punkts. Ministru kabineta </w:t>
      </w:r>
      <w:r w:rsidRPr="00EE39B0">
        <w:rPr>
          <w:rFonts w:ascii="Times New Roman" w:eastAsia="Times New Roman" w:hAnsi="Times New Roman"/>
          <w:color w:val="000000" w:themeColor="text1"/>
          <w:lang w:eastAsia="lv-LV"/>
        </w:rPr>
        <w:t xml:space="preserve">2020.gada 31.marta </w:t>
      </w:r>
      <w:r w:rsidRPr="00EE39B0">
        <w:rPr>
          <w:rFonts w:ascii="Times New Roman" w:eastAsia="Times New Roman" w:hAnsi="Times New Roman"/>
          <w:bCs/>
          <w:color w:val="000000" w:themeColor="text1"/>
          <w:lang w:eastAsia="lv-LV"/>
        </w:rPr>
        <w:t>noteikumi Nr. 179, 10.punkts.</w:t>
      </w:r>
    </w:p>
  </w:footnote>
  <w:footnote w:id="55">
    <w:p w14:paraId="5FBE908B" w14:textId="557A0444" w:rsidR="00D67CF6" w:rsidRPr="00CA449C" w:rsidRDefault="00D67CF6" w:rsidP="001D5EE6">
      <w:pPr>
        <w:pStyle w:val="FootnoteText"/>
        <w:spacing w:after="0" w:line="240" w:lineRule="auto"/>
        <w:rPr>
          <w:rFonts w:ascii="Times New Roman" w:hAnsi="Times New Roman"/>
          <w:lang w:val="en-GB"/>
        </w:rPr>
      </w:pPr>
      <w:r w:rsidRPr="00CA449C">
        <w:rPr>
          <w:rStyle w:val="FootnoteReference"/>
          <w:rFonts w:ascii="Times New Roman" w:hAnsi="Times New Roman"/>
        </w:rPr>
        <w:footnoteRef/>
      </w:r>
      <w:r w:rsidRPr="00CA449C">
        <w:rPr>
          <w:rFonts w:ascii="Times New Roman" w:hAnsi="Times New Roman"/>
        </w:rPr>
        <w:t xml:space="preserve"> </w:t>
      </w:r>
      <w:r>
        <w:rPr>
          <w:rFonts w:ascii="Times New Roman" w:hAnsi="Times New Roman"/>
          <w:lang w:val="lv-LV"/>
        </w:rPr>
        <w:t>K</w:t>
      </w:r>
      <w:r w:rsidRPr="00CA449C">
        <w:rPr>
          <w:rFonts w:ascii="Times New Roman" w:hAnsi="Times New Roman"/>
          <w:color w:val="000000"/>
        </w:rPr>
        <w:t>valifikācijas perioda nosacījumi bezdarbnieka pabalstam ir spēkā kopš pabalsta ieviešanas brīža (1997.gads). Sākotnēji kvalifikācijas periods tika noteikts 9 mēnešu sociālās apdrošināšanas iemaksas 12 mēnešu periodā</w:t>
      </w:r>
      <w:r w:rsidRPr="00CA449C">
        <w:rPr>
          <w:rFonts w:ascii="Times New Roman" w:hAnsi="Times New Roman"/>
        </w:rPr>
        <w:t xml:space="preserve"> pirms bezdarbnieka statusa iegūšanas dienas</w:t>
      </w:r>
      <w:r w:rsidRPr="00CA449C">
        <w:rPr>
          <w:rFonts w:ascii="Times New Roman" w:hAnsi="Times New Roman"/>
          <w:color w:val="000000"/>
          <w:lang w:val="en-GB"/>
        </w:rPr>
        <w:t>, taču vēlāk nosacījumi tika mainīti</w:t>
      </w:r>
    </w:p>
  </w:footnote>
  <w:footnote w:id="56">
    <w:p w14:paraId="2CBC139E" w14:textId="0ED6C87A" w:rsidR="00D67CF6" w:rsidRPr="00CA449C" w:rsidRDefault="00D67CF6" w:rsidP="001D5EE6">
      <w:pPr>
        <w:pStyle w:val="FootnoteText"/>
        <w:spacing w:after="0" w:line="240" w:lineRule="auto"/>
        <w:rPr>
          <w:rFonts w:ascii="Times New Roman" w:hAnsi="Times New Roman"/>
          <w:lang w:val="en-GB"/>
        </w:rPr>
      </w:pPr>
      <w:r w:rsidRPr="00CA449C">
        <w:rPr>
          <w:rStyle w:val="FootnoteReference"/>
          <w:rFonts w:ascii="Times New Roman" w:hAnsi="Times New Roman"/>
        </w:rPr>
        <w:footnoteRef/>
      </w:r>
      <w:r w:rsidRPr="00CA449C">
        <w:rPr>
          <w:rFonts w:ascii="Times New Roman" w:hAnsi="Times New Roman"/>
        </w:rPr>
        <w:t xml:space="preserve"> </w:t>
      </w:r>
      <w:r w:rsidRPr="00CA449C">
        <w:rPr>
          <w:rFonts w:ascii="Times New Roman" w:hAnsi="Times New Roman"/>
          <w:lang w:val="en-GB"/>
        </w:rPr>
        <w:t>Kvalifikācijas periods ir s</w:t>
      </w:r>
      <w:r>
        <w:rPr>
          <w:rFonts w:ascii="Times New Roman" w:hAnsi="Times New Roman"/>
          <w:lang w:val="en-GB"/>
        </w:rPr>
        <w:t>p</w:t>
      </w:r>
      <w:r w:rsidRPr="00CA449C">
        <w:rPr>
          <w:rFonts w:ascii="Times New Roman" w:hAnsi="Times New Roman"/>
          <w:lang w:val="en-GB"/>
        </w:rPr>
        <w:t>ēkā no 2018.gada 1.janvāra</w:t>
      </w:r>
    </w:p>
  </w:footnote>
  <w:footnote w:id="57">
    <w:p w14:paraId="46C5D6C8" w14:textId="7E141E6B" w:rsidR="00D67CF6" w:rsidRPr="0097411D" w:rsidRDefault="00D67CF6" w:rsidP="001D5EE6">
      <w:pPr>
        <w:pStyle w:val="tv213"/>
        <w:spacing w:before="0" w:beforeAutospacing="0" w:after="0" w:afterAutospacing="0"/>
        <w:rPr>
          <w:sz w:val="20"/>
          <w:szCs w:val="20"/>
        </w:rPr>
      </w:pPr>
      <w:r w:rsidRPr="00CA449C">
        <w:rPr>
          <w:rStyle w:val="FootnoteReference"/>
          <w:sz w:val="20"/>
          <w:szCs w:val="20"/>
        </w:rPr>
        <w:footnoteRef/>
      </w:r>
      <w:r w:rsidRPr="00CA449C">
        <w:rPr>
          <w:sz w:val="20"/>
          <w:szCs w:val="20"/>
        </w:rPr>
        <w:t xml:space="preserve"> No </w:t>
      </w:r>
      <w:r>
        <w:rPr>
          <w:sz w:val="20"/>
          <w:szCs w:val="20"/>
        </w:rPr>
        <w:t>01.01.</w:t>
      </w:r>
      <w:r w:rsidRPr="00CA449C">
        <w:rPr>
          <w:sz w:val="20"/>
          <w:szCs w:val="20"/>
        </w:rPr>
        <w:t>2020. s</w:t>
      </w:r>
      <w:r w:rsidRPr="00CA449C">
        <w:rPr>
          <w:iCs/>
          <w:sz w:val="20"/>
          <w:szCs w:val="20"/>
        </w:rPr>
        <w:t>amazināts bezdarbnieka pabalsta izmaksas ilgums no 9 uz 8</w:t>
      </w:r>
      <w:r w:rsidRPr="0097411D">
        <w:rPr>
          <w:iCs/>
          <w:sz w:val="20"/>
          <w:szCs w:val="20"/>
        </w:rPr>
        <w:t xml:space="preserve"> mēnešiem</w:t>
      </w:r>
      <w:r>
        <w:rPr>
          <w:iCs/>
          <w:sz w:val="20"/>
          <w:szCs w:val="20"/>
        </w:rPr>
        <w:t>; s</w:t>
      </w:r>
      <w:r w:rsidRPr="0097411D">
        <w:rPr>
          <w:iCs/>
          <w:sz w:val="20"/>
          <w:szCs w:val="20"/>
        </w:rPr>
        <w:t>amazināts pabalsta apmērs atkarībā no bezdarba ilguma:</w:t>
      </w:r>
      <w:r>
        <w:rPr>
          <w:iCs/>
          <w:sz w:val="20"/>
          <w:szCs w:val="20"/>
        </w:rPr>
        <w:t xml:space="preserve"> a) </w:t>
      </w:r>
      <w:r w:rsidRPr="0097411D">
        <w:rPr>
          <w:sz w:val="20"/>
          <w:szCs w:val="20"/>
        </w:rPr>
        <w:t xml:space="preserve">piešķirto bezdarbnieka pabalstu pilnā apmērā izmaksā </w:t>
      </w:r>
      <w:r>
        <w:rPr>
          <w:sz w:val="20"/>
          <w:szCs w:val="20"/>
        </w:rPr>
        <w:t>2</w:t>
      </w:r>
      <w:r w:rsidRPr="0097411D">
        <w:rPr>
          <w:sz w:val="20"/>
          <w:szCs w:val="20"/>
        </w:rPr>
        <w:t xml:space="preserve"> mēnešus (</w:t>
      </w:r>
      <w:r>
        <w:rPr>
          <w:sz w:val="20"/>
          <w:szCs w:val="20"/>
        </w:rPr>
        <w:t>iepriekš-</w:t>
      </w:r>
      <w:r w:rsidRPr="0097411D">
        <w:rPr>
          <w:sz w:val="20"/>
          <w:szCs w:val="20"/>
        </w:rPr>
        <w:t xml:space="preserve"> </w:t>
      </w:r>
      <w:r>
        <w:rPr>
          <w:sz w:val="20"/>
          <w:szCs w:val="20"/>
        </w:rPr>
        <w:t>3</w:t>
      </w:r>
      <w:r w:rsidRPr="0097411D">
        <w:rPr>
          <w:sz w:val="20"/>
          <w:szCs w:val="20"/>
        </w:rPr>
        <w:t xml:space="preserve"> mēneši);</w:t>
      </w:r>
      <w:r>
        <w:rPr>
          <w:sz w:val="20"/>
          <w:szCs w:val="20"/>
        </w:rPr>
        <w:t xml:space="preserve"> b) </w:t>
      </w:r>
      <w:r w:rsidRPr="0097411D">
        <w:rPr>
          <w:sz w:val="20"/>
          <w:szCs w:val="20"/>
        </w:rPr>
        <w:t>piešķirto bezdarbnieka pabalstu 75% apmērā izmaksā no 3-4 mēnesim (</w:t>
      </w:r>
      <w:r>
        <w:rPr>
          <w:sz w:val="20"/>
          <w:szCs w:val="20"/>
        </w:rPr>
        <w:t>iepriekš</w:t>
      </w:r>
      <w:r w:rsidRPr="0097411D">
        <w:rPr>
          <w:sz w:val="20"/>
          <w:szCs w:val="20"/>
        </w:rPr>
        <w:t xml:space="preserve"> no 4-6 mēnesim</w:t>
      </w:r>
      <w:r>
        <w:rPr>
          <w:sz w:val="20"/>
          <w:szCs w:val="20"/>
        </w:rPr>
        <w:t>)</w:t>
      </w:r>
      <w:r w:rsidRPr="0097411D">
        <w:rPr>
          <w:sz w:val="20"/>
          <w:szCs w:val="20"/>
        </w:rPr>
        <w:t>;</w:t>
      </w:r>
      <w:r>
        <w:rPr>
          <w:sz w:val="20"/>
          <w:szCs w:val="20"/>
        </w:rPr>
        <w:t xml:space="preserve"> c) </w:t>
      </w:r>
      <w:r w:rsidRPr="0097411D">
        <w:rPr>
          <w:sz w:val="20"/>
          <w:szCs w:val="20"/>
        </w:rPr>
        <w:t>piešķirto bezdarbnieka pabalstu 50% apmērā izmaksā no 5-6 mēnesim (</w:t>
      </w:r>
      <w:r>
        <w:rPr>
          <w:sz w:val="20"/>
          <w:szCs w:val="20"/>
        </w:rPr>
        <w:t>iepriekš</w:t>
      </w:r>
      <w:r w:rsidRPr="0097411D">
        <w:rPr>
          <w:sz w:val="20"/>
          <w:szCs w:val="20"/>
        </w:rPr>
        <w:t xml:space="preserve"> no 7-9 mēnesim);</w:t>
      </w:r>
      <w:r>
        <w:rPr>
          <w:sz w:val="20"/>
          <w:szCs w:val="20"/>
        </w:rPr>
        <w:t xml:space="preserve"> d) </w:t>
      </w:r>
      <w:r w:rsidRPr="0097411D">
        <w:rPr>
          <w:sz w:val="20"/>
          <w:szCs w:val="20"/>
        </w:rPr>
        <w:t>piešķirto bezdarbnieka pabalstu 45% apmērā izmaksā no 7-8 mēnesim.</w:t>
      </w:r>
    </w:p>
  </w:footnote>
  <w:footnote w:id="58">
    <w:p w14:paraId="48FF806D" w14:textId="60359D7E" w:rsidR="00D67CF6" w:rsidRPr="009321C8" w:rsidRDefault="00D67CF6" w:rsidP="001D5EE6">
      <w:pPr>
        <w:spacing w:after="0" w:line="240" w:lineRule="auto"/>
        <w:rPr>
          <w:rFonts w:ascii="Times New Roman" w:eastAsia="Times New Roman" w:hAnsi="Times New Roman" w:cs="Times New Roman"/>
          <w:color w:val="000000"/>
          <w:sz w:val="20"/>
          <w:szCs w:val="20"/>
          <w:lang w:eastAsia="lv-LV"/>
        </w:rPr>
      </w:pPr>
      <w:r w:rsidRPr="009321C8">
        <w:rPr>
          <w:rStyle w:val="FootnoteReference"/>
          <w:rFonts w:ascii="Times New Roman" w:hAnsi="Times New Roman" w:cs="Times New Roman"/>
          <w:sz w:val="20"/>
          <w:szCs w:val="20"/>
        </w:rPr>
        <w:footnoteRef/>
      </w:r>
      <w:r w:rsidRPr="009321C8">
        <w:rPr>
          <w:rFonts w:ascii="Times New Roman" w:hAnsi="Times New Roman" w:cs="Times New Roman"/>
          <w:sz w:val="20"/>
          <w:szCs w:val="20"/>
        </w:rPr>
        <w:t xml:space="preserve"> </w:t>
      </w:r>
      <w:r>
        <w:rPr>
          <w:rFonts w:ascii="Times New Roman" w:hAnsi="Times New Roman" w:cs="Times New Roman"/>
          <w:sz w:val="20"/>
          <w:szCs w:val="20"/>
        </w:rPr>
        <w:t>B</w:t>
      </w:r>
      <w:r w:rsidRPr="009321C8">
        <w:rPr>
          <w:rFonts w:ascii="Times New Roman" w:eastAsia="Times New Roman" w:hAnsi="Times New Roman" w:cs="Times New Roman"/>
          <w:color w:val="000000"/>
          <w:sz w:val="20"/>
          <w:szCs w:val="20"/>
          <w:lang w:eastAsia="lv-LV"/>
        </w:rPr>
        <w:t>ērna nepārtrauktas saslimšanas gadījumā – par termiņu kādu noteicis ārstu konsīlijs, kas vienā reizē nepārsniedz 3 mēnešu periodu. Kopumā ne ilgāk par 26 nedēļām (pusgadu), skaitot no bērna pirmās saslimšanas dienas. Ja bērns slimo ar pārtraukumiem – ne ilgāk par 3 gadiem 5 gadu periodā.</w:t>
      </w:r>
    </w:p>
  </w:footnote>
  <w:footnote w:id="59">
    <w:p w14:paraId="3A75ACC7" w14:textId="7031ACE4" w:rsidR="00D67CF6" w:rsidRPr="009321C8" w:rsidRDefault="00D67CF6" w:rsidP="001D5EE6">
      <w:pPr>
        <w:spacing w:after="0" w:line="240" w:lineRule="auto"/>
        <w:rPr>
          <w:rFonts w:ascii="Times New Roman" w:eastAsia="Times New Roman" w:hAnsi="Times New Roman" w:cs="Times New Roman"/>
          <w:color w:val="000000"/>
          <w:sz w:val="20"/>
          <w:szCs w:val="20"/>
          <w:lang w:eastAsia="lv-LV"/>
        </w:rPr>
      </w:pPr>
      <w:r w:rsidRPr="009321C8">
        <w:rPr>
          <w:rStyle w:val="FootnoteReference"/>
          <w:rFonts w:ascii="Times New Roman" w:hAnsi="Times New Roman" w:cs="Times New Roman"/>
          <w:sz w:val="20"/>
          <w:szCs w:val="20"/>
        </w:rPr>
        <w:footnoteRef/>
      </w:r>
      <w:r w:rsidRPr="009321C8">
        <w:rPr>
          <w:rFonts w:ascii="Times New Roman" w:hAnsi="Times New Roman" w:cs="Times New Roman"/>
          <w:sz w:val="20"/>
          <w:szCs w:val="20"/>
        </w:rPr>
        <w:t xml:space="preserve"> </w:t>
      </w:r>
      <w:r>
        <w:rPr>
          <w:rFonts w:ascii="Times New Roman" w:hAnsi="Times New Roman" w:cs="Times New Roman"/>
          <w:sz w:val="20"/>
          <w:szCs w:val="20"/>
        </w:rPr>
        <w:t>B</w:t>
      </w:r>
      <w:r w:rsidRPr="009321C8">
        <w:rPr>
          <w:rFonts w:ascii="Times New Roman" w:eastAsia="Times New Roman" w:hAnsi="Times New Roman" w:cs="Times New Roman"/>
          <w:color w:val="000000"/>
          <w:sz w:val="20"/>
          <w:szCs w:val="20"/>
          <w:lang w:eastAsia="lv-LV"/>
        </w:rPr>
        <w:t xml:space="preserve">ērna nepārtrauktas saslimšanas gadījumā – ne ilgāk par 26 nedēļām (pusgadu), skaitot no bērna pirmās saslimšanas dienas. </w:t>
      </w:r>
      <w:r w:rsidRPr="009321C8">
        <w:rPr>
          <w:rFonts w:ascii="Times New Roman" w:eastAsia="Times New Roman" w:hAnsi="Times New Roman" w:cs="Times New Roman"/>
          <w:color w:val="000000"/>
          <w:sz w:val="20"/>
          <w:szCs w:val="20"/>
          <w:u w:val="single"/>
          <w:lang w:eastAsia="lv-LV"/>
        </w:rPr>
        <w:t xml:space="preserve">Ja </w:t>
      </w:r>
      <w:r w:rsidRPr="009321C8">
        <w:rPr>
          <w:rFonts w:ascii="Times New Roman" w:eastAsia="Times New Roman" w:hAnsi="Times New Roman" w:cs="Times New Roman"/>
          <w:color w:val="000000"/>
          <w:sz w:val="20"/>
          <w:szCs w:val="20"/>
          <w:lang w:eastAsia="lv-LV"/>
        </w:rPr>
        <w:t>bērns slimo ar pārtraukumiem – ne ilgāk par 3 gadiem 5 gadu periodā.</w:t>
      </w:r>
    </w:p>
  </w:footnote>
  <w:footnote w:id="60">
    <w:p w14:paraId="4B048330" w14:textId="22C02BAE" w:rsidR="00D67CF6" w:rsidRPr="00635716" w:rsidRDefault="00D67CF6" w:rsidP="00B90C44">
      <w:pPr>
        <w:pStyle w:val="FootnoteText"/>
        <w:spacing w:after="0" w:line="240" w:lineRule="auto"/>
        <w:jc w:val="both"/>
        <w:rPr>
          <w:rFonts w:ascii="Times New Roman" w:hAnsi="Times New Roman"/>
          <w:lang w:val="lv-LV"/>
        </w:rPr>
      </w:pPr>
      <w:r w:rsidRPr="009321C8">
        <w:rPr>
          <w:rStyle w:val="FootnoteReference"/>
          <w:rFonts w:ascii="Times New Roman" w:hAnsi="Times New Roman"/>
        </w:rPr>
        <w:footnoteRef/>
      </w:r>
      <w:r w:rsidRPr="009321C8">
        <w:rPr>
          <w:rFonts w:ascii="Times New Roman" w:hAnsi="Times New Roman"/>
        </w:rPr>
        <w:t xml:space="preserve"> </w:t>
      </w:r>
      <w:r w:rsidRPr="009321C8">
        <w:rPr>
          <w:rFonts w:ascii="Times New Roman" w:hAnsi="Times New Roman"/>
          <w:lang w:val="lv-LV"/>
        </w:rPr>
        <w:t xml:space="preserve"> No 2018.gada </w:t>
      </w:r>
      <w:r w:rsidRPr="009321C8">
        <w:rPr>
          <w:rFonts w:ascii="Times New Roman" w:eastAsia="Times New Roman" w:hAnsi="Times New Roman"/>
        </w:rPr>
        <w:t>vecākiem bērna kopšanas atvaļinājuma laikā (līdz bērna 1,5 gadu vecumam) paaugstinātas sociālās apdrošināšanas obligātās iemaksas par apdrošināšanu vecuma pensijas, invaliditātes un bezdarba</w:t>
      </w:r>
      <w:r w:rsidRPr="00635716">
        <w:rPr>
          <w:rFonts w:ascii="Times New Roman" w:eastAsia="Times New Roman" w:hAnsi="Times New Roman"/>
        </w:rPr>
        <w:t xml:space="preserve"> gadījumā</w:t>
      </w:r>
      <w:r w:rsidRPr="00635716">
        <w:rPr>
          <w:rFonts w:ascii="Times New Roman" w:eastAsia="Times New Roman" w:hAnsi="Times New Roman"/>
          <w:lang w:val="lv-LV"/>
        </w:rPr>
        <w:t xml:space="preserve">; </w:t>
      </w:r>
      <w:r w:rsidRPr="00635716">
        <w:rPr>
          <w:rFonts w:ascii="Times New Roman" w:hAnsi="Times New Roman"/>
        </w:rPr>
        <w:t xml:space="preserve">no 2018.gada tiek veiktas </w:t>
      </w:r>
      <w:r w:rsidRPr="00635716">
        <w:rPr>
          <w:rFonts w:ascii="Times New Roman" w:hAnsi="Times New Roman"/>
          <w:lang w:val="lv-LV"/>
        </w:rPr>
        <w:t>VSAOI</w:t>
      </w:r>
      <w:r w:rsidRPr="00635716">
        <w:rPr>
          <w:rFonts w:ascii="Times New Roman" w:hAnsi="Times New Roman"/>
        </w:rPr>
        <w:t xml:space="preserve"> (pensiju apdrošināšanai, invaliditātes apdrošināšanai un apdrošināšanai pret bezdarbu) par personām, kuras saņem atlīdzību par audžuģimenes pienākumu pildīšanu un nav sociāli apdrošinātas </w:t>
      </w:r>
    </w:p>
  </w:footnote>
  <w:footnote w:id="61">
    <w:p w14:paraId="6909248B" w14:textId="3B143D67" w:rsidR="00D67CF6" w:rsidRPr="00B90C44" w:rsidRDefault="00D67CF6" w:rsidP="00B90C44">
      <w:pPr>
        <w:pStyle w:val="FootnoteText"/>
        <w:spacing w:after="0" w:line="240" w:lineRule="auto"/>
        <w:jc w:val="both"/>
        <w:rPr>
          <w:rFonts w:ascii="Times New Roman" w:eastAsia="Times New Roman" w:hAnsi="Times New Roman"/>
          <w:color w:val="000000"/>
          <w:lang w:eastAsia="lv-LV"/>
        </w:rPr>
      </w:pPr>
      <w:r w:rsidRPr="00B95E54">
        <w:rPr>
          <w:rStyle w:val="FootnoteReference"/>
          <w:rFonts w:ascii="Times New Roman" w:hAnsi="Times New Roman"/>
        </w:rPr>
        <w:footnoteRef/>
      </w:r>
      <w:r w:rsidRPr="00B95E54">
        <w:rPr>
          <w:rFonts w:ascii="Times New Roman" w:hAnsi="Times New Roman"/>
          <w:lang w:val="en-US"/>
        </w:rPr>
        <w:t xml:space="preserve"> </w:t>
      </w:r>
      <w:r w:rsidRPr="00B95E54">
        <w:rPr>
          <w:rStyle w:val="hps"/>
          <w:rFonts w:ascii="Times New Roman" w:hAnsi="Times New Roman"/>
          <w:lang w:val="en-US"/>
        </w:rPr>
        <w:t xml:space="preserve">PB </w:t>
      </w:r>
      <w:r w:rsidRPr="00B95E54">
        <w:rPr>
          <w:rStyle w:val="hps"/>
          <w:rFonts w:ascii="Times New Roman" w:hAnsi="Times New Roman"/>
          <w:lang w:val="lv-LV"/>
        </w:rPr>
        <w:t xml:space="preserve">pētījums </w:t>
      </w:r>
      <w:r w:rsidRPr="00B95E54">
        <w:rPr>
          <w:rFonts w:ascii="Times New Roman" w:hAnsi="Times New Roman"/>
          <w:lang w:val="lv-LV"/>
        </w:rPr>
        <w:t>„Latvija: kurš ir bezdarbnieks, ekonomiski neaktīvais vai trūcīgais</w:t>
      </w:r>
      <w:r w:rsidRPr="00B95E54">
        <w:rPr>
          <w:rFonts w:ascii="Times New Roman" w:hAnsi="Times New Roman"/>
          <w:lang w:val="en-US"/>
        </w:rPr>
        <w:t>?”</w:t>
      </w:r>
      <w:r>
        <w:rPr>
          <w:rFonts w:ascii="Times New Roman" w:hAnsi="Times New Roman"/>
          <w:lang w:val="en-US"/>
        </w:rPr>
        <w:t xml:space="preserve">, </w:t>
      </w:r>
      <w:r w:rsidRPr="00B95E54">
        <w:rPr>
          <w:rFonts w:ascii="Times New Roman" w:hAnsi="Times New Roman"/>
          <w:lang w:val="en-US"/>
        </w:rPr>
        <w:t xml:space="preserve">Analysis of the incentive structure created be the tax and benefit system, Financial incentives of the tax and benefit system in Latvia, </w:t>
      </w:r>
      <w:r>
        <w:rPr>
          <w:rFonts w:ascii="Times New Roman" w:hAnsi="Times New Roman"/>
          <w:lang w:val="en-US"/>
        </w:rPr>
        <w:t xml:space="preserve">2013, </w:t>
      </w:r>
      <w:r w:rsidRPr="00B95E54">
        <w:rPr>
          <w:rFonts w:ascii="Times New Roman" w:hAnsi="Times New Roman"/>
          <w:lang w:val="en-US"/>
        </w:rPr>
        <w:t xml:space="preserve">7.lpp.; </w:t>
      </w:r>
      <w:bookmarkStart w:id="24" w:name="_Hlk55402214"/>
      <w:r w:rsidRPr="00B95E54">
        <w:rPr>
          <w:rFonts w:ascii="Times New Roman" w:hAnsi="Times New Roman"/>
          <w:lang w:val="en-US"/>
        </w:rPr>
        <w:t xml:space="preserve">OECD </w:t>
      </w:r>
      <w:r w:rsidRPr="00B95E54">
        <w:rPr>
          <w:rFonts w:ascii="Times New Roman" w:eastAsia="Times New Roman" w:hAnsi="Times New Roman"/>
          <w:color w:val="000000"/>
          <w:lang w:eastAsia="lv-LV"/>
        </w:rPr>
        <w:t>pētījums “Cilvēku sasaiste ar darbvietām: Latvija”</w:t>
      </w:r>
      <w:r>
        <w:rPr>
          <w:rFonts w:ascii="Times New Roman" w:eastAsia="Times New Roman" w:hAnsi="Times New Roman"/>
          <w:color w:val="000000"/>
          <w:lang w:val="lv-LV" w:eastAsia="lv-LV"/>
        </w:rPr>
        <w:t>, 2019,</w:t>
      </w:r>
      <w:r w:rsidRPr="00B90C44">
        <w:rPr>
          <w:rFonts w:ascii="Times New Roman" w:eastAsia="Times New Roman" w:hAnsi="Times New Roman"/>
          <w:color w:val="000000"/>
          <w:lang w:eastAsia="lv-LV"/>
        </w:rPr>
        <w:t xml:space="preserve"> pieejams https://www.oecd.org/latvia/cilveku-sasaiste-ar-darbavietam-ce74856f-lv.htm</w:t>
      </w:r>
      <w:bookmarkEnd w:id="24"/>
    </w:p>
  </w:footnote>
  <w:footnote w:id="62">
    <w:p w14:paraId="3F988114" w14:textId="0525313D" w:rsidR="00D67CF6" w:rsidRPr="006F5FAD" w:rsidRDefault="00D67CF6" w:rsidP="001D5EE6">
      <w:pPr>
        <w:pStyle w:val="FootnoteText"/>
        <w:spacing w:after="0" w:line="240" w:lineRule="auto"/>
        <w:rPr>
          <w:rFonts w:ascii="Times New Roman" w:hAnsi="Times New Roman"/>
          <w:lang w:val="lv-LV"/>
        </w:rPr>
      </w:pPr>
      <w:r w:rsidRPr="008600AC">
        <w:rPr>
          <w:rStyle w:val="FootnoteReference"/>
          <w:rFonts w:ascii="Times New Roman" w:hAnsi="Times New Roman"/>
        </w:rPr>
        <w:footnoteRef/>
      </w:r>
      <w:r w:rsidRPr="008600AC">
        <w:rPr>
          <w:rFonts w:ascii="Times New Roman" w:hAnsi="Times New Roman"/>
        </w:rPr>
        <w:t xml:space="preserve"> </w:t>
      </w:r>
      <w:r w:rsidRPr="00ED61B3">
        <w:rPr>
          <w:rFonts w:ascii="Times New Roman" w:hAnsi="Times New Roman"/>
        </w:rPr>
        <w:t>Valsts kontrole, Revīzijas ziņojums “Vai valstī īstenotā sociālās iekļaušanas politika sasniedz tai izvirzītos mērķus nabadzības mazināšanas jomā?” (apstiprināts ar Valsts kontroles Trešā revīzijas departamenta 28.04.2020. lēmumu Nr.2.4.1-7/2019</w:t>
      </w:r>
      <w:r>
        <w:rPr>
          <w:rFonts w:ascii="Times New Roman" w:hAnsi="Times New Roman"/>
        </w:rPr>
        <w:t xml:space="preserve">; </w:t>
      </w:r>
      <w:r w:rsidRPr="00EC0186">
        <w:rPr>
          <w:rFonts w:ascii="Times New Roman" w:hAnsi="Times New Roman"/>
        </w:rPr>
        <w:t>revīzijas publiskošanas datums</w:t>
      </w:r>
      <w:r>
        <w:rPr>
          <w:rFonts w:ascii="Times New Roman" w:hAnsi="Times New Roman"/>
          <w:lang w:val="lv-LV"/>
        </w:rPr>
        <w:t xml:space="preserve"> 14.05.2020.</w:t>
      </w:r>
      <w:r w:rsidRPr="00ED61B3">
        <w:rPr>
          <w:rFonts w:ascii="Times New Roman" w:hAnsi="Times New Roman"/>
        </w:rPr>
        <w:t>)</w:t>
      </w:r>
      <w:r>
        <w:rPr>
          <w:rFonts w:ascii="Times New Roman" w:hAnsi="Times New Roman"/>
          <w:lang w:val="lv-LV"/>
        </w:rPr>
        <w:t xml:space="preserve">, pieejams: </w:t>
      </w:r>
      <w:r w:rsidRPr="006F5FAD">
        <w:rPr>
          <w:rFonts w:ascii="Times New Roman" w:hAnsi="Times New Roman"/>
          <w:lang w:val="lv-LV"/>
        </w:rPr>
        <w:t xml:space="preserve">pieejams: </w:t>
      </w:r>
      <w:hyperlink r:id="rId9" w:history="1">
        <w:r w:rsidRPr="006F5FAD">
          <w:rPr>
            <w:rStyle w:val="Hyperlink"/>
            <w:rFonts w:ascii="Times New Roman" w:hAnsi="Times New Roman"/>
          </w:rPr>
          <w:t>https://www.lrvk.gov.lv/lv/revizijas/revizijas/noslegtas-revizijas/vai-valsti-istenota-socialas-ieklausanas-politika-sasniedz-tai-izvirzitos-merkus-nabadzibas-mazinasanas-joma</w:t>
        </w:r>
      </w:hyperlink>
    </w:p>
  </w:footnote>
  <w:footnote w:id="63">
    <w:p w14:paraId="086181B0" w14:textId="0AA936FA" w:rsidR="00D67CF6" w:rsidRPr="00CF38E4" w:rsidRDefault="00D67CF6" w:rsidP="00CF38E4">
      <w:pPr>
        <w:pStyle w:val="FootnoteText"/>
        <w:spacing w:after="0" w:line="240" w:lineRule="auto"/>
        <w:jc w:val="both"/>
        <w:rPr>
          <w:rStyle w:val="FootnoteReference"/>
          <w:rFonts w:ascii="Times New Roman" w:eastAsiaTheme="minorEastAsia" w:hAnsi="Times New Roman"/>
          <w:color w:val="000000" w:themeColor="text1"/>
          <w:kern w:val="24"/>
          <w:vertAlign w:val="baseline"/>
          <w:lang w:val="lv-LV"/>
        </w:rPr>
      </w:pPr>
      <w:r w:rsidRPr="008600AC">
        <w:rPr>
          <w:rStyle w:val="FootnoteReference"/>
          <w:rFonts w:ascii="Times New Roman" w:hAnsi="Times New Roman"/>
        </w:rPr>
        <w:footnoteRef/>
      </w:r>
      <w:r w:rsidRPr="008600AC">
        <w:rPr>
          <w:rFonts w:ascii="Times New Roman" w:hAnsi="Times New Roman"/>
        </w:rPr>
        <w:t xml:space="preserve"> </w:t>
      </w:r>
      <w:r w:rsidRPr="00CF38E4">
        <w:rPr>
          <w:rFonts w:ascii="Times New Roman" w:hAnsi="Times New Roman"/>
        </w:rPr>
        <w:t>SIA “TNS Latvia”, RSU aģentūra “Darba drošības un vides veselības institūts “Darba apstākļi un riski Latvijā, 2012– 2013”, Rīga, 2013</w:t>
      </w:r>
      <w:r w:rsidRPr="00CF38E4">
        <w:rPr>
          <w:rFonts w:ascii="Times New Roman" w:hAnsi="Times New Roman"/>
          <w:lang w:val="lv-LV"/>
        </w:rPr>
        <w:t xml:space="preserve">, pieejams: </w:t>
      </w:r>
      <w:hyperlink r:id="rId10" w:history="1">
        <w:r w:rsidRPr="00CF38E4">
          <w:rPr>
            <w:rStyle w:val="Hyperlink"/>
            <w:rFonts w:ascii="Times New Roman" w:hAnsi="Times New Roman"/>
          </w:rPr>
          <w:t>https://www.rsu.lv/sites/default/files/book_download/Darba_apstakli_un_riski_Latvija_2012-2013.pdf</w:t>
        </w:r>
      </w:hyperlink>
      <w:r w:rsidRPr="00CF38E4">
        <w:rPr>
          <w:rFonts w:ascii="Times New Roman" w:hAnsi="Times New Roman"/>
        </w:rPr>
        <w:t>;</w:t>
      </w:r>
      <w:r w:rsidRPr="00CF38E4">
        <w:rPr>
          <w:rFonts w:ascii="Times New Roman" w:eastAsiaTheme="minorEastAsia" w:hAnsi="Times New Roman"/>
          <w:color w:val="000000" w:themeColor="text1"/>
          <w:kern w:val="24"/>
          <w:lang w:val="en-GB"/>
        </w:rPr>
        <w:t xml:space="preserve"> </w:t>
      </w:r>
      <w:r w:rsidRPr="00CF38E4">
        <w:rPr>
          <w:rFonts w:ascii="Times New Roman" w:hAnsi="Times New Roman"/>
          <w:lang w:val="lv-LV"/>
        </w:rPr>
        <w:t>LU</w:t>
      </w:r>
      <w:r w:rsidRPr="00CF38E4">
        <w:rPr>
          <w:rFonts w:ascii="Times New Roman" w:hAnsi="Times New Roman"/>
        </w:rPr>
        <w:t xml:space="preserve"> Medicīnas fakultātes Veselības vadības un informātikas centrs</w:t>
      </w:r>
      <w:r w:rsidRPr="00CF38E4">
        <w:rPr>
          <w:rFonts w:ascii="Times New Roman" w:hAnsi="Times New Roman"/>
          <w:lang w:val="lv-LV"/>
        </w:rPr>
        <w:t>,</w:t>
      </w:r>
      <w:r w:rsidRPr="00CF38E4">
        <w:rPr>
          <w:rFonts w:ascii="Times New Roman" w:hAnsi="Times New Roman"/>
          <w:color w:val="000000" w:themeColor="text1"/>
          <w:kern w:val="24"/>
          <w:lang w:val="lv-LV"/>
        </w:rPr>
        <w:t xml:space="preserve"> Pētījums “Muskuļu un skeleta sistēmas slimību izmaksu novēršana un rekomendācijas izmaksu optimizācijai”, Rīga, 2018, pieejams: </w:t>
      </w:r>
      <w:hyperlink r:id="rId11" w:history="1">
        <w:r w:rsidRPr="00CF38E4">
          <w:rPr>
            <w:rStyle w:val="Hyperlink"/>
            <w:rFonts w:ascii="Times New Roman" w:hAnsi="Times New Roman"/>
          </w:rPr>
          <w:t>http://petijumi.mk.gov.lv/sites/default/files/title_file/LM_Muskulu_un_skeleta_sist_slim_izmaks_novert_un_rekomend.pdf</w:t>
        </w:r>
      </w:hyperlink>
      <w:r w:rsidRPr="00CF38E4">
        <w:rPr>
          <w:rFonts w:ascii="Times New Roman" w:hAnsi="Times New Roman"/>
          <w:color w:val="000000" w:themeColor="text1"/>
          <w:kern w:val="24"/>
          <w:lang w:val="lv-LV"/>
        </w:rPr>
        <w:t xml:space="preserve"> </w:t>
      </w:r>
    </w:p>
  </w:footnote>
  <w:footnote w:id="64">
    <w:p w14:paraId="56428E0C" w14:textId="77777777" w:rsidR="00D67CF6" w:rsidRPr="00BD279D" w:rsidRDefault="00D67CF6" w:rsidP="00BD279D">
      <w:pPr>
        <w:pStyle w:val="FootnoteText"/>
        <w:spacing w:after="0" w:line="240" w:lineRule="auto"/>
        <w:rPr>
          <w:rFonts w:ascii="Times New Roman" w:hAnsi="Times New Roman"/>
          <w:lang w:val="lv-LV"/>
        </w:rPr>
      </w:pPr>
      <w:r w:rsidRPr="00BD279D">
        <w:rPr>
          <w:rStyle w:val="FootnoteReference"/>
          <w:rFonts w:ascii="Times New Roman" w:hAnsi="Times New Roman"/>
        </w:rPr>
        <w:footnoteRef/>
      </w:r>
      <w:r w:rsidRPr="00BD279D">
        <w:rPr>
          <w:rFonts w:ascii="Times New Roman" w:hAnsi="Times New Roman"/>
        </w:rPr>
        <w:t xml:space="preserve"> Eiropas Parlamenta un Padomes 2019. gada 20. jūnija direktīv</w:t>
      </w:r>
      <w:r w:rsidRPr="00BD279D">
        <w:rPr>
          <w:rFonts w:ascii="Times New Roman" w:hAnsi="Times New Roman"/>
          <w:lang w:val="lv-LV"/>
        </w:rPr>
        <w:t>a</w:t>
      </w:r>
      <w:r w:rsidRPr="00BD279D">
        <w:rPr>
          <w:rFonts w:ascii="Times New Roman" w:hAnsi="Times New Roman"/>
        </w:rPr>
        <w:t xml:space="preserve"> 2019/1158 par darba un privātās dzīves līdzsvaru vecākiem un aprūpētājiem un ar ko atceļ Padomes Direktīvu 2010/18/ES</w:t>
      </w:r>
    </w:p>
  </w:footnote>
  <w:footnote w:id="65">
    <w:p w14:paraId="2A8B0220" w14:textId="77777777" w:rsidR="00D67CF6" w:rsidRPr="00BD279D" w:rsidRDefault="00D67CF6" w:rsidP="00BD279D">
      <w:pPr>
        <w:pStyle w:val="FootnoteText"/>
        <w:spacing w:after="0" w:line="240" w:lineRule="auto"/>
        <w:rPr>
          <w:rFonts w:ascii="Times New Roman" w:hAnsi="Times New Roman"/>
        </w:rPr>
      </w:pPr>
      <w:r w:rsidRPr="00BD279D">
        <w:rPr>
          <w:rStyle w:val="FootnoteReference"/>
          <w:rFonts w:ascii="Times New Roman" w:hAnsi="Times New Roman"/>
          <w:color w:val="455F51" w:themeColor="text2"/>
        </w:rPr>
        <w:footnoteRef/>
      </w:r>
      <w:r w:rsidRPr="00BD279D">
        <w:rPr>
          <w:rFonts w:ascii="Times New Roman" w:hAnsi="Times New Roman"/>
        </w:rPr>
        <w:t xml:space="preserve"> Baltic Institute of Social Sciences (2017). </w:t>
      </w:r>
      <w:r w:rsidRPr="00BD279D">
        <w:rPr>
          <w:rFonts w:ascii="Times New Roman" w:hAnsi="Times New Roman"/>
          <w:i/>
        </w:rPr>
        <w:t>Motivācijas paaugstināšanas un atbalsta pakalpojumu potenciālās mērķa grupas profilēšana un vajadzību izpēte</w:t>
      </w:r>
      <w:r w:rsidRPr="00BD279D">
        <w:rPr>
          <w:rFonts w:ascii="Times New Roman" w:hAnsi="Times New Roman"/>
        </w:rPr>
        <w:t>. Rīga. 25. lpp.</w:t>
      </w:r>
    </w:p>
  </w:footnote>
  <w:footnote w:id="66">
    <w:p w14:paraId="772E4B6E" w14:textId="1C372ADB" w:rsidR="00D67CF6" w:rsidRPr="008221C1" w:rsidRDefault="00D67CF6" w:rsidP="008221C1">
      <w:pPr>
        <w:pStyle w:val="FootnoteText"/>
        <w:spacing w:after="0" w:line="240" w:lineRule="auto"/>
        <w:rPr>
          <w:rFonts w:ascii="Times New Roman" w:hAnsi="Times New Roman"/>
          <w:lang w:val="lv-LV"/>
        </w:rPr>
      </w:pPr>
      <w:r w:rsidRPr="008221C1">
        <w:rPr>
          <w:rStyle w:val="FootnoteReference"/>
          <w:rFonts w:ascii="Times New Roman" w:hAnsi="Times New Roman"/>
        </w:rPr>
        <w:footnoteRef/>
      </w:r>
      <w:r w:rsidRPr="008221C1">
        <w:rPr>
          <w:rFonts w:ascii="Times New Roman" w:hAnsi="Times New Roman"/>
        </w:rPr>
        <w:t xml:space="preserve"> </w:t>
      </w:r>
      <w:r w:rsidRPr="008221C1">
        <w:rPr>
          <w:rFonts w:ascii="Times New Roman" w:hAnsi="Times New Roman"/>
          <w:lang w:val="lv-LV"/>
        </w:rPr>
        <w:t xml:space="preserve">SIA SAFEGE Baltija, Gala ziņojums “Ģimenes </w:t>
      </w:r>
      <w:r w:rsidRPr="008221C1">
        <w:rPr>
          <w:rFonts w:ascii="Times New Roman" w:hAnsi="Times New Roman"/>
        </w:rPr>
        <w:t>valsts politikas pamatnostādņu 2011.-2017.gadam ex-post novērtējum</w:t>
      </w:r>
      <w:r w:rsidRPr="008221C1">
        <w:rPr>
          <w:rFonts w:ascii="Times New Roman" w:hAnsi="Times New Roman"/>
          <w:lang w:val="lv-LV"/>
        </w:rPr>
        <w:t>s”, Rīga, 2018.gada 30.novembris, 107.lpp.</w:t>
      </w:r>
    </w:p>
  </w:footnote>
  <w:footnote w:id="67">
    <w:p w14:paraId="598DE8A3" w14:textId="3B041F64" w:rsidR="00D67CF6" w:rsidRPr="006922A3" w:rsidRDefault="00D67CF6" w:rsidP="00F6283D">
      <w:pPr>
        <w:pStyle w:val="FootnoteText"/>
        <w:spacing w:after="0" w:line="240" w:lineRule="auto"/>
        <w:jc w:val="both"/>
        <w:rPr>
          <w:rFonts w:ascii="Times New Roman" w:hAnsi="Times New Roman"/>
          <w:lang w:val="lv-LV"/>
        </w:rPr>
      </w:pPr>
      <w:r w:rsidRPr="006922A3">
        <w:rPr>
          <w:rStyle w:val="FootnoteReference"/>
          <w:rFonts w:ascii="Times New Roman" w:hAnsi="Times New Roman"/>
        </w:rPr>
        <w:footnoteRef/>
      </w:r>
      <w:r w:rsidRPr="006922A3">
        <w:rPr>
          <w:rFonts w:ascii="Times New Roman" w:hAnsi="Times New Roman"/>
        </w:rPr>
        <w:t xml:space="preserve"> </w:t>
      </w:r>
      <w:r w:rsidRPr="006922A3">
        <w:rPr>
          <w:rFonts w:ascii="Times New Roman" w:hAnsi="Times New Roman"/>
          <w:lang w:val="lv-LV"/>
        </w:rPr>
        <w:t>Atjaunota ģimenes valsts pabalsta (ĢVP) di</w:t>
      </w:r>
      <w:r>
        <w:rPr>
          <w:rFonts w:ascii="Times New Roman" w:hAnsi="Times New Roman"/>
          <w:lang w:val="lv-LV"/>
        </w:rPr>
        <w:t>f</w:t>
      </w:r>
      <w:r w:rsidRPr="006922A3">
        <w:rPr>
          <w:rFonts w:ascii="Times New Roman" w:hAnsi="Times New Roman"/>
          <w:lang w:val="lv-LV"/>
        </w:rPr>
        <w:t xml:space="preserve">erencēšana atkarībā no bērnu skaita ģimenē; paaugstināts GVP apmērs par ceturto un nākamajiem bērniem; ieviesta piemaksa </w:t>
      </w:r>
      <w:r w:rsidRPr="006922A3">
        <w:rPr>
          <w:rFonts w:ascii="Times New Roman" w:hAnsi="Times New Roman"/>
          <w:u w:val="single"/>
          <w:lang w:val="lv-LV"/>
        </w:rPr>
        <w:t xml:space="preserve">pie ĢVP </w:t>
      </w:r>
      <w:r w:rsidRPr="006922A3">
        <w:rPr>
          <w:rFonts w:ascii="Times New Roman" w:hAnsi="Times New Roman"/>
        </w:rPr>
        <w:t>par divu un vairāk bērnu no viena līdz 20 gadu vecuma sasniegšanai audzināšanu</w:t>
      </w:r>
      <w:r w:rsidRPr="006922A3">
        <w:rPr>
          <w:rFonts w:ascii="Times New Roman" w:hAnsi="Times New Roman"/>
          <w:lang w:val="lv-LV"/>
        </w:rPr>
        <w:t xml:space="preserve">; palielināti pabalsti </w:t>
      </w:r>
      <w:r w:rsidRPr="006922A3">
        <w:rPr>
          <w:rFonts w:ascii="Times New Roman" w:eastAsia="Times New Roman" w:hAnsi="Times New Roman"/>
        </w:rPr>
        <w:t>adoptētājiem, audžuģimenēm un aizbildņiem</w:t>
      </w:r>
      <w:r w:rsidRPr="006922A3">
        <w:rPr>
          <w:rFonts w:ascii="Times New Roman" w:eastAsia="Times New Roman" w:hAnsi="Times New Roman"/>
          <w:lang w:val="lv-LV"/>
        </w:rPr>
        <w:t xml:space="preserve">; paplašināts ĢVP saņēmēju loks, paaugstinot </w:t>
      </w:r>
      <w:r>
        <w:rPr>
          <w:rFonts w:ascii="Times New Roman" w:eastAsia="Times New Roman" w:hAnsi="Times New Roman"/>
          <w:lang w:val="lv-LV"/>
        </w:rPr>
        <w:t>sl</w:t>
      </w:r>
      <w:r w:rsidRPr="006922A3">
        <w:rPr>
          <w:rFonts w:ascii="Times New Roman" w:eastAsia="Times New Roman" w:hAnsi="Times New Roman"/>
          <w:lang w:val="lv-LV"/>
        </w:rPr>
        <w:t>ieksni bērna vecumam, līdz kuram tiek izmaksāts pabalsts; palielināts pabalsts bērna ar invaliditāti kopšanai</w:t>
      </w:r>
    </w:p>
  </w:footnote>
  <w:footnote w:id="68">
    <w:p w14:paraId="614BA2F1" w14:textId="745C26B7" w:rsidR="00D67CF6" w:rsidRPr="006922A3" w:rsidRDefault="00D67CF6" w:rsidP="00F6283D">
      <w:pPr>
        <w:pStyle w:val="FootnoteText"/>
        <w:spacing w:after="0" w:line="240" w:lineRule="auto"/>
        <w:jc w:val="both"/>
        <w:rPr>
          <w:rFonts w:ascii="Times New Roman" w:hAnsi="Times New Roman"/>
          <w:lang w:val="lv-LV"/>
        </w:rPr>
      </w:pPr>
      <w:r w:rsidRPr="006922A3">
        <w:rPr>
          <w:rStyle w:val="FootnoteReference"/>
          <w:rFonts w:ascii="Times New Roman" w:hAnsi="Times New Roman"/>
        </w:rPr>
        <w:footnoteRef/>
      </w:r>
      <w:r w:rsidRPr="006922A3">
        <w:rPr>
          <w:rFonts w:ascii="Times New Roman" w:hAnsi="Times New Roman"/>
        </w:rPr>
        <w:t xml:space="preserve"> </w:t>
      </w:r>
      <w:r w:rsidRPr="006922A3">
        <w:rPr>
          <w:rFonts w:ascii="Times New Roman" w:hAnsi="Times New Roman"/>
          <w:lang w:val="lv-LV"/>
        </w:rPr>
        <w:t xml:space="preserve">SIA SAFEGE Baltija, Gala ziņojums “Ģimenes </w:t>
      </w:r>
      <w:r w:rsidRPr="006922A3">
        <w:rPr>
          <w:rFonts w:ascii="Times New Roman" w:hAnsi="Times New Roman"/>
        </w:rPr>
        <w:t>valsts politikas pamatnostādņu 2011.-2017.gadam ex-post novērtējum</w:t>
      </w:r>
      <w:r w:rsidRPr="006922A3">
        <w:rPr>
          <w:rFonts w:ascii="Times New Roman" w:hAnsi="Times New Roman"/>
          <w:lang w:val="lv-LV"/>
        </w:rPr>
        <w:t>s”, Rīga, 2018.gada 30.novembris, 56.lpp.</w:t>
      </w:r>
    </w:p>
  </w:footnote>
  <w:footnote w:id="69">
    <w:p w14:paraId="2B122A3A" w14:textId="663E2946" w:rsidR="00D67CF6" w:rsidRPr="006922A3" w:rsidRDefault="00D67CF6" w:rsidP="001D5EE6">
      <w:pPr>
        <w:pStyle w:val="FootnoteText"/>
        <w:spacing w:after="0" w:line="240" w:lineRule="auto"/>
        <w:rPr>
          <w:rFonts w:ascii="Times New Roman" w:hAnsi="Times New Roman"/>
          <w:lang w:val="lv-LV"/>
        </w:rPr>
      </w:pPr>
      <w:r w:rsidRPr="006922A3">
        <w:rPr>
          <w:rStyle w:val="FootnoteReference"/>
          <w:rFonts w:ascii="Times New Roman" w:hAnsi="Times New Roman"/>
        </w:rPr>
        <w:footnoteRef/>
      </w:r>
      <w:r w:rsidRPr="006922A3">
        <w:rPr>
          <w:rFonts w:ascii="Times New Roman" w:hAnsi="Times New Roman"/>
        </w:rPr>
        <w:t xml:space="preserve"> </w:t>
      </w:r>
      <w:r>
        <w:rPr>
          <w:rFonts w:ascii="Times New Roman" w:hAnsi="Times New Roman"/>
          <w:lang w:val="lv-LV"/>
        </w:rPr>
        <w:t>Turpat</w:t>
      </w:r>
      <w:r w:rsidRPr="006922A3">
        <w:rPr>
          <w:rFonts w:ascii="Times New Roman" w:hAnsi="Times New Roman"/>
          <w:lang w:val="lv-LV"/>
        </w:rPr>
        <w:t>, 107.lpp.</w:t>
      </w:r>
    </w:p>
  </w:footnote>
  <w:footnote w:id="70">
    <w:p w14:paraId="03BF98E6" w14:textId="4734ADB8" w:rsidR="00D67CF6" w:rsidRPr="005F2753" w:rsidRDefault="00D67CF6" w:rsidP="005F2753">
      <w:pPr>
        <w:pStyle w:val="FootnoteText"/>
        <w:spacing w:after="0" w:line="240" w:lineRule="auto"/>
        <w:jc w:val="both"/>
        <w:rPr>
          <w:rFonts w:ascii="Times New Roman" w:hAnsi="Times New Roman"/>
          <w:lang w:val="lv-LV"/>
        </w:rPr>
      </w:pPr>
      <w:r w:rsidRPr="006922A3">
        <w:rPr>
          <w:rStyle w:val="FootnoteReference"/>
          <w:rFonts w:ascii="Times New Roman" w:hAnsi="Times New Roman"/>
        </w:rPr>
        <w:footnoteRef/>
      </w:r>
      <w:r w:rsidRPr="006922A3">
        <w:rPr>
          <w:rFonts w:ascii="Times New Roman" w:hAnsi="Times New Roman"/>
        </w:rPr>
        <w:t xml:space="preserve"> </w:t>
      </w:r>
      <w:r w:rsidRPr="00ED61B3">
        <w:rPr>
          <w:rFonts w:ascii="Times New Roman" w:hAnsi="Times New Roman"/>
        </w:rPr>
        <w:t>Valsts kontrole, Revīzijas ziņojums “Vai valstī īstenotā sociālās iekļaušanas politika sasniedz tai izvirzītos mērķus nabadzības mazināšanas jomā?” (apstiprināts ar Valsts kontroles Trešā revīzijas departamenta 28.04.2020. lēmumu Nr.2.4.1-7/2019</w:t>
      </w:r>
      <w:r>
        <w:rPr>
          <w:rFonts w:ascii="Times New Roman" w:hAnsi="Times New Roman"/>
        </w:rPr>
        <w:t xml:space="preserve">; </w:t>
      </w:r>
      <w:r w:rsidRPr="00EC0186">
        <w:rPr>
          <w:rFonts w:ascii="Times New Roman" w:hAnsi="Times New Roman"/>
        </w:rPr>
        <w:t>revīzijas publiskošanas datums</w:t>
      </w:r>
      <w:r>
        <w:rPr>
          <w:rFonts w:ascii="Times New Roman" w:hAnsi="Times New Roman"/>
          <w:lang w:val="lv-LV"/>
        </w:rPr>
        <w:t xml:space="preserve"> 14.05.2020.</w:t>
      </w:r>
      <w:r w:rsidRPr="00ED61B3">
        <w:rPr>
          <w:rFonts w:ascii="Times New Roman" w:hAnsi="Times New Roman"/>
        </w:rPr>
        <w:t>)</w:t>
      </w:r>
      <w:r>
        <w:rPr>
          <w:rFonts w:ascii="Times New Roman" w:hAnsi="Times New Roman"/>
          <w:lang w:val="lv-LV"/>
        </w:rPr>
        <w:t xml:space="preserve">, </w:t>
      </w:r>
      <w:r w:rsidRPr="006F5FAD">
        <w:rPr>
          <w:rFonts w:ascii="Times New Roman" w:hAnsi="Times New Roman"/>
          <w:lang w:val="lv-LV"/>
        </w:rPr>
        <w:t xml:space="preserve">pieejams: </w:t>
      </w:r>
      <w:hyperlink r:id="rId12" w:history="1">
        <w:r w:rsidRPr="006F5FAD">
          <w:rPr>
            <w:rStyle w:val="Hyperlink"/>
            <w:rFonts w:ascii="Times New Roman" w:hAnsi="Times New Roman"/>
          </w:rPr>
          <w:t>https://www.lrvk.gov.lv/lv/revizijas/revizijas/noslegtas-revizijas/vai-valsti-istenota-socialas-ieklausanas-politika-sasniedz-tai-izvirzitos-merkus-nabadzibas-mazinasanas-joma</w:t>
        </w:r>
      </w:hyperlink>
    </w:p>
  </w:footnote>
  <w:footnote w:id="71">
    <w:p w14:paraId="2FB7288B" w14:textId="2641763F" w:rsidR="00D67CF6" w:rsidRPr="00220A0E" w:rsidRDefault="00D67CF6" w:rsidP="00220A0E">
      <w:pPr>
        <w:spacing w:after="0" w:line="240" w:lineRule="auto"/>
        <w:rPr>
          <w:rFonts w:ascii="Times New Roman" w:hAnsi="Times New Roman" w:cs="Times New Roman"/>
          <w:sz w:val="20"/>
          <w:szCs w:val="20"/>
          <w:lang w:eastAsia="lv-LV"/>
        </w:rPr>
      </w:pPr>
      <w:r w:rsidRPr="00220A0E">
        <w:rPr>
          <w:rStyle w:val="FootnoteReference"/>
          <w:rFonts w:ascii="Times New Roman" w:hAnsi="Times New Roman" w:cs="Times New Roman"/>
          <w:sz w:val="20"/>
          <w:szCs w:val="20"/>
        </w:rPr>
        <w:footnoteRef/>
      </w:r>
      <w:r w:rsidRPr="00220A0E">
        <w:rPr>
          <w:rFonts w:ascii="Times New Roman" w:hAnsi="Times New Roman" w:cs="Times New Roman"/>
          <w:sz w:val="20"/>
          <w:szCs w:val="20"/>
        </w:rPr>
        <w:t xml:space="preserve"> </w:t>
      </w:r>
      <w:r>
        <w:rPr>
          <w:rFonts w:ascii="Times New Roman" w:hAnsi="Times New Roman" w:cs="Times New Roman"/>
          <w:sz w:val="20"/>
          <w:szCs w:val="20"/>
        </w:rPr>
        <w:t>Turpat</w:t>
      </w:r>
    </w:p>
  </w:footnote>
  <w:footnote w:id="72">
    <w:p w14:paraId="66B7C90D" w14:textId="254F82CA" w:rsidR="00D67CF6" w:rsidRPr="001243CF" w:rsidRDefault="00D67CF6" w:rsidP="00220A0E">
      <w:pPr>
        <w:pStyle w:val="FootnoteText"/>
        <w:spacing w:after="0" w:line="240" w:lineRule="auto"/>
        <w:rPr>
          <w:lang w:val="lv-LV"/>
        </w:rPr>
      </w:pPr>
      <w:r w:rsidRPr="00220A0E">
        <w:rPr>
          <w:rStyle w:val="FootnoteReference"/>
          <w:rFonts w:ascii="Times New Roman" w:hAnsi="Times New Roman"/>
        </w:rPr>
        <w:footnoteRef/>
      </w:r>
      <w:r w:rsidRPr="00220A0E">
        <w:rPr>
          <w:rFonts w:ascii="Times New Roman" w:hAnsi="Times New Roman"/>
        </w:rPr>
        <w:t xml:space="preserve"> Spriedums lietā Nr. 2019-24-03</w:t>
      </w:r>
      <w:r w:rsidRPr="00220A0E">
        <w:rPr>
          <w:rFonts w:ascii="Times New Roman" w:hAnsi="Times New Roman"/>
          <w:lang w:val="lv-LV"/>
        </w:rPr>
        <w:t>, 10.lpp.,</w:t>
      </w:r>
      <w:r w:rsidRPr="00220A0E">
        <w:rPr>
          <w:rFonts w:ascii="Times New Roman" w:hAnsi="Times New Roman"/>
        </w:rPr>
        <w:t xml:space="preserve"> pieejams: </w:t>
      </w:r>
      <w:hyperlink r:id="rId13" w:history="1">
        <w:r w:rsidRPr="00220A0E">
          <w:rPr>
            <w:rStyle w:val="Hyperlink"/>
            <w:rFonts w:ascii="Times New Roman" w:hAnsi="Times New Roman"/>
            <w:color w:val="auto"/>
          </w:rPr>
          <w:t>https://www.satv.tiesa.gov.lv/cases/?case-filter-years=&amp;case-filter-status=&amp;case-filter-types=&amp;case-filter-result=&amp;searchtext=2019-24-03</w:t>
        </w:r>
      </w:hyperlink>
    </w:p>
  </w:footnote>
  <w:footnote w:id="73">
    <w:p w14:paraId="7EC59C72" w14:textId="77777777" w:rsidR="00D67CF6" w:rsidRPr="00B83815" w:rsidRDefault="00D67CF6" w:rsidP="00B83815">
      <w:pPr>
        <w:pStyle w:val="FootnoteText"/>
        <w:spacing w:after="0" w:line="240" w:lineRule="auto"/>
        <w:rPr>
          <w:lang w:val="en-US"/>
        </w:rPr>
      </w:pPr>
      <w:r w:rsidRPr="00B83815">
        <w:rPr>
          <w:rStyle w:val="FootnoteReference"/>
          <w:rFonts w:ascii="Times New Roman" w:hAnsi="Times New Roman"/>
        </w:rPr>
        <w:footnoteRef/>
      </w:r>
      <w:r w:rsidRPr="00B83815">
        <w:rPr>
          <w:rFonts w:ascii="Times New Roman" w:hAnsi="Times New Roman"/>
          <w:lang w:val="en-US"/>
        </w:rPr>
        <w:t xml:space="preserve"> </w:t>
      </w:r>
      <w:r w:rsidRPr="00B83815">
        <w:rPr>
          <w:rFonts w:ascii="Times New Roman" w:hAnsi="Times New Roman"/>
          <w:lang w:val="lv-LV"/>
        </w:rPr>
        <w:t>Sociālo pakalpojumu un sociālās palīdzības likuma 37.panta pirmā daļa.</w:t>
      </w:r>
    </w:p>
  </w:footnote>
  <w:footnote w:id="74">
    <w:p w14:paraId="030F6262" w14:textId="6112B644" w:rsidR="00D67CF6" w:rsidRPr="004C2F58" w:rsidRDefault="00D67CF6" w:rsidP="0006016D">
      <w:pPr>
        <w:pStyle w:val="FootnoteText"/>
        <w:spacing w:after="0" w:line="240" w:lineRule="auto"/>
        <w:jc w:val="both"/>
        <w:rPr>
          <w:rFonts w:ascii="Times New Roman" w:hAnsi="Times New Roman"/>
          <w:lang w:val="lv-LV"/>
        </w:rPr>
      </w:pPr>
      <w:r w:rsidRPr="004C2F58">
        <w:rPr>
          <w:rStyle w:val="FootnoteReference"/>
          <w:rFonts w:ascii="Times New Roman" w:hAnsi="Times New Roman"/>
        </w:rPr>
        <w:footnoteRef/>
      </w:r>
      <w:r w:rsidRPr="004C2F58">
        <w:rPr>
          <w:rFonts w:ascii="Times New Roman" w:hAnsi="Times New Roman"/>
        </w:rPr>
        <w:t xml:space="preserve"> </w:t>
      </w:r>
      <w:r w:rsidRPr="004C2F58">
        <w:rPr>
          <w:rFonts w:ascii="Times New Roman" w:hAnsi="Times New Roman"/>
          <w:lang w:val="lv-LV"/>
        </w:rPr>
        <w:t xml:space="preserve">OECD pētījums “Cilvēku sasaiste ar darbavietām: Latvija”, 19.lp., pieejams: https://www.oecd.org/latvia/cilveku-sasaiste-ar-darbavietam-ce74856f-lv.htm, </w:t>
      </w:r>
    </w:p>
  </w:footnote>
  <w:footnote w:id="75">
    <w:p w14:paraId="540C1C82" w14:textId="77777777" w:rsidR="00D67CF6" w:rsidRPr="00B83815" w:rsidRDefault="00D67CF6" w:rsidP="0006016D">
      <w:pPr>
        <w:pStyle w:val="FootnoteText"/>
        <w:spacing w:after="0" w:line="240" w:lineRule="auto"/>
        <w:jc w:val="both"/>
        <w:rPr>
          <w:rFonts w:ascii="Times New Roman" w:hAnsi="Times New Roman"/>
          <w:lang w:val="lv-LV"/>
        </w:rPr>
      </w:pPr>
      <w:r w:rsidRPr="004C2F58">
        <w:rPr>
          <w:rStyle w:val="FootnoteReference"/>
          <w:rFonts w:ascii="Times New Roman" w:hAnsi="Times New Roman"/>
          <w:lang w:val="lv-LV"/>
        </w:rPr>
        <w:footnoteRef/>
      </w:r>
      <w:r w:rsidRPr="004C2F58">
        <w:rPr>
          <w:rFonts w:ascii="Times New Roman" w:hAnsi="Times New Roman"/>
          <w:lang w:val="lv-LV"/>
        </w:rPr>
        <w:t xml:space="preserve"> PB pētījums „Latvija: kurš ir bezdarbnieks, ekonomiski neaktīvais vai trūcīgais?”, </w:t>
      </w:r>
      <w:r w:rsidRPr="004C2F58">
        <w:rPr>
          <w:rFonts w:ascii="Times New Roman" w:hAnsi="Times New Roman"/>
          <w:lang w:val="en-US"/>
        </w:rPr>
        <w:t>Review of key design parameters and legislation for social assistance programs in Latvia, Latvia GMI Program: main design</w:t>
      </w:r>
      <w:r w:rsidRPr="00B83815">
        <w:rPr>
          <w:rFonts w:ascii="Times New Roman" w:hAnsi="Times New Roman"/>
          <w:lang w:val="en-US"/>
        </w:rPr>
        <w:t xml:space="preserve"> characteristics and comparison with minimum income schemes in other EU Member States</w:t>
      </w:r>
      <w:r w:rsidRPr="00B83815">
        <w:rPr>
          <w:rFonts w:ascii="Times New Roman" w:hAnsi="Times New Roman"/>
          <w:lang w:val="lv-LV"/>
        </w:rPr>
        <w:t>, 5., 6.lpp.</w:t>
      </w:r>
    </w:p>
  </w:footnote>
  <w:footnote w:id="76">
    <w:p w14:paraId="72CFF788" w14:textId="412EDB1F" w:rsidR="00D67CF6" w:rsidRPr="00B83815" w:rsidRDefault="00D67CF6" w:rsidP="0006016D">
      <w:pPr>
        <w:pStyle w:val="FootnoteText"/>
        <w:spacing w:after="0" w:line="240" w:lineRule="auto"/>
        <w:jc w:val="both"/>
        <w:rPr>
          <w:rFonts w:ascii="Times New Roman" w:hAnsi="Times New Roman"/>
          <w:lang w:val="lv-LV"/>
        </w:rPr>
      </w:pPr>
      <w:r w:rsidRPr="00B83815">
        <w:rPr>
          <w:rStyle w:val="FootnoteReference"/>
          <w:rFonts w:ascii="Times New Roman" w:hAnsi="Times New Roman"/>
        </w:rPr>
        <w:footnoteRef/>
      </w:r>
      <w:r w:rsidRPr="00B83815">
        <w:rPr>
          <w:rFonts w:ascii="Times New Roman" w:hAnsi="Times New Roman"/>
        </w:rPr>
        <w:t xml:space="preserve"> </w:t>
      </w:r>
      <w:r w:rsidRPr="008F021B">
        <w:rPr>
          <w:rFonts w:ascii="Times New Roman" w:hAnsi="Times New Roman"/>
        </w:rPr>
        <w:t>Nodibinājum</w:t>
      </w:r>
      <w:r>
        <w:rPr>
          <w:rFonts w:ascii="Times New Roman" w:hAnsi="Times New Roman"/>
        </w:rPr>
        <w:t>s</w:t>
      </w:r>
      <w:r w:rsidRPr="008F021B">
        <w:rPr>
          <w:rFonts w:ascii="Times New Roman" w:hAnsi="Times New Roman"/>
        </w:rPr>
        <w:t xml:space="preserve"> “Baltic Institute of Social Sciences”</w:t>
      </w:r>
      <w:r>
        <w:rPr>
          <w:rFonts w:ascii="Times New Roman" w:hAnsi="Times New Roman"/>
        </w:rPr>
        <w:t xml:space="preserve">, </w:t>
      </w:r>
      <w:r w:rsidRPr="00E46C9B">
        <w:rPr>
          <w:rFonts w:ascii="Times New Roman" w:hAnsi="Times New Roman"/>
        </w:rPr>
        <w:t>Ikgadējs nabadzības un sociālās atstumtības mazināšanas rīcībpolitikas izvērtējums (t.sk. izvērtējums par nevienlīdzību veselības aprūpē un nevienlīdzību mājokļa pieejamības jomā) Rīga</w:t>
      </w:r>
      <w:r>
        <w:rPr>
          <w:rFonts w:ascii="Times New Roman" w:hAnsi="Times New Roman"/>
          <w:bCs/>
        </w:rPr>
        <w:t>, 2019.gada 19.jūnijs</w:t>
      </w:r>
      <w:r>
        <w:rPr>
          <w:rFonts w:ascii="Times New Roman" w:hAnsi="Times New Roman"/>
          <w:bCs/>
          <w:lang w:val="lv-LV"/>
        </w:rPr>
        <w:t>, 97.lpp.</w:t>
      </w:r>
      <w:r>
        <w:rPr>
          <w:rFonts w:ascii="Times New Roman" w:hAnsi="Times New Roman"/>
          <w:bCs/>
        </w:rPr>
        <w:t>;</w:t>
      </w:r>
      <w:r w:rsidRPr="008F021B">
        <w:rPr>
          <w:rFonts w:ascii="Times New Roman" w:hAnsi="Times New Roman"/>
          <w:bCs/>
        </w:rPr>
        <w:t xml:space="preserve"> pieejams: </w:t>
      </w:r>
      <w:hyperlink r:id="rId14" w:history="1">
        <w:r w:rsidRPr="00E46C9B">
          <w:rPr>
            <w:rFonts w:ascii="Times New Roman" w:hAnsi="Times New Roman"/>
          </w:rPr>
          <w:t>http://petijumi.mk.gov.lv/node/3048</w:t>
        </w:r>
      </w:hyperlink>
      <w:r w:rsidRPr="00B83815">
        <w:rPr>
          <w:rFonts w:ascii="Times New Roman" w:hAnsi="Times New Roman"/>
          <w:bCs/>
          <w:lang w:val="lv-LV"/>
        </w:rPr>
        <w:t>.</w:t>
      </w:r>
    </w:p>
  </w:footnote>
  <w:footnote w:id="77">
    <w:p w14:paraId="25D6C1C2" w14:textId="77777777" w:rsidR="00D67CF6" w:rsidRPr="004710CD" w:rsidRDefault="00D67CF6" w:rsidP="001D5EE6">
      <w:pPr>
        <w:pStyle w:val="FootnoteText"/>
        <w:spacing w:after="0" w:line="240" w:lineRule="auto"/>
        <w:rPr>
          <w:rFonts w:ascii="Times New Roman" w:hAnsi="Times New Roman"/>
          <w:lang w:val="lv-LV"/>
        </w:rPr>
      </w:pPr>
      <w:r w:rsidRPr="004710CD">
        <w:rPr>
          <w:rStyle w:val="FootnoteReference"/>
          <w:rFonts w:ascii="Times New Roman" w:hAnsi="Times New Roman"/>
        </w:rPr>
        <w:footnoteRef/>
      </w:r>
      <w:r w:rsidRPr="004710CD">
        <w:rPr>
          <w:rFonts w:ascii="Times New Roman" w:hAnsi="Times New Roman"/>
          <w:lang w:val="lv-LV"/>
        </w:rPr>
        <w:t>Satversmes tiesas spriedums lietā Nr.2019-24-03</w:t>
      </w:r>
    </w:p>
  </w:footnote>
  <w:footnote w:id="78">
    <w:p w14:paraId="208D3A55" w14:textId="0D26434D" w:rsidR="00D67CF6" w:rsidRPr="004A329E" w:rsidRDefault="00D67CF6" w:rsidP="00F37C8D">
      <w:pPr>
        <w:pStyle w:val="FootnoteText"/>
        <w:spacing w:after="0" w:line="240" w:lineRule="auto"/>
        <w:jc w:val="both"/>
        <w:rPr>
          <w:rFonts w:ascii="Times New Roman" w:hAnsi="Times New Roman"/>
          <w:lang w:val="lv-LV"/>
        </w:rPr>
      </w:pPr>
      <w:r w:rsidRPr="00E1305C">
        <w:rPr>
          <w:rStyle w:val="FootnoteReference"/>
          <w:rFonts w:ascii="Times New Roman" w:hAnsi="Times New Roman"/>
        </w:rPr>
        <w:footnoteRef/>
      </w:r>
      <w:r w:rsidRPr="00E1305C">
        <w:rPr>
          <w:rFonts w:ascii="Times New Roman" w:hAnsi="Times New Roman"/>
        </w:rPr>
        <w:t xml:space="preserve"> </w:t>
      </w:r>
      <w:r>
        <w:rPr>
          <w:rFonts w:ascii="Times New Roman" w:hAnsi="Times New Roman"/>
          <w:lang w:val="lv-LV"/>
        </w:rPr>
        <w:t>Valsts kontrole,</w:t>
      </w:r>
      <w:r w:rsidRPr="00E1305C">
        <w:rPr>
          <w:rFonts w:ascii="Times New Roman" w:hAnsi="Times New Roman"/>
        </w:rPr>
        <w:t xml:space="preserve"> likumības revīzij</w:t>
      </w:r>
      <w:r w:rsidRPr="00E1305C">
        <w:rPr>
          <w:rFonts w:ascii="Times New Roman" w:hAnsi="Times New Roman"/>
          <w:lang w:val="lv-LV"/>
        </w:rPr>
        <w:t>a</w:t>
      </w:r>
      <w:r w:rsidRPr="00E1305C">
        <w:rPr>
          <w:rFonts w:ascii="Times New Roman" w:hAnsi="Times New Roman"/>
        </w:rPr>
        <w:t xml:space="preserve"> </w:t>
      </w:r>
      <w:r w:rsidRPr="00DD75EB">
        <w:rPr>
          <w:rFonts w:ascii="Times New Roman" w:hAnsi="Times New Roman"/>
          <w:lang w:val="lv-LV"/>
        </w:rPr>
        <w:t>“Pašvaldību sniegtās sociālās palīdzības tiesiskums un efektivitāte”</w:t>
      </w:r>
      <w:r>
        <w:rPr>
          <w:rFonts w:ascii="Times New Roman" w:hAnsi="Times New Roman"/>
          <w:lang w:val="lv-LV"/>
        </w:rPr>
        <w:t xml:space="preserve">, </w:t>
      </w:r>
      <w:r w:rsidRPr="00DD75EB">
        <w:rPr>
          <w:rFonts w:ascii="Times New Roman" w:hAnsi="Times New Roman"/>
          <w:lang w:val="lv-LV"/>
        </w:rPr>
        <w:t>Nr.2.4.1-4/2014</w:t>
      </w:r>
      <w:r>
        <w:rPr>
          <w:rFonts w:ascii="Times New Roman" w:hAnsi="Times New Roman"/>
          <w:lang w:val="lv-LV"/>
        </w:rPr>
        <w:t>, Rīga, 19.12.2014</w:t>
      </w:r>
      <w:r w:rsidRPr="00DD75EB">
        <w:rPr>
          <w:rFonts w:ascii="Times New Roman" w:hAnsi="Times New Roman"/>
        </w:rPr>
        <w:t>.; V</w:t>
      </w:r>
      <w:r w:rsidRPr="00ED61B3">
        <w:rPr>
          <w:rFonts w:ascii="Times New Roman" w:hAnsi="Times New Roman"/>
        </w:rPr>
        <w:t>alsts kontrole, Revīzijas ziņojums “Vai valstī īstenotā sociālās iekļaušanas politika sasniedz tai izvirzītos mērķus nabadzības mazināšanas jomā?” (apstiprināts ar Valsts kontroles Trešā revīzijas departamenta 28.04.2020. lēmumu Nr.2.4.1-7/2019</w:t>
      </w:r>
      <w:r>
        <w:rPr>
          <w:rFonts w:ascii="Times New Roman" w:hAnsi="Times New Roman"/>
        </w:rPr>
        <w:t xml:space="preserve">; </w:t>
      </w:r>
      <w:r w:rsidRPr="00EC0186">
        <w:rPr>
          <w:rFonts w:ascii="Times New Roman" w:hAnsi="Times New Roman"/>
        </w:rPr>
        <w:t>revīzijas publiskošanas datums</w:t>
      </w:r>
      <w:r>
        <w:rPr>
          <w:rFonts w:ascii="Times New Roman" w:hAnsi="Times New Roman"/>
          <w:lang w:val="lv-LV"/>
        </w:rPr>
        <w:t xml:space="preserve"> 14.05.2020.</w:t>
      </w:r>
      <w:r w:rsidRPr="00ED61B3">
        <w:rPr>
          <w:rFonts w:ascii="Times New Roman" w:hAnsi="Times New Roman"/>
        </w:rPr>
        <w:t>)</w:t>
      </w:r>
      <w:r>
        <w:rPr>
          <w:rFonts w:ascii="Times New Roman" w:hAnsi="Times New Roman"/>
          <w:lang w:val="lv-LV"/>
        </w:rPr>
        <w:t xml:space="preserve">, </w:t>
      </w:r>
      <w:r w:rsidRPr="006F5FAD">
        <w:rPr>
          <w:rFonts w:ascii="Times New Roman" w:hAnsi="Times New Roman"/>
          <w:lang w:val="lv-LV"/>
        </w:rPr>
        <w:t xml:space="preserve">pieejams: </w:t>
      </w:r>
      <w:hyperlink r:id="rId15" w:history="1">
        <w:r w:rsidRPr="006F5FAD">
          <w:rPr>
            <w:rStyle w:val="Hyperlink"/>
            <w:rFonts w:ascii="Times New Roman" w:hAnsi="Times New Roman"/>
          </w:rPr>
          <w:t>https://www.lrvk.gov.lv/lv/revizijas/revizijas/noslegtas-revizijas/vai-valsti-istenota-socialas-ieklausanas-politika-sasniedz-tai-izvirzitos-merkus-nabadzibas-mazinasanas-joma</w:t>
        </w:r>
      </w:hyperlink>
    </w:p>
  </w:footnote>
  <w:footnote w:id="79">
    <w:p w14:paraId="05C191CD" w14:textId="2DC9C0DB" w:rsidR="00D67CF6" w:rsidRPr="00DD75EB" w:rsidRDefault="00D67CF6" w:rsidP="00DD75EB">
      <w:pPr>
        <w:pStyle w:val="FootnoteText"/>
        <w:spacing w:after="0" w:line="240" w:lineRule="auto"/>
        <w:jc w:val="both"/>
        <w:rPr>
          <w:rFonts w:ascii="Times New Roman" w:hAnsi="Times New Roman"/>
          <w:lang w:val="lv-LV"/>
        </w:rPr>
      </w:pPr>
      <w:r w:rsidRPr="00E1305C">
        <w:rPr>
          <w:rStyle w:val="FootnoteReference"/>
          <w:rFonts w:ascii="Times New Roman" w:hAnsi="Times New Roman"/>
        </w:rPr>
        <w:footnoteRef/>
      </w:r>
      <w:r w:rsidRPr="00E1305C">
        <w:rPr>
          <w:rFonts w:ascii="Times New Roman" w:hAnsi="Times New Roman"/>
        </w:rPr>
        <w:t xml:space="preserve"> </w:t>
      </w:r>
      <w:r>
        <w:rPr>
          <w:rFonts w:ascii="Times New Roman" w:hAnsi="Times New Roman"/>
          <w:iCs/>
          <w:shd w:val="clear" w:color="auto" w:fill="FFFFFF"/>
          <w:lang w:val="lv-LV"/>
        </w:rPr>
        <w:t>Turpat</w:t>
      </w:r>
    </w:p>
  </w:footnote>
  <w:footnote w:id="80">
    <w:p w14:paraId="6E03235C" w14:textId="366FEFA0" w:rsidR="00D67CF6" w:rsidRPr="00E1305C" w:rsidRDefault="00D67CF6" w:rsidP="001D5EE6">
      <w:pPr>
        <w:pStyle w:val="FootnoteText"/>
        <w:spacing w:after="0" w:line="240" w:lineRule="auto"/>
        <w:rPr>
          <w:rFonts w:ascii="Times New Roman" w:hAnsi="Times New Roman"/>
          <w:lang w:val="lv-LV"/>
        </w:rPr>
      </w:pPr>
      <w:r w:rsidRPr="00E1305C">
        <w:rPr>
          <w:rStyle w:val="FootnoteReference"/>
          <w:rFonts w:ascii="Times New Roman" w:hAnsi="Times New Roman"/>
        </w:rPr>
        <w:footnoteRef/>
      </w:r>
      <w:r w:rsidRPr="00E1305C">
        <w:rPr>
          <w:rFonts w:ascii="Times New Roman" w:hAnsi="Times New Roman"/>
        </w:rPr>
        <w:t xml:space="preserve"> </w:t>
      </w:r>
      <w:r w:rsidRPr="00E1305C">
        <w:rPr>
          <w:rFonts w:ascii="Times New Roman" w:hAnsi="Times New Roman"/>
          <w:lang w:val="lv-LV"/>
        </w:rPr>
        <w:t>Satversmes tiesas spriedums lietā Nr.2019-24-03</w:t>
      </w:r>
      <w:r>
        <w:rPr>
          <w:rFonts w:ascii="Times New Roman" w:hAnsi="Times New Roman"/>
          <w:lang w:val="lv-LV"/>
        </w:rPr>
        <w:t xml:space="preserve">, </w:t>
      </w:r>
      <w:r w:rsidRPr="004B0588">
        <w:rPr>
          <w:rFonts w:ascii="Times New Roman" w:hAnsi="Times New Roman"/>
        </w:rPr>
        <w:t xml:space="preserve">pieejams: </w:t>
      </w:r>
      <w:hyperlink r:id="rId16" w:history="1">
        <w:r w:rsidRPr="00BF4764">
          <w:rPr>
            <w:rStyle w:val="Hyperlink"/>
            <w:rFonts w:ascii="Times New Roman" w:hAnsi="Times New Roman"/>
            <w:color w:val="auto"/>
            <w:u w:val="none"/>
          </w:rPr>
          <w:t>https://www.satv.tiesa.gov.lv/cases/?case-filter-years=&amp;case-filter-status=&amp;case-filter-types=&amp;case-filter-result=&amp;searchtext=2019-24-03</w:t>
        </w:r>
      </w:hyperlink>
    </w:p>
  </w:footnote>
  <w:footnote w:id="81">
    <w:p w14:paraId="40B36437" w14:textId="2D95F342" w:rsidR="00D67CF6" w:rsidRPr="00F171B5" w:rsidRDefault="00D67CF6" w:rsidP="001D5EE6">
      <w:pPr>
        <w:pStyle w:val="FootnoteText"/>
        <w:spacing w:after="0" w:line="240" w:lineRule="auto"/>
        <w:rPr>
          <w:rFonts w:ascii="Times New Roman" w:hAnsi="Times New Roman"/>
          <w:lang w:val="lv-LV"/>
        </w:rPr>
      </w:pPr>
      <w:r w:rsidRPr="00F171B5">
        <w:rPr>
          <w:rStyle w:val="FootnoteReference"/>
          <w:rFonts w:ascii="Times New Roman" w:hAnsi="Times New Roman"/>
        </w:rPr>
        <w:footnoteRef/>
      </w:r>
      <w:r w:rsidRPr="00F171B5">
        <w:rPr>
          <w:rFonts w:ascii="Times New Roman" w:hAnsi="Times New Roman"/>
        </w:rPr>
        <w:t xml:space="preserve"> </w:t>
      </w:r>
      <w:r>
        <w:rPr>
          <w:rFonts w:ascii="Times New Roman" w:hAnsi="Times New Roman"/>
          <w:lang w:val="lv-LV"/>
        </w:rPr>
        <w:t>Ministru kabineta</w:t>
      </w:r>
      <w:r w:rsidRPr="00F171B5">
        <w:rPr>
          <w:rFonts w:ascii="Times New Roman" w:hAnsi="Times New Roman"/>
        </w:rPr>
        <w:t xml:space="preserve"> 2014.gada 25.novembra noteikumi Nr.727</w:t>
      </w:r>
    </w:p>
  </w:footnote>
  <w:footnote w:id="82">
    <w:p w14:paraId="3D185617" w14:textId="77777777" w:rsidR="00D67CF6" w:rsidRPr="00F171B5" w:rsidRDefault="00D67CF6" w:rsidP="001D5EE6">
      <w:pPr>
        <w:pStyle w:val="FootnoteText"/>
        <w:spacing w:after="0" w:line="240" w:lineRule="auto"/>
        <w:rPr>
          <w:rFonts w:ascii="Times New Roman" w:hAnsi="Times New Roman"/>
          <w:lang w:val="lv-LV"/>
        </w:rPr>
      </w:pPr>
      <w:r w:rsidRPr="00F171B5">
        <w:rPr>
          <w:rStyle w:val="FootnoteReference"/>
          <w:rFonts w:ascii="Times New Roman" w:hAnsi="Times New Roman"/>
        </w:rPr>
        <w:footnoteRef/>
      </w:r>
      <w:r w:rsidRPr="00F171B5">
        <w:rPr>
          <w:rFonts w:ascii="Times New Roman" w:hAnsi="Times New Roman"/>
        </w:rPr>
        <w:t xml:space="preserve"> http://www.lm.gov.lv/lv/es-finansejums/eiropas-atbalsta-fonds-vistrucigakajam-personam/fonda-novertesanas-zinojumi</w:t>
      </w:r>
    </w:p>
  </w:footnote>
  <w:footnote w:id="83">
    <w:p w14:paraId="69AB8E77" w14:textId="77777777" w:rsidR="00D67CF6" w:rsidRPr="00F171B5" w:rsidRDefault="00D67CF6" w:rsidP="00BF4764">
      <w:pPr>
        <w:pStyle w:val="FootnoteText"/>
        <w:spacing w:after="0" w:line="240" w:lineRule="auto"/>
        <w:jc w:val="both"/>
        <w:rPr>
          <w:rFonts w:ascii="Times New Roman" w:hAnsi="Times New Roman"/>
          <w:lang w:val="lv-LV"/>
        </w:rPr>
      </w:pPr>
      <w:r w:rsidRPr="00F171B5">
        <w:rPr>
          <w:rStyle w:val="FootnoteReference"/>
          <w:rFonts w:ascii="Times New Roman" w:hAnsi="Times New Roman"/>
        </w:rPr>
        <w:footnoteRef/>
      </w:r>
      <w:r w:rsidRPr="00F171B5">
        <w:rPr>
          <w:rFonts w:ascii="Times New Roman" w:hAnsi="Times New Roman"/>
        </w:rPr>
        <w:t xml:space="preserve"> Ziņojums par atklāto sabiedrisko apspriešanu “EAFVP vidusposma novērtējums”, 2018. gada janvāris, pieejams https://publications.europa.eu/s/fo2y</w:t>
      </w:r>
    </w:p>
  </w:footnote>
  <w:footnote w:id="84">
    <w:p w14:paraId="75854A76" w14:textId="77777777" w:rsidR="00D67CF6" w:rsidRPr="005E701A" w:rsidRDefault="00D67CF6" w:rsidP="005E701A">
      <w:pPr>
        <w:pStyle w:val="FootnoteText"/>
        <w:spacing w:after="0" w:line="240" w:lineRule="auto"/>
        <w:rPr>
          <w:rFonts w:ascii="Times New Roman" w:hAnsi="Times New Roman"/>
          <w:lang w:val="lv-LV"/>
        </w:rPr>
      </w:pPr>
      <w:r w:rsidRPr="005E701A">
        <w:rPr>
          <w:rStyle w:val="FootnoteReference"/>
          <w:rFonts w:ascii="Times New Roman" w:hAnsi="Times New Roman"/>
        </w:rPr>
        <w:footnoteRef/>
      </w:r>
      <w:r w:rsidRPr="005E701A">
        <w:rPr>
          <w:rFonts w:ascii="Times New Roman" w:hAnsi="Times New Roman"/>
        </w:rPr>
        <w:t xml:space="preserve"> https://ec.europa.eu/info/publications/2019-european-semester-country-reports_lv</w:t>
      </w:r>
    </w:p>
  </w:footnote>
  <w:footnote w:id="85">
    <w:p w14:paraId="4752AAA0" w14:textId="3A5F3C25" w:rsidR="00D67CF6" w:rsidRPr="004B0588" w:rsidRDefault="00D67CF6" w:rsidP="003A0C82">
      <w:pPr>
        <w:pStyle w:val="FootnoteText"/>
        <w:spacing w:after="0" w:line="240" w:lineRule="auto"/>
        <w:rPr>
          <w:rFonts w:ascii="Times New Roman" w:hAnsi="Times New Roman"/>
          <w:lang w:val="lv-LV"/>
        </w:rPr>
      </w:pPr>
      <w:r w:rsidRPr="004B0588">
        <w:rPr>
          <w:rStyle w:val="FootnoteReference"/>
          <w:rFonts w:ascii="Times New Roman" w:hAnsi="Times New Roman"/>
        </w:rPr>
        <w:footnoteRef/>
      </w:r>
      <w:r w:rsidRPr="004B0588">
        <w:rPr>
          <w:rFonts w:ascii="Times New Roman" w:hAnsi="Times New Roman"/>
        </w:rPr>
        <w:t xml:space="preserve"> Spriedums lietā Nr. 2019-24-03 pieejams: </w:t>
      </w:r>
      <w:hyperlink r:id="rId17" w:history="1">
        <w:r w:rsidRPr="00BF4764">
          <w:rPr>
            <w:rStyle w:val="Hyperlink"/>
            <w:rFonts w:ascii="Times New Roman" w:hAnsi="Times New Roman"/>
            <w:color w:val="auto"/>
            <w:u w:val="none"/>
          </w:rPr>
          <w:t>https://www.satv.tiesa.gov.lv/cases/?case-filter-years=&amp;case-filter-status=&amp;case-filter-types=&amp;case-filter-result=&amp;searchtext=2019-24-03</w:t>
        </w:r>
      </w:hyperlink>
    </w:p>
  </w:footnote>
  <w:footnote w:id="86">
    <w:p w14:paraId="3458C28F" w14:textId="43448C83" w:rsidR="00D67CF6" w:rsidRPr="004B0588" w:rsidRDefault="00D67CF6" w:rsidP="003A0C82">
      <w:pPr>
        <w:pStyle w:val="FootnoteText"/>
        <w:spacing w:after="0" w:line="240" w:lineRule="auto"/>
        <w:rPr>
          <w:rFonts w:ascii="Times New Roman" w:hAnsi="Times New Roman"/>
          <w:lang w:val="lv-LV"/>
        </w:rPr>
      </w:pPr>
      <w:r w:rsidRPr="004B0588">
        <w:rPr>
          <w:rStyle w:val="FootnoteReference"/>
          <w:rFonts w:ascii="Times New Roman" w:hAnsi="Times New Roman"/>
        </w:rPr>
        <w:footnoteRef/>
      </w:r>
      <w:r w:rsidRPr="004B0588">
        <w:rPr>
          <w:rFonts w:ascii="Times New Roman" w:hAnsi="Times New Roman"/>
        </w:rPr>
        <w:t xml:space="preserve"> Spriedums lietā Nr. 2019-25-03 pieejamst: </w:t>
      </w:r>
      <w:hyperlink r:id="rId18" w:history="1">
        <w:r w:rsidRPr="00BF4764">
          <w:rPr>
            <w:rStyle w:val="Hyperlink"/>
            <w:rFonts w:ascii="Times New Roman" w:hAnsi="Times New Roman"/>
            <w:u w:val="none"/>
          </w:rPr>
          <w:t>https://www.satv.tiesa.gov.lv/cases/?case-filter-years=&amp;case-filter-status=&amp;case-filter-types=&amp;case-filter-result=&amp;searchtext=2019-25-03</w:t>
        </w:r>
      </w:hyperlink>
    </w:p>
  </w:footnote>
  <w:footnote w:id="87">
    <w:p w14:paraId="0384DFA2" w14:textId="1B8B2F12" w:rsidR="00D67CF6" w:rsidRPr="00EE7401" w:rsidRDefault="00D67CF6" w:rsidP="003A0C82">
      <w:pPr>
        <w:pStyle w:val="FootnoteText"/>
        <w:spacing w:after="0" w:line="240" w:lineRule="auto"/>
        <w:rPr>
          <w:rFonts w:ascii="Times New Roman" w:hAnsi="Times New Roman"/>
          <w:lang w:val="lv-LV"/>
        </w:rPr>
      </w:pPr>
      <w:r w:rsidRPr="004B0588">
        <w:rPr>
          <w:rStyle w:val="FootnoteReference"/>
          <w:rFonts w:ascii="Times New Roman" w:hAnsi="Times New Roman"/>
        </w:rPr>
        <w:footnoteRef/>
      </w:r>
      <w:r w:rsidRPr="004B0588">
        <w:rPr>
          <w:rFonts w:ascii="Times New Roman" w:hAnsi="Times New Roman"/>
        </w:rPr>
        <w:t xml:space="preserve"> Spriedums lietā Nr. 2019-27-03 pieejams: </w:t>
      </w:r>
      <w:hyperlink r:id="rId19" w:history="1">
        <w:r w:rsidRPr="00BF4764">
          <w:rPr>
            <w:rStyle w:val="Hyperlink"/>
            <w:rFonts w:ascii="Times New Roman" w:hAnsi="Times New Roman"/>
            <w:color w:val="auto"/>
            <w:u w:val="none"/>
          </w:rPr>
          <w:t>https://www.satv.tiesa.gov.lv/cases/?case-filter-years=&amp;case-filter-status=&amp;case-filter-types=&amp;case-filter-result=&amp;searchtext=2019-27-03</w:t>
        </w:r>
      </w:hyperlink>
    </w:p>
  </w:footnote>
  <w:footnote w:id="88">
    <w:p w14:paraId="31FDF9E6" w14:textId="0174A3F0" w:rsidR="00D67CF6" w:rsidRPr="00FF69B1" w:rsidRDefault="00D67CF6" w:rsidP="00200837">
      <w:pPr>
        <w:pStyle w:val="FootnoteText"/>
        <w:spacing w:after="0" w:line="240" w:lineRule="auto"/>
        <w:rPr>
          <w:rFonts w:ascii="Times New Roman" w:hAnsi="Times New Roman"/>
        </w:rPr>
      </w:pPr>
      <w:r w:rsidRPr="00EE7401">
        <w:rPr>
          <w:rStyle w:val="FootnoteReference"/>
          <w:rFonts w:ascii="Times New Roman" w:hAnsi="Times New Roman"/>
        </w:rPr>
        <w:footnoteRef/>
      </w:r>
      <w:r w:rsidRPr="00EE7401">
        <w:rPr>
          <w:rFonts w:ascii="Times New Roman" w:hAnsi="Times New Roman"/>
        </w:rPr>
        <w:t xml:space="preserve"> </w:t>
      </w:r>
      <w:r>
        <w:rPr>
          <w:rFonts w:ascii="Times New Roman" w:hAnsi="Times New Roman"/>
          <w:lang w:val="lv-LV"/>
        </w:rPr>
        <w:t xml:space="preserve">LM, </w:t>
      </w:r>
      <w:r w:rsidRPr="00EE7401">
        <w:rPr>
          <w:rFonts w:ascii="Times New Roman" w:hAnsi="Times New Roman"/>
        </w:rPr>
        <w:t xml:space="preserve">Pensiju reformas koncepcija, 8.lpp., pieejams: </w:t>
      </w:r>
      <w:hyperlink r:id="rId20" w:history="1">
        <w:r w:rsidRPr="00EE7401">
          <w:rPr>
            <w:rFonts w:ascii="Times New Roman" w:hAnsi="Times New Roman"/>
          </w:rPr>
          <w:t>http://www.lm.gov.lv/lv/nozares-politika/sociala-apdrosinasana/0-politikas-planosanas-dokumenti-un-tiesibu-akti/0-latvijas-politikas-planosanas-dokumenti</w:t>
        </w:r>
      </w:hyperlink>
    </w:p>
  </w:footnote>
  <w:footnote w:id="89">
    <w:p w14:paraId="7768BAB4" w14:textId="58957C26" w:rsidR="00D67CF6" w:rsidRPr="00171C06" w:rsidRDefault="00D67CF6" w:rsidP="00200837">
      <w:pPr>
        <w:pStyle w:val="FootnoteText"/>
        <w:spacing w:after="0" w:line="240" w:lineRule="auto"/>
        <w:rPr>
          <w:rFonts w:ascii="Times New Roman" w:hAnsi="Times New Roman"/>
        </w:rPr>
      </w:pPr>
      <w:r w:rsidRPr="00171C06">
        <w:rPr>
          <w:rStyle w:val="FootnoteReference"/>
          <w:rFonts w:ascii="Times New Roman" w:hAnsi="Times New Roman"/>
        </w:rPr>
        <w:footnoteRef/>
      </w:r>
      <w:r w:rsidRPr="00171C06">
        <w:rPr>
          <w:rFonts w:ascii="Times New Roman" w:hAnsi="Times New Roman"/>
        </w:rPr>
        <w:t xml:space="preserve"> </w:t>
      </w:r>
      <w:r>
        <w:rPr>
          <w:rFonts w:ascii="Times New Roman" w:hAnsi="Times New Roman"/>
          <w:lang w:val="lv-LV"/>
        </w:rPr>
        <w:t xml:space="preserve">LM, </w:t>
      </w:r>
      <w:r w:rsidRPr="00171C06">
        <w:rPr>
          <w:rFonts w:ascii="Times New Roman" w:hAnsi="Times New Roman"/>
        </w:rPr>
        <w:t>Koncepcija par sociālās apdrošināšanas sistēmas stabilitāti ilgtermiņā</w:t>
      </w:r>
      <w:r w:rsidRPr="00BF4764">
        <w:rPr>
          <w:rFonts w:ascii="Times New Roman" w:hAnsi="Times New Roman"/>
        </w:rPr>
        <w:t xml:space="preserve"> (apstiprināta ar Ministru kabineta 2010.gada 17.novembra rīkojumu Nr.674, prot. Nr.62 1.§)</w:t>
      </w:r>
      <w:r>
        <w:rPr>
          <w:rFonts w:ascii="Times New Roman" w:hAnsi="Times New Roman"/>
          <w:lang w:val="lv-LV"/>
        </w:rPr>
        <w:t xml:space="preserve">, </w:t>
      </w:r>
      <w:r w:rsidRPr="00BF4764">
        <w:rPr>
          <w:rFonts w:ascii="Times New Roman" w:hAnsi="Times New Roman"/>
        </w:rPr>
        <w:t xml:space="preserve">pieejama: </w:t>
      </w:r>
      <w:hyperlink r:id="rId21" w:history="1">
        <w:r w:rsidRPr="00BF4764">
          <w:rPr>
            <w:rFonts w:ascii="Times New Roman" w:hAnsi="Times New Roman"/>
          </w:rPr>
          <w:t>https://likumi.lv/ta/id/221589-par-koncepciju-par-socialas-apdrosinasanas-sistemas-stabilitati-ilgtermina</w:t>
        </w:r>
      </w:hyperlink>
      <w:r w:rsidRPr="00BF4764">
        <w:rPr>
          <w:rFonts w:ascii="Times New Roman" w:hAnsi="Times New Roman"/>
        </w:rPr>
        <w:t>;</w:t>
      </w:r>
      <w:r w:rsidRPr="00171C06">
        <w:rPr>
          <w:rFonts w:ascii="Times New Roman" w:hAnsi="Times New Roman"/>
          <w:lang w:val="lv-LV"/>
        </w:rPr>
        <w:t xml:space="preserve"> </w:t>
      </w:r>
      <w:r w:rsidRPr="00171C06">
        <w:rPr>
          <w:rFonts w:ascii="Times New Roman" w:hAnsi="Times New Roman"/>
        </w:rPr>
        <w:t>Likums “Par valsts pabalstu izmaksu laika periodā no 2009.gada līdz 2012.gadam”</w:t>
      </w:r>
    </w:p>
  </w:footnote>
  <w:footnote w:id="90">
    <w:p w14:paraId="07CF768B" w14:textId="77777777" w:rsidR="00D67CF6" w:rsidRPr="001B6FD9" w:rsidRDefault="00D67CF6" w:rsidP="001B6FD9">
      <w:pPr>
        <w:pStyle w:val="NormalWeb"/>
        <w:shd w:val="clear" w:color="auto" w:fill="FFFFFF"/>
        <w:spacing w:before="0" w:beforeAutospacing="0" w:after="0" w:afterAutospacing="0"/>
        <w:jc w:val="both"/>
        <w:rPr>
          <w:rFonts w:ascii="Times New Roman" w:hAnsi="Times New Roman"/>
          <w:sz w:val="20"/>
          <w:szCs w:val="20"/>
        </w:rPr>
      </w:pPr>
      <w:r w:rsidRPr="001B6FD9">
        <w:rPr>
          <w:rStyle w:val="FootnoteReference"/>
          <w:rFonts w:ascii="Times New Roman" w:hAnsi="Times New Roman"/>
          <w:sz w:val="20"/>
          <w:szCs w:val="20"/>
        </w:rPr>
        <w:footnoteRef/>
      </w:r>
      <w:r w:rsidRPr="001B6FD9">
        <w:rPr>
          <w:rFonts w:ascii="Times New Roman" w:hAnsi="Times New Roman"/>
          <w:sz w:val="20"/>
          <w:szCs w:val="20"/>
        </w:rPr>
        <w:t xml:space="preserve"> Koncepcijas projekts izskatīts Ministru kabineta 2005.gada 18.jūlija sēdē (prot. Nr.28, 1.§.), kur valdība pieņēma lēmumu atlikt jautājuma izskatīšanu par valsts sociālās apdrošināšanas finanšu resursu rezerves fonda izveidošanu</w:t>
      </w:r>
    </w:p>
  </w:footnote>
  <w:footnote w:id="91">
    <w:p w14:paraId="3D035C62" w14:textId="77777777" w:rsidR="00D67CF6" w:rsidRPr="001B6FD9" w:rsidRDefault="00D67CF6" w:rsidP="001B6FD9">
      <w:pPr>
        <w:pStyle w:val="FootnoteText"/>
        <w:spacing w:after="0" w:line="240" w:lineRule="auto"/>
        <w:rPr>
          <w:rFonts w:ascii="Times New Roman" w:hAnsi="Times New Roman"/>
          <w:lang w:val="lv-LV"/>
        </w:rPr>
      </w:pPr>
      <w:r w:rsidRPr="001B6FD9">
        <w:rPr>
          <w:rStyle w:val="FootnoteReference"/>
          <w:rFonts w:ascii="Times New Roman" w:hAnsi="Times New Roman"/>
        </w:rPr>
        <w:footnoteRef/>
      </w:r>
      <w:r w:rsidRPr="001B6FD9">
        <w:rPr>
          <w:rFonts w:ascii="Times New Roman" w:hAnsi="Times New Roman"/>
        </w:rPr>
        <w:t xml:space="preserve"> </w:t>
      </w:r>
      <w:r w:rsidRPr="001B6FD9">
        <w:rPr>
          <w:rFonts w:ascii="Times New Roman" w:eastAsiaTheme="minorHAnsi" w:hAnsi="Times New Roman"/>
          <w:bCs/>
        </w:rPr>
        <w:t xml:space="preserve">Ministru kabineta </w:t>
      </w:r>
      <w:r w:rsidRPr="001B6FD9">
        <w:rPr>
          <w:rFonts w:ascii="Times New Roman" w:eastAsiaTheme="minorHAnsi" w:hAnsi="Times New Roman"/>
        </w:rPr>
        <w:t xml:space="preserve">2008.gada 3.decembra </w:t>
      </w:r>
      <w:r w:rsidRPr="001B6FD9">
        <w:rPr>
          <w:rFonts w:ascii="Times New Roman" w:eastAsiaTheme="minorHAnsi" w:hAnsi="Times New Roman"/>
          <w:bCs/>
        </w:rPr>
        <w:t>rīkojums Nr.768</w:t>
      </w:r>
    </w:p>
  </w:footnote>
  <w:footnote w:id="92">
    <w:p w14:paraId="44FBE3AF" w14:textId="77777777" w:rsidR="00D67CF6" w:rsidRPr="001B6FD9" w:rsidRDefault="00D67CF6" w:rsidP="001B6FD9">
      <w:pPr>
        <w:pStyle w:val="FootnoteText"/>
        <w:spacing w:after="0" w:line="240" w:lineRule="auto"/>
        <w:jc w:val="both"/>
        <w:rPr>
          <w:rFonts w:ascii="Times New Roman" w:hAnsi="Times New Roman"/>
          <w:lang w:val="lv-LV"/>
        </w:rPr>
      </w:pPr>
      <w:r w:rsidRPr="001B6FD9">
        <w:rPr>
          <w:rStyle w:val="FootnoteReference"/>
          <w:rFonts w:ascii="Times New Roman" w:hAnsi="Times New Roman"/>
        </w:rPr>
        <w:footnoteRef/>
      </w:r>
      <w:r w:rsidRPr="001B6FD9">
        <w:rPr>
          <w:rFonts w:ascii="Times New Roman" w:hAnsi="Times New Roman"/>
        </w:rPr>
        <w:t xml:space="preserve"> Valsts kontrole, Revīzijas ziņojums “Vai valsts politika pensiju sistēmas ilgtspējas nodrošināšanai ir efektīva?” (apstiprināts ar Valsts kontroles Trešā revīzijas departamenta 27.04.2017. lēmumu Nr.2.4.1-10/2016.; revīzijas publiskošanas datums 5.05.2017.); pieejams </w:t>
      </w:r>
      <w:hyperlink r:id="rId22" w:history="1">
        <w:r w:rsidRPr="001B6FD9">
          <w:rPr>
            <w:rStyle w:val="Hyperlink"/>
            <w:rFonts w:ascii="Times New Roman" w:hAnsi="Times New Roman"/>
          </w:rPr>
          <w:t>http://www.lrvk.gov.lv/revizija/vai-valsts-politika-pensiju-sistemas-ilgtspejas-nodrosinasanai-ir-efektiva/</w:t>
        </w:r>
      </w:hyperlink>
    </w:p>
  </w:footnote>
  <w:footnote w:id="93">
    <w:p w14:paraId="0E5A8060" w14:textId="010FEDBC" w:rsidR="00D67CF6" w:rsidRPr="001B6FD9" w:rsidRDefault="00D67CF6" w:rsidP="001B6FD9">
      <w:pPr>
        <w:pStyle w:val="FootnoteText"/>
        <w:spacing w:after="0" w:line="240" w:lineRule="auto"/>
        <w:rPr>
          <w:rFonts w:ascii="Times New Roman" w:hAnsi="Times New Roman"/>
          <w:lang w:val="lv-LV"/>
        </w:rPr>
      </w:pPr>
      <w:r w:rsidRPr="001B6FD9">
        <w:rPr>
          <w:rStyle w:val="FootnoteReference"/>
          <w:rFonts w:ascii="Times New Roman" w:hAnsi="Times New Roman"/>
        </w:rPr>
        <w:footnoteRef/>
      </w:r>
      <w:r w:rsidRPr="001B6FD9">
        <w:rPr>
          <w:rFonts w:ascii="Times New Roman" w:hAnsi="Times New Roman"/>
        </w:rPr>
        <w:t xml:space="preserve"> </w:t>
      </w:r>
      <w:r w:rsidRPr="001B6FD9">
        <w:rPr>
          <w:rFonts w:ascii="Times New Roman" w:hAnsi="Times New Roman"/>
          <w:lang w:val="lv-LV"/>
        </w:rPr>
        <w:t>Turpat</w:t>
      </w:r>
    </w:p>
  </w:footnote>
  <w:footnote w:id="94">
    <w:p w14:paraId="40FBA782" w14:textId="77777777" w:rsidR="00D67CF6" w:rsidRPr="001B6FD9" w:rsidRDefault="00D67CF6" w:rsidP="001B6FD9">
      <w:pPr>
        <w:autoSpaceDE w:val="0"/>
        <w:autoSpaceDN w:val="0"/>
        <w:adjustRightInd w:val="0"/>
        <w:spacing w:after="0" w:line="240" w:lineRule="auto"/>
        <w:rPr>
          <w:rFonts w:ascii="Times New Roman" w:hAnsi="Times New Roman" w:cs="Times New Roman"/>
          <w:sz w:val="20"/>
          <w:szCs w:val="20"/>
        </w:rPr>
      </w:pPr>
      <w:r w:rsidRPr="001B6FD9">
        <w:rPr>
          <w:rStyle w:val="FootnoteReference"/>
          <w:rFonts w:ascii="Times New Roman" w:hAnsi="Times New Roman" w:cs="Times New Roman"/>
          <w:sz w:val="20"/>
          <w:szCs w:val="20"/>
        </w:rPr>
        <w:footnoteRef/>
      </w:r>
      <w:r w:rsidRPr="001B6FD9">
        <w:rPr>
          <w:rFonts w:ascii="Times New Roman" w:hAnsi="Times New Roman" w:cs="Times New Roman"/>
          <w:sz w:val="20"/>
          <w:szCs w:val="20"/>
        </w:rPr>
        <w:t xml:space="preserve"> OECD (2018), </w:t>
      </w:r>
      <w:r w:rsidRPr="001B6FD9">
        <w:rPr>
          <w:rFonts w:ascii="Times New Roman" w:hAnsi="Times New Roman" w:cs="Times New Roman"/>
          <w:i/>
          <w:iCs/>
          <w:sz w:val="20"/>
          <w:szCs w:val="20"/>
        </w:rPr>
        <w:t>OECD Reviews of Pension Systems: Latvia</w:t>
      </w:r>
      <w:r w:rsidRPr="001B6FD9">
        <w:rPr>
          <w:rFonts w:ascii="Times New Roman" w:hAnsi="Times New Roman" w:cs="Times New Roman"/>
          <w:sz w:val="20"/>
          <w:szCs w:val="20"/>
        </w:rPr>
        <w:t xml:space="preserve">, OECD Publishing, Paris. </w:t>
      </w:r>
      <w:r w:rsidRPr="001B6FD9">
        <w:rPr>
          <w:rFonts w:ascii="Times New Roman" w:hAnsi="Times New Roman" w:cs="Times New Roman"/>
          <w:i/>
          <w:iCs/>
          <w:sz w:val="20"/>
          <w:szCs w:val="20"/>
        </w:rPr>
        <w:t>http://dx.doi.org/10.1787/9789264289390-en</w:t>
      </w:r>
    </w:p>
  </w:footnote>
  <w:footnote w:id="95">
    <w:p w14:paraId="6702B738" w14:textId="77777777" w:rsidR="00D67CF6" w:rsidRPr="005869BF" w:rsidRDefault="00D67CF6" w:rsidP="00FE3DEA">
      <w:pPr>
        <w:pStyle w:val="FootnoteText"/>
        <w:spacing w:after="0" w:line="240" w:lineRule="auto"/>
        <w:rPr>
          <w:rFonts w:ascii="Times New Roman" w:hAnsi="Times New Roman"/>
        </w:rPr>
      </w:pPr>
      <w:r w:rsidRPr="005869BF">
        <w:rPr>
          <w:rStyle w:val="FootnoteReference"/>
          <w:rFonts w:ascii="Times New Roman" w:hAnsi="Times New Roman"/>
        </w:rPr>
        <w:footnoteRef/>
      </w:r>
      <w:r w:rsidRPr="005869BF">
        <w:rPr>
          <w:rFonts w:ascii="Times New Roman" w:hAnsi="Times New Roman"/>
        </w:rPr>
        <w:t xml:space="preserve"> https://likumi.lv/ta/id/302451-grozijumi-valsts-fondeto-pensiju-likuma</w:t>
      </w:r>
    </w:p>
  </w:footnote>
  <w:footnote w:id="96">
    <w:p w14:paraId="11560EC1" w14:textId="77777777" w:rsidR="00D67CF6" w:rsidRPr="00B63DE4" w:rsidRDefault="00D67CF6" w:rsidP="00043B4D">
      <w:pPr>
        <w:autoSpaceDE w:val="0"/>
        <w:autoSpaceDN w:val="0"/>
        <w:adjustRightInd w:val="0"/>
        <w:spacing w:after="0" w:line="240" w:lineRule="auto"/>
        <w:jc w:val="both"/>
      </w:pPr>
      <w:r w:rsidRPr="00B63DE4">
        <w:rPr>
          <w:rStyle w:val="FootnoteReference"/>
          <w:rFonts w:ascii="Times New Roman" w:hAnsi="Times New Roman" w:cs="Times New Roman"/>
          <w:sz w:val="20"/>
          <w:szCs w:val="20"/>
        </w:rPr>
        <w:footnoteRef/>
      </w:r>
      <w:r w:rsidRPr="00B63DE4">
        <w:rPr>
          <w:rFonts w:ascii="Times New Roman" w:hAnsi="Times New Roman" w:cs="Times New Roman"/>
          <w:sz w:val="20"/>
          <w:szCs w:val="20"/>
        </w:rPr>
        <w:t xml:space="preserve"> </w:t>
      </w:r>
      <w:r>
        <w:rPr>
          <w:rFonts w:ascii="Times New Roman" w:hAnsi="Times New Roman" w:cs="Times New Roman"/>
          <w:sz w:val="20"/>
          <w:szCs w:val="20"/>
        </w:rPr>
        <w:t>S</w:t>
      </w:r>
      <w:r w:rsidRPr="00B63DE4">
        <w:rPr>
          <w:rFonts w:ascii="Times New Roman" w:hAnsi="Times New Roman" w:cs="Times New Roman"/>
          <w:color w:val="000000"/>
          <w:sz w:val="20"/>
          <w:szCs w:val="20"/>
        </w:rPr>
        <w:t xml:space="preserve">askaņā ar likuma “Par valsts pensijām” pārejas noteikumu 12.punktu ar </w:t>
      </w:r>
      <w:r>
        <w:rPr>
          <w:rFonts w:ascii="Times New Roman" w:hAnsi="Times New Roman" w:cs="Times New Roman"/>
          <w:color w:val="000000"/>
          <w:sz w:val="20"/>
          <w:szCs w:val="20"/>
        </w:rPr>
        <w:t>01.01.1998.</w:t>
      </w:r>
      <w:r w:rsidRPr="00B63DE4">
        <w:rPr>
          <w:rFonts w:ascii="Times New Roman" w:hAnsi="Times New Roman" w:cs="Times New Roman"/>
          <w:color w:val="000000"/>
          <w:sz w:val="20"/>
          <w:szCs w:val="20"/>
        </w:rPr>
        <w:t xml:space="preserve"> ir pārtraukta apdrošināšanas stāža noteikšana, kas dod tiesības uz pensiju saskaņā ar </w:t>
      </w:r>
      <w:r>
        <w:rPr>
          <w:rFonts w:ascii="Times New Roman" w:hAnsi="Times New Roman" w:cs="Times New Roman"/>
          <w:color w:val="000000"/>
          <w:sz w:val="20"/>
          <w:szCs w:val="20"/>
        </w:rPr>
        <w:t>30.01.</w:t>
      </w:r>
      <w:r w:rsidRPr="00B63DE4">
        <w:rPr>
          <w:rFonts w:ascii="Times New Roman" w:hAnsi="Times New Roman" w:cs="Times New Roman"/>
          <w:color w:val="000000"/>
          <w:sz w:val="20"/>
          <w:szCs w:val="20"/>
        </w:rPr>
        <w:t xml:space="preserve">1992. nolikumu „Par iekšlietu iestāžu ierindas un komandējošā sastāva darbinieku pensijām (darba devēju pensijām)” un ar </w:t>
      </w:r>
      <w:r>
        <w:rPr>
          <w:rFonts w:ascii="Times New Roman" w:hAnsi="Times New Roman" w:cs="Times New Roman"/>
          <w:color w:val="000000"/>
          <w:sz w:val="20"/>
          <w:szCs w:val="20"/>
        </w:rPr>
        <w:t>01.01.</w:t>
      </w:r>
      <w:r w:rsidRPr="00B63DE4">
        <w:rPr>
          <w:rFonts w:ascii="Times New Roman" w:hAnsi="Times New Roman" w:cs="Times New Roman"/>
          <w:color w:val="000000"/>
          <w:sz w:val="20"/>
          <w:szCs w:val="20"/>
        </w:rPr>
        <w:t xml:space="preserve">1999. ir pārtraukta apdrošināšanas stāža noteikšana, kas dod tiesības uz izdienas pensiju saskaņā ar nolikumu “Par izdienas pensijām”. Personām, kuras līdz </w:t>
      </w:r>
      <w:r>
        <w:rPr>
          <w:rFonts w:ascii="Times New Roman" w:hAnsi="Times New Roman" w:cs="Times New Roman"/>
          <w:color w:val="000000"/>
          <w:sz w:val="20"/>
          <w:szCs w:val="20"/>
        </w:rPr>
        <w:t>01.01.</w:t>
      </w:r>
      <w:r w:rsidRPr="00B63DE4">
        <w:rPr>
          <w:rFonts w:ascii="Times New Roman" w:hAnsi="Times New Roman" w:cs="Times New Roman"/>
          <w:color w:val="000000"/>
          <w:sz w:val="20"/>
          <w:szCs w:val="20"/>
        </w:rPr>
        <w:t>1999. nostrādājušas attiecīgajās profesijās ne mazāk kā trīs ceturtdaļas no attiecīgās izdienas pensijas piešķiršanai</w:t>
      </w:r>
      <w:r>
        <w:rPr>
          <w:rFonts w:ascii="Times New Roman" w:hAnsi="Times New Roman" w:cs="Times New Roman"/>
          <w:color w:val="000000"/>
          <w:sz w:val="20"/>
          <w:szCs w:val="20"/>
        </w:rPr>
        <w:t xml:space="preserve"> nepieciešamā </w:t>
      </w:r>
      <w:r w:rsidRPr="00B63DE4">
        <w:rPr>
          <w:rFonts w:ascii="Times New Roman" w:hAnsi="Times New Roman" w:cs="Times New Roman"/>
          <w:color w:val="000000"/>
          <w:sz w:val="20"/>
          <w:szCs w:val="20"/>
        </w:rPr>
        <w:t>apdrošināšanas stāža, saglabājas tiesības uz izdienas pensiju</w:t>
      </w:r>
      <w:r>
        <w:rPr>
          <w:rFonts w:ascii="Times New Roman" w:hAnsi="Times New Roman" w:cs="Times New Roman"/>
          <w:color w:val="000000"/>
          <w:sz w:val="20"/>
          <w:szCs w:val="20"/>
        </w:rPr>
        <w:t>.</w:t>
      </w:r>
      <w:r w:rsidRPr="00B63DE4">
        <w:rPr>
          <w:rFonts w:ascii="Times New Roman" w:hAnsi="Times New Roman" w:cs="Times New Roman"/>
          <w:color w:val="000000"/>
          <w:sz w:val="20"/>
          <w:szCs w:val="20"/>
        </w:rPr>
        <w:t xml:space="preserve"> </w:t>
      </w:r>
    </w:p>
  </w:footnote>
  <w:footnote w:id="97">
    <w:p w14:paraId="2D80C480" w14:textId="77777777" w:rsidR="00D67CF6" w:rsidRPr="00790D7D" w:rsidRDefault="00D67CF6" w:rsidP="003A0C82">
      <w:pPr>
        <w:autoSpaceDE w:val="0"/>
        <w:autoSpaceDN w:val="0"/>
        <w:adjustRightInd w:val="0"/>
        <w:spacing w:after="0" w:line="240" w:lineRule="auto"/>
        <w:rPr>
          <w:rFonts w:ascii="Times New Roman" w:hAnsi="Times New Roman" w:cs="Times New Roman"/>
          <w:sz w:val="20"/>
          <w:szCs w:val="20"/>
          <w:shd w:val="clear" w:color="auto" w:fill="FFFFFF"/>
        </w:rPr>
      </w:pPr>
      <w:r w:rsidRPr="007E7423">
        <w:rPr>
          <w:rStyle w:val="FootnoteReference"/>
          <w:rFonts w:ascii="Times New Roman" w:hAnsi="Times New Roman" w:cs="Times New Roman"/>
          <w:sz w:val="20"/>
          <w:szCs w:val="20"/>
        </w:rPr>
        <w:footnoteRef/>
      </w:r>
      <w:r w:rsidRPr="007E7423">
        <w:rPr>
          <w:rFonts w:ascii="Times New Roman" w:hAnsi="Times New Roman" w:cs="Times New Roman"/>
          <w:sz w:val="20"/>
          <w:szCs w:val="20"/>
        </w:rPr>
        <w:t xml:space="preserve"> </w:t>
      </w:r>
      <w:r w:rsidRPr="007E7423">
        <w:rPr>
          <w:rFonts w:ascii="Times New Roman" w:hAnsi="Times New Roman" w:cs="Times New Roman"/>
          <w:sz w:val="20"/>
          <w:szCs w:val="20"/>
          <w:shd w:val="clear" w:color="auto" w:fill="FFFFFF"/>
        </w:rPr>
        <w:t>Likums </w:t>
      </w:r>
      <w:hyperlink r:id="rId23" w:tgtFrame="_blank" w:history="1">
        <w:r w:rsidRPr="007E7423">
          <w:rPr>
            <w:rFonts w:ascii="Times New Roman" w:hAnsi="Times New Roman" w:cs="Times New Roman"/>
            <w:sz w:val="20"/>
            <w:szCs w:val="20"/>
            <w:shd w:val="clear" w:color="auto" w:fill="FFFFFF"/>
          </w:rPr>
          <w:t>"Par izdienas pensijām Iekšlietu ministrijas sistēmas darbiniekiem ar speciālajām dienesta pakāpēm</w:t>
        </w:r>
      </w:hyperlink>
      <w:r w:rsidRPr="007E7423">
        <w:rPr>
          <w:rFonts w:ascii="Times New Roman" w:hAnsi="Times New Roman" w:cs="Times New Roman"/>
          <w:sz w:val="20"/>
          <w:szCs w:val="20"/>
          <w:shd w:val="clear" w:color="auto" w:fill="FFFFFF"/>
        </w:rPr>
        <w:t xml:space="preserve">", </w:t>
      </w:r>
      <w:hyperlink r:id="rId24" w:tgtFrame="_blank" w:history="1">
        <w:r w:rsidRPr="007E7423">
          <w:rPr>
            <w:rFonts w:ascii="Times New Roman" w:hAnsi="Times New Roman" w:cs="Times New Roman"/>
            <w:sz w:val="20"/>
            <w:szCs w:val="20"/>
            <w:shd w:val="clear" w:color="auto" w:fill="FFFFFF"/>
          </w:rPr>
          <w:t>Prokuroru izdienas pensiju likums</w:t>
        </w:r>
      </w:hyperlink>
      <w:r w:rsidRPr="007E7423">
        <w:rPr>
          <w:rFonts w:ascii="Times New Roman" w:hAnsi="Times New Roman" w:cs="Times New Roman"/>
          <w:sz w:val="20"/>
          <w:szCs w:val="20"/>
          <w:shd w:val="clear" w:color="auto" w:fill="FFFFFF"/>
        </w:rPr>
        <w:t xml:space="preserve">, </w:t>
      </w:r>
      <w:hyperlink r:id="rId25" w:tgtFrame="_blank" w:history="1">
        <w:r w:rsidRPr="007E7423">
          <w:rPr>
            <w:rFonts w:ascii="Times New Roman" w:hAnsi="Times New Roman" w:cs="Times New Roman"/>
            <w:sz w:val="20"/>
            <w:szCs w:val="20"/>
            <w:shd w:val="clear" w:color="auto" w:fill="FFFFFF"/>
          </w:rPr>
          <w:t>Valsts un pašvaldību profesionālo orķestru, koru, koncertorganizāciju, teātru un cirka mākslinieku izdienas pensiju un baleta mākslinieku pabalsta par radošo darbu likums</w:t>
        </w:r>
      </w:hyperlink>
      <w:r w:rsidRPr="00DD54E8">
        <w:rPr>
          <w:rFonts w:ascii="Times New Roman" w:hAnsi="Times New Roman" w:cs="Times New Roman"/>
          <w:sz w:val="20"/>
          <w:szCs w:val="20"/>
          <w:shd w:val="clear" w:color="auto" w:fill="FFFFFF"/>
        </w:rPr>
        <w:t xml:space="preserve">, </w:t>
      </w:r>
      <w:hyperlink r:id="rId26" w:tgtFrame="_blank" w:history="1">
        <w:r w:rsidRPr="00DD54E8">
          <w:rPr>
            <w:rFonts w:ascii="Times New Roman" w:hAnsi="Times New Roman" w:cs="Times New Roman"/>
            <w:sz w:val="20"/>
            <w:szCs w:val="20"/>
            <w:shd w:val="clear" w:color="auto" w:fill="FFFFFF"/>
          </w:rPr>
          <w:t>Tiesnešu izdienas pensiju likums</w:t>
        </w:r>
      </w:hyperlink>
      <w:r w:rsidRPr="00DD54E8">
        <w:rPr>
          <w:rFonts w:ascii="Times New Roman" w:hAnsi="Times New Roman" w:cs="Times New Roman"/>
          <w:sz w:val="20"/>
          <w:szCs w:val="20"/>
          <w:shd w:val="clear" w:color="auto" w:fill="FFFFFF"/>
        </w:rPr>
        <w:t xml:space="preserve">, </w:t>
      </w:r>
      <w:hyperlink r:id="rId27" w:tgtFrame="_blank" w:history="1">
        <w:r w:rsidRPr="00DD54E8">
          <w:rPr>
            <w:rFonts w:ascii="Times New Roman" w:hAnsi="Times New Roman" w:cs="Times New Roman"/>
            <w:sz w:val="20"/>
            <w:szCs w:val="20"/>
            <w:shd w:val="clear" w:color="auto" w:fill="FFFFFF"/>
          </w:rPr>
          <w:t>Diplomātu izdienas pensiju likums</w:t>
        </w:r>
      </w:hyperlink>
      <w:r w:rsidRPr="00DD54E8">
        <w:rPr>
          <w:rFonts w:ascii="Times New Roman" w:hAnsi="Times New Roman" w:cs="Times New Roman"/>
          <w:sz w:val="20"/>
          <w:szCs w:val="20"/>
          <w:shd w:val="clear" w:color="auto" w:fill="FFFFFF"/>
        </w:rPr>
        <w:t xml:space="preserve">, </w:t>
      </w:r>
      <w:hyperlink r:id="rId28" w:tgtFrame="_blank" w:history="1">
        <w:r w:rsidRPr="00DD54E8">
          <w:rPr>
            <w:rFonts w:ascii="Times New Roman" w:hAnsi="Times New Roman" w:cs="Times New Roman"/>
            <w:sz w:val="20"/>
            <w:szCs w:val="20"/>
            <w:shd w:val="clear" w:color="auto" w:fill="FFFFFF"/>
          </w:rPr>
          <w:t>Korupcijas novēršanas un apkarošanas biroja amatpersonu izdienas pensiju likums</w:t>
        </w:r>
      </w:hyperlink>
      <w:r w:rsidRPr="00DD54E8">
        <w:rPr>
          <w:rFonts w:ascii="Times New Roman" w:hAnsi="Times New Roman" w:cs="Times New Roman"/>
          <w:sz w:val="20"/>
          <w:szCs w:val="20"/>
          <w:shd w:val="clear" w:color="auto" w:fill="FFFFFF"/>
        </w:rPr>
        <w:t>, 1992. gada 26. marta lēmums Nr. 104 </w:t>
      </w:r>
      <w:hyperlink r:id="rId29" w:tgtFrame="_blank" w:history="1">
        <w:r w:rsidRPr="00DD54E8">
          <w:rPr>
            <w:rFonts w:ascii="Times New Roman" w:hAnsi="Times New Roman" w:cs="Times New Roman"/>
            <w:sz w:val="20"/>
            <w:szCs w:val="20"/>
            <w:shd w:val="clear" w:color="auto" w:fill="FFFFFF"/>
          </w:rPr>
          <w:t>"Par izdienas pensijām"</w:t>
        </w:r>
      </w:hyperlink>
      <w:r w:rsidRPr="00DD54E8">
        <w:rPr>
          <w:rFonts w:ascii="Times New Roman" w:hAnsi="Times New Roman" w:cs="Times New Roman"/>
          <w:sz w:val="20"/>
          <w:szCs w:val="20"/>
          <w:shd w:val="clear" w:color="auto" w:fill="FFFFFF"/>
        </w:rPr>
        <w:t xml:space="preserve">, </w:t>
      </w:r>
      <w:hyperlink r:id="rId30" w:history="1">
        <w:r w:rsidRPr="00DD54E8">
          <w:rPr>
            <w:rFonts w:ascii="Times New Roman" w:hAnsi="Times New Roman" w:cs="Times New Roman"/>
            <w:sz w:val="20"/>
            <w:szCs w:val="20"/>
            <w:shd w:val="clear" w:color="auto" w:fill="FFFFFF"/>
          </w:rPr>
          <w:t>Neatliekamās medicīniskās palīdzības dienesta neatliekamās medicīniskās palīdzības nodrošināšanā iesaistīto darbinieku izdienas pensiju likums</w:t>
        </w:r>
      </w:hyperlink>
      <w:r w:rsidRPr="00DD54E8">
        <w:rPr>
          <w:rFonts w:ascii="Times New Roman" w:hAnsi="Times New Roman" w:cs="Times New Roman"/>
          <w:sz w:val="20"/>
          <w:szCs w:val="20"/>
          <w:shd w:val="clear" w:color="auto" w:fill="FFFFFF"/>
        </w:rPr>
        <w:t xml:space="preserve">, </w:t>
      </w:r>
      <w:hyperlink r:id="rId31" w:history="1">
        <w:r w:rsidRPr="00DD54E8">
          <w:rPr>
            <w:rFonts w:ascii="Times New Roman" w:hAnsi="Times New Roman" w:cs="Times New Roman"/>
            <w:sz w:val="20"/>
            <w:szCs w:val="20"/>
            <w:shd w:val="clear" w:color="auto" w:fill="FFFFFF"/>
          </w:rPr>
          <w:t>Valsts drošības iestāžu amatpersonu izdienas pensijas likums</w:t>
        </w:r>
      </w:hyperlink>
      <w:r w:rsidRPr="00DD54E8">
        <w:rPr>
          <w:rFonts w:ascii="Times New Roman" w:hAnsi="Times New Roman" w:cs="Times New Roman"/>
          <w:sz w:val="20"/>
          <w:szCs w:val="20"/>
          <w:shd w:val="clear" w:color="auto" w:fill="FFFFFF"/>
        </w:rPr>
        <w:t xml:space="preserve">. Valsts drošības iestāžu izdienas pensijas piešķir attiecīgā institūcija, bet administrē VSAA. Militārpersonu izdienas pensijas piešķir un administrē Aizsardzības </w:t>
      </w:r>
      <w:r w:rsidRPr="00790D7D">
        <w:rPr>
          <w:rFonts w:ascii="Times New Roman" w:hAnsi="Times New Roman" w:cs="Times New Roman"/>
          <w:sz w:val="20"/>
          <w:szCs w:val="20"/>
          <w:shd w:val="clear" w:color="auto" w:fill="FFFFFF"/>
        </w:rPr>
        <w:t>ministrija.</w:t>
      </w:r>
    </w:p>
  </w:footnote>
  <w:footnote w:id="98">
    <w:p w14:paraId="3FFF39CB" w14:textId="2852CBEB" w:rsidR="00D67CF6" w:rsidRPr="00790D7D" w:rsidRDefault="00D67CF6" w:rsidP="00043B4D">
      <w:pPr>
        <w:pStyle w:val="FootnoteText"/>
        <w:spacing w:after="0" w:line="240" w:lineRule="auto"/>
        <w:jc w:val="both"/>
        <w:rPr>
          <w:rFonts w:ascii="Times New Roman" w:hAnsi="Times New Roman"/>
          <w:lang w:val="lv-LV"/>
        </w:rPr>
      </w:pPr>
      <w:r w:rsidRPr="00790D7D">
        <w:rPr>
          <w:rStyle w:val="FootnoteReference"/>
          <w:rFonts w:ascii="Times New Roman" w:hAnsi="Times New Roman"/>
        </w:rPr>
        <w:footnoteRef/>
      </w:r>
      <w:r w:rsidRPr="00790D7D">
        <w:rPr>
          <w:rFonts w:ascii="Times New Roman" w:hAnsi="Times New Roman"/>
        </w:rPr>
        <w:t xml:space="preserve"> </w:t>
      </w:r>
      <w:r w:rsidRPr="00EC0186">
        <w:rPr>
          <w:rFonts w:ascii="Times New Roman" w:hAnsi="Times New Roman"/>
        </w:rPr>
        <w:t xml:space="preserve">Valsts kontrole, Revīzijas ziņojums “Vai valsts politika pensiju sistēmas ilgtspējas nodrošināšanai ir efektīva?” (apstiprināts ar Valsts kontroles Trešā revīzijas departamenta 27.04.2017. lēmumu Nr.2.4.1-10/2016.; revīzijas publiskošanas datums 5.05.2017.); pieejams </w:t>
      </w:r>
      <w:hyperlink r:id="rId32" w:history="1">
        <w:r w:rsidRPr="00EC0186">
          <w:rPr>
            <w:rStyle w:val="Hyperlink"/>
            <w:rFonts w:ascii="Times New Roman" w:hAnsi="Times New Roman"/>
          </w:rPr>
          <w:t>http://www.lrvk.gov.lv/revizija/vai-valsts-politika-pensiju-sistemas-ilgtspejas-nodrosinasanai-ir-efektiva/</w:t>
        </w:r>
      </w:hyperlink>
    </w:p>
  </w:footnote>
  <w:footnote w:id="99">
    <w:p w14:paraId="175617E7" w14:textId="0E327885" w:rsidR="00D67CF6" w:rsidRPr="007E7423" w:rsidRDefault="00D67CF6" w:rsidP="00200837">
      <w:pPr>
        <w:pStyle w:val="FootnoteText"/>
        <w:spacing w:after="0" w:line="240" w:lineRule="auto"/>
        <w:rPr>
          <w:rFonts w:ascii="Times New Roman" w:hAnsi="Times New Roman"/>
          <w:lang w:val="lv-LV"/>
        </w:rPr>
      </w:pPr>
      <w:r w:rsidRPr="007E7423">
        <w:rPr>
          <w:rStyle w:val="FootnoteReference"/>
          <w:rFonts w:ascii="Times New Roman" w:hAnsi="Times New Roman"/>
        </w:rPr>
        <w:footnoteRef/>
      </w:r>
      <w:r w:rsidRPr="007E7423">
        <w:rPr>
          <w:rFonts w:ascii="Times New Roman" w:hAnsi="Times New Roman"/>
        </w:rPr>
        <w:t xml:space="preserve"> </w:t>
      </w:r>
      <w:r>
        <w:rPr>
          <w:rFonts w:ascii="Times New Roman" w:hAnsi="Times New Roman"/>
          <w:lang w:val="lv-LV"/>
        </w:rPr>
        <w:t>LR</w:t>
      </w:r>
      <w:r w:rsidRPr="007E7423">
        <w:rPr>
          <w:rFonts w:ascii="Times New Roman" w:hAnsi="Times New Roman"/>
          <w:lang w:val="lv-LV"/>
        </w:rPr>
        <w:t xml:space="preserve"> Saeima, Pētījuma gala ziņojums “Tiesību uz speciālo pensiju noteikšanas prakse Eiropā”, 2019.gada janvāris</w:t>
      </w:r>
    </w:p>
  </w:footnote>
  <w:footnote w:id="100">
    <w:p w14:paraId="5CDFBA67" w14:textId="024B9019" w:rsidR="00D67CF6" w:rsidRPr="007C0112" w:rsidRDefault="00D67CF6" w:rsidP="00200837">
      <w:pPr>
        <w:pStyle w:val="FootnoteText"/>
        <w:spacing w:after="0" w:line="240" w:lineRule="auto"/>
        <w:rPr>
          <w:rFonts w:ascii="Times New Roman" w:hAnsi="Times New Roman"/>
          <w:lang w:val="lv-LV"/>
        </w:rPr>
      </w:pPr>
      <w:r w:rsidRPr="007C0112">
        <w:rPr>
          <w:rStyle w:val="FootnoteReference"/>
          <w:rFonts w:ascii="Times New Roman" w:hAnsi="Times New Roman"/>
        </w:rPr>
        <w:footnoteRef/>
      </w:r>
      <w:r w:rsidRPr="007C0112">
        <w:rPr>
          <w:rFonts w:ascii="Times New Roman" w:hAnsi="Times New Roman"/>
        </w:rPr>
        <w:t xml:space="preserve"> </w:t>
      </w:r>
      <w:r>
        <w:rPr>
          <w:rFonts w:ascii="Times New Roman" w:hAnsi="Times New Roman"/>
          <w:lang w:val="lv-LV"/>
        </w:rPr>
        <w:t>Turpat</w:t>
      </w:r>
    </w:p>
  </w:footnote>
  <w:footnote w:id="101">
    <w:p w14:paraId="0DFEF82F" w14:textId="67E3CC4E" w:rsidR="00D67CF6" w:rsidRPr="00205072" w:rsidRDefault="00D67CF6" w:rsidP="00200837">
      <w:pPr>
        <w:pStyle w:val="FootnoteText"/>
        <w:spacing w:after="0" w:line="240" w:lineRule="auto"/>
        <w:rPr>
          <w:rFonts w:ascii="Times New Roman" w:hAnsi="Times New Roman"/>
          <w:lang w:val="lv-LV"/>
        </w:rPr>
      </w:pPr>
      <w:r w:rsidRPr="007C0112">
        <w:rPr>
          <w:rStyle w:val="FootnoteReference"/>
          <w:rFonts w:ascii="Times New Roman" w:hAnsi="Times New Roman"/>
        </w:rPr>
        <w:footnoteRef/>
      </w:r>
      <w:r w:rsidRPr="007C0112">
        <w:rPr>
          <w:rFonts w:ascii="Times New Roman" w:hAnsi="Times New Roman"/>
        </w:rPr>
        <w:t xml:space="preserve"> </w:t>
      </w:r>
      <w:r>
        <w:rPr>
          <w:rFonts w:ascii="Times New Roman" w:hAnsi="Times New Roman"/>
          <w:lang w:val="lv-LV"/>
        </w:rPr>
        <w:t>Turpat</w:t>
      </w:r>
    </w:p>
  </w:footnote>
  <w:footnote w:id="102">
    <w:p w14:paraId="0983D2BB" w14:textId="5C3B8983" w:rsidR="00D67CF6" w:rsidRPr="00205072" w:rsidRDefault="00D67CF6" w:rsidP="00043B4D">
      <w:pPr>
        <w:pStyle w:val="FootnoteText"/>
        <w:spacing w:after="0" w:line="240" w:lineRule="auto"/>
        <w:jc w:val="both"/>
        <w:rPr>
          <w:rFonts w:ascii="Times New Roman" w:hAnsi="Times New Roman"/>
          <w:lang w:val="lv-LV"/>
        </w:rPr>
      </w:pPr>
      <w:r w:rsidRPr="00205072">
        <w:rPr>
          <w:rStyle w:val="FootnoteReference"/>
          <w:rFonts w:ascii="Times New Roman" w:hAnsi="Times New Roman"/>
        </w:rPr>
        <w:footnoteRef/>
      </w:r>
      <w:r w:rsidRPr="00205072">
        <w:rPr>
          <w:rFonts w:ascii="Times New Roman" w:hAnsi="Times New Roman"/>
        </w:rPr>
        <w:t xml:space="preserve"> </w:t>
      </w:r>
      <w:r>
        <w:rPr>
          <w:rFonts w:ascii="Times New Roman" w:hAnsi="Times New Roman"/>
          <w:lang w:val="lv-LV"/>
        </w:rPr>
        <w:t xml:space="preserve">LM, </w:t>
      </w:r>
      <w:r w:rsidRPr="006663C7">
        <w:rPr>
          <w:rFonts w:ascii="Times New Roman" w:hAnsi="Times New Roman"/>
          <w:lang w:val="lv-LV"/>
        </w:rPr>
        <w:t xml:space="preserve">Koncepcija “Par izdienas pensiju piešķiršanu”; 13.12.2006; </w:t>
      </w:r>
      <w:r w:rsidRPr="00D43F57">
        <w:rPr>
          <w:rFonts w:ascii="Times New Roman" w:hAnsi="Times New Roman"/>
          <w:lang w:val="lv-LV"/>
        </w:rPr>
        <w:t>Koncepcija par izdienas pensiju piešķiršanu (izsludināta Valsts sekretāru sanāksmē 29.08.2013., prot. Nr.34 14.§); Valsts</w:t>
      </w:r>
      <w:r w:rsidRPr="00EC0186">
        <w:rPr>
          <w:rFonts w:ascii="Times New Roman" w:hAnsi="Times New Roman"/>
        </w:rPr>
        <w:t xml:space="preserve"> kontrole, Revīzijas ziņojums “Vai valsts politika pensiju sistēmas ilgtspējas nodrošināšanai ir efektīva?” (apstiprināts ar Valsts kontroles Trešā revīzijas departamenta 27.04.2017. lēmumu Nr.2.4.1-10/2016.; revīzijas publiskošanas datums 5.05.2017.); pieejams </w:t>
      </w:r>
      <w:hyperlink r:id="rId33" w:history="1">
        <w:r w:rsidRPr="00043B4D">
          <w:rPr>
            <w:rStyle w:val="Hyperlink"/>
            <w:rFonts w:ascii="Times New Roman" w:hAnsi="Times New Roman"/>
          </w:rPr>
          <w:t>http://www.lrvk.gov.lv/revizija/vai-valsts-politika-pensiju-sistemas-ilgtspejas-nodrosinasanai-ir-efektiva/</w:t>
        </w:r>
      </w:hyperlink>
      <w:r w:rsidRPr="00043B4D">
        <w:rPr>
          <w:rStyle w:val="Hyperlink"/>
          <w:rFonts w:ascii="Times New Roman" w:hAnsi="Times New Roman"/>
          <w:lang w:val="lv-LV"/>
        </w:rPr>
        <w:t>;</w:t>
      </w:r>
      <w:r w:rsidRPr="00043B4D">
        <w:rPr>
          <w:rFonts w:ascii="Times New Roman" w:hAnsi="Times New Roman"/>
          <w:lang w:val="lv-LV"/>
        </w:rPr>
        <w:t xml:space="preserve"> LR Saeima, Pētījuma gala ziņojums “Tiesību uz speciālo pensiju noteikšanas prakse Eiropā”, 2019.gada janvāris</w:t>
      </w:r>
    </w:p>
  </w:footnote>
  <w:footnote w:id="103">
    <w:p w14:paraId="2138177E" w14:textId="1E3F6484" w:rsidR="00D67CF6" w:rsidRPr="004C046E" w:rsidRDefault="00D67CF6" w:rsidP="00200837">
      <w:pPr>
        <w:pStyle w:val="FootnoteText"/>
        <w:spacing w:after="0" w:line="240" w:lineRule="auto"/>
        <w:rPr>
          <w:rFonts w:ascii="Times New Roman" w:hAnsi="Times New Roman"/>
          <w:lang w:val="lv-LV"/>
        </w:rPr>
      </w:pPr>
      <w:r w:rsidRPr="004C046E">
        <w:rPr>
          <w:rStyle w:val="FootnoteReference"/>
          <w:rFonts w:ascii="Times New Roman" w:hAnsi="Times New Roman"/>
        </w:rPr>
        <w:footnoteRef/>
      </w:r>
      <w:r w:rsidRPr="004C046E">
        <w:rPr>
          <w:rFonts w:ascii="Times New Roman" w:hAnsi="Times New Roman"/>
        </w:rPr>
        <w:t xml:space="preserve"> </w:t>
      </w:r>
      <w:r>
        <w:rPr>
          <w:rFonts w:ascii="Times New Roman" w:hAnsi="Times New Roman"/>
          <w:lang w:val="lv-LV"/>
        </w:rPr>
        <w:t>LR</w:t>
      </w:r>
      <w:r w:rsidRPr="004C046E">
        <w:rPr>
          <w:rFonts w:ascii="Times New Roman" w:hAnsi="Times New Roman"/>
          <w:lang w:val="lv-LV"/>
        </w:rPr>
        <w:t xml:space="preserve"> Saeima, Pētījuma gala ziņojums “Tiesību uz speciālo pensiju noteikšanas prakse Eiropā”, 2019.gada janvāris</w:t>
      </w:r>
    </w:p>
  </w:footnote>
  <w:footnote w:id="104">
    <w:p w14:paraId="7FEA0227" w14:textId="06D1F6A7" w:rsidR="00D67CF6" w:rsidRPr="004D5E1E" w:rsidRDefault="00D67CF6" w:rsidP="00200837">
      <w:pPr>
        <w:pStyle w:val="FootnoteText"/>
        <w:spacing w:after="0" w:line="240" w:lineRule="auto"/>
        <w:rPr>
          <w:rFonts w:ascii="Times New Roman" w:hAnsi="Times New Roman"/>
          <w:lang w:val="lv-LV"/>
        </w:rPr>
      </w:pPr>
      <w:r w:rsidRPr="004D5E1E">
        <w:rPr>
          <w:rStyle w:val="FootnoteReference"/>
          <w:rFonts w:ascii="Times New Roman" w:hAnsi="Times New Roman"/>
        </w:rPr>
        <w:footnoteRef/>
      </w:r>
      <w:r w:rsidRPr="004D5E1E">
        <w:rPr>
          <w:rFonts w:ascii="Times New Roman" w:hAnsi="Times New Roman"/>
        </w:rPr>
        <w:t xml:space="preserve"> </w:t>
      </w:r>
      <w:r w:rsidRPr="001B6FD9">
        <w:rPr>
          <w:rFonts w:ascii="Times New Roman" w:hAnsi="Times New Roman"/>
        </w:rPr>
        <w:t xml:space="preserve">OECD (2018), </w:t>
      </w:r>
      <w:r w:rsidRPr="001B6FD9">
        <w:rPr>
          <w:rFonts w:ascii="Times New Roman" w:hAnsi="Times New Roman"/>
          <w:i/>
          <w:iCs/>
        </w:rPr>
        <w:t>OECD Reviews of Pension Systems: Latvia</w:t>
      </w:r>
      <w:r w:rsidRPr="001B6FD9">
        <w:rPr>
          <w:rFonts w:ascii="Times New Roman" w:hAnsi="Times New Roman"/>
        </w:rPr>
        <w:t xml:space="preserve">, OECD Publishing, Paris. </w:t>
      </w:r>
      <w:r w:rsidRPr="001B6FD9">
        <w:rPr>
          <w:rFonts w:ascii="Times New Roman" w:hAnsi="Times New Roman"/>
          <w:i/>
          <w:iCs/>
        </w:rPr>
        <w:t>http://dx.doi.org/10.1787/9789264289390-en</w:t>
      </w:r>
    </w:p>
  </w:footnote>
  <w:footnote w:id="105">
    <w:p w14:paraId="4F619A03" w14:textId="4C3D0F02" w:rsidR="00D67CF6" w:rsidRPr="00DD66FB" w:rsidRDefault="00D67CF6" w:rsidP="00200837">
      <w:pPr>
        <w:pStyle w:val="FootnoteText"/>
        <w:spacing w:after="0" w:line="240" w:lineRule="auto"/>
        <w:rPr>
          <w:rFonts w:ascii="Times New Roman" w:hAnsi="Times New Roman"/>
          <w:lang w:val="lv-LV"/>
        </w:rPr>
      </w:pPr>
      <w:r w:rsidRPr="00DD66FB">
        <w:rPr>
          <w:rStyle w:val="FootnoteReference"/>
          <w:rFonts w:ascii="Times New Roman" w:hAnsi="Times New Roman"/>
        </w:rPr>
        <w:footnoteRef/>
      </w:r>
      <w:r w:rsidRPr="00DD66FB">
        <w:rPr>
          <w:rFonts w:ascii="Times New Roman" w:hAnsi="Times New Roman"/>
        </w:rPr>
        <w:t xml:space="preserve"> </w:t>
      </w:r>
      <w:r w:rsidRPr="001B6FD9">
        <w:rPr>
          <w:rFonts w:ascii="Times New Roman" w:hAnsi="Times New Roman"/>
        </w:rPr>
        <w:t xml:space="preserve">OECD (2018), </w:t>
      </w:r>
      <w:r w:rsidRPr="001B6FD9">
        <w:rPr>
          <w:rFonts w:ascii="Times New Roman" w:hAnsi="Times New Roman"/>
          <w:i/>
          <w:iCs/>
        </w:rPr>
        <w:t>OECD Reviews of Pension Systems: Latvia</w:t>
      </w:r>
      <w:r w:rsidRPr="001B6FD9">
        <w:rPr>
          <w:rFonts w:ascii="Times New Roman" w:hAnsi="Times New Roman"/>
        </w:rPr>
        <w:t xml:space="preserve">, OECD Publishing, Paris. </w:t>
      </w:r>
      <w:r w:rsidRPr="001B6FD9">
        <w:rPr>
          <w:rFonts w:ascii="Times New Roman" w:hAnsi="Times New Roman"/>
          <w:i/>
          <w:iCs/>
        </w:rPr>
        <w:t>http://dx.doi.org/10.1787/9789264289390-en</w:t>
      </w:r>
    </w:p>
  </w:footnote>
  <w:footnote w:id="106">
    <w:p w14:paraId="6E5E4B11" w14:textId="3E7447DA" w:rsidR="00D67CF6" w:rsidRPr="00DD66FB" w:rsidRDefault="00D67CF6" w:rsidP="00200837">
      <w:pPr>
        <w:pStyle w:val="FootnoteText"/>
        <w:spacing w:after="0" w:line="240" w:lineRule="auto"/>
        <w:rPr>
          <w:rFonts w:ascii="Times New Roman" w:hAnsi="Times New Roman"/>
          <w:lang w:val="lv-LV"/>
        </w:rPr>
      </w:pPr>
      <w:r w:rsidRPr="00DD66FB">
        <w:rPr>
          <w:rStyle w:val="FootnoteReference"/>
          <w:rFonts w:ascii="Times New Roman" w:hAnsi="Times New Roman"/>
        </w:rPr>
        <w:footnoteRef/>
      </w:r>
      <w:r w:rsidRPr="00DD66FB">
        <w:rPr>
          <w:rFonts w:ascii="Times New Roman" w:hAnsi="Times New Roman"/>
        </w:rPr>
        <w:t xml:space="preserve"> </w:t>
      </w:r>
      <w:r w:rsidRPr="00EC0186">
        <w:rPr>
          <w:rFonts w:ascii="Times New Roman" w:hAnsi="Times New Roman"/>
        </w:rPr>
        <w:t xml:space="preserve">Valsts kontrole, Revīzijas ziņojums “Vai valsts politika pensiju sistēmas ilgtspējas nodrošināšanai ir efektīva?” (apstiprināts ar Valsts kontroles Trešā revīzijas departamenta 27.04.2017. lēmumu Nr.2.4.1-10/2016.; revīzijas publiskošanas datums 5.05.2017.); pieejams </w:t>
      </w:r>
      <w:hyperlink r:id="rId34" w:history="1">
        <w:r w:rsidRPr="00EC0186">
          <w:rPr>
            <w:rStyle w:val="Hyperlink"/>
            <w:rFonts w:ascii="Times New Roman" w:hAnsi="Times New Roman"/>
          </w:rPr>
          <w:t>http://www.lrvk.gov.lv/revizija/vai-valsts-politika-pensiju-sistemas-ilgtspejas-nodrosinasanai-ir-efektiva/</w:t>
        </w:r>
      </w:hyperlink>
    </w:p>
  </w:footnote>
  <w:footnote w:id="107">
    <w:p w14:paraId="3272AD2F" w14:textId="55B83934" w:rsidR="00D67CF6" w:rsidRPr="00DD66FB" w:rsidRDefault="00D67CF6" w:rsidP="00200837">
      <w:pPr>
        <w:pStyle w:val="FootnoteText"/>
        <w:spacing w:after="0" w:line="240" w:lineRule="auto"/>
        <w:rPr>
          <w:rFonts w:ascii="Times New Roman" w:hAnsi="Times New Roman"/>
          <w:lang w:val="lv-LV"/>
        </w:rPr>
      </w:pPr>
      <w:r w:rsidRPr="00DD66FB">
        <w:rPr>
          <w:rStyle w:val="FootnoteReference"/>
          <w:rFonts w:ascii="Times New Roman" w:hAnsi="Times New Roman"/>
        </w:rPr>
        <w:footnoteRef/>
      </w:r>
      <w:r w:rsidRPr="00DD66FB">
        <w:rPr>
          <w:rFonts w:ascii="Times New Roman" w:hAnsi="Times New Roman"/>
        </w:rPr>
        <w:t xml:space="preserve"> </w:t>
      </w:r>
      <w:r>
        <w:rPr>
          <w:rFonts w:ascii="Times New Roman" w:hAnsi="Times New Roman"/>
          <w:lang w:val="lv-LV"/>
        </w:rPr>
        <w:t>Turpat</w:t>
      </w:r>
    </w:p>
  </w:footnote>
  <w:footnote w:id="108">
    <w:p w14:paraId="746AAE07" w14:textId="77777777" w:rsidR="00D67CF6" w:rsidRPr="0032116A" w:rsidRDefault="00D67CF6" w:rsidP="001D5EE6">
      <w:pPr>
        <w:autoSpaceDE w:val="0"/>
        <w:autoSpaceDN w:val="0"/>
        <w:adjustRightInd w:val="0"/>
        <w:spacing w:after="0" w:line="240" w:lineRule="auto"/>
        <w:rPr>
          <w:rFonts w:ascii="Times New Roman" w:hAnsi="Times New Roman" w:cs="Times New Roman"/>
          <w:sz w:val="20"/>
          <w:szCs w:val="20"/>
        </w:rPr>
      </w:pPr>
      <w:r w:rsidRPr="0032116A">
        <w:rPr>
          <w:rStyle w:val="FootnoteReference"/>
          <w:rFonts w:ascii="Times New Roman" w:hAnsi="Times New Roman" w:cs="Times New Roman"/>
          <w:sz w:val="20"/>
          <w:szCs w:val="20"/>
        </w:rPr>
        <w:footnoteRef/>
      </w:r>
      <w:r w:rsidRPr="0032116A">
        <w:rPr>
          <w:rFonts w:ascii="Times New Roman" w:hAnsi="Times New Roman" w:cs="Times New Roman"/>
          <w:sz w:val="20"/>
          <w:szCs w:val="20"/>
        </w:rPr>
        <w:t xml:space="preserve"> Datos par Latviju iekļautas izdienas pensijas, pensijas, kas piešķirtas par kaitīgiem un smagiem darba apstākļiem, vecuma pensijas, kas piešķirtas pirms vispārējā pensionēšanās vecuma sasniegšanas, piemērojot atvieglotus nosacījumus, speciālās valsts pensijas bijušajiem Latvijas Republikas Augstākās padomes deputātiem.</w:t>
      </w:r>
    </w:p>
  </w:footnote>
  <w:footnote w:id="109">
    <w:p w14:paraId="3BA32719" w14:textId="77777777" w:rsidR="00D67CF6" w:rsidRPr="0032116A" w:rsidRDefault="00D67CF6" w:rsidP="001D5EE6">
      <w:pPr>
        <w:pStyle w:val="FootnoteText"/>
        <w:spacing w:after="0" w:line="240" w:lineRule="auto"/>
        <w:rPr>
          <w:rFonts w:ascii="Times New Roman" w:hAnsi="Times New Roman"/>
          <w:lang w:val="lv-LV"/>
        </w:rPr>
      </w:pPr>
      <w:r w:rsidRPr="0032116A">
        <w:rPr>
          <w:rStyle w:val="FootnoteReference"/>
          <w:rFonts w:ascii="Times New Roman" w:hAnsi="Times New Roman"/>
        </w:rPr>
        <w:footnoteRef/>
      </w:r>
      <w:r w:rsidRPr="0032116A">
        <w:rPr>
          <w:rFonts w:ascii="Times New Roman" w:hAnsi="Times New Roman"/>
        </w:rPr>
        <w:t xml:space="preserve"> European Commission (EC), 2018. The 2018 Ageing Report: Economic and Budgetary Projections for the EU Member States (2016–2070). Institutional Paper 079. Luxembourg: Publications Office of the European Union.</w:t>
      </w:r>
    </w:p>
  </w:footnote>
  <w:footnote w:id="110">
    <w:p w14:paraId="7D1FBAED" w14:textId="52D2A206" w:rsidR="00D67CF6" w:rsidRPr="0032116A" w:rsidRDefault="00D67CF6" w:rsidP="001D5EE6">
      <w:pPr>
        <w:pStyle w:val="FootnoteText"/>
        <w:spacing w:after="0" w:line="240" w:lineRule="auto"/>
        <w:rPr>
          <w:rFonts w:ascii="Times New Roman" w:hAnsi="Times New Roman"/>
          <w:lang w:val="lv-LV"/>
        </w:rPr>
      </w:pPr>
      <w:r w:rsidRPr="0032116A">
        <w:rPr>
          <w:rStyle w:val="FootnoteReference"/>
          <w:rFonts w:ascii="Times New Roman" w:hAnsi="Times New Roman"/>
        </w:rPr>
        <w:footnoteRef/>
      </w:r>
      <w:r w:rsidRPr="0032116A">
        <w:rPr>
          <w:rFonts w:ascii="Times New Roman" w:hAnsi="Times New Roman"/>
        </w:rPr>
        <w:t xml:space="preserve"> </w:t>
      </w:r>
      <w:r>
        <w:rPr>
          <w:rFonts w:ascii="Times New Roman" w:hAnsi="Times New Roman"/>
          <w:lang w:val="lv-LV"/>
        </w:rPr>
        <w:t>LR</w:t>
      </w:r>
      <w:r w:rsidRPr="0032116A">
        <w:rPr>
          <w:rFonts w:ascii="Times New Roman" w:hAnsi="Times New Roman"/>
          <w:lang w:val="lv-LV"/>
        </w:rPr>
        <w:t xml:space="preserve"> Saeima, Pētījuma gala ziņojums “Tiesību uz speciālo pensiju noteikšanas prakse Eiropā”, 2019.gada janvāris</w:t>
      </w:r>
    </w:p>
  </w:footnote>
  <w:footnote w:id="111">
    <w:p w14:paraId="455315ED" w14:textId="5F28B485" w:rsidR="00D67CF6" w:rsidRPr="00CE720C" w:rsidRDefault="00D67CF6" w:rsidP="001D5EE6">
      <w:pPr>
        <w:pStyle w:val="FootnoteText"/>
        <w:spacing w:after="0" w:line="240" w:lineRule="auto"/>
        <w:rPr>
          <w:rFonts w:ascii="Times New Roman" w:hAnsi="Times New Roman"/>
          <w:lang w:val="lv-LV"/>
        </w:rPr>
      </w:pPr>
      <w:r w:rsidRPr="00CE720C">
        <w:rPr>
          <w:rStyle w:val="FootnoteReference"/>
          <w:rFonts w:ascii="Times New Roman" w:hAnsi="Times New Roman"/>
        </w:rPr>
        <w:footnoteRef/>
      </w:r>
      <w:r w:rsidRPr="00CE720C">
        <w:rPr>
          <w:rFonts w:ascii="Times New Roman" w:hAnsi="Times New Roman"/>
        </w:rPr>
        <w:t xml:space="preserve"> </w:t>
      </w:r>
      <w:r>
        <w:rPr>
          <w:rFonts w:ascii="Times New Roman" w:hAnsi="Times New Roman"/>
          <w:lang w:val="lv-LV"/>
        </w:rPr>
        <w:t>LR</w:t>
      </w:r>
      <w:r w:rsidRPr="00CE720C">
        <w:rPr>
          <w:rFonts w:ascii="Times New Roman" w:hAnsi="Times New Roman"/>
          <w:lang w:val="lv-LV"/>
        </w:rPr>
        <w:t xml:space="preserve"> Saeima, Pētījuma gala ziņojums “Tiesību uz speciālo pensiju noteikšanas prakse Eiropā”, 2019.gada janvāris</w:t>
      </w:r>
    </w:p>
  </w:footnote>
  <w:footnote w:id="112">
    <w:p w14:paraId="1F7CFA71" w14:textId="783D68F5" w:rsidR="00D67CF6" w:rsidRPr="002A2FD6" w:rsidRDefault="00D67CF6" w:rsidP="001D5EE6">
      <w:pPr>
        <w:pStyle w:val="FootnoteText"/>
        <w:spacing w:after="0" w:line="240" w:lineRule="auto"/>
        <w:rPr>
          <w:rFonts w:ascii="Times New Roman" w:hAnsi="Times New Roman"/>
          <w:lang w:val="lv-LV"/>
        </w:rPr>
      </w:pPr>
      <w:r w:rsidRPr="002A2FD6">
        <w:rPr>
          <w:rStyle w:val="FootnoteReference"/>
          <w:rFonts w:ascii="Times New Roman" w:hAnsi="Times New Roman"/>
        </w:rPr>
        <w:footnoteRef/>
      </w:r>
      <w:r w:rsidRPr="002A2FD6">
        <w:rPr>
          <w:rFonts w:ascii="Times New Roman" w:hAnsi="Times New Roman"/>
        </w:rPr>
        <w:t xml:space="preserve"> </w:t>
      </w:r>
      <w:r>
        <w:rPr>
          <w:rFonts w:ascii="Times New Roman" w:hAnsi="Times New Roman"/>
          <w:lang w:val="lv-LV"/>
        </w:rPr>
        <w:t>VK</w:t>
      </w:r>
      <w:r w:rsidRPr="00EC0186">
        <w:rPr>
          <w:rFonts w:ascii="Times New Roman" w:hAnsi="Times New Roman"/>
        </w:rPr>
        <w:t xml:space="preserve">, Revīzijas ziņojums “Vai valsts politika pensiju sistēmas ilgtspējas nodrošināšanai ir efektīva?” (apstiprināts ar Valsts kontroles Trešā revīzijas departamenta 27.04.2017. lēmumu Nr.2.4.1-10/2016.; revīzijas publiskošanas datums 5.05.2017.); pieejams </w:t>
      </w:r>
      <w:hyperlink r:id="rId35" w:history="1">
        <w:r w:rsidRPr="00EC0186">
          <w:rPr>
            <w:rStyle w:val="Hyperlink"/>
            <w:rFonts w:ascii="Times New Roman" w:hAnsi="Times New Roman"/>
          </w:rPr>
          <w:t>http://www.lrvk.gov.lv/revizija/vai-valsts-politika-pensiju-sistemas-ilgtspejas-nodrosinasanai-ir-efektiva/</w:t>
        </w:r>
      </w:hyperlink>
    </w:p>
  </w:footnote>
  <w:footnote w:id="113">
    <w:p w14:paraId="18A0969F" w14:textId="2BA0D3CA" w:rsidR="00D67CF6" w:rsidRPr="00D640A8" w:rsidRDefault="00D67CF6" w:rsidP="00D640A8">
      <w:pPr>
        <w:autoSpaceDE w:val="0"/>
        <w:autoSpaceDN w:val="0"/>
        <w:adjustRightInd w:val="0"/>
        <w:spacing w:after="0" w:line="240" w:lineRule="auto"/>
        <w:jc w:val="both"/>
        <w:rPr>
          <w:rFonts w:ascii="Times New Roman" w:hAnsi="Times New Roman" w:cs="Times New Roman"/>
          <w:color w:val="000000"/>
          <w:sz w:val="20"/>
          <w:szCs w:val="20"/>
        </w:rPr>
      </w:pPr>
      <w:r w:rsidRPr="002A2FD6">
        <w:rPr>
          <w:rStyle w:val="FootnoteReference"/>
          <w:rFonts w:ascii="Times New Roman" w:hAnsi="Times New Roman" w:cs="Times New Roman"/>
          <w:sz w:val="20"/>
          <w:szCs w:val="20"/>
        </w:rPr>
        <w:footnoteRef/>
      </w:r>
      <w:r w:rsidRPr="002A2FD6">
        <w:rPr>
          <w:rFonts w:ascii="Times New Roman" w:hAnsi="Times New Roman" w:cs="Times New Roman"/>
          <w:sz w:val="20"/>
          <w:szCs w:val="20"/>
        </w:rPr>
        <w:t xml:space="preserve"> </w:t>
      </w:r>
      <w:r w:rsidRPr="00D640A8">
        <w:rPr>
          <w:rFonts w:ascii="Times New Roman" w:hAnsi="Times New Roman" w:cs="Times New Roman"/>
          <w:color w:val="000000"/>
          <w:sz w:val="20"/>
          <w:szCs w:val="20"/>
        </w:rPr>
        <w:t xml:space="preserve">MK 2010.gada 17.novembra rīkojuma Nr.674 „Par Koncepciju par sociālās apdrošināšanas sistēmas stabilitāti ilgtermiņā” 6.punkts; </w:t>
      </w:r>
      <w:r w:rsidRPr="00D640A8">
        <w:rPr>
          <w:rFonts w:ascii="Times New Roman" w:hAnsi="Times New Roman"/>
          <w:sz w:val="20"/>
          <w:szCs w:val="20"/>
        </w:rPr>
        <w:t>LM, Koncepcija “Par izdienas pensiju piešķiršanu”; 13.12.2006; Koncepcija par izdienas pensiju piešķiršanu (izsludināta Valsts sekretāru sanāksmē 29.08.2013., prot. Nr.34 14.§)</w:t>
      </w:r>
      <w:r w:rsidRPr="00D640A8">
        <w:rPr>
          <w:rFonts w:ascii="Times New Roman" w:hAnsi="Times New Roman" w:cs="Times New Roman"/>
          <w:color w:val="000000"/>
          <w:sz w:val="20"/>
          <w:szCs w:val="20"/>
        </w:rPr>
        <w:t>; LM izstrādātais informatīvais ziņojums “Par izdienas pensiju politikas sakārtošanu”, 2017 (virzība uz Ministru kabinetu netika atbalstīta).</w:t>
      </w:r>
    </w:p>
  </w:footnote>
  <w:footnote w:id="114">
    <w:p w14:paraId="63BF15DF" w14:textId="312A1820" w:rsidR="00D67CF6" w:rsidRPr="00551E55" w:rsidRDefault="00D67CF6" w:rsidP="001D5EE6">
      <w:pPr>
        <w:pStyle w:val="FootnoteText"/>
        <w:spacing w:after="0" w:line="240" w:lineRule="auto"/>
        <w:rPr>
          <w:rFonts w:ascii="Times New Roman" w:hAnsi="Times New Roman"/>
          <w:lang w:val="lv-LV"/>
        </w:rPr>
      </w:pPr>
      <w:r w:rsidRPr="00551E55">
        <w:rPr>
          <w:rStyle w:val="FootnoteReference"/>
          <w:rFonts w:ascii="Times New Roman" w:hAnsi="Times New Roman"/>
        </w:rPr>
        <w:footnoteRef/>
      </w:r>
      <w:r w:rsidRPr="00551E55">
        <w:rPr>
          <w:rFonts w:ascii="Times New Roman" w:hAnsi="Times New Roman"/>
        </w:rPr>
        <w:t xml:space="preserve"> </w:t>
      </w:r>
      <w:r>
        <w:rPr>
          <w:rFonts w:ascii="Times New Roman" w:hAnsi="Times New Roman"/>
          <w:lang w:val="lv-LV"/>
        </w:rPr>
        <w:t>Valsts  kontrole</w:t>
      </w:r>
      <w:r w:rsidRPr="00EC0186">
        <w:rPr>
          <w:rFonts w:ascii="Times New Roman" w:hAnsi="Times New Roman"/>
        </w:rPr>
        <w:t xml:space="preserve">, Revīzijas ziņojums “Vai valsts politika pensiju sistēmas ilgtspējas nodrošināšanai ir efektīva?” (apstiprināts ar Valsts kontroles Trešā revīzijas departamenta 27.04.2017. lēmumu Nr.2.4.1-10/2016.; revīzijas publiskošanas datums 5.05.2017.); pieejams </w:t>
      </w:r>
      <w:hyperlink r:id="rId36" w:history="1">
        <w:r w:rsidRPr="00EC0186">
          <w:rPr>
            <w:rStyle w:val="Hyperlink"/>
            <w:rFonts w:ascii="Times New Roman" w:hAnsi="Times New Roman"/>
          </w:rPr>
          <w:t>http://www.lrvk.gov.lv/revizija/vai-valsts-politika-pensiju-sistemas-ilgtspejas-nodrosinasanai-ir-efektiva/</w:t>
        </w:r>
      </w:hyperlink>
    </w:p>
  </w:footnote>
  <w:footnote w:id="115">
    <w:p w14:paraId="4A1F69A2" w14:textId="3CB736BA" w:rsidR="00D67CF6" w:rsidRPr="00891BDC" w:rsidRDefault="00D67CF6" w:rsidP="001D5EE6">
      <w:pPr>
        <w:pStyle w:val="FootnoteText"/>
        <w:spacing w:after="0" w:line="240" w:lineRule="auto"/>
        <w:rPr>
          <w:rFonts w:ascii="Times New Roman" w:hAnsi="Times New Roman"/>
          <w:lang w:val="lv-LV"/>
        </w:rPr>
      </w:pPr>
      <w:r w:rsidRPr="00891BDC">
        <w:rPr>
          <w:rStyle w:val="FootnoteReference"/>
          <w:rFonts w:ascii="Times New Roman" w:hAnsi="Times New Roman"/>
        </w:rPr>
        <w:footnoteRef/>
      </w:r>
      <w:r w:rsidRPr="00891BDC">
        <w:rPr>
          <w:rFonts w:ascii="Times New Roman" w:hAnsi="Times New Roman"/>
        </w:rPr>
        <w:t xml:space="preserve"> </w:t>
      </w:r>
      <w:r w:rsidRPr="00891BDC">
        <w:rPr>
          <w:rFonts w:ascii="Times New Roman" w:hAnsi="Times New Roman"/>
          <w:lang w:val="lv-LV"/>
        </w:rPr>
        <w:t>Ar sociālo ilgtspēju zināt</w:t>
      </w:r>
      <w:r>
        <w:rPr>
          <w:rFonts w:ascii="Times New Roman" w:hAnsi="Times New Roman"/>
          <w:lang w:val="lv-LV"/>
        </w:rPr>
        <w:t>n</w:t>
      </w:r>
      <w:r w:rsidRPr="00891BDC">
        <w:rPr>
          <w:rFonts w:ascii="Times New Roman" w:hAnsi="Times New Roman"/>
          <w:lang w:val="lv-LV"/>
        </w:rPr>
        <w:t>iskajā literatūrā visbiežāk saprot spēju nodrošināt esošās paaudzes vajadzības, vienlaikus neapdraudot nākamo paaud</w:t>
      </w:r>
      <w:r>
        <w:rPr>
          <w:rFonts w:ascii="Times New Roman" w:hAnsi="Times New Roman"/>
          <w:lang w:val="lv-LV"/>
        </w:rPr>
        <w:t>žu</w:t>
      </w:r>
      <w:r w:rsidRPr="00891BDC">
        <w:rPr>
          <w:rFonts w:ascii="Times New Roman" w:hAnsi="Times New Roman"/>
          <w:lang w:val="lv-LV"/>
        </w:rPr>
        <w:t xml:space="preserve"> vajadzību nodrošināšanu nākotnē.</w:t>
      </w:r>
    </w:p>
  </w:footnote>
  <w:footnote w:id="116">
    <w:p w14:paraId="7809758A" w14:textId="01654619" w:rsidR="00D67CF6" w:rsidRPr="00891BDC" w:rsidRDefault="00D67CF6" w:rsidP="001D5EE6">
      <w:pPr>
        <w:pStyle w:val="FootnoteText"/>
        <w:spacing w:after="0" w:line="240" w:lineRule="auto"/>
        <w:rPr>
          <w:rFonts w:ascii="Times New Roman" w:hAnsi="Times New Roman"/>
          <w:lang w:val="lv-LV"/>
        </w:rPr>
      </w:pPr>
      <w:r w:rsidRPr="00891BDC">
        <w:rPr>
          <w:rStyle w:val="FootnoteReference"/>
          <w:rFonts w:ascii="Times New Roman" w:hAnsi="Times New Roman"/>
        </w:rPr>
        <w:footnoteRef/>
      </w:r>
      <w:r w:rsidRPr="00891BDC">
        <w:rPr>
          <w:rFonts w:ascii="Times New Roman" w:hAnsi="Times New Roman"/>
        </w:rPr>
        <w:t xml:space="preserve"> </w:t>
      </w:r>
      <w:r w:rsidRPr="00891BDC">
        <w:rPr>
          <w:rFonts w:ascii="Times New Roman" w:hAnsi="Times New Roman"/>
          <w:lang w:val="lv-LV"/>
        </w:rPr>
        <w:t>Valsts pētījumu programmas  "Latvijas mantojums un nākotnes izaicinājumi valsts ilgtspējai" RSU projekta “Latvijas valsts un sabiedrības izaicinājumi un risinājumi starptautiskā kontekstā (INTERFRAME-LV)” ietvaros 2019.gadā veiktā aptauja</w:t>
      </w:r>
    </w:p>
  </w:footnote>
  <w:footnote w:id="117">
    <w:p w14:paraId="45787DED" w14:textId="2C6A73AD" w:rsidR="00D67CF6" w:rsidRPr="004E633E" w:rsidRDefault="00D67CF6" w:rsidP="001D5EE6">
      <w:pPr>
        <w:pStyle w:val="FootnoteText"/>
        <w:spacing w:after="0" w:line="240" w:lineRule="auto"/>
        <w:rPr>
          <w:rFonts w:ascii="Times New Roman" w:hAnsi="Times New Roman"/>
        </w:rPr>
      </w:pPr>
      <w:r w:rsidRPr="00891BDC">
        <w:rPr>
          <w:rStyle w:val="FootnoteReference"/>
          <w:rFonts w:ascii="Times New Roman" w:hAnsi="Times New Roman"/>
        </w:rPr>
        <w:footnoteRef/>
      </w:r>
      <w:r w:rsidRPr="00891BDC">
        <w:rPr>
          <w:rFonts w:ascii="Times New Roman" w:hAnsi="Times New Roman"/>
        </w:rPr>
        <w:t xml:space="preserve"> </w:t>
      </w:r>
      <w:r w:rsidRPr="00891BDC">
        <w:rPr>
          <w:rFonts w:ascii="Times New Roman" w:hAnsi="Times New Roman"/>
          <w:lang w:val="lv-LV"/>
        </w:rPr>
        <w:t>LM,</w:t>
      </w:r>
      <w:r w:rsidRPr="00891BDC">
        <w:rPr>
          <w:rFonts w:ascii="Times New Roman" w:hAnsi="Times New Roman"/>
        </w:rPr>
        <w:t xml:space="preserve"> </w:t>
      </w:r>
      <w:r w:rsidRPr="004E633E">
        <w:rPr>
          <w:rFonts w:ascii="Times New Roman" w:hAnsi="Times New Roman"/>
        </w:rPr>
        <w:t>Pamatnostādnes sociālo pakalpojumu attīstībai 2014.-2020.gadam</w:t>
      </w:r>
      <w:r w:rsidRPr="004E633E">
        <w:rPr>
          <w:rFonts w:ascii="Times New Roman" w:hAnsi="Times New Roman"/>
          <w:lang w:val="lv-LV"/>
        </w:rPr>
        <w:t xml:space="preserve"> (apstiprinātas ar </w:t>
      </w:r>
      <w:r w:rsidRPr="004E633E">
        <w:rPr>
          <w:rFonts w:ascii="Times New Roman" w:hAnsi="Times New Roman"/>
          <w:bCs/>
          <w:shd w:val="clear" w:color="auto" w:fill="FFFFFF"/>
        </w:rPr>
        <w:t xml:space="preserve">Ministru kabineta </w:t>
      </w:r>
      <w:r w:rsidRPr="004E633E">
        <w:rPr>
          <w:rFonts w:ascii="Times New Roman" w:hAnsi="Times New Roman"/>
          <w:bCs/>
          <w:shd w:val="clear" w:color="auto" w:fill="FFFFFF"/>
          <w:lang w:val="lv-LV"/>
        </w:rPr>
        <w:t xml:space="preserve">2013.gada 4.decembra </w:t>
      </w:r>
      <w:r w:rsidRPr="004E633E">
        <w:rPr>
          <w:rFonts w:ascii="Times New Roman" w:hAnsi="Times New Roman"/>
          <w:bCs/>
          <w:shd w:val="clear" w:color="auto" w:fill="FFFFFF"/>
        </w:rPr>
        <w:t>rīkojum</w:t>
      </w:r>
      <w:r w:rsidRPr="004E633E">
        <w:rPr>
          <w:rFonts w:ascii="Times New Roman" w:hAnsi="Times New Roman"/>
          <w:bCs/>
          <w:shd w:val="clear" w:color="auto" w:fill="FFFFFF"/>
          <w:lang w:val="lv-LV"/>
        </w:rPr>
        <w:t>u</w:t>
      </w:r>
      <w:r w:rsidRPr="004E633E">
        <w:rPr>
          <w:rFonts w:ascii="Times New Roman" w:hAnsi="Times New Roman"/>
          <w:bCs/>
          <w:shd w:val="clear" w:color="auto" w:fill="FFFFFF"/>
        </w:rPr>
        <w:t xml:space="preserve"> Nr.589</w:t>
      </w:r>
      <w:r w:rsidRPr="004E633E">
        <w:rPr>
          <w:rFonts w:ascii="Times New Roman" w:hAnsi="Times New Roman"/>
          <w:bCs/>
          <w:shd w:val="clear" w:color="auto" w:fill="FFFFFF"/>
          <w:lang w:val="lv-LV"/>
        </w:rPr>
        <w:t xml:space="preserve">, </w:t>
      </w:r>
      <w:r w:rsidRPr="004E633E">
        <w:rPr>
          <w:rFonts w:ascii="Times New Roman" w:hAnsi="Times New Roman"/>
          <w:shd w:val="clear" w:color="auto" w:fill="FFFFFF"/>
        </w:rPr>
        <w:t>prot. Nr.61 56.§)</w:t>
      </w:r>
      <w:r w:rsidRPr="004E633E">
        <w:rPr>
          <w:rFonts w:ascii="Times New Roman" w:hAnsi="Times New Roman"/>
          <w:shd w:val="clear" w:color="auto" w:fill="FFFFFF"/>
          <w:lang w:val="lv-LV"/>
        </w:rPr>
        <w:t>, pieejams:</w:t>
      </w:r>
      <w:r w:rsidRPr="004E633E">
        <w:rPr>
          <w:rFonts w:ascii="Times New Roman" w:hAnsi="Times New Roman"/>
        </w:rPr>
        <w:t xml:space="preserve"> </w:t>
      </w:r>
      <w:hyperlink r:id="rId37" w:history="1">
        <w:r w:rsidRPr="004E633E">
          <w:rPr>
            <w:rStyle w:val="Hyperlink"/>
            <w:rFonts w:ascii="Times New Roman" w:hAnsi="Times New Roman"/>
            <w:color w:val="auto"/>
          </w:rPr>
          <w:t>http://polsis.mk.gov.lv/documents/4558</w:t>
        </w:r>
      </w:hyperlink>
    </w:p>
  </w:footnote>
  <w:footnote w:id="118">
    <w:p w14:paraId="3A83D76C" w14:textId="77777777" w:rsidR="00D67CF6" w:rsidRPr="005800DE" w:rsidRDefault="00D67CF6" w:rsidP="001D5EE6">
      <w:pPr>
        <w:pStyle w:val="FootnoteText"/>
        <w:spacing w:after="0" w:line="240" w:lineRule="auto"/>
        <w:rPr>
          <w:rFonts w:ascii="Times New Roman" w:hAnsi="Times New Roman"/>
        </w:rPr>
      </w:pPr>
      <w:r w:rsidRPr="004E633E">
        <w:rPr>
          <w:rStyle w:val="FootnoteReference"/>
          <w:rFonts w:ascii="Times New Roman" w:hAnsi="Times New Roman"/>
        </w:rPr>
        <w:footnoteRef/>
      </w:r>
      <w:r w:rsidRPr="004E633E">
        <w:rPr>
          <w:rFonts w:ascii="Times New Roman" w:hAnsi="Times New Roman"/>
        </w:rPr>
        <w:t xml:space="preserve"> SAM 9.2.1.1.pasākums “Profesionāla sociāla darba attīstība pašvaldībās”, SAM 9.2.2.1.pasākums “Deinstitucionalizācija”, SAM 9.2.2.2.pasākums “Sociālo pakalpojumu atbalsta sistēmas pilnveide</w:t>
      </w:r>
      <w:r w:rsidRPr="005800DE">
        <w:rPr>
          <w:rFonts w:ascii="Times New Roman" w:hAnsi="Times New Roman"/>
        </w:rPr>
        <w:t xml:space="preserve">” u.c. </w:t>
      </w:r>
    </w:p>
  </w:footnote>
  <w:footnote w:id="119">
    <w:p w14:paraId="6CBC00C8" w14:textId="5FEB0EF4" w:rsidR="00D67CF6" w:rsidRPr="00B533B5" w:rsidRDefault="00D67CF6">
      <w:pPr>
        <w:pStyle w:val="FootnoteText"/>
        <w:rPr>
          <w:rFonts w:ascii="Times New Roman" w:hAnsi="Times New Roman"/>
          <w:bCs/>
          <w:shd w:val="clear" w:color="auto" w:fill="FFFFFF"/>
          <w:lang w:val="lv-LV"/>
        </w:rPr>
      </w:pPr>
      <w:r>
        <w:rPr>
          <w:rStyle w:val="FootnoteReference"/>
        </w:rPr>
        <w:footnoteRef/>
      </w:r>
      <w:r>
        <w:t xml:space="preserve"> </w:t>
      </w:r>
      <w:r w:rsidRPr="00B533B5">
        <w:rPr>
          <w:rFonts w:ascii="Times New Roman" w:hAnsi="Times New Roman"/>
          <w:bCs/>
          <w:shd w:val="clear" w:color="auto" w:fill="FFFFFF"/>
          <w:lang w:val="lv-LV"/>
        </w:rPr>
        <w:t>Sociālo pakalpojumu un sociālās palīdzības likuma 9.pants</w:t>
      </w:r>
    </w:p>
  </w:footnote>
  <w:footnote w:id="120">
    <w:p w14:paraId="052957AF" w14:textId="77777777" w:rsidR="00D67CF6" w:rsidRDefault="00D67CF6" w:rsidP="00B533B5">
      <w:pPr>
        <w:pStyle w:val="FootnoteText"/>
        <w:spacing w:after="0" w:line="240" w:lineRule="auto"/>
      </w:pPr>
      <w:r w:rsidRPr="00BD48AB">
        <w:rPr>
          <w:rStyle w:val="FootnoteReference"/>
          <w:rFonts w:ascii="Times New Roman" w:hAnsi="Times New Roman"/>
        </w:rPr>
        <w:footnoteRef/>
      </w:r>
      <w:r w:rsidRPr="00BD48AB">
        <w:rPr>
          <w:rFonts w:ascii="Times New Roman" w:hAnsi="Times New Roman"/>
        </w:rPr>
        <w:t xml:space="preserve">  Likums par pašvaldībām, 15.pants</w:t>
      </w:r>
      <w:r w:rsidRPr="00894AF4">
        <w:t xml:space="preserve"> </w:t>
      </w:r>
    </w:p>
  </w:footnote>
  <w:footnote w:id="121">
    <w:p w14:paraId="72BDEF41" w14:textId="6B26B3D0" w:rsidR="00D67CF6" w:rsidRPr="009978A2" w:rsidRDefault="00D67CF6" w:rsidP="001D5EE6">
      <w:pPr>
        <w:pStyle w:val="FootnoteText"/>
        <w:spacing w:after="0" w:line="240" w:lineRule="auto"/>
        <w:rPr>
          <w:rFonts w:ascii="Times New Roman" w:hAnsi="Times New Roman"/>
          <w:lang w:val="lv-LV"/>
        </w:rPr>
      </w:pPr>
      <w:r w:rsidRPr="009978A2">
        <w:rPr>
          <w:rStyle w:val="FootnoteReference"/>
          <w:rFonts w:ascii="Times New Roman" w:hAnsi="Times New Roman"/>
        </w:rPr>
        <w:footnoteRef/>
      </w:r>
      <w:r w:rsidRPr="009978A2">
        <w:rPr>
          <w:rFonts w:ascii="Times New Roman" w:hAnsi="Times New Roman"/>
        </w:rPr>
        <w:t xml:space="preserve"> </w:t>
      </w:r>
      <w:r>
        <w:rPr>
          <w:rFonts w:ascii="Times New Roman" w:hAnsi="Times New Roman"/>
          <w:lang w:val="lv-LV"/>
        </w:rPr>
        <w:t>Sociālo pakalpojumu un sociālās palīdzības likuma</w:t>
      </w:r>
      <w:r w:rsidRPr="009978A2">
        <w:rPr>
          <w:rFonts w:ascii="Times New Roman" w:hAnsi="Times New Roman"/>
          <w:lang w:val="lv-LV"/>
        </w:rPr>
        <w:t xml:space="preserve"> 1. panta 37. punkts - apgādnieks - persona, kurai saskaņā ar likumu vai tiesas nolēmumu ir pienākums rūpēties par savu laulāto, bērniem vai vecākiem</w:t>
      </w:r>
    </w:p>
  </w:footnote>
  <w:footnote w:id="122">
    <w:p w14:paraId="7B908AF8" w14:textId="77777777" w:rsidR="00D67CF6" w:rsidRPr="007739DC" w:rsidRDefault="00D67CF6" w:rsidP="001D5EE6">
      <w:pPr>
        <w:pStyle w:val="FootnoteText"/>
        <w:spacing w:after="0" w:line="240" w:lineRule="auto"/>
        <w:rPr>
          <w:rFonts w:ascii="Times New Roman" w:hAnsi="Times New Roman"/>
        </w:rPr>
      </w:pPr>
      <w:r w:rsidRPr="007739DC">
        <w:rPr>
          <w:rStyle w:val="FootnoteReference"/>
          <w:rFonts w:ascii="Times New Roman" w:hAnsi="Times New Roman"/>
        </w:rPr>
        <w:footnoteRef/>
      </w:r>
      <w:r w:rsidRPr="007739DC">
        <w:rPr>
          <w:rFonts w:ascii="Times New Roman" w:hAnsi="Times New Roman"/>
        </w:rPr>
        <w:t xml:space="preserve">  Likums par pašvaldībām, 15.pants </w:t>
      </w:r>
    </w:p>
  </w:footnote>
  <w:footnote w:id="123">
    <w:p w14:paraId="73303DC2" w14:textId="77777777" w:rsidR="00D67CF6" w:rsidRPr="007739DC" w:rsidRDefault="00D67CF6" w:rsidP="001D5EE6">
      <w:pPr>
        <w:pStyle w:val="FootnoteText"/>
        <w:spacing w:after="0" w:line="240" w:lineRule="auto"/>
        <w:rPr>
          <w:rFonts w:ascii="Times New Roman" w:hAnsi="Times New Roman"/>
        </w:rPr>
      </w:pPr>
      <w:r w:rsidRPr="007739DC">
        <w:rPr>
          <w:rStyle w:val="FootnoteReference"/>
          <w:rFonts w:ascii="Times New Roman" w:hAnsi="Times New Roman"/>
        </w:rPr>
        <w:footnoteRef/>
      </w:r>
      <w:r w:rsidRPr="007739DC">
        <w:rPr>
          <w:rFonts w:ascii="Times New Roman" w:hAnsi="Times New Roman"/>
        </w:rPr>
        <w:t xml:space="preserve"> </w:t>
      </w:r>
      <w:r w:rsidRPr="007739DC">
        <w:rPr>
          <w:rFonts w:ascii="Times New Roman" w:hAnsi="Times New Roman"/>
          <w:bCs/>
        </w:rPr>
        <w:t>Pārskati par sociālajiem pakalpojumiem un sociālo palīdzību novada/republikas pilsētas pašvaldībās, “Pētījums par sabiedrībā balstīto pakalpojumu sniegšanas un finansēšanas sistēmu”, "Ex-ante izvērtējums pašvaldību sociālo dienestu darbības efektivitātes novērtēšanai" u.c. avoti</w:t>
      </w:r>
    </w:p>
  </w:footnote>
  <w:footnote w:id="124">
    <w:p w14:paraId="1CBE2A73" w14:textId="77777777" w:rsidR="00D67CF6" w:rsidRPr="00E4061F" w:rsidRDefault="00D67CF6" w:rsidP="00E4061F">
      <w:pPr>
        <w:pStyle w:val="FootnoteText"/>
        <w:spacing w:after="0" w:line="240" w:lineRule="auto"/>
        <w:rPr>
          <w:rFonts w:ascii="Times New Roman" w:hAnsi="Times New Roman"/>
          <w:lang w:val="lv-LV"/>
        </w:rPr>
      </w:pPr>
      <w:r w:rsidRPr="00E4061F">
        <w:rPr>
          <w:rStyle w:val="FootnoteReference"/>
          <w:rFonts w:ascii="Times New Roman" w:hAnsi="Times New Roman"/>
        </w:rPr>
        <w:footnoteRef/>
      </w:r>
      <w:r w:rsidRPr="00E4061F">
        <w:rPr>
          <w:rFonts w:ascii="Times New Roman" w:hAnsi="Times New Roman"/>
        </w:rPr>
        <w:t xml:space="preserve"> </w:t>
      </w:r>
      <w:hyperlink r:id="rId38" w:history="1">
        <w:r w:rsidRPr="00E4061F">
          <w:rPr>
            <w:rStyle w:val="Hyperlink"/>
            <w:rFonts w:ascii="Times New Roman" w:hAnsi="Times New Roman"/>
            <w:lang w:val="lv-LV"/>
          </w:rPr>
          <w:t>https://ec.europa.eu/eurostat/documents/1012329/8088300/LC+221-18+EN+Module+2016+assessment.pdf/82b23b36-9e04-4905-ab74-9a07f1223637</w:t>
        </w:r>
      </w:hyperlink>
    </w:p>
  </w:footnote>
  <w:footnote w:id="125">
    <w:p w14:paraId="466F31B4" w14:textId="666A7461" w:rsidR="00D67CF6" w:rsidRPr="00590B21" w:rsidRDefault="00D67CF6" w:rsidP="001D5EE6">
      <w:pPr>
        <w:pStyle w:val="FootnoteText"/>
        <w:spacing w:after="0" w:line="240" w:lineRule="auto"/>
        <w:rPr>
          <w:rFonts w:ascii="Times New Roman" w:hAnsi="Times New Roman"/>
        </w:rPr>
      </w:pPr>
      <w:r w:rsidRPr="00590B21">
        <w:rPr>
          <w:rStyle w:val="FootnoteReference"/>
          <w:rFonts w:ascii="Times New Roman" w:hAnsi="Times New Roman"/>
        </w:rPr>
        <w:footnoteRef/>
      </w:r>
      <w:r w:rsidRPr="00590B21">
        <w:rPr>
          <w:rFonts w:ascii="Times New Roman" w:hAnsi="Times New Roman"/>
        </w:rPr>
        <w:t xml:space="preserve"> 20.11.1989.  Bērnu tiesību konvencijas, kurai </w:t>
      </w:r>
      <w:r>
        <w:rPr>
          <w:rFonts w:ascii="Times New Roman" w:hAnsi="Times New Roman"/>
          <w:lang w:val="lv-LV"/>
        </w:rPr>
        <w:t>LR</w:t>
      </w:r>
      <w:r w:rsidRPr="00590B21">
        <w:rPr>
          <w:rFonts w:ascii="Times New Roman" w:hAnsi="Times New Roman"/>
        </w:rPr>
        <w:t xml:space="preserve"> pievienojās 1992.gada 14.maijā, 20</w:t>
      </w:r>
      <w:r>
        <w:rPr>
          <w:rFonts w:ascii="Times New Roman" w:hAnsi="Times New Roman"/>
          <w:lang w:val="lv-LV"/>
        </w:rPr>
        <w:t>.</w:t>
      </w:r>
      <w:r w:rsidRPr="00590B21">
        <w:rPr>
          <w:rFonts w:ascii="Times New Roman" w:hAnsi="Times New Roman"/>
        </w:rPr>
        <w:t xml:space="preserve">pants paredz, ka bērnam, kuram īslaicīgi vai pastāvīgi nav savas ģimenes vai kuru viņa paša interesēs nedrīkst atstāt ģimenē, ir tiesības uz īpašu valsts aizsardzību un palīdzību </w:t>
      </w:r>
      <w:hyperlink r:id="rId39" w:history="1">
        <w:r w:rsidRPr="00590B21">
          <w:rPr>
            <w:rStyle w:val="Hyperlink"/>
            <w:rFonts w:ascii="Times New Roman" w:hAnsi="Times New Roman"/>
          </w:rPr>
          <w:t>http://likumi.lv/ta/lv/starptautiskie-ligumi/id/1150</w:t>
        </w:r>
      </w:hyperlink>
    </w:p>
  </w:footnote>
  <w:footnote w:id="126">
    <w:p w14:paraId="32D29B83" w14:textId="77777777" w:rsidR="00D67CF6" w:rsidRPr="00590B21" w:rsidRDefault="00D67CF6" w:rsidP="001D5EE6">
      <w:pPr>
        <w:pStyle w:val="FootnoteText"/>
        <w:spacing w:after="0" w:line="240" w:lineRule="auto"/>
        <w:rPr>
          <w:rFonts w:ascii="Times New Roman" w:hAnsi="Times New Roman"/>
        </w:rPr>
      </w:pPr>
      <w:r w:rsidRPr="00590B21">
        <w:rPr>
          <w:rStyle w:val="FootnoteReference"/>
          <w:rFonts w:ascii="Times New Roman" w:hAnsi="Times New Roman"/>
        </w:rPr>
        <w:footnoteRef/>
      </w:r>
      <w:r w:rsidRPr="00590B21">
        <w:rPr>
          <w:rFonts w:ascii="Times New Roman" w:hAnsi="Times New Roman"/>
        </w:rPr>
        <w:t xml:space="preserve"> piem., Eiropas Padomes Ministru komitejas Ieteikums dalībvalstīm Nr. Rec(2005) 5 par to bērnu tiesībām, kuri dzīvo bērnu aprūpes iestādēs (Pieņēmusi Ministru komiteja ministru vietnieku 919.sesijā 16.03.2005.) - jānodrošina neliela ģimenes dzīves apstākļiem līdzīga dzīvojamā telpa</w:t>
      </w:r>
    </w:p>
  </w:footnote>
  <w:footnote w:id="127">
    <w:p w14:paraId="54A4B141" w14:textId="77777777" w:rsidR="00D67CF6" w:rsidRPr="00590B21" w:rsidRDefault="00D67CF6" w:rsidP="001D5EE6">
      <w:pPr>
        <w:pStyle w:val="FootnoteText"/>
        <w:spacing w:after="0" w:line="240" w:lineRule="auto"/>
        <w:rPr>
          <w:rFonts w:ascii="Times New Roman" w:hAnsi="Times New Roman"/>
        </w:rPr>
      </w:pPr>
      <w:r w:rsidRPr="00590B21">
        <w:rPr>
          <w:rStyle w:val="FootnoteReference"/>
          <w:rFonts w:ascii="Times New Roman" w:hAnsi="Times New Roman"/>
        </w:rPr>
        <w:footnoteRef/>
      </w:r>
      <w:r w:rsidRPr="00590B21">
        <w:rPr>
          <w:rFonts w:ascii="Times New Roman" w:hAnsi="Times New Roman"/>
        </w:rPr>
        <w:t xml:space="preserve"> piem., FICE (Fédération Internationale des Communautés Educatives), IFCO (International Foster Care Organisation) un SOS Children’s Villages (SOS bērnu ciemati) izstrādātie Quality4Children standarti bērnu ārpusģimenes aprūpei Eiropā paredz, ka ārpusģimenes aprūpes vietai jāatbilst bērna vajadzībām, dzīves situācijai un sākotnējai sociālajai videi. Aprūpes organizācija pieliek apzinātas pūles, lai nodrošinātu ārpusģimenes aprūpes vietas atbilstību bērna vajadzībām, dzīves situācijai un sociālajai videi, bērnu skaits grupā nepārsniedz 8 bērnus</w:t>
      </w:r>
    </w:p>
  </w:footnote>
  <w:footnote w:id="128">
    <w:p w14:paraId="5D62EE88" w14:textId="62467021" w:rsidR="00D67CF6" w:rsidRPr="00590B21" w:rsidRDefault="00D67CF6" w:rsidP="001D5EE6">
      <w:pPr>
        <w:pStyle w:val="FootnoteText"/>
        <w:spacing w:after="0" w:line="240" w:lineRule="auto"/>
        <w:rPr>
          <w:rFonts w:ascii="Times New Roman" w:hAnsi="Times New Roman"/>
        </w:rPr>
      </w:pPr>
      <w:r w:rsidRPr="00590B21">
        <w:rPr>
          <w:rStyle w:val="FootnoteReference"/>
          <w:rFonts w:ascii="Times New Roman" w:hAnsi="Times New Roman"/>
        </w:rPr>
        <w:footnoteRef/>
      </w:r>
      <w:r w:rsidRPr="00590B21">
        <w:rPr>
          <w:rFonts w:ascii="Times New Roman" w:hAnsi="Times New Roman"/>
        </w:rPr>
        <w:t xml:space="preserve"> Ministru kabineta 13.06.2017. noteikum</w:t>
      </w:r>
      <w:r w:rsidRPr="00590B21">
        <w:rPr>
          <w:rFonts w:ascii="Times New Roman" w:hAnsi="Times New Roman"/>
          <w:lang w:val="lv-LV"/>
        </w:rPr>
        <w:t>u</w:t>
      </w:r>
      <w:r w:rsidRPr="00590B21">
        <w:rPr>
          <w:rFonts w:ascii="Times New Roman" w:hAnsi="Times New Roman"/>
        </w:rPr>
        <w:t xml:space="preserve"> Nr.338</w:t>
      </w:r>
      <w:r>
        <w:rPr>
          <w:rFonts w:ascii="Times New Roman" w:hAnsi="Times New Roman"/>
          <w:lang w:val="lv-LV"/>
        </w:rPr>
        <w:t xml:space="preserve"> </w:t>
      </w:r>
      <w:r w:rsidRPr="00590B21">
        <w:rPr>
          <w:rFonts w:ascii="Times New Roman" w:hAnsi="Times New Roman"/>
          <w:lang w:val="lv-LV"/>
        </w:rPr>
        <w:t xml:space="preserve">187.punkts, pieejams </w:t>
      </w:r>
      <w:hyperlink r:id="rId40" w:history="1">
        <w:r w:rsidRPr="00590B21">
          <w:rPr>
            <w:rStyle w:val="Hyperlink"/>
            <w:rFonts w:ascii="Times New Roman" w:hAnsi="Times New Roman"/>
          </w:rPr>
          <w:t>https://likumi.lv/ta/id/291788-prasibas-socialo-pakalpojumu-sniedzejiem</w:t>
        </w:r>
      </w:hyperlink>
    </w:p>
  </w:footnote>
  <w:footnote w:id="129">
    <w:p w14:paraId="6651B7FA" w14:textId="77777777" w:rsidR="00D67CF6" w:rsidRPr="00590B21" w:rsidRDefault="00D67CF6" w:rsidP="001D5EE6">
      <w:pPr>
        <w:pStyle w:val="FootnoteText"/>
        <w:spacing w:after="0" w:line="240" w:lineRule="auto"/>
        <w:rPr>
          <w:rFonts w:ascii="Times New Roman" w:hAnsi="Times New Roman"/>
        </w:rPr>
      </w:pPr>
      <w:r w:rsidRPr="00590B21">
        <w:rPr>
          <w:rStyle w:val="FootnoteReference"/>
          <w:rFonts w:ascii="Times New Roman" w:hAnsi="Times New Roman"/>
        </w:rPr>
        <w:footnoteRef/>
      </w:r>
      <w:r w:rsidRPr="00590B21">
        <w:rPr>
          <w:rFonts w:ascii="Times New Roman" w:hAnsi="Times New Roman"/>
        </w:rPr>
        <w:t xml:space="preserve"> viens bērns </w:t>
      </w:r>
      <w:r w:rsidRPr="00590B21">
        <w:rPr>
          <w:rFonts w:ascii="Times New Roman" w:hAnsi="Times New Roman"/>
          <w:lang w:val="lv-LV"/>
        </w:rPr>
        <w:t>tika nodots</w:t>
      </w:r>
      <w:r w:rsidRPr="00590B21">
        <w:rPr>
          <w:rFonts w:ascii="Times New Roman" w:hAnsi="Times New Roman"/>
        </w:rPr>
        <w:t xml:space="preserve"> aizbildnībā</w:t>
      </w:r>
    </w:p>
  </w:footnote>
  <w:footnote w:id="130">
    <w:p w14:paraId="680BDB9E" w14:textId="77777777" w:rsidR="00D67CF6" w:rsidRPr="000247F3" w:rsidRDefault="00D67CF6" w:rsidP="001D5EE6">
      <w:pPr>
        <w:pStyle w:val="FootnoteText"/>
        <w:spacing w:after="0" w:line="240" w:lineRule="auto"/>
        <w:rPr>
          <w:rFonts w:ascii="Times New Roman" w:hAnsi="Times New Roman"/>
        </w:rPr>
      </w:pPr>
      <w:r w:rsidRPr="000247F3">
        <w:rPr>
          <w:rStyle w:val="FootnoteReference"/>
          <w:rFonts w:ascii="Times New Roman" w:hAnsi="Times New Roman"/>
        </w:rPr>
        <w:footnoteRef/>
      </w:r>
      <w:r w:rsidRPr="000247F3">
        <w:rPr>
          <w:rFonts w:ascii="Times New Roman" w:hAnsi="Times New Roman"/>
        </w:rPr>
        <w:t xml:space="preserve"> Vidējais vērtējums 50,00 norādīts kā dzīves kvalitātes vēlamā norma </w:t>
      </w:r>
      <w:r w:rsidRPr="000247F3">
        <w:rPr>
          <w:rFonts w:ascii="Times New Roman" w:hAnsi="Times New Roman"/>
          <w:i/>
        </w:rPr>
        <w:t>KIDSCREEN</w:t>
      </w:r>
      <w:r w:rsidRPr="000247F3">
        <w:rPr>
          <w:rFonts w:ascii="Times New Roman" w:hAnsi="Times New Roman"/>
        </w:rPr>
        <w:t xml:space="preserve"> pētniecības grupas izveidotajā Eiropas bērnu ar veselību saistītu dzīves kvalitātes vērtējuma normatīvo datu apkopojumā.</w:t>
      </w:r>
    </w:p>
  </w:footnote>
  <w:footnote w:id="131">
    <w:p w14:paraId="29F52886" w14:textId="19851F68" w:rsidR="00D67CF6" w:rsidRPr="004702F2" w:rsidRDefault="00D67CF6" w:rsidP="001D5EE6">
      <w:pPr>
        <w:pStyle w:val="FootnoteText"/>
        <w:spacing w:after="0" w:line="240" w:lineRule="auto"/>
        <w:rPr>
          <w:rFonts w:ascii="Times New Roman" w:hAnsi="Times New Roman"/>
        </w:rPr>
      </w:pPr>
      <w:r w:rsidRPr="004702F2">
        <w:rPr>
          <w:rStyle w:val="FootnoteReference"/>
          <w:rFonts w:ascii="Times New Roman" w:hAnsi="Times New Roman"/>
        </w:rPr>
        <w:footnoteRef/>
      </w:r>
      <w:r w:rsidRPr="004702F2">
        <w:rPr>
          <w:rFonts w:ascii="Times New Roman" w:hAnsi="Times New Roman"/>
        </w:rPr>
        <w:t xml:space="preserve"> Atbilstoši </w:t>
      </w:r>
      <w:r>
        <w:rPr>
          <w:rFonts w:ascii="Times New Roman" w:hAnsi="Times New Roman"/>
          <w:lang w:val="lv-LV"/>
        </w:rPr>
        <w:t>SPSPL</w:t>
      </w:r>
      <w:r w:rsidRPr="004702F2">
        <w:rPr>
          <w:rFonts w:ascii="Times New Roman" w:hAnsi="Times New Roman"/>
        </w:rPr>
        <w:t xml:space="preserve"> noteiktajam, k</w:t>
      </w:r>
      <w:r w:rsidRPr="004702F2">
        <w:rPr>
          <w:rFonts w:ascii="Times New Roman" w:hAnsi="Times New Roman"/>
          <w:bCs/>
        </w:rPr>
        <w:t xml:space="preserve">ārtību, kādā par valsts budžeta līdzekļiem tiek nodrošināti tehniskie palīglīdzekļi, kā arī finansējamo TPL veidus </w:t>
      </w:r>
      <w:r w:rsidRPr="009A0784">
        <w:rPr>
          <w:rFonts w:ascii="Times New Roman" w:hAnsi="Times New Roman"/>
          <w:bCs/>
        </w:rPr>
        <w:t xml:space="preserve">nosaka </w:t>
      </w:r>
      <w:hyperlink r:id="rId41" w:history="1">
        <w:r w:rsidRPr="009A0784">
          <w:rPr>
            <w:rStyle w:val="Hyperlink"/>
            <w:rFonts w:ascii="Times New Roman" w:hAnsi="Times New Roman"/>
            <w:bCs/>
            <w:color w:val="auto"/>
            <w:u w:val="none"/>
          </w:rPr>
          <w:t xml:space="preserve">Ministru kabineta 2009. gada 15. decembra noteikumi Nr. 1474 </w:t>
        </w:r>
      </w:hyperlink>
      <w:r>
        <w:rPr>
          <w:rStyle w:val="Hyperlink"/>
          <w:rFonts w:ascii="Times New Roman" w:hAnsi="Times New Roman"/>
          <w:bCs/>
          <w:color w:val="auto"/>
          <w:u w:val="none"/>
          <w:lang w:val="lv-LV"/>
        </w:rPr>
        <w:t xml:space="preserve">(personām ar funkcionāliem traucējumiem) </w:t>
      </w:r>
      <w:r w:rsidRPr="009A0784">
        <w:rPr>
          <w:rFonts w:ascii="Times New Roman" w:hAnsi="Times New Roman"/>
          <w:bCs/>
        </w:rPr>
        <w:t xml:space="preserve">un </w:t>
      </w:r>
      <w:hyperlink r:id="rId42" w:history="1">
        <w:r w:rsidRPr="009A0784">
          <w:rPr>
            <w:rStyle w:val="Hyperlink"/>
            <w:rFonts w:ascii="Times New Roman" w:hAnsi="Times New Roman"/>
            <w:bCs/>
            <w:color w:val="auto"/>
            <w:u w:val="none"/>
          </w:rPr>
          <w:t>Ministru kabineta 2009. gada 15. decembra noteikumi Nr.1472</w:t>
        </w:r>
      </w:hyperlink>
      <w:r w:rsidRPr="004702F2">
        <w:rPr>
          <w:rFonts w:ascii="Times New Roman" w:hAnsi="Times New Roman"/>
        </w:rPr>
        <w:t xml:space="preserve"> (personām ar redzes vai dzirdes traucējumiem).</w:t>
      </w:r>
    </w:p>
  </w:footnote>
  <w:footnote w:id="132">
    <w:p w14:paraId="3D205447" w14:textId="1257C618" w:rsidR="00D67CF6" w:rsidRPr="008761A0" w:rsidRDefault="00D67CF6" w:rsidP="008761A0">
      <w:pPr>
        <w:pStyle w:val="FootnoteText"/>
        <w:spacing w:after="0" w:line="240" w:lineRule="auto"/>
        <w:rPr>
          <w:rFonts w:ascii="Times New Roman" w:hAnsi="Times New Roman"/>
        </w:rPr>
      </w:pPr>
      <w:r w:rsidRPr="00745D73">
        <w:rPr>
          <w:rStyle w:val="FootnoteReference"/>
          <w:rFonts w:ascii="Times New Roman" w:hAnsi="Times New Roman"/>
        </w:rPr>
        <w:footnoteRef/>
      </w:r>
      <w:r w:rsidRPr="00745D73">
        <w:rPr>
          <w:rFonts w:ascii="Times New Roman" w:hAnsi="Times New Roman"/>
        </w:rPr>
        <w:t xml:space="preserve"> </w:t>
      </w:r>
      <w:r w:rsidRPr="008761A0">
        <w:rPr>
          <w:rFonts w:ascii="Times New Roman" w:hAnsi="Times New Roman"/>
          <w:lang w:val="lv-LV"/>
        </w:rPr>
        <w:t xml:space="preserve">SIA </w:t>
      </w:r>
      <w:r w:rsidRPr="008761A0">
        <w:rPr>
          <w:rFonts w:ascii="Times New Roman" w:hAnsi="Times New Roman"/>
        </w:rPr>
        <w:t xml:space="preserve">“AengCurum” </w:t>
      </w:r>
      <w:r w:rsidRPr="008761A0">
        <w:rPr>
          <w:rFonts w:ascii="Times New Roman" w:hAnsi="Times New Roman"/>
          <w:lang w:val="lv-LV"/>
        </w:rPr>
        <w:t xml:space="preserve">, </w:t>
      </w:r>
      <w:r w:rsidRPr="008761A0">
        <w:rPr>
          <w:rFonts w:ascii="Times New Roman" w:hAnsi="Times New Roman"/>
        </w:rPr>
        <w:t xml:space="preserve">Ekspertu pētījuma </w:t>
      </w:r>
      <w:r>
        <w:rPr>
          <w:rFonts w:ascii="Times New Roman" w:hAnsi="Times New Roman"/>
          <w:lang w:val="lv-LV"/>
        </w:rPr>
        <w:t>ziņojums “</w:t>
      </w:r>
      <w:r w:rsidRPr="008761A0">
        <w:rPr>
          <w:rFonts w:ascii="Times New Roman" w:hAnsi="Times New Roman"/>
        </w:rPr>
        <w:t>Izstrādāt uz atvērtā tirgus principiem balstītu tehnisko palīglīdzekļu (TPL) kompensācijas sistēmas noteikšanas metodiku, veicot ekspertu pētījumu par TPL reālo izmaksu noteikšanu, TPL kompensācijas sistēmas un klientu brīvās izvēles ieviešanu nozarē</w:t>
      </w:r>
      <w:r>
        <w:rPr>
          <w:rFonts w:ascii="Times New Roman" w:hAnsi="Times New Roman"/>
          <w:lang w:val="lv-LV"/>
        </w:rPr>
        <w:t>”</w:t>
      </w:r>
      <w:r w:rsidRPr="008761A0">
        <w:rPr>
          <w:rFonts w:ascii="Times New Roman" w:hAnsi="Times New Roman"/>
          <w:lang w:val="lv-LV"/>
        </w:rPr>
        <w:t xml:space="preserve">, </w:t>
      </w:r>
      <w:r>
        <w:rPr>
          <w:rFonts w:ascii="Times New Roman" w:hAnsi="Times New Roman"/>
          <w:lang w:val="lv-LV"/>
        </w:rPr>
        <w:t>R</w:t>
      </w:r>
      <w:r w:rsidRPr="008761A0">
        <w:rPr>
          <w:rFonts w:ascii="Times New Roman" w:hAnsi="Times New Roman"/>
          <w:lang w:val="lv-LV"/>
        </w:rPr>
        <w:t>īga, 2018, pieejams:</w:t>
      </w:r>
      <w:r w:rsidRPr="008761A0">
        <w:rPr>
          <w:rFonts w:ascii="Times New Roman" w:hAnsi="Times New Roman"/>
        </w:rPr>
        <w:t xml:space="preserve"> http://petijumi.mk.gov.lv/sites/default/files/title_file/TPL_kompensacijas_sist_noteiksana_Zinojums.pdf</w:t>
      </w:r>
    </w:p>
  </w:footnote>
  <w:footnote w:id="133">
    <w:p w14:paraId="4546FA35" w14:textId="66B96AA7" w:rsidR="00D67CF6" w:rsidRPr="0033005A" w:rsidRDefault="00D67CF6" w:rsidP="001D5EE6">
      <w:pPr>
        <w:autoSpaceDE w:val="0"/>
        <w:autoSpaceDN w:val="0"/>
        <w:adjustRightInd w:val="0"/>
        <w:spacing w:after="0" w:line="240" w:lineRule="auto"/>
        <w:rPr>
          <w:rFonts w:ascii="Times New Roman" w:hAnsi="Times New Roman" w:cs="Times New Roman"/>
          <w:sz w:val="20"/>
          <w:szCs w:val="20"/>
        </w:rPr>
      </w:pPr>
      <w:r w:rsidRPr="0033005A">
        <w:rPr>
          <w:rStyle w:val="FootnoteReference"/>
          <w:rFonts w:ascii="Times New Roman" w:hAnsi="Times New Roman" w:cs="Times New Roman"/>
          <w:sz w:val="20"/>
          <w:szCs w:val="20"/>
        </w:rPr>
        <w:footnoteRef/>
      </w:r>
      <w:r w:rsidRPr="0033005A">
        <w:rPr>
          <w:rFonts w:ascii="Times New Roman" w:hAnsi="Times New Roman" w:cs="Times New Roman"/>
          <w:sz w:val="20"/>
          <w:szCs w:val="20"/>
        </w:rPr>
        <w:t xml:space="preserve"> P</w:t>
      </w:r>
      <w:r w:rsidRPr="0033005A">
        <w:rPr>
          <w:rFonts w:ascii="Times New Roman" w:eastAsia="Times New Roman" w:hAnsi="Times New Roman" w:cs="Times New Roman"/>
          <w:sz w:val="20"/>
          <w:szCs w:val="20"/>
          <w:lang w:eastAsia="lv-LV"/>
        </w:rPr>
        <w:t>rofesionālā pamatizglītība, arodizglītība, profesionālā vidējā izglītība vai pirmā līmeņa profesionālā augstākā izglītība, profesionālās pilnveides un tālākizglītības programmas</w:t>
      </w:r>
    </w:p>
  </w:footnote>
  <w:footnote w:id="134">
    <w:p w14:paraId="61CA05C4" w14:textId="366E0A40" w:rsidR="00D67CF6" w:rsidRPr="00454099" w:rsidRDefault="00D67CF6" w:rsidP="001D5EE6">
      <w:pPr>
        <w:pStyle w:val="FootnoteText"/>
        <w:spacing w:after="0" w:line="240" w:lineRule="auto"/>
        <w:rPr>
          <w:rFonts w:ascii="Times New Roman" w:hAnsi="Times New Roman"/>
          <w:lang w:val="lv-LV"/>
        </w:rPr>
      </w:pPr>
      <w:r w:rsidRPr="00454099">
        <w:rPr>
          <w:rStyle w:val="FootnoteReference"/>
          <w:rFonts w:ascii="Times New Roman" w:hAnsi="Times New Roman"/>
        </w:rPr>
        <w:footnoteRef/>
      </w:r>
      <w:r w:rsidRPr="00454099">
        <w:rPr>
          <w:rFonts w:ascii="Times New Roman" w:hAnsi="Times New Roman"/>
        </w:rPr>
        <w:t xml:space="preserve"> </w:t>
      </w:r>
      <w:r w:rsidRPr="00454099">
        <w:rPr>
          <w:rFonts w:ascii="Times New Roman" w:hAnsi="Times New Roman"/>
          <w:lang w:val="lv-LV"/>
        </w:rPr>
        <w:t xml:space="preserve">Visas SIVA izglītības programmas ir akreditētas, ar SIVA sniegto pakalpojumu apmierināti ir vidēji 95% klientu un 6 mēnešu laikā pēc mācību iestādes absolvēšanas darbā iekārtojas vidēji 46% no SIVA audzēkņiem. </w:t>
      </w:r>
    </w:p>
  </w:footnote>
  <w:footnote w:id="135">
    <w:p w14:paraId="1C4DF918" w14:textId="03A3F28B" w:rsidR="00D67CF6" w:rsidRPr="00454099" w:rsidRDefault="00D67CF6" w:rsidP="006B5D99">
      <w:pPr>
        <w:pStyle w:val="FootnoteText"/>
        <w:spacing w:after="0" w:line="240" w:lineRule="auto"/>
        <w:rPr>
          <w:rFonts w:ascii="Times New Roman" w:hAnsi="Times New Roman"/>
        </w:rPr>
      </w:pPr>
      <w:r w:rsidRPr="00454099">
        <w:rPr>
          <w:rStyle w:val="FootnoteReference"/>
          <w:rFonts w:ascii="Times New Roman" w:hAnsi="Times New Roman"/>
        </w:rPr>
        <w:footnoteRef/>
      </w:r>
      <w:r w:rsidRPr="00454099">
        <w:rPr>
          <w:rFonts w:ascii="Times New Roman" w:hAnsi="Times New Roman"/>
        </w:rPr>
        <w:t xml:space="preserve"> </w:t>
      </w:r>
      <w:r w:rsidRPr="00454099">
        <w:rPr>
          <w:rFonts w:ascii="Times New Roman" w:hAnsi="Times New Roman"/>
          <w:lang w:val="lv-LV"/>
        </w:rPr>
        <w:t>L</w:t>
      </w:r>
      <w:r w:rsidRPr="00454099">
        <w:rPr>
          <w:rFonts w:ascii="Times New Roman" w:hAnsi="Times New Roman"/>
        </w:rPr>
        <w:t>ai personas iemācītos sadzīvot ar funkcionālajiem traucējumiem, atjaunotu vai iemācītos tās prasmes, kas dažādu apstākļu dēļ ir zudušas, ar mērķi personu atgriezt ne tikai aktīvā sabiedriskajā dzīvē, bet primāri darba tirgū, kas veicina personas ekonomisko patstāvību.</w:t>
      </w:r>
    </w:p>
  </w:footnote>
  <w:footnote w:id="136">
    <w:p w14:paraId="7659C443" w14:textId="1652A823" w:rsidR="00D67CF6" w:rsidRPr="00BF7954" w:rsidRDefault="00D67CF6" w:rsidP="006B5D99">
      <w:pPr>
        <w:pStyle w:val="FootnoteText"/>
        <w:spacing w:after="0" w:line="240" w:lineRule="auto"/>
        <w:rPr>
          <w:rFonts w:ascii="Times New Roman" w:hAnsi="Times New Roman"/>
        </w:rPr>
      </w:pPr>
      <w:r w:rsidRPr="00454099">
        <w:rPr>
          <w:rStyle w:val="FootnoteReference"/>
          <w:rFonts w:ascii="Times New Roman" w:hAnsi="Times New Roman"/>
        </w:rPr>
        <w:footnoteRef/>
      </w:r>
      <w:r w:rsidRPr="00454099">
        <w:rPr>
          <w:rFonts w:ascii="Times New Roman" w:hAnsi="Times New Roman"/>
        </w:rPr>
        <w:t xml:space="preserve"> Pakalpojumu sniegšana deleģēta </w:t>
      </w:r>
      <w:r w:rsidRPr="00454099">
        <w:rPr>
          <w:rFonts w:ascii="Times New Roman" w:hAnsi="Times New Roman"/>
          <w:lang w:val="lv-LV"/>
        </w:rPr>
        <w:t>SPSPL</w:t>
      </w:r>
      <w:r w:rsidRPr="00454099">
        <w:rPr>
          <w:rFonts w:ascii="Times New Roman" w:hAnsi="Times New Roman"/>
        </w:rPr>
        <w:t xml:space="preserve"> klientu tiesības pārstāvošām organizācijām – Latvijas</w:t>
      </w:r>
      <w:r w:rsidRPr="00BF7954">
        <w:rPr>
          <w:rFonts w:ascii="Times New Roman" w:hAnsi="Times New Roman"/>
        </w:rPr>
        <w:t xml:space="preserve"> Neredzīgo biedrībai un Latvijas Nedzirdīgo savienībai </w:t>
      </w:r>
    </w:p>
  </w:footnote>
  <w:footnote w:id="137">
    <w:p w14:paraId="6CCB4788" w14:textId="1F427D63" w:rsidR="00D67CF6" w:rsidRPr="00D01A20" w:rsidRDefault="00D67CF6" w:rsidP="006B5D99">
      <w:pPr>
        <w:pStyle w:val="FootnoteText"/>
        <w:spacing w:after="0" w:line="240" w:lineRule="auto"/>
        <w:rPr>
          <w:rFonts w:ascii="Times New Roman" w:eastAsiaTheme="minorHAnsi" w:hAnsi="Times New Roman"/>
        </w:rPr>
      </w:pPr>
      <w:r w:rsidRPr="00D01A20">
        <w:rPr>
          <w:rStyle w:val="FootnoteReference"/>
          <w:rFonts w:ascii="Times New Roman" w:hAnsi="Times New Roman"/>
        </w:rPr>
        <w:footnoteRef/>
      </w:r>
      <w:r w:rsidRPr="00D01A20">
        <w:rPr>
          <w:rFonts w:ascii="Times New Roman" w:hAnsi="Times New Roman"/>
        </w:rPr>
        <w:t xml:space="preserve"> </w:t>
      </w:r>
      <w:r w:rsidRPr="00D01A20">
        <w:rPr>
          <w:rFonts w:ascii="Times New Roman" w:hAnsi="Times New Roman"/>
          <w:bCs/>
        </w:rPr>
        <w:t xml:space="preserve">Kārtību, kādā bērnam, kurš ir prettiesisku darbību (noziedzīga nodarījuma, ekspluatācijas, seksuālas izmantošanas, vardarbības vai jebkādas citas nelikumīgas, cietsirdīgas vai cieņu aizskarošas darbības) upuris, nodrošināms pakalpojums nosaka </w:t>
      </w:r>
      <w:bookmarkStart w:id="50" w:name="_Hlk50627246"/>
      <w:r w:rsidRPr="00D01A20">
        <w:rPr>
          <w:rFonts w:ascii="Times New Roman" w:hAnsi="Times New Roman"/>
          <w:bCs/>
        </w:rPr>
        <w:t xml:space="preserve">Ministru kabineta 2009. gada 22. decembra noteikumi Nr.1613 </w:t>
      </w:r>
      <w:bookmarkEnd w:id="50"/>
      <w:r w:rsidRPr="00D01A20">
        <w:rPr>
          <w:rFonts w:ascii="Times New Roman" w:hAnsi="Times New Roman"/>
          <w:bCs/>
        </w:rPr>
        <w:t xml:space="preserve">un pilngadīgām personām atbilstoši Ministru kabineta 2014.gad 23.decembra noteikumiem Nr.790 </w:t>
      </w:r>
    </w:p>
  </w:footnote>
  <w:footnote w:id="138">
    <w:p w14:paraId="4D841CB9" w14:textId="706DB1AD" w:rsidR="00D67CF6" w:rsidRPr="00D01A20" w:rsidRDefault="00D67CF6" w:rsidP="00D01A20">
      <w:pPr>
        <w:pStyle w:val="FootnoteText"/>
        <w:spacing w:after="0" w:line="240" w:lineRule="auto"/>
        <w:rPr>
          <w:rFonts w:ascii="Times New Roman" w:hAnsi="Times New Roman"/>
        </w:rPr>
      </w:pPr>
      <w:r w:rsidRPr="00D01A20">
        <w:rPr>
          <w:rStyle w:val="FootnoteReference"/>
          <w:rFonts w:ascii="Times New Roman" w:hAnsi="Times New Roman"/>
        </w:rPr>
        <w:footnoteRef/>
      </w:r>
      <w:r w:rsidRPr="00D01A20">
        <w:rPr>
          <w:rFonts w:ascii="Times New Roman" w:hAnsi="Times New Roman"/>
        </w:rPr>
        <w:t xml:space="preserve"> </w:t>
      </w:r>
      <w:r>
        <w:rPr>
          <w:rFonts w:ascii="Times New Roman" w:hAnsi="Times New Roman"/>
          <w:lang w:val="lv-LV"/>
        </w:rPr>
        <w:t xml:space="preserve">Sociālās rehabilitācijas </w:t>
      </w:r>
      <w:r w:rsidRPr="00D01A20">
        <w:rPr>
          <w:rFonts w:ascii="Times New Roman" w:hAnsi="Times New Roman"/>
        </w:rPr>
        <w:t>pakalpojuma apjoms un tā sniegšanai nepieciešamās minimālās prasības noteiktas Ministru kabineta 2017. gada 13. jūnija noteikumu Nr.338 XV. nodaļā.</w:t>
      </w:r>
    </w:p>
  </w:footnote>
  <w:footnote w:id="139">
    <w:p w14:paraId="604EC9D6" w14:textId="77777777" w:rsidR="00D67CF6" w:rsidRPr="007739DC" w:rsidRDefault="00D67CF6" w:rsidP="001D5EE6">
      <w:pPr>
        <w:pStyle w:val="FootnoteText"/>
        <w:spacing w:after="0" w:line="240" w:lineRule="auto"/>
        <w:rPr>
          <w:rFonts w:ascii="Times New Roman" w:hAnsi="Times New Roman"/>
        </w:rPr>
      </w:pPr>
      <w:r w:rsidRPr="007739DC">
        <w:rPr>
          <w:rStyle w:val="FootnoteReference"/>
          <w:rFonts w:ascii="Times New Roman" w:hAnsi="Times New Roman"/>
        </w:rPr>
        <w:footnoteRef/>
      </w:r>
      <w:r w:rsidRPr="007739DC">
        <w:rPr>
          <w:rFonts w:ascii="Times New Roman" w:hAnsi="Times New Roman"/>
        </w:rPr>
        <w:t xml:space="preserve"> Pārskati par sociālajiem pakalpojumiem un sociālo palīdzību novada/republikas pilsētas pašvaldībā 2019.gadā, </w:t>
      </w:r>
      <w:hyperlink r:id="rId43" w:history="1">
        <w:r w:rsidRPr="007739DC">
          <w:rPr>
            <w:rStyle w:val="Hyperlink"/>
            <w:rFonts w:ascii="Times New Roman" w:hAnsi="Times New Roman"/>
          </w:rPr>
          <w:t>http://www.lm.gov.lv/lv/publikacijas-petijumi-un-statistika/statistika/valsts-statistika-socialo-pakalpojumu-un-socialas-palidzibas-joma/gada-dati/17517-publikacijas-petijumi-un-statistika/statistika/valsts-statistika-socialo-pakalpojumu-un-socialas-palidzibas-joma/gada-dati/par-2019-gadu/91845-par-2018-gadu-2</w:t>
        </w:r>
      </w:hyperlink>
      <w:r w:rsidRPr="007739DC">
        <w:rPr>
          <w:rFonts w:ascii="Times New Roman" w:hAnsi="Times New Roman"/>
        </w:rPr>
        <w:t xml:space="preserve"> </w:t>
      </w:r>
    </w:p>
  </w:footnote>
  <w:footnote w:id="140">
    <w:p w14:paraId="6443F98D" w14:textId="77777777" w:rsidR="00D67CF6" w:rsidRPr="007739DC" w:rsidRDefault="00D67CF6" w:rsidP="009978A2">
      <w:pPr>
        <w:pStyle w:val="FootnoteText"/>
        <w:spacing w:after="0" w:line="240" w:lineRule="auto"/>
        <w:jc w:val="both"/>
        <w:rPr>
          <w:rFonts w:ascii="Times New Roman" w:hAnsi="Times New Roman"/>
        </w:rPr>
      </w:pPr>
      <w:r w:rsidRPr="007739DC">
        <w:rPr>
          <w:rStyle w:val="FootnoteReference"/>
          <w:rFonts w:ascii="Times New Roman" w:hAnsi="Times New Roman"/>
        </w:rPr>
        <w:footnoteRef/>
      </w:r>
      <w:r w:rsidRPr="007739DC">
        <w:rPr>
          <w:rFonts w:ascii="Times New Roman" w:hAnsi="Times New Roman"/>
        </w:rPr>
        <w:t xml:space="preserve"> </w:t>
      </w:r>
      <w:hyperlink r:id="rId44" w:history="1">
        <w:r w:rsidRPr="007739DC">
          <w:rPr>
            <w:rStyle w:val="Hyperlink"/>
            <w:rFonts w:ascii="Times New Roman" w:hAnsi="Times New Roman"/>
          </w:rPr>
          <w:t>http://www.varam.gov.lv/lat/pol/ppd/?doc=20773</w:t>
        </w:r>
      </w:hyperlink>
      <w:r w:rsidRPr="007739DC">
        <w:rPr>
          <w:rFonts w:ascii="Times New Roman" w:hAnsi="Times New Roman"/>
        </w:rPr>
        <w:t xml:space="preserve"> </w:t>
      </w:r>
    </w:p>
  </w:footnote>
  <w:footnote w:id="141">
    <w:p w14:paraId="1EC97409" w14:textId="53797233" w:rsidR="00D67CF6" w:rsidRPr="00AA2D1C" w:rsidRDefault="00D67CF6" w:rsidP="009978A2">
      <w:pPr>
        <w:pStyle w:val="FootnoteText"/>
        <w:spacing w:after="0" w:line="240" w:lineRule="auto"/>
        <w:jc w:val="both"/>
        <w:rPr>
          <w:rFonts w:ascii="Times New Roman" w:hAnsi="Times New Roman"/>
        </w:rPr>
      </w:pPr>
      <w:r w:rsidRPr="00AA2D1C">
        <w:rPr>
          <w:rStyle w:val="FootnoteReference"/>
          <w:rFonts w:ascii="Times New Roman" w:hAnsi="Times New Roman"/>
        </w:rPr>
        <w:footnoteRef/>
      </w:r>
      <w:r w:rsidRPr="00AA2D1C">
        <w:rPr>
          <w:rFonts w:ascii="Times New Roman" w:hAnsi="Times New Roman"/>
        </w:rPr>
        <w:t xml:space="preserve"> Ar dzīves kvalitāti Sociālo pakalpojumu un sociālās palīdzības likum</w:t>
      </w:r>
      <w:r>
        <w:rPr>
          <w:rFonts w:ascii="Times New Roman" w:hAnsi="Times New Roman"/>
          <w:lang w:val="lv-LV"/>
        </w:rPr>
        <w:t>a kontekstā jāsaprot</w:t>
      </w:r>
      <w:r w:rsidRPr="00AA2D1C">
        <w:rPr>
          <w:rFonts w:ascii="Times New Roman" w:hAnsi="Times New Roman"/>
        </w:rPr>
        <w:t xml:space="preserve"> personas, ģimenes vai personu grupas labklājības rādītāju, kas ietver fizisko un garīgo veselību, brīvo laiku un tā izmantošanu, darbu, izglītību, saikni ar sabiedrību, tiesības patstāvīgi pieņemt lēmumus un tos realizēt, kā arī materiālo nodrošinājumu.</w:t>
      </w:r>
    </w:p>
  </w:footnote>
  <w:footnote w:id="142">
    <w:p w14:paraId="317540A2" w14:textId="77777777" w:rsidR="00D67CF6" w:rsidRPr="009036E4" w:rsidRDefault="00D67CF6" w:rsidP="009978A2">
      <w:pPr>
        <w:pStyle w:val="FootnoteText"/>
        <w:spacing w:after="0" w:line="240" w:lineRule="auto"/>
        <w:jc w:val="both"/>
        <w:rPr>
          <w:rFonts w:ascii="Times New Roman" w:hAnsi="Times New Roman"/>
        </w:rPr>
      </w:pPr>
      <w:r w:rsidRPr="00AA2D1C">
        <w:rPr>
          <w:rStyle w:val="FootnoteReference"/>
          <w:rFonts w:ascii="Times New Roman" w:hAnsi="Times New Roman"/>
        </w:rPr>
        <w:footnoteRef/>
      </w:r>
      <w:r w:rsidRPr="00AA2D1C">
        <w:rPr>
          <w:rFonts w:ascii="Times New Roman" w:hAnsi="Times New Roman"/>
        </w:rPr>
        <w:t xml:space="preserve"> D</w:t>
      </w:r>
      <w:r w:rsidRPr="00AA2D1C">
        <w:rPr>
          <w:rFonts w:ascii="Times New Roman" w:hAnsi="Times New Roman"/>
          <w:bCs/>
          <w:shd w:val="clear" w:color="auto" w:fill="FFFFFF"/>
        </w:rPr>
        <w:t xml:space="preserve">arbības programmas "Izaugsme un nodarbinātība" 9.3.1.specifiskā atbalsta mērķa "Attīstīt pakalpojumu infrastruktūru bērnu aprūpei ģimeniskā vidē un personu ar invaliditāti neatkarīgai dzīvei un integrācijai sabiedrībā" 9.3.1.1. pasākuma "Pakalpojumu infrastruktūras attīstība deinstitucionalizācijas plānu </w:t>
      </w:r>
      <w:r w:rsidRPr="009036E4">
        <w:rPr>
          <w:rFonts w:ascii="Times New Roman" w:hAnsi="Times New Roman"/>
          <w:bCs/>
          <w:shd w:val="clear" w:color="auto" w:fill="FFFFFF"/>
        </w:rPr>
        <w:t>īstenošanai".</w:t>
      </w:r>
    </w:p>
  </w:footnote>
  <w:footnote w:id="143">
    <w:p w14:paraId="7A3D45A3" w14:textId="05DEA4BD" w:rsidR="00D67CF6" w:rsidRPr="00C162AD" w:rsidRDefault="00D67CF6" w:rsidP="00C162AD">
      <w:pPr>
        <w:pStyle w:val="FootnoteText"/>
        <w:spacing w:after="0" w:line="240" w:lineRule="auto"/>
        <w:rPr>
          <w:lang w:val="lv-LV"/>
        </w:rPr>
      </w:pPr>
      <w:r w:rsidRPr="00C162AD">
        <w:rPr>
          <w:rStyle w:val="FootnoteReference"/>
          <w:rFonts w:ascii="Times New Roman" w:hAnsi="Times New Roman"/>
        </w:rPr>
        <w:footnoteRef/>
      </w:r>
      <w:r w:rsidRPr="00C162AD">
        <w:rPr>
          <w:rFonts w:ascii="Times New Roman" w:hAnsi="Times New Roman"/>
        </w:rPr>
        <w:t xml:space="preserve"> </w:t>
      </w:r>
      <w:r w:rsidRPr="00CF38E4">
        <w:rPr>
          <w:rFonts w:ascii="Times New Roman" w:hAnsi="Times New Roman"/>
        </w:rPr>
        <w:t>SIA “TNS Latvia”, RSU aģentūra “Darba drošības un vides veselības institūts “Darba apstākļi un riski Latvijā, 2012– 2013”, Rīga, 2013</w:t>
      </w:r>
      <w:r w:rsidRPr="00CF38E4">
        <w:rPr>
          <w:rFonts w:ascii="Times New Roman" w:hAnsi="Times New Roman"/>
          <w:lang w:val="lv-LV"/>
        </w:rPr>
        <w:t xml:space="preserve">, pieejams: </w:t>
      </w:r>
      <w:hyperlink r:id="rId45" w:history="1">
        <w:r w:rsidRPr="00CF38E4">
          <w:rPr>
            <w:rStyle w:val="Hyperlink"/>
            <w:rFonts w:ascii="Times New Roman" w:hAnsi="Times New Roman"/>
          </w:rPr>
          <w:t>https://www.rsu.lv/sites/default/files/book_download/Darba_apstakli_un_riski_Latvija_2012-2013.pdf</w:t>
        </w:r>
      </w:hyperlink>
    </w:p>
  </w:footnote>
  <w:footnote w:id="144">
    <w:p w14:paraId="2F35D541" w14:textId="77777777" w:rsidR="00D67CF6" w:rsidRPr="00070E9E" w:rsidRDefault="00D67CF6" w:rsidP="00070E9E">
      <w:pPr>
        <w:pStyle w:val="FootnoteText"/>
        <w:spacing w:after="0" w:line="240" w:lineRule="auto"/>
        <w:rPr>
          <w:rFonts w:ascii="Times New Roman" w:hAnsi="Times New Roman"/>
          <w:lang w:val="lv-LV"/>
        </w:rPr>
      </w:pPr>
      <w:r w:rsidRPr="00070E9E">
        <w:rPr>
          <w:rStyle w:val="FootnoteReference"/>
          <w:rFonts w:ascii="Times New Roman" w:hAnsi="Times New Roman"/>
        </w:rPr>
        <w:footnoteRef/>
      </w:r>
      <w:r w:rsidRPr="00070E9E">
        <w:rPr>
          <w:rFonts w:ascii="Times New Roman" w:hAnsi="Times New Roman"/>
        </w:rPr>
        <w:t xml:space="preserve"> </w:t>
      </w:r>
      <w:hyperlink r:id="rId46" w:history="1">
        <w:r w:rsidRPr="00070E9E">
          <w:rPr>
            <w:rStyle w:val="Hyperlink"/>
            <w:rFonts w:ascii="Times New Roman" w:hAnsi="Times New Roman"/>
          </w:rPr>
          <w:t>http://www.tiesibsargs.lv/uploads/content/tiesibsarga_2018_gada_zinojums_1550749223.pdf</w:t>
        </w:r>
      </w:hyperlink>
    </w:p>
  </w:footnote>
  <w:footnote w:id="145">
    <w:p w14:paraId="0A000D63" w14:textId="2D10A1D3" w:rsidR="00D67CF6" w:rsidRPr="00521043" w:rsidRDefault="00D67CF6" w:rsidP="00521043">
      <w:pPr>
        <w:pStyle w:val="FootnoteText"/>
        <w:spacing w:after="0" w:line="240" w:lineRule="auto"/>
        <w:jc w:val="both"/>
        <w:rPr>
          <w:rFonts w:ascii="Times New Roman" w:hAnsi="Times New Roman"/>
          <w:lang w:val="lv-LV"/>
        </w:rPr>
      </w:pPr>
      <w:r w:rsidRPr="00272D63">
        <w:rPr>
          <w:rStyle w:val="FootnoteReference"/>
          <w:rFonts w:ascii="Times New Roman" w:hAnsi="Times New Roman"/>
        </w:rPr>
        <w:footnoteRef/>
      </w:r>
      <w:r w:rsidRPr="00272D63">
        <w:rPr>
          <w:rFonts w:ascii="Times New Roman" w:hAnsi="Times New Roman"/>
        </w:rPr>
        <w:t xml:space="preserve"> </w:t>
      </w:r>
      <w:r w:rsidRPr="008F021B">
        <w:rPr>
          <w:rFonts w:ascii="Times New Roman" w:hAnsi="Times New Roman"/>
        </w:rPr>
        <w:t>Nodibinājum</w:t>
      </w:r>
      <w:r>
        <w:rPr>
          <w:rFonts w:ascii="Times New Roman" w:hAnsi="Times New Roman"/>
        </w:rPr>
        <w:t>s</w:t>
      </w:r>
      <w:r w:rsidRPr="008F021B">
        <w:rPr>
          <w:rFonts w:ascii="Times New Roman" w:hAnsi="Times New Roman"/>
        </w:rPr>
        <w:t xml:space="preserve"> “Baltic Institute of Social Sciences</w:t>
      </w:r>
      <w:r w:rsidRPr="00521043">
        <w:rPr>
          <w:rFonts w:ascii="Times New Roman" w:hAnsi="Times New Roman"/>
        </w:rPr>
        <w:t>”, Pētījuma “Pašvaldību sociālo dienestu un sociālā darba speciālistu darbības efektivitātes novērtēšanas rezultāti un to analīze” gala ziņojums, Rīga, 2017.gada 25.</w:t>
      </w:r>
      <w:r>
        <w:rPr>
          <w:rFonts w:ascii="Times New Roman" w:hAnsi="Times New Roman"/>
          <w:lang w:val="lv-LV"/>
        </w:rPr>
        <w:t>a</w:t>
      </w:r>
      <w:r w:rsidRPr="00521043">
        <w:rPr>
          <w:rFonts w:ascii="Times New Roman" w:hAnsi="Times New Roman"/>
        </w:rPr>
        <w:t>ugusts</w:t>
      </w:r>
      <w:r w:rsidRPr="00521043">
        <w:rPr>
          <w:rFonts w:ascii="Times New Roman" w:hAnsi="Times New Roman"/>
          <w:lang w:val="lv-LV"/>
        </w:rPr>
        <w:t xml:space="preserve">, pieejams: </w:t>
      </w:r>
      <w:hyperlink r:id="rId47" w:history="1">
        <w:r w:rsidRPr="00521043">
          <w:rPr>
            <w:rStyle w:val="Hyperlink"/>
            <w:rFonts w:ascii="Times New Roman" w:hAnsi="Times New Roman"/>
          </w:rPr>
          <w:t>https://www.lm.gov.lv/sites/lm/files/data_content/5_gala_zinojums_saskanots1.pdf</w:t>
        </w:r>
      </w:hyperlink>
    </w:p>
  </w:footnote>
  <w:footnote w:id="146">
    <w:p w14:paraId="3F0E3F4B" w14:textId="77777777" w:rsidR="00D67CF6" w:rsidRPr="00FA59EC" w:rsidRDefault="00D67CF6" w:rsidP="007B3870">
      <w:pPr>
        <w:pStyle w:val="FootnoteText"/>
        <w:spacing w:after="0" w:line="240" w:lineRule="auto"/>
        <w:rPr>
          <w:rFonts w:ascii="Times New Roman" w:hAnsi="Times New Roman"/>
        </w:rPr>
      </w:pPr>
      <w:r w:rsidRPr="00FA59EC">
        <w:rPr>
          <w:rStyle w:val="FootnoteReference"/>
          <w:rFonts w:ascii="Times New Roman" w:hAnsi="Times New Roman"/>
        </w:rPr>
        <w:footnoteRef/>
      </w:r>
      <w:r w:rsidRPr="00FA59EC">
        <w:rPr>
          <w:rFonts w:ascii="Times New Roman" w:hAnsi="Times New Roman"/>
        </w:rPr>
        <w:t xml:space="preserve"> Profesiju klasifikatorā minētas 12 profesijas, tai skaitā, sociālais darbinieks darbam ar veciem cilvēkiem, sociālais darbinieks darbam ar bezpajumtniekiem, sociālais darbinieks darbam ar personām ar atkarības problēmām, sociālais darbinieks darbam ar personām brīvības atņemšanas iestādēs un personām, kuras atbrīvotas no šīm iestādēm, sociālais darbinieks darbam ar personām ar funkcionāliem traucējumiem, sociālais darbinieks darbam ar klientiem ārstniecības iestādēs, sociālais darbinieks darbam ar vardarbībā cietušām personām, sociālais darbinieks darbam ar personu grupām, kopienas sociālais darbinieks, karitatīvais sociālais darbinieks</w:t>
      </w:r>
    </w:p>
  </w:footnote>
  <w:footnote w:id="147">
    <w:p w14:paraId="209F0028" w14:textId="77777777" w:rsidR="00D67CF6" w:rsidRPr="00FA59EC" w:rsidRDefault="00D67CF6" w:rsidP="007B3870">
      <w:pPr>
        <w:pStyle w:val="Default"/>
        <w:rPr>
          <w:sz w:val="20"/>
          <w:szCs w:val="20"/>
          <w:lang w:val="en-US"/>
        </w:rPr>
      </w:pPr>
      <w:r w:rsidRPr="00FA59EC">
        <w:rPr>
          <w:rStyle w:val="FootnoteReference"/>
          <w:sz w:val="20"/>
          <w:szCs w:val="20"/>
        </w:rPr>
        <w:footnoteRef/>
      </w:r>
      <w:r w:rsidRPr="00FA59EC">
        <w:rPr>
          <w:sz w:val="20"/>
          <w:szCs w:val="20"/>
        </w:rPr>
        <w:t xml:space="preserve"> Sociālā darbinieka profesijas standarts saskaņots Profesionālās izglītības un nodarbinātības  trīspusējās sadarbības apakšpadomes 2020. gada 14. oktobra sēdē, protokols Nr. 7</w:t>
      </w:r>
    </w:p>
  </w:footnote>
  <w:footnote w:id="148">
    <w:p w14:paraId="0ED5C531" w14:textId="2020143C" w:rsidR="00D67CF6" w:rsidRPr="00156CC3" w:rsidRDefault="00D67CF6" w:rsidP="0034498F">
      <w:pPr>
        <w:pStyle w:val="FootnoteText"/>
        <w:rPr>
          <w:rFonts w:ascii="Times New Roman" w:hAnsi="Times New Roman"/>
        </w:rPr>
      </w:pPr>
      <w:r w:rsidRPr="00156CC3">
        <w:rPr>
          <w:rStyle w:val="FootnoteReference"/>
          <w:rFonts w:ascii="Times New Roman" w:hAnsi="Times New Roman"/>
        </w:rPr>
        <w:footnoteRef/>
      </w:r>
      <w:r w:rsidRPr="00156CC3">
        <w:rPr>
          <w:rFonts w:ascii="Times New Roman" w:hAnsi="Times New Roman"/>
        </w:rPr>
        <w:t xml:space="preserve"> </w:t>
      </w:r>
      <w:r w:rsidRPr="008F021B">
        <w:rPr>
          <w:rFonts w:ascii="Times New Roman" w:hAnsi="Times New Roman"/>
        </w:rPr>
        <w:t>Nodibinājum</w:t>
      </w:r>
      <w:r>
        <w:rPr>
          <w:rFonts w:ascii="Times New Roman" w:hAnsi="Times New Roman"/>
        </w:rPr>
        <w:t>s</w:t>
      </w:r>
      <w:r w:rsidRPr="008F021B">
        <w:rPr>
          <w:rFonts w:ascii="Times New Roman" w:hAnsi="Times New Roman"/>
        </w:rPr>
        <w:t xml:space="preserve"> “Baltic Institute of Social Sciences</w:t>
      </w:r>
      <w:r w:rsidRPr="00521043">
        <w:rPr>
          <w:rFonts w:ascii="Times New Roman" w:hAnsi="Times New Roman"/>
        </w:rPr>
        <w:t>”, Pētījuma “Pašvaldību sociālo dienestu un sociālā darba speciālistu darbības efektivitātes novērtēšanas rezultāti un to analīze” gala ziņojums, Rīga, 2017.gada 25.</w:t>
      </w:r>
      <w:r>
        <w:rPr>
          <w:rFonts w:ascii="Times New Roman" w:hAnsi="Times New Roman"/>
          <w:lang w:val="lv-LV"/>
        </w:rPr>
        <w:t>a</w:t>
      </w:r>
      <w:r w:rsidRPr="00521043">
        <w:rPr>
          <w:rFonts w:ascii="Times New Roman" w:hAnsi="Times New Roman"/>
        </w:rPr>
        <w:t>ugusts</w:t>
      </w:r>
      <w:r w:rsidRPr="00521043">
        <w:rPr>
          <w:rFonts w:ascii="Times New Roman" w:hAnsi="Times New Roman"/>
          <w:lang w:val="lv-LV"/>
        </w:rPr>
        <w:t xml:space="preserve">, pieejams: </w:t>
      </w:r>
      <w:hyperlink r:id="rId48" w:history="1">
        <w:r w:rsidRPr="00521043">
          <w:rPr>
            <w:rStyle w:val="Hyperlink"/>
            <w:rFonts w:ascii="Times New Roman" w:hAnsi="Times New Roman"/>
          </w:rPr>
          <w:t>https://www.lm.gov.lv/sites/lm/files/data_content/5_gala_zinojums_saskanots1.pdf</w:t>
        </w:r>
      </w:hyperlink>
    </w:p>
  </w:footnote>
  <w:footnote w:id="149">
    <w:p w14:paraId="39FAA74B" w14:textId="77777777" w:rsidR="00D67CF6" w:rsidRPr="00552077" w:rsidRDefault="00D67CF6" w:rsidP="00552077">
      <w:pPr>
        <w:pStyle w:val="FootnoteText"/>
        <w:spacing w:after="0" w:line="240" w:lineRule="auto"/>
        <w:jc w:val="both"/>
        <w:rPr>
          <w:rFonts w:ascii="Times New Roman" w:hAnsi="Times New Roman"/>
          <w:lang w:val="en-US"/>
        </w:rPr>
      </w:pPr>
      <w:r w:rsidRPr="00552077">
        <w:rPr>
          <w:rStyle w:val="FootnoteReference"/>
          <w:rFonts w:ascii="Times New Roman" w:hAnsi="Times New Roman"/>
        </w:rPr>
        <w:footnoteRef/>
      </w:r>
      <w:r w:rsidRPr="00552077">
        <w:rPr>
          <w:rFonts w:ascii="Times New Roman" w:hAnsi="Times New Roman"/>
        </w:rPr>
        <w:t xml:space="preserve"> </w:t>
      </w:r>
      <w:hyperlink r:id="rId49" w:history="1">
        <w:r w:rsidRPr="00552077">
          <w:rPr>
            <w:rStyle w:val="Hyperlink"/>
            <w:rFonts w:ascii="Times New Roman" w:hAnsi="Times New Roman"/>
            <w:lang w:eastAsia="lv-LV"/>
          </w:rPr>
          <w:t>https://izm.gov.lv/lv/sabiedribas-lidzdaliba/sabiedriskajai-apspriesanai-nodotie-normativo-aktu-projekti/2682-informativais-zinojums-priekslikumi-konceptuali-jaunas-kompetences-balstitas-izglitibas-prasibam-atbilstosas-skolotaju-izglitibas-nodrosinasanai-latvija</w:t>
        </w:r>
      </w:hyperlink>
      <w:r w:rsidRPr="00552077">
        <w:rPr>
          <w:rFonts w:ascii="Times New Roman" w:eastAsia="Times New Roman" w:hAnsi="Times New Roman"/>
          <w:lang w:eastAsia="lv-LV"/>
        </w:rPr>
        <w:t>, 12.lpp.</w:t>
      </w:r>
    </w:p>
  </w:footnote>
  <w:footnote w:id="150">
    <w:p w14:paraId="5FF0AE74" w14:textId="77777777" w:rsidR="00D67CF6" w:rsidRPr="00265B22" w:rsidRDefault="00D67CF6" w:rsidP="00265B22">
      <w:pPr>
        <w:pStyle w:val="FootnoteText"/>
        <w:spacing w:after="0" w:line="240" w:lineRule="auto"/>
        <w:rPr>
          <w:rFonts w:ascii="Times New Roman" w:hAnsi="Times New Roman"/>
          <w:lang w:val="en-US"/>
        </w:rPr>
      </w:pPr>
      <w:r w:rsidRPr="00265B22">
        <w:rPr>
          <w:rStyle w:val="FootnoteReference"/>
          <w:rFonts w:ascii="Times New Roman" w:hAnsi="Times New Roman"/>
        </w:rPr>
        <w:footnoteRef/>
      </w:r>
      <w:r w:rsidRPr="00265B22">
        <w:rPr>
          <w:rFonts w:ascii="Times New Roman" w:hAnsi="Times New Roman"/>
        </w:rPr>
        <w:t xml:space="preserve"> </w:t>
      </w:r>
      <w:r w:rsidRPr="00265B22">
        <w:rPr>
          <w:rFonts w:ascii="Times New Roman" w:eastAsia="Times New Roman" w:hAnsi="Times New Roman"/>
          <w:i/>
          <w:iCs/>
          <w:color w:val="000000"/>
          <w:lang w:eastAsia="lv-LV"/>
        </w:rPr>
        <w:t xml:space="preserve">UK pētījumu par personu centrēto pieeju </w:t>
      </w:r>
      <w:hyperlink r:id="rId50" w:history="1">
        <w:r w:rsidRPr="00265B22">
          <w:rPr>
            <w:rStyle w:val="Hyperlink"/>
            <w:rFonts w:ascii="Times New Roman" w:hAnsi="Times New Roman"/>
            <w:lang w:eastAsia="lv-LV"/>
          </w:rPr>
          <w:t>https://assets.publishing.service.gov.uk/government/uploads/system/uploads/attachment_data/file/292453/mental-capital-wellbeing-summary.pdf</w:t>
        </w:r>
      </w:hyperlink>
      <w:r w:rsidRPr="00265B22">
        <w:rPr>
          <w:rFonts w:ascii="Times New Roman" w:eastAsia="Times New Roman" w:hAnsi="Times New Roman"/>
          <w:i/>
          <w:iCs/>
          <w:color w:val="000000"/>
          <w:lang w:eastAsia="lv-LV"/>
        </w:rPr>
        <w:t>, 55.lpp</w:t>
      </w:r>
    </w:p>
  </w:footnote>
  <w:footnote w:id="151">
    <w:p w14:paraId="2F61798C" w14:textId="77777777" w:rsidR="00D67CF6" w:rsidRPr="00521043" w:rsidRDefault="00D67CF6" w:rsidP="00521043">
      <w:pPr>
        <w:pStyle w:val="FootnoteText"/>
        <w:spacing w:after="0" w:line="240" w:lineRule="auto"/>
        <w:jc w:val="both"/>
        <w:rPr>
          <w:rFonts w:ascii="Times New Roman" w:hAnsi="Times New Roman"/>
          <w:lang w:val="en-US"/>
        </w:rPr>
      </w:pPr>
      <w:r w:rsidRPr="00521043">
        <w:rPr>
          <w:rStyle w:val="FootnoteReference"/>
          <w:rFonts w:ascii="Times New Roman" w:hAnsi="Times New Roman"/>
        </w:rPr>
        <w:footnoteRef/>
      </w:r>
      <w:r w:rsidRPr="00521043">
        <w:rPr>
          <w:rFonts w:ascii="Times New Roman" w:hAnsi="Times New Roman"/>
        </w:rPr>
        <w:t xml:space="preserve"> </w:t>
      </w:r>
      <w:hyperlink r:id="rId51" w:history="1">
        <w:r w:rsidRPr="00521043">
          <w:rPr>
            <w:rFonts w:ascii="Times New Roman" w:eastAsia="Times New Roman" w:hAnsi="Times New Roman"/>
            <w:color w:val="000000"/>
            <w:u w:val="single"/>
            <w:lang w:eastAsia="lv-LV"/>
          </w:rPr>
          <w:t xml:space="preserve"> </w:t>
        </w:r>
        <w:r w:rsidRPr="00521043">
          <w:rPr>
            <w:rFonts w:ascii="Times New Roman" w:eastAsia="Times New Roman" w:hAnsi="Times New Roman"/>
            <w:color w:val="1155CC"/>
            <w:u w:val="single"/>
            <w:lang w:eastAsia="lv-LV"/>
          </w:rPr>
          <w:t>https://www.governanceprinciples.scot/governance-vs-management</w:t>
        </w:r>
      </w:hyperlink>
    </w:p>
  </w:footnote>
  <w:footnote w:id="152">
    <w:p w14:paraId="6D8A20E7" w14:textId="72BF9A1B" w:rsidR="00D67CF6" w:rsidRPr="00521043" w:rsidRDefault="00D67CF6" w:rsidP="00521043">
      <w:pPr>
        <w:spacing w:after="0" w:line="240" w:lineRule="auto"/>
        <w:jc w:val="both"/>
        <w:rPr>
          <w:rFonts w:ascii="Times New Roman" w:eastAsia="Times New Roman" w:hAnsi="Times New Roman" w:cs="Times New Roman"/>
          <w:sz w:val="20"/>
          <w:szCs w:val="20"/>
          <w:lang w:eastAsia="lv-LV"/>
        </w:rPr>
      </w:pPr>
      <w:r w:rsidRPr="00521043">
        <w:rPr>
          <w:rStyle w:val="FootnoteReference"/>
          <w:rFonts w:ascii="Times New Roman" w:hAnsi="Times New Roman" w:cs="Times New Roman"/>
          <w:sz w:val="20"/>
          <w:szCs w:val="20"/>
        </w:rPr>
        <w:footnoteRef/>
      </w:r>
      <w:r w:rsidRPr="00521043">
        <w:rPr>
          <w:rFonts w:ascii="Times New Roman" w:hAnsi="Times New Roman" w:cs="Times New Roman"/>
          <w:sz w:val="20"/>
          <w:szCs w:val="20"/>
        </w:rPr>
        <w:t xml:space="preserve"> </w:t>
      </w:r>
      <w:r w:rsidRPr="00521043">
        <w:rPr>
          <w:rFonts w:ascii="Times New Roman" w:hAnsi="Times New Roman" w:cs="Times New Roman"/>
          <w:sz w:val="20"/>
          <w:szCs w:val="20"/>
          <w:lang w:val="x-none"/>
        </w:rPr>
        <w:t>Valsts kontrole,</w:t>
      </w:r>
      <w:r w:rsidRPr="00521043">
        <w:rPr>
          <w:rFonts w:ascii="Times New Roman" w:hAnsi="Times New Roman" w:cs="Times New Roman"/>
          <w:sz w:val="20"/>
          <w:szCs w:val="20"/>
        </w:rPr>
        <w:t xml:space="preserve"> Revīzijas ziņojums “Vai valstī īstenotā sociālās iekļaušanas politika sasniedz tai izvirzītos mērķus nabadzības mazināšanas jomā?”</w:t>
      </w:r>
      <w:r w:rsidRPr="00521043">
        <w:rPr>
          <w:rFonts w:ascii="Times New Roman" w:hAnsi="Times New Roman" w:cs="Times New Roman"/>
          <w:sz w:val="20"/>
          <w:szCs w:val="20"/>
          <w:lang w:val="x-none"/>
        </w:rPr>
        <w:t xml:space="preserve"> (</w:t>
      </w:r>
      <w:r w:rsidRPr="00521043">
        <w:rPr>
          <w:rFonts w:ascii="Times New Roman" w:hAnsi="Times New Roman" w:cs="Times New Roman"/>
          <w:sz w:val="20"/>
          <w:szCs w:val="20"/>
        </w:rPr>
        <w:t>apstiprināts ar Valsts kontroles Trešā revīzijas departamenta 28.04.2020. lēmumu Nr.2.4.1-7/2019; revīzijas publiskošanas datums 14.05.2020.</w:t>
      </w:r>
      <w:r w:rsidRPr="00521043">
        <w:rPr>
          <w:rFonts w:ascii="Times New Roman" w:hAnsi="Times New Roman" w:cs="Times New Roman"/>
          <w:sz w:val="20"/>
          <w:szCs w:val="20"/>
          <w:lang w:val="x-none"/>
        </w:rPr>
        <w:t>)</w:t>
      </w:r>
      <w:r w:rsidRPr="00521043">
        <w:rPr>
          <w:rFonts w:ascii="Times New Roman" w:hAnsi="Times New Roman" w:cs="Times New Roman"/>
          <w:sz w:val="20"/>
          <w:szCs w:val="20"/>
        </w:rPr>
        <w:t xml:space="preserve">, pieejams: </w:t>
      </w:r>
      <w:hyperlink r:id="rId52" w:history="1">
        <w:r w:rsidRPr="00521043">
          <w:rPr>
            <w:rStyle w:val="Hyperlink"/>
            <w:rFonts w:ascii="Times New Roman" w:hAnsi="Times New Roman" w:cs="Times New Roman"/>
            <w:sz w:val="20"/>
            <w:szCs w:val="20"/>
          </w:rPr>
          <w:t>https://www.lrvk.gov.lv/lv/revizijas/revizijas/noslegtas-revizijas/vai-valsti-istenota-socialas-ieklausanas-politika-sasniedz-tai-izvirzitos-merkus-nabadzibas-mazinasanas-joma</w:t>
        </w:r>
      </w:hyperlink>
    </w:p>
  </w:footnote>
  <w:footnote w:id="153">
    <w:p w14:paraId="20F7FB97" w14:textId="7A8EBC5F" w:rsidR="00D67CF6" w:rsidRPr="000C39D7" w:rsidRDefault="00D67CF6" w:rsidP="000C39D7">
      <w:pPr>
        <w:pStyle w:val="FootnoteText"/>
        <w:spacing w:after="0" w:line="240" w:lineRule="auto"/>
        <w:rPr>
          <w:rFonts w:ascii="Times New Roman" w:hAnsi="Times New Roman"/>
          <w:lang w:val="lv-LV"/>
        </w:rPr>
      </w:pPr>
      <w:r w:rsidRPr="000C39D7">
        <w:rPr>
          <w:rStyle w:val="FootnoteReference"/>
          <w:rFonts w:ascii="Times New Roman" w:hAnsi="Times New Roman"/>
        </w:rPr>
        <w:footnoteRef/>
      </w:r>
      <w:r w:rsidRPr="000C39D7">
        <w:rPr>
          <w:rFonts w:ascii="Times New Roman" w:hAnsi="Times New Roman"/>
        </w:rPr>
        <w:t xml:space="preserve"> Nodibinājums “Baltic Institute of Social Sciences”, Pētījuma “Pašvaldību sociālo dienestu un sociālā darba speciālistu darbības efektivitātes novērtēšanas rezultāti un to analīze” gala ziņojums, Rīga, 2017.gada 25.</w:t>
      </w:r>
      <w:r w:rsidRPr="000C39D7">
        <w:rPr>
          <w:rFonts w:ascii="Times New Roman" w:hAnsi="Times New Roman"/>
          <w:lang w:val="lv-LV"/>
        </w:rPr>
        <w:t>a</w:t>
      </w:r>
      <w:r w:rsidRPr="000C39D7">
        <w:rPr>
          <w:rFonts w:ascii="Times New Roman" w:hAnsi="Times New Roman"/>
        </w:rPr>
        <w:t>ugusts</w:t>
      </w:r>
      <w:r w:rsidRPr="000C39D7">
        <w:rPr>
          <w:rFonts w:ascii="Times New Roman" w:hAnsi="Times New Roman"/>
          <w:lang w:val="lv-LV"/>
        </w:rPr>
        <w:t xml:space="preserve">, pieejams: </w:t>
      </w:r>
      <w:hyperlink r:id="rId53" w:history="1">
        <w:r w:rsidRPr="000C39D7">
          <w:rPr>
            <w:rStyle w:val="Hyperlink"/>
            <w:rFonts w:ascii="Times New Roman" w:hAnsi="Times New Roman"/>
          </w:rPr>
          <w:t>https://www.lm.gov.lv/sites/lm/files/data_content/5_gala_zinojums_saskanots1.pdf</w:t>
        </w:r>
      </w:hyperlink>
    </w:p>
  </w:footnote>
  <w:footnote w:id="154">
    <w:p w14:paraId="7785724A" w14:textId="23427384" w:rsidR="00D67CF6" w:rsidRPr="0080291F" w:rsidRDefault="00D67CF6" w:rsidP="00763C6D">
      <w:pPr>
        <w:pStyle w:val="FootnoteText"/>
        <w:spacing w:after="0" w:line="240" w:lineRule="auto"/>
        <w:rPr>
          <w:rFonts w:ascii="Times New Roman" w:hAnsi="Times New Roman"/>
          <w:lang w:val="lv-LV"/>
        </w:rPr>
      </w:pPr>
      <w:r w:rsidRPr="0080291F">
        <w:rPr>
          <w:rStyle w:val="FootnoteReference"/>
          <w:rFonts w:ascii="Times New Roman" w:hAnsi="Times New Roman"/>
        </w:rPr>
        <w:footnoteRef/>
      </w:r>
      <w:r w:rsidRPr="0080291F">
        <w:rPr>
          <w:rFonts w:ascii="Times New Roman" w:hAnsi="Times New Roman"/>
        </w:rPr>
        <w:t xml:space="preserve"> Pētījums “Pieeja tiesiskumam Latvijā”</w:t>
      </w:r>
      <w:r w:rsidRPr="0080291F">
        <w:rPr>
          <w:rFonts w:ascii="Times New Roman" w:hAnsi="Times New Roman"/>
          <w:lang w:val="lv-LV"/>
        </w:rPr>
        <w:t xml:space="preserve">, </w:t>
      </w:r>
      <w:r>
        <w:rPr>
          <w:rFonts w:ascii="Times New Roman" w:hAnsi="Times New Roman"/>
          <w:lang w:val="lv-LV"/>
        </w:rPr>
        <w:t xml:space="preserve">2020.gads; </w:t>
      </w:r>
      <w:r w:rsidRPr="0080291F">
        <w:rPr>
          <w:rFonts w:ascii="Times New Roman" w:hAnsi="Times New Roman"/>
          <w:lang w:val="lv-LV"/>
        </w:rPr>
        <w:t xml:space="preserve">pieejams: </w:t>
      </w:r>
      <w:hyperlink r:id="rId54" w:history="1">
        <w:r w:rsidRPr="0080291F">
          <w:rPr>
            <w:rStyle w:val="Hyperlink"/>
            <w:rFonts w:ascii="Times New Roman" w:hAnsi="Times New Roman"/>
          </w:rPr>
          <w:t>https://www.tm.gov.lv/lv/tehniska-palidziba-tieslietu-ministrijai-es-fondu-planosanai-nr1013019tp00</w:t>
        </w:r>
        <w:r w:rsidRPr="0080291F">
          <w:rPr>
            <w:rStyle w:val="Hyperlink"/>
            <w:rFonts w:ascii="Times New Roman" w:hAnsi="Times New Roman"/>
            <w:lang w:val="lv-LV"/>
          </w:rPr>
          <w:t>6</w:t>
        </w:r>
      </w:hyperlink>
      <w:r w:rsidRPr="0080291F">
        <w:rPr>
          <w:rFonts w:ascii="Times New Roman" w:hAnsi="Times New Roman"/>
          <w:lang w:val="lv-LV"/>
        </w:rPr>
        <w:t xml:space="preserve"> </w:t>
      </w:r>
    </w:p>
  </w:footnote>
  <w:footnote w:id="155">
    <w:p w14:paraId="4980B64F" w14:textId="55AEDB7F" w:rsidR="00D67CF6" w:rsidRPr="00760092" w:rsidRDefault="00D67CF6" w:rsidP="00653445">
      <w:pPr>
        <w:pStyle w:val="FootnoteText"/>
        <w:spacing w:after="0" w:line="240" w:lineRule="auto"/>
        <w:jc w:val="both"/>
        <w:rPr>
          <w:lang w:val="lv-LV"/>
        </w:rPr>
      </w:pPr>
      <w:r>
        <w:rPr>
          <w:rStyle w:val="FootnoteReference"/>
        </w:rPr>
        <w:footnoteRef/>
      </w:r>
      <w:r>
        <w:t xml:space="preserve"> </w:t>
      </w:r>
      <w:r w:rsidRPr="00B95E54">
        <w:rPr>
          <w:rFonts w:ascii="Times New Roman" w:hAnsi="Times New Roman"/>
          <w:lang w:val="en-US"/>
        </w:rPr>
        <w:t xml:space="preserve">OECD </w:t>
      </w:r>
      <w:r w:rsidRPr="00B95E54">
        <w:rPr>
          <w:rFonts w:ascii="Times New Roman" w:eastAsia="Times New Roman" w:hAnsi="Times New Roman"/>
          <w:color w:val="000000"/>
          <w:lang w:eastAsia="lv-LV"/>
        </w:rPr>
        <w:t>pētījums “Cilvēku sasaiste ar darbvietām: Latvija”</w:t>
      </w:r>
      <w:r>
        <w:rPr>
          <w:rFonts w:ascii="Times New Roman" w:eastAsia="Times New Roman" w:hAnsi="Times New Roman"/>
          <w:color w:val="000000"/>
          <w:lang w:val="lv-LV" w:eastAsia="lv-LV"/>
        </w:rPr>
        <w:t>, 2019,</w:t>
      </w:r>
      <w:r w:rsidRPr="00B90C44">
        <w:rPr>
          <w:rFonts w:ascii="Times New Roman" w:eastAsia="Times New Roman" w:hAnsi="Times New Roman"/>
          <w:color w:val="000000"/>
          <w:lang w:eastAsia="lv-LV"/>
        </w:rPr>
        <w:t xml:space="preserve"> pieejams https://www.oecd.org/latvia/cilveku-sasaiste-ar-darbavietam-ce74856f-lv.htm</w:t>
      </w:r>
    </w:p>
  </w:footnote>
  <w:footnote w:id="156">
    <w:p w14:paraId="69DEC698" w14:textId="77777777" w:rsidR="00D67CF6" w:rsidRPr="00EB5163" w:rsidRDefault="00D67CF6" w:rsidP="00C86B2B">
      <w:pPr>
        <w:pStyle w:val="FootnoteText"/>
        <w:spacing w:after="0" w:line="240" w:lineRule="auto"/>
        <w:rPr>
          <w:rFonts w:ascii="Times New Roman" w:hAnsi="Times New Roman"/>
        </w:rPr>
      </w:pPr>
      <w:r w:rsidRPr="00EB5163">
        <w:rPr>
          <w:rStyle w:val="FootnoteReference"/>
          <w:rFonts w:ascii="Times New Roman" w:eastAsiaTheme="minorHAnsi" w:hAnsi="Times New Roman"/>
        </w:rPr>
        <w:footnoteRef/>
      </w:r>
      <w:r w:rsidRPr="00EB5163">
        <w:rPr>
          <w:rFonts w:ascii="Times New Roman" w:hAnsi="Times New Roman"/>
        </w:rPr>
        <w:t xml:space="preserve"> https://eur-lex.europa.eu/legal-content/LV/TXT/?uri=celex:32016H0220(01)</w:t>
      </w:r>
    </w:p>
  </w:footnote>
  <w:footnote w:id="157">
    <w:p w14:paraId="2275A384" w14:textId="77777777" w:rsidR="00D67CF6" w:rsidRPr="00EB5163" w:rsidRDefault="00D67CF6" w:rsidP="00653445">
      <w:pPr>
        <w:pStyle w:val="FootnoteText"/>
        <w:spacing w:after="0" w:line="240" w:lineRule="auto"/>
        <w:jc w:val="both"/>
        <w:rPr>
          <w:rFonts w:ascii="Times New Roman" w:hAnsi="Times New Roman"/>
        </w:rPr>
      </w:pPr>
      <w:r w:rsidRPr="00EB5163">
        <w:rPr>
          <w:rStyle w:val="FootnoteReference"/>
          <w:rFonts w:ascii="Times New Roman" w:eastAsiaTheme="minorHAnsi" w:hAnsi="Times New Roman"/>
        </w:rPr>
        <w:footnoteRef/>
      </w:r>
      <w:r w:rsidRPr="00EB5163">
        <w:rPr>
          <w:rFonts w:ascii="Times New Roman" w:hAnsi="Times New Roman"/>
        </w:rPr>
        <w:t xml:space="preserve"> Pieejams: </w:t>
      </w:r>
      <w:hyperlink r:id="rId55" w:history="1">
        <w:r w:rsidRPr="00EB5163">
          <w:rPr>
            <w:rStyle w:val="Hyperlink"/>
            <w:rFonts w:ascii="Times New Roman" w:hAnsi="Times New Roman"/>
          </w:rPr>
          <w:t>https://ec.europa.eu/social/main.jsp?langId=en&amp;catId=89&amp;newsId=9346&amp;furtherNews=yes</w:t>
        </w:r>
      </w:hyperlink>
      <w:r w:rsidRPr="00EB5163">
        <w:rPr>
          <w:rFonts w:ascii="Times New Roman" w:hAnsi="Times New Roman"/>
        </w:rPr>
        <w:t xml:space="preserve"> Atšķirībā no iepriekšējā novērtējuma (skat. </w:t>
      </w:r>
      <w:hyperlink r:id="rId56" w:history="1">
        <w:r w:rsidRPr="00EB5163">
          <w:rPr>
            <w:rStyle w:val="Hyperlink"/>
            <w:rFonts w:ascii="Times New Roman" w:hAnsi="Times New Roman"/>
          </w:rPr>
          <w:t>http://ec.europa.eu/social/BlobServlet?docId=15130&amp;langId=en</w:t>
        </w:r>
      </w:hyperlink>
      <w:r w:rsidRPr="00EB5163">
        <w:rPr>
          <w:rFonts w:ascii="Times New Roman" w:hAnsi="Times New Roman"/>
        </w:rPr>
        <w:t xml:space="preserve">) novērtējumā papildus tika iekļauti ilgstošo bezdarbnieku kontaktpunkta, līguma par integrāciju darba tirgū, nodarbinātības dienestu kapacitātes atspoguļojuma izvērtējumi. </w:t>
      </w:r>
    </w:p>
    <w:p w14:paraId="160EC0D1" w14:textId="77777777" w:rsidR="00D67CF6" w:rsidRPr="00EB5163" w:rsidRDefault="00D67CF6" w:rsidP="00C86B2B">
      <w:pPr>
        <w:pStyle w:val="FootnoteText"/>
        <w:spacing w:after="0" w:line="240" w:lineRule="auto"/>
        <w:rPr>
          <w:rFonts w:ascii="Times New Roman" w:hAnsi="Times New Roman"/>
        </w:rPr>
      </w:pPr>
    </w:p>
  </w:footnote>
  <w:footnote w:id="158">
    <w:p w14:paraId="4F07DECD" w14:textId="77777777" w:rsidR="00D67CF6" w:rsidRPr="00AD7D67" w:rsidRDefault="00D67CF6" w:rsidP="00763C6D">
      <w:pPr>
        <w:pStyle w:val="Vresteksts"/>
        <w:rPr>
          <w:rFonts w:ascii="Times New Roman" w:hAnsi="Times New Roman"/>
        </w:rPr>
      </w:pPr>
      <w:r w:rsidRPr="00AD7D67">
        <w:rPr>
          <w:rStyle w:val="FootnoteReference"/>
          <w:rFonts w:ascii="Times New Roman" w:hAnsi="Times New Roman"/>
        </w:rPr>
        <w:footnoteRef/>
      </w:r>
      <w:r w:rsidRPr="00AD7D67">
        <w:rPr>
          <w:rFonts w:ascii="Times New Roman" w:hAnsi="Times New Roman"/>
        </w:rPr>
        <w:t xml:space="preserve"> Dati par  2014., 2015., 2016., 2017. un 2018 gada dati atspoguļo situāciju uz 2018.gada decembri. 2019.gada dati atspoguļo situāciju uz 2019.gada decembri.</w:t>
      </w:r>
    </w:p>
  </w:footnote>
  <w:footnote w:id="159">
    <w:p w14:paraId="7BFB463F" w14:textId="40A06FF4" w:rsidR="00D67CF6" w:rsidRPr="00EE7975" w:rsidRDefault="00D67CF6" w:rsidP="00B661CA">
      <w:pPr>
        <w:pStyle w:val="FootnoteText"/>
        <w:spacing w:after="0" w:line="240" w:lineRule="auto"/>
        <w:rPr>
          <w:rFonts w:ascii="Times New Roman" w:hAnsi="Times New Roman"/>
          <w:lang w:val="lv-LV"/>
        </w:rPr>
      </w:pPr>
      <w:r w:rsidRPr="007739DC">
        <w:rPr>
          <w:rStyle w:val="FootnoteReference"/>
          <w:rFonts w:ascii="Times New Roman" w:hAnsi="Times New Roman"/>
        </w:rPr>
        <w:footnoteRef/>
      </w:r>
      <w:r>
        <w:rPr>
          <w:rFonts w:ascii="Times New Roman" w:hAnsi="Times New Roman"/>
          <w:lang w:val="lv-LV"/>
        </w:rPr>
        <w:t xml:space="preserve"> OECD pētījums “Cilvēku sasaiste ar darbavietām: Latvija” 88.lp. </w:t>
      </w:r>
      <w:r w:rsidRPr="00BB2344">
        <w:rPr>
          <w:rFonts w:ascii="Times New Roman" w:hAnsi="Times New Roman"/>
          <w:lang w:val="lv-LV"/>
        </w:rPr>
        <w:t>https://www.oecd.org/latvia/cilveku-sasaiste-ar-darbavietam-ce74856f-lv.htm</w:t>
      </w:r>
    </w:p>
  </w:footnote>
  <w:footnote w:id="160">
    <w:p w14:paraId="71C2CEAD" w14:textId="4DCC0FB5" w:rsidR="00D67CF6" w:rsidRPr="00EE7975" w:rsidRDefault="00D67CF6" w:rsidP="00B661CA">
      <w:pPr>
        <w:pStyle w:val="FootnoteText"/>
        <w:spacing w:after="0" w:line="240" w:lineRule="auto"/>
        <w:rPr>
          <w:rFonts w:ascii="Times New Roman" w:hAnsi="Times New Roman"/>
          <w:lang w:val="lv-LV"/>
        </w:rPr>
      </w:pPr>
      <w:r w:rsidRPr="007739DC">
        <w:rPr>
          <w:rStyle w:val="FootnoteReference"/>
          <w:rFonts w:ascii="Times New Roman" w:hAnsi="Times New Roman"/>
        </w:rPr>
        <w:footnoteRef/>
      </w:r>
      <w:r>
        <w:rPr>
          <w:rFonts w:ascii="Times New Roman" w:hAnsi="Times New Roman"/>
          <w:lang w:val="lv-LV"/>
        </w:rPr>
        <w:t xml:space="preserve">OECD pētījums “Cilvēku sasaiste ar darbavietām: Latvija”, </w:t>
      </w:r>
      <w:r w:rsidRPr="00570129">
        <w:rPr>
          <w:rFonts w:ascii="Times New Roman" w:hAnsi="Times New Roman"/>
          <w:lang w:val="lv-LV"/>
        </w:rPr>
        <w:t>28., 276., 254.-279.lp.,</w:t>
      </w:r>
      <w:r>
        <w:rPr>
          <w:rFonts w:ascii="Times New Roman" w:hAnsi="Times New Roman"/>
          <w:lang w:val="lv-LV"/>
        </w:rPr>
        <w:t xml:space="preserve"> pieejams: </w:t>
      </w:r>
      <w:r w:rsidRPr="00BB2344">
        <w:rPr>
          <w:rFonts w:ascii="Times New Roman" w:hAnsi="Times New Roman"/>
          <w:lang w:val="lv-LV"/>
        </w:rPr>
        <w:t>https://www.oecd.org/latvia/cilveku-sasaiste-ar-darbavietam-ce74856f-lv.htm</w:t>
      </w:r>
    </w:p>
  </w:footnote>
  <w:footnote w:id="161">
    <w:p w14:paraId="21DFD606" w14:textId="77777777" w:rsidR="00D67CF6" w:rsidRPr="00D63A78" w:rsidRDefault="00D67CF6" w:rsidP="00FC3D1E">
      <w:pPr>
        <w:pStyle w:val="FootnoteText"/>
        <w:spacing w:after="0" w:line="240" w:lineRule="auto"/>
        <w:rPr>
          <w:rFonts w:ascii="Times New Roman" w:hAnsi="Times New Roman"/>
          <w:lang w:val="lv-LV"/>
        </w:rPr>
      </w:pPr>
      <w:r w:rsidRPr="00D63A78">
        <w:rPr>
          <w:rStyle w:val="FootnoteReference"/>
          <w:rFonts w:ascii="Times New Roman" w:hAnsi="Times New Roman"/>
        </w:rPr>
        <w:footnoteRef/>
      </w:r>
      <w:r w:rsidRPr="00D63A78">
        <w:rPr>
          <w:rFonts w:ascii="Times New Roman" w:hAnsi="Times New Roman"/>
        </w:rPr>
        <w:t xml:space="preserve"> </w:t>
      </w:r>
      <w:r w:rsidRPr="00D63A78">
        <w:rPr>
          <w:rFonts w:ascii="Times New Roman" w:hAnsi="Times New Roman"/>
          <w:lang w:val="lv-LV"/>
        </w:rPr>
        <w:t xml:space="preserve">Pieejams: </w:t>
      </w:r>
      <w:hyperlink r:id="rId57" w:history="1">
        <w:r w:rsidRPr="00D63A78">
          <w:rPr>
            <w:rStyle w:val="Hyperlink"/>
            <w:rFonts w:ascii="Times New Roman" w:hAnsi="Times New Roman"/>
          </w:rPr>
          <w:t>https://eur-lex.europa.eu/legal-content/EN/TXT/PDF/?uri=CELEX:52020DC0277&amp;qid=1598525620892&amp;from=EN</w:t>
        </w:r>
      </w:hyperlink>
    </w:p>
  </w:footnote>
  <w:footnote w:id="162">
    <w:p w14:paraId="15761AF4" w14:textId="040F686C" w:rsidR="00D67CF6" w:rsidRPr="00D63A78" w:rsidRDefault="00D67CF6" w:rsidP="00FC3D1E">
      <w:pPr>
        <w:pStyle w:val="FootnoteText"/>
        <w:spacing w:after="0" w:line="240" w:lineRule="auto"/>
        <w:rPr>
          <w:rFonts w:ascii="Times New Roman" w:hAnsi="Times New Roman"/>
          <w:lang w:val="lv-LV"/>
        </w:rPr>
      </w:pPr>
      <w:r w:rsidRPr="00D63A78">
        <w:rPr>
          <w:rStyle w:val="FootnoteReference"/>
          <w:rFonts w:ascii="Times New Roman" w:hAnsi="Times New Roman"/>
        </w:rPr>
        <w:footnoteRef/>
      </w:r>
      <w:r w:rsidRPr="00D63A78">
        <w:rPr>
          <w:rFonts w:ascii="Times New Roman" w:hAnsi="Times New Roman"/>
          <w:lang w:val="lv-LV"/>
        </w:rPr>
        <w:t xml:space="preserve"> </w:t>
      </w:r>
      <w:r w:rsidRPr="00D63A78">
        <w:rPr>
          <w:rFonts w:ascii="Times New Roman" w:hAnsi="Times New Roman"/>
        </w:rPr>
        <w:t>http://data1.csb.gov.lv/pxweb/lv/sociala/sociala__nodarb__aktivitate__isterm/NB280c.px/table/tableViewLayout1/</w:t>
      </w:r>
    </w:p>
  </w:footnote>
  <w:footnote w:id="163">
    <w:p w14:paraId="2011FB8E" w14:textId="22CA4063" w:rsidR="00D67CF6" w:rsidRPr="00653445" w:rsidRDefault="00D67CF6" w:rsidP="00653445">
      <w:pPr>
        <w:pStyle w:val="FootnoteText"/>
        <w:spacing w:after="0" w:line="240" w:lineRule="auto"/>
        <w:rPr>
          <w:rFonts w:ascii="Times New Roman" w:hAnsi="Times New Roman"/>
          <w:lang w:val="lv-LV"/>
        </w:rPr>
      </w:pPr>
      <w:r>
        <w:rPr>
          <w:rStyle w:val="FootnoteReference"/>
        </w:rPr>
        <w:footnoteRef/>
      </w:r>
      <w:r>
        <w:t xml:space="preserve"> </w:t>
      </w:r>
      <w:hyperlink r:id="rId58" w:history="1">
        <w:r w:rsidRPr="00653445">
          <w:rPr>
            <w:rStyle w:val="Hyperlink"/>
            <w:rFonts w:ascii="Times New Roman" w:hAnsi="Times New Roman"/>
          </w:rPr>
          <w:t>https://www.lm.gov.lv/lv/apmacibu-komisija-apmacibu-jomu-izglitibas-programmu-profesiju-socialo-un-profesionalo-pamatprasmju-noteiksanai</w:t>
        </w:r>
      </w:hyperlink>
    </w:p>
  </w:footnote>
  <w:footnote w:id="164">
    <w:p w14:paraId="1CE10E77" w14:textId="32723A50" w:rsidR="00D67CF6" w:rsidRPr="009517B5" w:rsidRDefault="00D67CF6" w:rsidP="00677E5C">
      <w:pPr>
        <w:spacing w:after="0" w:line="240" w:lineRule="auto"/>
        <w:jc w:val="both"/>
        <w:rPr>
          <w:rFonts w:ascii="Times New Roman" w:eastAsia="Calibri" w:hAnsi="Times New Roman" w:cs="Times New Roman"/>
          <w:iCs/>
          <w:color w:val="000000"/>
          <w:sz w:val="20"/>
          <w:szCs w:val="20"/>
        </w:rPr>
      </w:pPr>
      <w:r w:rsidRPr="009517B5">
        <w:rPr>
          <w:rStyle w:val="FootnoteReference"/>
          <w:rFonts w:ascii="Times New Roman" w:hAnsi="Times New Roman" w:cs="Times New Roman"/>
          <w:sz w:val="20"/>
          <w:szCs w:val="20"/>
        </w:rPr>
        <w:footnoteRef/>
      </w:r>
      <w:r w:rsidRPr="009517B5">
        <w:rPr>
          <w:rFonts w:ascii="Times New Roman" w:hAnsi="Times New Roman" w:cs="Times New Roman"/>
          <w:sz w:val="20"/>
          <w:szCs w:val="20"/>
        </w:rPr>
        <w:t xml:space="preserve"> </w:t>
      </w:r>
      <w:r w:rsidRPr="009517B5">
        <w:rPr>
          <w:rFonts w:ascii="Times New Roman" w:eastAsia="Calibri" w:hAnsi="Times New Roman" w:cs="Times New Roman"/>
          <w:iCs/>
          <w:color w:val="000000"/>
          <w:sz w:val="20"/>
          <w:szCs w:val="20"/>
        </w:rPr>
        <w:t xml:space="preserve">Pieejams: </w:t>
      </w:r>
      <w:hyperlink r:id="rId59" w:history="1">
        <w:r w:rsidRPr="009517B5">
          <w:rPr>
            <w:rFonts w:ascii="Times New Roman" w:eastAsia="Calibri" w:hAnsi="Times New Roman" w:cs="Times New Roman"/>
            <w:iCs/>
            <w:color w:val="000000"/>
            <w:sz w:val="20"/>
            <w:szCs w:val="20"/>
          </w:rPr>
          <w:t>http://www.lm.gov.lv/lv/nozares-politika/darba-tirgus/darba-tirgus-prognozesana/darba-tirgus-istermina-prognozesana-latvija</w:t>
        </w:r>
      </w:hyperlink>
      <w:r w:rsidRPr="009517B5">
        <w:rPr>
          <w:rFonts w:ascii="Times New Roman" w:eastAsia="Calibri" w:hAnsi="Times New Roman" w:cs="Times New Roman"/>
          <w:iCs/>
          <w:color w:val="000000"/>
          <w:sz w:val="20"/>
          <w:szCs w:val="20"/>
        </w:rPr>
        <w:t>).</w:t>
      </w:r>
    </w:p>
  </w:footnote>
  <w:footnote w:id="165">
    <w:p w14:paraId="1BB642E7" w14:textId="7866CA22" w:rsidR="00D67CF6" w:rsidRPr="008A7663" w:rsidRDefault="00D67CF6" w:rsidP="00677E5C">
      <w:pPr>
        <w:pStyle w:val="FootnoteText"/>
        <w:spacing w:after="0" w:line="240" w:lineRule="auto"/>
        <w:rPr>
          <w:rFonts w:ascii="Times New Roman" w:hAnsi="Times New Roman"/>
          <w:lang w:val="lv-LV"/>
        </w:rPr>
      </w:pPr>
      <w:r w:rsidRPr="008A7663">
        <w:rPr>
          <w:rStyle w:val="FootnoteReference"/>
          <w:rFonts w:ascii="Times New Roman" w:hAnsi="Times New Roman"/>
        </w:rPr>
        <w:footnoteRef/>
      </w:r>
      <w:r w:rsidRPr="008A7663">
        <w:rPr>
          <w:rFonts w:ascii="Times New Roman" w:hAnsi="Times New Roman"/>
        </w:rPr>
        <w:t xml:space="preserve"> </w:t>
      </w:r>
      <w:r w:rsidRPr="008A7663">
        <w:rPr>
          <w:rFonts w:ascii="Times New Roman" w:hAnsi="Times New Roman"/>
          <w:lang w:val="lv-LV"/>
        </w:rPr>
        <w:t xml:space="preserve">Ministru kabineta </w:t>
      </w:r>
      <w:r w:rsidRPr="008A7663">
        <w:rPr>
          <w:rFonts w:ascii="Times New Roman" w:hAnsi="Times New Roman"/>
          <w:iCs/>
          <w:color w:val="000000"/>
        </w:rPr>
        <w:t>2020.</w:t>
      </w:r>
      <w:r w:rsidRPr="008A7663">
        <w:rPr>
          <w:rFonts w:ascii="Times New Roman" w:hAnsi="Times New Roman"/>
          <w:iCs/>
          <w:color w:val="000000"/>
          <w:lang w:val="lv-LV"/>
        </w:rPr>
        <w:t xml:space="preserve">gada 5.maija noteikumi nr.262 </w:t>
      </w:r>
    </w:p>
  </w:footnote>
  <w:footnote w:id="166">
    <w:p w14:paraId="1B718031" w14:textId="378A4682" w:rsidR="00D67CF6" w:rsidRPr="008A7663" w:rsidRDefault="00D67CF6" w:rsidP="00B2434E">
      <w:pPr>
        <w:pStyle w:val="FootnoteText"/>
        <w:spacing w:after="0" w:line="240" w:lineRule="auto"/>
        <w:rPr>
          <w:rFonts w:ascii="Times New Roman" w:hAnsi="Times New Roman"/>
          <w:lang w:val="lv-LV"/>
        </w:rPr>
      </w:pPr>
      <w:r w:rsidRPr="008A7663">
        <w:rPr>
          <w:rStyle w:val="FootnoteReference"/>
          <w:rFonts w:ascii="Times New Roman" w:hAnsi="Times New Roman"/>
        </w:rPr>
        <w:footnoteRef/>
      </w:r>
      <w:r w:rsidRPr="008A7663">
        <w:rPr>
          <w:rFonts w:ascii="Times New Roman" w:hAnsi="Times New Roman"/>
        </w:rPr>
        <w:t xml:space="preserve"> </w:t>
      </w:r>
      <w:r w:rsidRPr="008A7663">
        <w:rPr>
          <w:rFonts w:ascii="Times New Roman" w:hAnsi="Times New Roman"/>
          <w:lang w:val="lv-LV"/>
        </w:rPr>
        <w:t xml:space="preserve">Ministru kabineta </w:t>
      </w:r>
      <w:r w:rsidRPr="008A7663">
        <w:rPr>
          <w:rFonts w:ascii="Times New Roman" w:hAnsi="Times New Roman"/>
          <w:iCs/>
          <w:color w:val="000000"/>
        </w:rPr>
        <w:t>2020.</w:t>
      </w:r>
      <w:r w:rsidRPr="008A7663">
        <w:rPr>
          <w:rFonts w:ascii="Times New Roman" w:hAnsi="Times New Roman"/>
          <w:iCs/>
          <w:color w:val="000000"/>
          <w:lang w:val="lv-LV"/>
        </w:rPr>
        <w:t>gada 28.jūlija</w:t>
      </w:r>
      <w:r w:rsidRPr="008A7663">
        <w:rPr>
          <w:rFonts w:ascii="Times New Roman" w:hAnsi="Times New Roman"/>
          <w:iCs/>
          <w:color w:val="000000"/>
        </w:rPr>
        <w:t xml:space="preserve"> </w:t>
      </w:r>
      <w:r w:rsidRPr="008A7663">
        <w:rPr>
          <w:rFonts w:ascii="Times New Roman" w:hAnsi="Times New Roman"/>
          <w:iCs/>
          <w:color w:val="000000"/>
          <w:lang w:val="lv-LV"/>
        </w:rPr>
        <w:t>noteikumi nr.490</w:t>
      </w:r>
    </w:p>
  </w:footnote>
  <w:footnote w:id="167">
    <w:p w14:paraId="6AD91BBE" w14:textId="3727013A" w:rsidR="00D67CF6" w:rsidRPr="008A7663" w:rsidRDefault="00D67CF6" w:rsidP="0037328A">
      <w:pPr>
        <w:pStyle w:val="FootnoteText"/>
        <w:spacing w:after="0" w:line="240" w:lineRule="auto"/>
        <w:rPr>
          <w:rFonts w:ascii="Times New Roman" w:hAnsi="Times New Roman"/>
          <w:lang w:val="lv-LV"/>
        </w:rPr>
      </w:pPr>
      <w:r w:rsidRPr="008A7663">
        <w:rPr>
          <w:rStyle w:val="FootnoteReference"/>
          <w:rFonts w:ascii="Times New Roman" w:hAnsi="Times New Roman"/>
        </w:rPr>
        <w:footnoteRef/>
      </w:r>
      <w:r w:rsidRPr="008A7663">
        <w:rPr>
          <w:rFonts w:ascii="Times New Roman" w:hAnsi="Times New Roman"/>
          <w:lang w:val="lv-LV"/>
        </w:rPr>
        <w:t xml:space="preserve"> Ministru kabineta </w:t>
      </w:r>
      <w:r w:rsidRPr="008A7663">
        <w:rPr>
          <w:rFonts w:ascii="Times New Roman" w:hAnsi="Times New Roman"/>
          <w:iCs/>
          <w:color w:val="000000"/>
        </w:rPr>
        <w:t>2020.</w:t>
      </w:r>
      <w:r w:rsidRPr="008A7663">
        <w:rPr>
          <w:rFonts w:ascii="Times New Roman" w:hAnsi="Times New Roman"/>
          <w:iCs/>
          <w:color w:val="000000"/>
          <w:lang w:val="lv-LV"/>
        </w:rPr>
        <w:t>gada 5.maija noteikumi nr.262</w:t>
      </w:r>
    </w:p>
  </w:footnote>
  <w:footnote w:id="168">
    <w:p w14:paraId="18DD1578" w14:textId="59D6E7E1" w:rsidR="00D67CF6" w:rsidRPr="00EE7975" w:rsidRDefault="00D67CF6" w:rsidP="00557382">
      <w:pPr>
        <w:pStyle w:val="FootnoteText"/>
        <w:spacing w:after="0" w:line="240" w:lineRule="auto"/>
        <w:jc w:val="both"/>
        <w:rPr>
          <w:rFonts w:ascii="Times New Roman" w:hAnsi="Times New Roman"/>
          <w:lang w:val="lv-LV"/>
        </w:rPr>
      </w:pPr>
      <w:r w:rsidRPr="007739DC">
        <w:rPr>
          <w:rStyle w:val="FootnoteReference"/>
          <w:rFonts w:ascii="Times New Roman" w:hAnsi="Times New Roman"/>
        </w:rPr>
        <w:footnoteRef/>
      </w:r>
      <w:r>
        <w:rPr>
          <w:rFonts w:ascii="Times New Roman" w:hAnsi="Times New Roman"/>
          <w:lang w:val="lv-LV"/>
        </w:rPr>
        <w:t xml:space="preserve"> </w:t>
      </w:r>
      <w:r w:rsidRPr="00B95E54">
        <w:rPr>
          <w:rFonts w:ascii="Times New Roman" w:hAnsi="Times New Roman"/>
          <w:lang w:val="en-US"/>
        </w:rPr>
        <w:t xml:space="preserve">OECD </w:t>
      </w:r>
      <w:r w:rsidRPr="00B95E54">
        <w:rPr>
          <w:rFonts w:ascii="Times New Roman" w:eastAsia="Times New Roman" w:hAnsi="Times New Roman"/>
          <w:color w:val="000000"/>
          <w:lang w:eastAsia="lv-LV"/>
        </w:rPr>
        <w:t>pētījums “Cilvēku sasaiste ar darbvietām: Latvija”</w:t>
      </w:r>
      <w:r>
        <w:rPr>
          <w:rFonts w:ascii="Times New Roman" w:eastAsia="Times New Roman" w:hAnsi="Times New Roman"/>
          <w:color w:val="000000"/>
          <w:lang w:val="lv-LV" w:eastAsia="lv-LV"/>
        </w:rPr>
        <w:t>, 2019, 219.lpp.,</w:t>
      </w:r>
      <w:r w:rsidRPr="00B90C44">
        <w:rPr>
          <w:rFonts w:ascii="Times New Roman" w:eastAsia="Times New Roman" w:hAnsi="Times New Roman"/>
          <w:color w:val="000000"/>
          <w:lang w:eastAsia="lv-LV"/>
        </w:rPr>
        <w:t xml:space="preserve"> pieejams https://www.oecd.org/latvia/cilveku-sasaiste-ar-darbavietam-ce74856f-lv.htm</w:t>
      </w:r>
    </w:p>
  </w:footnote>
  <w:footnote w:id="169">
    <w:p w14:paraId="00F4BABC" w14:textId="77777777" w:rsidR="00D67CF6" w:rsidRPr="0057760C" w:rsidRDefault="00D67CF6" w:rsidP="00747C36">
      <w:pPr>
        <w:pStyle w:val="FootnoteText"/>
        <w:spacing w:after="0" w:line="240" w:lineRule="auto"/>
        <w:rPr>
          <w:rFonts w:ascii="Times New Roman" w:hAnsi="Times New Roman"/>
          <w:lang w:val="lv-LV"/>
        </w:rPr>
      </w:pPr>
      <w:r w:rsidRPr="0057760C">
        <w:rPr>
          <w:rStyle w:val="FootnoteReference"/>
          <w:rFonts w:ascii="Times New Roman" w:hAnsi="Times New Roman"/>
        </w:rPr>
        <w:footnoteRef/>
      </w:r>
      <w:r w:rsidRPr="0057760C">
        <w:rPr>
          <w:rFonts w:ascii="Times New Roman" w:hAnsi="Times New Roman"/>
        </w:rPr>
        <w:t xml:space="preserve"> </w:t>
      </w:r>
      <w:r w:rsidRPr="0057760C">
        <w:rPr>
          <w:rFonts w:ascii="Times New Roman" w:hAnsi="Times New Roman"/>
          <w:lang w:val="lv-LV"/>
        </w:rPr>
        <w:t xml:space="preserve">Pieejams: </w:t>
      </w:r>
      <w:hyperlink r:id="rId60" w:history="1">
        <w:r w:rsidRPr="0057760C">
          <w:rPr>
            <w:rStyle w:val="Hyperlink"/>
            <w:rFonts w:ascii="Times New Roman" w:hAnsi="Times New Roman"/>
          </w:rPr>
          <w:t>http://polsis.mk.gov.lv/documents/5207</w:t>
        </w:r>
      </w:hyperlink>
    </w:p>
  </w:footnote>
  <w:footnote w:id="170">
    <w:p w14:paraId="47AC670F" w14:textId="77777777" w:rsidR="00D67CF6" w:rsidRPr="0057760C" w:rsidRDefault="00D67CF6" w:rsidP="00747C36">
      <w:pPr>
        <w:pStyle w:val="FootnoteText"/>
        <w:spacing w:after="0" w:line="240" w:lineRule="auto"/>
        <w:rPr>
          <w:rFonts w:ascii="Times New Roman" w:hAnsi="Times New Roman"/>
        </w:rPr>
      </w:pPr>
      <w:r w:rsidRPr="0057760C">
        <w:rPr>
          <w:rStyle w:val="FootnoteReference"/>
          <w:rFonts w:ascii="Times New Roman" w:eastAsiaTheme="minorHAnsi" w:hAnsi="Times New Roman"/>
        </w:rPr>
        <w:footnoteRef/>
      </w:r>
      <w:r w:rsidRPr="0057760C">
        <w:rPr>
          <w:rFonts w:ascii="Times New Roman" w:hAnsi="Times New Roman"/>
        </w:rPr>
        <w:t xml:space="preserve"> https://stats.oecd.org/Index.aspx?DataSetCode=LMPEXP</w:t>
      </w:r>
    </w:p>
  </w:footnote>
  <w:footnote w:id="171">
    <w:p w14:paraId="4BFB43EC" w14:textId="1DA63872" w:rsidR="00D67CF6" w:rsidRPr="00BD038B" w:rsidRDefault="00D67CF6" w:rsidP="00BD038B">
      <w:pPr>
        <w:pStyle w:val="FootnoteText"/>
        <w:spacing w:after="0" w:line="240" w:lineRule="auto"/>
        <w:rPr>
          <w:rFonts w:ascii="Times New Roman" w:hAnsi="Times New Roman"/>
          <w:lang w:val="lv-LV"/>
        </w:rPr>
      </w:pPr>
      <w:r w:rsidRPr="00BD038B">
        <w:rPr>
          <w:rStyle w:val="FootnoteReference"/>
          <w:rFonts w:ascii="Times New Roman" w:hAnsi="Times New Roman"/>
        </w:rPr>
        <w:footnoteRef/>
      </w:r>
      <w:r w:rsidRPr="00BD038B">
        <w:rPr>
          <w:rFonts w:ascii="Times New Roman" w:hAnsi="Times New Roman"/>
        </w:rPr>
        <w:t xml:space="preserve"> </w:t>
      </w:r>
      <w:r w:rsidRPr="00BD038B">
        <w:rPr>
          <w:rFonts w:ascii="Times New Roman" w:eastAsia="Times New Roman" w:hAnsi="Times New Roman"/>
          <w:color w:val="000000"/>
          <w:lang w:eastAsia="lv-LV"/>
        </w:rPr>
        <w:t>Komisijas dienestu darba dokuments. 2019.gada ziņojums par Latviju, SWD(2019) 1013 final, 27.2.2019.; 2020.gada ziņojums par Latviju, SWD(2020) 513 final, 20.2.2020.</w:t>
      </w:r>
    </w:p>
  </w:footnote>
  <w:footnote w:id="172">
    <w:p w14:paraId="3BFA7D19" w14:textId="1545254A" w:rsidR="00D67CF6" w:rsidRPr="002F6BFB" w:rsidRDefault="00D67CF6" w:rsidP="00763C6D">
      <w:pPr>
        <w:pStyle w:val="Caption"/>
        <w:rPr>
          <w:b w:val="0"/>
        </w:rPr>
      </w:pPr>
      <w:r w:rsidRPr="002F6BFB">
        <w:rPr>
          <w:rStyle w:val="FootnoteReference"/>
          <w:b w:val="0"/>
        </w:rPr>
        <w:footnoteRef/>
      </w:r>
      <w:r>
        <w:rPr>
          <w:lang w:val="en-US"/>
        </w:rPr>
        <w:t xml:space="preserve"> </w:t>
      </w:r>
      <w:r w:rsidRPr="00BB63EE">
        <w:rPr>
          <w:b w:val="0"/>
          <w:lang w:val="en-US"/>
        </w:rPr>
        <w:t xml:space="preserve">OECD </w:t>
      </w:r>
      <w:r w:rsidRPr="00BB63EE">
        <w:rPr>
          <w:b w:val="0"/>
          <w:color w:val="000000"/>
        </w:rPr>
        <w:t>pētījums “Cilvēku sasaiste ar darbvietām: Latvija”, 2019,</w:t>
      </w:r>
      <w:r w:rsidRPr="00BB63EE">
        <w:rPr>
          <w:b w:val="0"/>
          <w:color w:val="000000"/>
          <w:lang w:val="x-none"/>
        </w:rPr>
        <w:t xml:space="preserve"> pieejams</w:t>
      </w:r>
      <w:r w:rsidRPr="00B90C44">
        <w:rPr>
          <w:color w:val="000000"/>
          <w:lang w:val="x-none"/>
        </w:rPr>
        <w:t xml:space="preserve"> </w:t>
      </w:r>
      <w:r w:rsidRPr="00B90C44">
        <w:rPr>
          <w:b w:val="0"/>
          <w:color w:val="000000"/>
        </w:rPr>
        <w:t>https://www.oecd.org/latvia/cilveku-sasaiste-ar-darbavietam-ce74856f-lv.htm</w:t>
      </w:r>
    </w:p>
  </w:footnote>
  <w:footnote w:id="173">
    <w:p w14:paraId="139DF470" w14:textId="77777777" w:rsidR="00D67CF6" w:rsidRPr="002F6BFB" w:rsidRDefault="00D67CF6" w:rsidP="00763C6D">
      <w:pPr>
        <w:pStyle w:val="Caption"/>
        <w:rPr>
          <w:b w:val="0"/>
        </w:rPr>
      </w:pPr>
      <w:r w:rsidRPr="002F6BFB">
        <w:rPr>
          <w:rStyle w:val="FootnoteReference"/>
          <w:rFonts w:eastAsia="SimSun"/>
          <w:b w:val="0"/>
        </w:rPr>
        <w:footnoteRef/>
      </w:r>
      <w:r w:rsidRPr="002F6BFB">
        <w:rPr>
          <w:b w:val="0"/>
        </w:rPr>
        <w:t xml:space="preserve"> Rādītājā iekļauta reģistrēto bezdarbnieku vizīte pie aģenta, konsultāciju, individuālo karjeras konsultāciju, profilēto dalībnieku skaits, izsniegto kuponu skaits, kā arī sadarbība ar darba devējiem. Netiek iekļauta informācija par grupu karjeras konsultāciju dalībniekiem, informatīvo dienu dalībniekiem, attālināti apkalpotajiem klientiem.</w:t>
      </w:r>
    </w:p>
  </w:footnote>
  <w:footnote w:id="174">
    <w:p w14:paraId="2DB723B0" w14:textId="77777777" w:rsidR="00D67CF6" w:rsidRPr="002F6BFB" w:rsidRDefault="00D67CF6" w:rsidP="00763C6D">
      <w:pPr>
        <w:pStyle w:val="Caption"/>
        <w:rPr>
          <w:b w:val="0"/>
        </w:rPr>
      </w:pPr>
      <w:r w:rsidRPr="002F6BFB">
        <w:rPr>
          <w:rStyle w:val="FootnoteReference"/>
          <w:rFonts w:eastAsia="SimSun"/>
          <w:b w:val="0"/>
        </w:rPr>
        <w:footnoteRef/>
      </w:r>
      <w:r w:rsidRPr="002F6BFB">
        <w:rPr>
          <w:b w:val="0"/>
        </w:rPr>
        <w:t xml:space="preserve"> Klientu apkalpošanā nodarbinātie darbinieki – nodarbinātības aģenti, nodarbinātības organizatori, karjeras konsultanti, koordinējošie eksperti, specializētais konsultants.</w:t>
      </w:r>
    </w:p>
  </w:footnote>
  <w:footnote w:id="175">
    <w:p w14:paraId="65E0D6D9" w14:textId="77777777" w:rsidR="00D67CF6" w:rsidRPr="00BB56B0" w:rsidRDefault="00D67CF6" w:rsidP="00763C6D">
      <w:pPr>
        <w:pStyle w:val="Caption"/>
      </w:pPr>
      <w:r w:rsidRPr="002F6BFB">
        <w:rPr>
          <w:rStyle w:val="FootnoteReference"/>
          <w:rFonts w:eastAsia="SimSun"/>
          <w:b w:val="0"/>
        </w:rPr>
        <w:footnoteRef/>
      </w:r>
      <w:r w:rsidRPr="002F6BFB">
        <w:rPr>
          <w:b w:val="0"/>
        </w:rPr>
        <w:t xml:space="preserve"> </w:t>
      </w:r>
      <w:r w:rsidRPr="002F6BFB">
        <w:rPr>
          <w:b w:val="0"/>
          <w:iCs/>
        </w:rPr>
        <w:t>Klienti, kas izmanto šādus NVA nodrošinātos e-pakalpojumus: CV reģistrēšanu CV un vakanču portālā, apmācību monitoringa rīku, bezdarbnieka statusa reģistrēšanu BURVIS klientu portālā, darba tirgus īstermiņa prognozēšanas rīku, e-apmācību moduļus, darbinieku apstrādātās CVVP vakances, kuras reģistrējuši darba devēji.</w:t>
      </w:r>
    </w:p>
  </w:footnote>
  <w:footnote w:id="176">
    <w:p w14:paraId="7D9F40B5" w14:textId="18B4579C" w:rsidR="00D67CF6" w:rsidRPr="00813DFB" w:rsidRDefault="00D67CF6" w:rsidP="00FE1751">
      <w:pPr>
        <w:pStyle w:val="FootnoteText"/>
        <w:spacing w:after="0" w:line="240" w:lineRule="auto"/>
        <w:rPr>
          <w:rFonts w:ascii="Times New Roman" w:hAnsi="Times New Roman"/>
          <w:lang w:val="lv-LV"/>
        </w:rPr>
      </w:pPr>
      <w:r w:rsidRPr="00813DFB">
        <w:rPr>
          <w:rStyle w:val="FootnoteReference"/>
          <w:rFonts w:ascii="Times New Roman" w:hAnsi="Times New Roman"/>
        </w:rPr>
        <w:footnoteRef/>
      </w:r>
      <w:r w:rsidRPr="00813DFB">
        <w:rPr>
          <w:rFonts w:ascii="Times New Roman" w:hAnsi="Times New Roman"/>
        </w:rPr>
        <w:t xml:space="preserve"> </w:t>
      </w:r>
      <w:r w:rsidRPr="00813DFB">
        <w:rPr>
          <w:rFonts w:ascii="Times New Roman" w:hAnsi="Times New Roman"/>
          <w:iCs/>
          <w:color w:val="000000"/>
        </w:rPr>
        <w:t>M</w:t>
      </w:r>
      <w:r w:rsidRPr="00813DFB">
        <w:rPr>
          <w:rFonts w:ascii="Times New Roman" w:hAnsi="Times New Roman"/>
          <w:iCs/>
          <w:color w:val="000000"/>
          <w:lang w:val="lv-LV"/>
        </w:rPr>
        <w:t xml:space="preserve">inistru kabineta </w:t>
      </w:r>
      <w:r w:rsidRPr="00813DFB">
        <w:rPr>
          <w:rFonts w:ascii="Times New Roman" w:hAnsi="Times New Roman"/>
          <w:iCs/>
          <w:color w:val="000000"/>
        </w:rPr>
        <w:t>2015.gada 11. august</w:t>
      </w:r>
      <w:r w:rsidRPr="00813DFB">
        <w:rPr>
          <w:rFonts w:ascii="Times New Roman" w:hAnsi="Times New Roman"/>
          <w:iCs/>
          <w:color w:val="000000"/>
          <w:lang w:val="lv-LV"/>
        </w:rPr>
        <w:t>a</w:t>
      </w:r>
      <w:r w:rsidRPr="00813DFB">
        <w:rPr>
          <w:rFonts w:ascii="Times New Roman" w:hAnsi="Times New Roman"/>
          <w:iCs/>
          <w:color w:val="000000"/>
        </w:rPr>
        <w:t xml:space="preserve"> noteikum</w:t>
      </w:r>
      <w:r w:rsidRPr="00813DFB">
        <w:rPr>
          <w:rFonts w:ascii="Times New Roman" w:hAnsi="Times New Roman"/>
          <w:iCs/>
          <w:color w:val="000000"/>
          <w:lang w:val="lv-LV"/>
        </w:rPr>
        <w:t>i</w:t>
      </w:r>
      <w:r w:rsidRPr="00813DFB">
        <w:rPr>
          <w:rFonts w:ascii="Times New Roman" w:hAnsi="Times New Roman"/>
          <w:iCs/>
          <w:color w:val="000000"/>
        </w:rPr>
        <w:t xml:space="preserve"> Nr. 467 </w:t>
      </w:r>
    </w:p>
  </w:footnote>
  <w:footnote w:id="177">
    <w:p w14:paraId="618265F3" w14:textId="77777777" w:rsidR="00D67CF6" w:rsidRPr="00944DB8" w:rsidRDefault="00D67CF6" w:rsidP="00FE1751">
      <w:pPr>
        <w:pStyle w:val="FootnoteText"/>
        <w:spacing w:after="0" w:line="240" w:lineRule="auto"/>
        <w:rPr>
          <w:rFonts w:ascii="Times New Roman" w:hAnsi="Times New Roman"/>
          <w:lang w:val="lv-LV"/>
        </w:rPr>
      </w:pPr>
      <w:r w:rsidRPr="00944DB8">
        <w:rPr>
          <w:rStyle w:val="FootnoteReference"/>
          <w:rFonts w:ascii="Times New Roman" w:hAnsi="Times New Roman"/>
        </w:rPr>
        <w:footnoteRef/>
      </w:r>
      <w:r w:rsidRPr="00944DB8">
        <w:rPr>
          <w:rFonts w:ascii="Times New Roman" w:hAnsi="Times New Roman"/>
        </w:rPr>
        <w:t xml:space="preserve"> </w:t>
      </w:r>
      <w:r w:rsidRPr="00944DB8">
        <w:rPr>
          <w:rFonts w:ascii="Times New Roman" w:eastAsia="Times New Roman" w:hAnsi="Times New Roman"/>
          <w:color w:val="000000" w:themeColor="text1"/>
          <w:lang w:eastAsia="lv-LV"/>
        </w:rPr>
        <w:t>LM informatīvais ziņojums “Par sociālo uzņēmumu darbību un attīstību”</w:t>
      </w:r>
      <w:r>
        <w:rPr>
          <w:rFonts w:ascii="Times New Roman" w:eastAsia="Times New Roman" w:hAnsi="Times New Roman"/>
          <w:color w:val="000000" w:themeColor="text1"/>
          <w:lang w:val="lv-LV" w:eastAsia="lv-LV"/>
        </w:rPr>
        <w:t xml:space="preserve">, izskatīts </w:t>
      </w:r>
      <w:r w:rsidRPr="00944DB8">
        <w:rPr>
          <w:rFonts w:ascii="Times New Roman" w:eastAsia="Times New Roman" w:hAnsi="Times New Roman"/>
          <w:color w:val="000000" w:themeColor="text1"/>
          <w:lang w:eastAsia="lv-LV"/>
        </w:rPr>
        <w:t xml:space="preserve">2020.gada 16.jūnija MK sēdē </w:t>
      </w:r>
    </w:p>
  </w:footnote>
  <w:footnote w:id="178">
    <w:p w14:paraId="22ABC4D9" w14:textId="634E4BD9" w:rsidR="00D67CF6" w:rsidRPr="00C17BD7" w:rsidRDefault="00D67CF6" w:rsidP="00C17BD7">
      <w:pPr>
        <w:pStyle w:val="FootnoteText"/>
        <w:spacing w:after="0" w:line="240" w:lineRule="auto"/>
        <w:rPr>
          <w:rFonts w:ascii="Times New Roman" w:hAnsi="Times New Roman"/>
          <w:lang w:val="lv-LV"/>
        </w:rPr>
      </w:pPr>
      <w:r w:rsidRPr="00C17BD7">
        <w:rPr>
          <w:rStyle w:val="FootnoteReference"/>
          <w:rFonts w:ascii="Times New Roman" w:hAnsi="Times New Roman"/>
        </w:rPr>
        <w:footnoteRef/>
      </w:r>
      <w:r w:rsidRPr="00C17BD7">
        <w:rPr>
          <w:rFonts w:ascii="Times New Roman" w:hAnsi="Times New Roman"/>
        </w:rPr>
        <w:t xml:space="preserve"> Komisijas paziņojums Eiropas Parlamentam, Padomei, Eiropas Ekonomikas un sociālo lietu komitejai un Reģionu komitejai </w:t>
      </w:r>
      <w:r w:rsidRPr="00C17BD7">
        <w:rPr>
          <w:rFonts w:ascii="Times New Roman" w:hAnsi="Times New Roman"/>
          <w:color w:val="444444"/>
          <w:shd w:val="clear" w:color="auto" w:fill="FFFFFF"/>
        </w:rPr>
        <w:t xml:space="preserve">par ES stratēģisko satvaru par drošību un veselības aizsardzību darbā no 2014. </w:t>
      </w:r>
      <w:r w:rsidRPr="00C17BD7">
        <w:rPr>
          <w:rStyle w:val="Hyperlink"/>
          <w:rFonts w:ascii="Times New Roman" w:hAnsi="Times New Roman"/>
        </w:rPr>
        <w:t>līdz 2020.gadam</w:t>
      </w:r>
      <w:r w:rsidRPr="00C17BD7">
        <w:rPr>
          <w:rStyle w:val="Hyperlink"/>
          <w:rFonts w:ascii="Times New Roman" w:hAnsi="Times New Roman"/>
          <w:lang w:val="lv-LV"/>
        </w:rPr>
        <w:t xml:space="preserve">; </w:t>
      </w:r>
      <w:r w:rsidRPr="00C17BD7">
        <w:rPr>
          <w:rFonts w:ascii="Times New Roman" w:eastAsiaTheme="minorHAnsi" w:hAnsi="Times New Roman"/>
          <w:color w:val="000000"/>
          <w:lang w:val="lv-LV"/>
        </w:rPr>
        <w:t>Ministru kabineta 2016.gada 20.janvāra rīkojums Nr. 34 “Par Darba aizsardzības politikas pamatnostādnēm 2016.-2020. gadam”</w:t>
      </w:r>
    </w:p>
  </w:footnote>
  <w:footnote w:id="179">
    <w:p w14:paraId="681E890A" w14:textId="77777777" w:rsidR="00D67CF6" w:rsidRPr="00C17BD7" w:rsidRDefault="00D67CF6" w:rsidP="00C17BD7">
      <w:pPr>
        <w:pStyle w:val="FootnoteText"/>
        <w:spacing w:after="0" w:line="240" w:lineRule="auto"/>
        <w:rPr>
          <w:rFonts w:ascii="Times New Roman" w:hAnsi="Times New Roman"/>
          <w:lang w:val="en-GB"/>
        </w:rPr>
      </w:pPr>
      <w:r w:rsidRPr="00965BCD">
        <w:rPr>
          <w:rStyle w:val="Hyperlink"/>
          <w:rFonts w:ascii="Times New Roman" w:hAnsi="Times New Roman"/>
          <w:vertAlign w:val="superscript"/>
        </w:rPr>
        <w:footnoteRef/>
      </w:r>
      <w:r w:rsidRPr="00C17BD7">
        <w:rPr>
          <w:rStyle w:val="Hyperlink"/>
          <w:rFonts w:ascii="Times New Roman" w:hAnsi="Times New Roman"/>
        </w:rPr>
        <w:t xml:space="preserve"> Padomes secinājumi (14630/19) „Jaunais ES Stratēģiskais ietvars par veselību un drošību darbā: drošības un veselības darbā ieviešanas veicināšana ES”</w:t>
      </w:r>
    </w:p>
  </w:footnote>
  <w:footnote w:id="180">
    <w:p w14:paraId="515A1D87" w14:textId="1A356C1F" w:rsidR="00D67CF6" w:rsidRPr="000D5B0D" w:rsidRDefault="00D67CF6" w:rsidP="000D5B0D">
      <w:pPr>
        <w:pStyle w:val="FootnoteText"/>
        <w:spacing w:after="0" w:line="240" w:lineRule="auto"/>
        <w:rPr>
          <w:rFonts w:ascii="Times New Roman" w:hAnsi="Times New Roman"/>
          <w:lang w:val="en-GB"/>
        </w:rPr>
      </w:pPr>
      <w:r w:rsidRPr="000D5B0D">
        <w:rPr>
          <w:rStyle w:val="FootnoteReference"/>
          <w:rFonts w:ascii="Times New Roman" w:hAnsi="Times New Roman"/>
        </w:rPr>
        <w:footnoteRef/>
      </w:r>
      <w:r w:rsidRPr="000D5B0D">
        <w:rPr>
          <w:rFonts w:ascii="Times New Roman" w:hAnsi="Times New Roman"/>
        </w:rPr>
        <w:t xml:space="preserve"> Personu apvienība “SIA „Civitta Latvija”, UAB „Civitta” un SIA „GRIF””</w:t>
      </w:r>
      <w:r w:rsidRPr="000D5B0D">
        <w:rPr>
          <w:rFonts w:ascii="Times New Roman" w:hAnsi="Times New Roman"/>
          <w:lang w:val="lv-LV"/>
        </w:rPr>
        <w:t>, Pētījums “</w:t>
      </w:r>
      <w:r w:rsidRPr="000D5B0D">
        <w:rPr>
          <w:rFonts w:ascii="Times New Roman" w:hAnsi="Times New Roman"/>
        </w:rPr>
        <w:t>Darba apstākļi un riski Latvijā, 2017-2018”</w:t>
      </w:r>
      <w:r w:rsidRPr="000D5B0D">
        <w:rPr>
          <w:rFonts w:ascii="Times New Roman" w:hAnsi="Times New Roman"/>
          <w:lang w:val="lv-LV"/>
        </w:rPr>
        <w:t xml:space="preserve">, gala ziņojums, Rīga, 2020, pieejams: </w:t>
      </w:r>
      <w:hyperlink r:id="rId61" w:history="1">
        <w:r w:rsidRPr="000D5B0D">
          <w:rPr>
            <w:rStyle w:val="Hyperlink"/>
            <w:rFonts w:ascii="Times New Roman" w:hAnsi="Times New Roman"/>
            <w:color w:val="auto"/>
          </w:rPr>
          <w:t>http://petijumi.mk.gov.lv/node/3370</w:t>
        </w:r>
      </w:hyperlink>
      <w:r w:rsidRPr="000D5B0D">
        <w:rPr>
          <w:rFonts w:ascii="Times New Roman" w:hAnsi="Times New Roman"/>
          <w:lang w:val="en-GB"/>
        </w:rPr>
        <w:t xml:space="preserve"> </w:t>
      </w:r>
    </w:p>
  </w:footnote>
  <w:footnote w:id="181">
    <w:p w14:paraId="61BCEE58" w14:textId="74CBA6A6" w:rsidR="00D67CF6" w:rsidRPr="00CD5AFA" w:rsidRDefault="00D67CF6" w:rsidP="00763C6D">
      <w:pPr>
        <w:pStyle w:val="FootnoteText"/>
        <w:spacing w:after="0" w:line="240" w:lineRule="auto"/>
        <w:rPr>
          <w:rFonts w:ascii="Times New Roman" w:hAnsi="Times New Roman"/>
          <w:lang w:val="en-GB"/>
        </w:rPr>
      </w:pPr>
      <w:r w:rsidRPr="00CD5AFA">
        <w:rPr>
          <w:rStyle w:val="FootnoteReference"/>
          <w:rFonts w:ascii="Times New Roman" w:hAnsi="Times New Roman"/>
        </w:rPr>
        <w:footnoteRef/>
      </w:r>
      <w:r w:rsidRPr="00CD5AFA">
        <w:rPr>
          <w:rFonts w:ascii="Times New Roman" w:hAnsi="Times New Roman"/>
        </w:rPr>
        <w:t xml:space="preserve"> </w:t>
      </w:r>
      <w:r w:rsidRPr="000D5B0D">
        <w:rPr>
          <w:rFonts w:ascii="Times New Roman" w:hAnsi="Times New Roman"/>
        </w:rPr>
        <w:t>Personu apvienība “SIA „Civitta Latvija”, UAB „Civitta” un SIA „GRIF””</w:t>
      </w:r>
      <w:r w:rsidRPr="000D5B0D">
        <w:rPr>
          <w:rFonts w:ascii="Times New Roman" w:hAnsi="Times New Roman"/>
          <w:lang w:val="lv-LV"/>
        </w:rPr>
        <w:t>, Pētījums “</w:t>
      </w:r>
      <w:r w:rsidRPr="000D5B0D">
        <w:rPr>
          <w:rFonts w:ascii="Times New Roman" w:hAnsi="Times New Roman"/>
        </w:rPr>
        <w:t>Darba apstākļi un riski Latvijā, 2017-2018”</w:t>
      </w:r>
      <w:r w:rsidRPr="000D5B0D">
        <w:rPr>
          <w:rFonts w:ascii="Times New Roman" w:hAnsi="Times New Roman"/>
          <w:lang w:val="lv-LV"/>
        </w:rPr>
        <w:t xml:space="preserve">, gala ziņojums, Rīga, 2020, pieejams: </w:t>
      </w:r>
      <w:hyperlink r:id="rId62" w:history="1">
        <w:r w:rsidRPr="000D5B0D">
          <w:rPr>
            <w:rStyle w:val="Hyperlink"/>
            <w:rFonts w:ascii="Times New Roman" w:hAnsi="Times New Roman"/>
            <w:color w:val="auto"/>
          </w:rPr>
          <w:t>http://petijumi.mk.gov.lv/node/3370</w:t>
        </w:r>
      </w:hyperlink>
      <w:r w:rsidRPr="00CD5AFA">
        <w:rPr>
          <w:rFonts w:ascii="Times New Roman" w:hAnsi="Times New Roman"/>
          <w:lang w:val="en-GB"/>
        </w:rPr>
        <w:t xml:space="preserve"> </w:t>
      </w:r>
    </w:p>
  </w:footnote>
  <w:footnote w:id="182">
    <w:p w14:paraId="1297FC61" w14:textId="6BB4B649" w:rsidR="00D67CF6" w:rsidRPr="00F07644" w:rsidRDefault="00D67CF6" w:rsidP="00763C6D">
      <w:pPr>
        <w:shd w:val="clear" w:color="auto" w:fill="FFFFFF"/>
        <w:spacing w:after="0" w:line="240" w:lineRule="auto"/>
        <w:rPr>
          <w:rFonts w:ascii="Times New Roman" w:eastAsia="Calibri" w:hAnsi="Times New Roman" w:cs="Times New Roman"/>
          <w:sz w:val="20"/>
          <w:szCs w:val="20"/>
        </w:rPr>
      </w:pPr>
      <w:r w:rsidRPr="00F07644">
        <w:rPr>
          <w:rStyle w:val="FootnoteReference"/>
          <w:rFonts w:ascii="Times New Roman" w:hAnsi="Times New Roman" w:cs="Times New Roman"/>
          <w:sz w:val="20"/>
          <w:szCs w:val="20"/>
        </w:rPr>
        <w:footnoteRef/>
      </w:r>
      <w:r w:rsidRPr="00F07644">
        <w:rPr>
          <w:rFonts w:ascii="Times New Roman" w:hAnsi="Times New Roman" w:cs="Times New Roman"/>
          <w:sz w:val="20"/>
          <w:szCs w:val="20"/>
        </w:rPr>
        <w:t xml:space="preserve"> </w:t>
      </w:r>
      <w:r w:rsidRPr="00F07644">
        <w:rPr>
          <w:rFonts w:ascii="Times New Roman" w:eastAsia="Calibri" w:hAnsi="Times New Roman" w:cs="Times New Roman"/>
          <w:sz w:val="20"/>
          <w:szCs w:val="20"/>
        </w:rPr>
        <w:t xml:space="preserve">Ministru kabineta 2005.gada 8.februāra noteikumi Nr.99 </w:t>
      </w:r>
    </w:p>
  </w:footnote>
  <w:footnote w:id="183">
    <w:p w14:paraId="674A2522" w14:textId="46ECAF61" w:rsidR="00D67CF6" w:rsidRPr="00883EB7" w:rsidRDefault="00D67CF6" w:rsidP="00883EB7">
      <w:pPr>
        <w:pStyle w:val="FootnoteText"/>
        <w:spacing w:after="0" w:line="240" w:lineRule="auto"/>
        <w:rPr>
          <w:rFonts w:ascii="Times New Roman" w:hAnsi="Times New Roman"/>
          <w:lang w:val="en-GB"/>
        </w:rPr>
      </w:pPr>
      <w:r w:rsidRPr="00883EB7">
        <w:rPr>
          <w:rStyle w:val="FootnoteReference"/>
          <w:rFonts w:ascii="Times New Roman" w:hAnsi="Times New Roman"/>
        </w:rPr>
        <w:footnoteRef/>
      </w:r>
      <w:r w:rsidRPr="00883EB7">
        <w:rPr>
          <w:rFonts w:ascii="Times New Roman" w:hAnsi="Times New Roman"/>
        </w:rPr>
        <w:t xml:space="preserve"> </w:t>
      </w:r>
      <w:r>
        <w:rPr>
          <w:rFonts w:ascii="Times New Roman" w:hAnsi="Times New Roman"/>
          <w:lang w:val="lv-LV"/>
        </w:rPr>
        <w:t xml:space="preserve">CIVITTA, </w:t>
      </w:r>
      <w:r w:rsidRPr="00883EB7">
        <w:rPr>
          <w:rFonts w:ascii="Times New Roman" w:hAnsi="Times New Roman"/>
          <w:lang w:val="lv-LV"/>
        </w:rPr>
        <w:t>pētījum</w:t>
      </w:r>
      <w:r>
        <w:rPr>
          <w:rFonts w:ascii="Times New Roman" w:hAnsi="Times New Roman"/>
          <w:lang w:val="lv-LV"/>
        </w:rPr>
        <w:t>a</w:t>
      </w:r>
      <w:r w:rsidRPr="00883EB7">
        <w:rPr>
          <w:rFonts w:ascii="Times New Roman" w:hAnsi="Times New Roman"/>
          <w:lang w:val="lv-LV"/>
        </w:rPr>
        <w:t xml:space="preserve"> “Jaunās nodarbinātības formas un to piemērošana praksē”</w:t>
      </w:r>
      <w:r>
        <w:rPr>
          <w:rFonts w:ascii="Times New Roman" w:hAnsi="Times New Roman"/>
          <w:lang w:val="lv-LV"/>
        </w:rPr>
        <w:t xml:space="preserve"> gala ziņojums, Rīga, 2019, pieejams: </w:t>
      </w:r>
      <w:hyperlink r:id="rId63" w:history="1">
        <w:r w:rsidRPr="00883EB7">
          <w:rPr>
            <w:rFonts w:ascii="Times New Roman" w:hAnsi="Times New Roman"/>
            <w:lang w:val="lv-LV"/>
          </w:rPr>
          <w:t>http://www.vdi.gov.lv/files/jnf_gala_zinojums.pdf</w:t>
        </w:r>
      </w:hyperlink>
    </w:p>
  </w:footnote>
  <w:footnote w:id="184">
    <w:p w14:paraId="765CE2EA" w14:textId="0110F1AA" w:rsidR="00D67CF6" w:rsidRPr="005B240A" w:rsidRDefault="00D67CF6" w:rsidP="005B240A">
      <w:pPr>
        <w:pStyle w:val="FootnoteText"/>
        <w:spacing w:after="0" w:line="240" w:lineRule="auto"/>
        <w:rPr>
          <w:rFonts w:ascii="Times New Roman" w:hAnsi="Times New Roman"/>
          <w:lang w:val="lv-LV"/>
        </w:rPr>
      </w:pPr>
      <w:r w:rsidRPr="005B240A">
        <w:rPr>
          <w:rStyle w:val="FootnoteReference"/>
          <w:rFonts w:ascii="Times New Roman" w:hAnsi="Times New Roman"/>
        </w:rPr>
        <w:footnoteRef/>
      </w:r>
      <w:r w:rsidRPr="005B240A">
        <w:rPr>
          <w:rFonts w:ascii="Times New Roman" w:hAnsi="Times New Roman"/>
        </w:rPr>
        <w:t xml:space="preserve"> Baltic Institute of Social Sciences (2017). </w:t>
      </w:r>
      <w:r w:rsidRPr="005B240A">
        <w:rPr>
          <w:rFonts w:ascii="Times New Roman" w:hAnsi="Times New Roman"/>
          <w:i/>
        </w:rPr>
        <w:t>Motivācijas paaugstināšanas un atbalsta pakalpojumu potenciālās mērķa grupas profilēšana un vajadzību izpēte</w:t>
      </w:r>
      <w:r w:rsidRPr="005B240A">
        <w:rPr>
          <w:rFonts w:ascii="Times New Roman" w:hAnsi="Times New Roman"/>
        </w:rPr>
        <w:t xml:space="preserve">. Rīga. </w:t>
      </w:r>
    </w:p>
  </w:footnote>
  <w:footnote w:id="185">
    <w:p w14:paraId="28047C68" w14:textId="21C7CA59" w:rsidR="00D67CF6" w:rsidRPr="0063446A" w:rsidRDefault="00D67CF6" w:rsidP="0063446A">
      <w:pPr>
        <w:pStyle w:val="FootnoteText"/>
        <w:spacing w:after="0" w:line="240" w:lineRule="auto"/>
        <w:rPr>
          <w:rFonts w:ascii="Times New Roman" w:hAnsi="Times New Roman"/>
          <w:lang w:val="lv-LV"/>
        </w:rPr>
      </w:pPr>
      <w:r w:rsidRPr="0063446A">
        <w:rPr>
          <w:rStyle w:val="FootnoteReference"/>
          <w:rFonts w:ascii="Times New Roman" w:hAnsi="Times New Roman"/>
        </w:rPr>
        <w:footnoteRef/>
      </w:r>
      <w:r w:rsidRPr="0063446A">
        <w:rPr>
          <w:rFonts w:ascii="Times New Roman" w:hAnsi="Times New Roman"/>
        </w:rPr>
        <w:t xml:space="preserve"> </w:t>
      </w:r>
      <w:r w:rsidRPr="0063446A">
        <w:rPr>
          <w:rFonts w:ascii="Times New Roman" w:hAnsi="Times New Roman"/>
          <w:lang w:val="lv-LV"/>
        </w:rPr>
        <w:t xml:space="preserve">SIA SAFEGE Baltija, Gala ziņojums “Ģimenes </w:t>
      </w:r>
      <w:r w:rsidRPr="0063446A">
        <w:rPr>
          <w:rFonts w:ascii="Times New Roman" w:hAnsi="Times New Roman"/>
        </w:rPr>
        <w:t>valsts politikas pamatnostādņu 2011.-2017.gadam ex-post novērtējum</w:t>
      </w:r>
      <w:r w:rsidRPr="0063446A">
        <w:rPr>
          <w:rFonts w:ascii="Times New Roman" w:hAnsi="Times New Roman"/>
          <w:lang w:val="lv-LV"/>
        </w:rPr>
        <w:t>s”, Rīga, 2018.gada 30.novembris, 131.-132.lpp.</w:t>
      </w:r>
    </w:p>
  </w:footnote>
  <w:footnote w:id="186">
    <w:p w14:paraId="28109F81" w14:textId="77777777" w:rsidR="00D67CF6" w:rsidRPr="00883EB7" w:rsidRDefault="00D67CF6" w:rsidP="00883EB7">
      <w:pPr>
        <w:pStyle w:val="FootnoteText"/>
        <w:spacing w:after="0" w:line="240" w:lineRule="auto"/>
        <w:rPr>
          <w:rFonts w:ascii="Times New Roman" w:hAnsi="Times New Roman"/>
          <w:lang w:val="en-GB"/>
        </w:rPr>
      </w:pPr>
      <w:r w:rsidRPr="003E6E86">
        <w:rPr>
          <w:rStyle w:val="FootnoteReference"/>
          <w:rFonts w:ascii="Times New Roman" w:hAnsi="Times New Roman"/>
        </w:rPr>
        <w:footnoteRef/>
      </w:r>
      <w:r w:rsidRPr="003E6E86">
        <w:rPr>
          <w:rFonts w:ascii="Times New Roman" w:hAnsi="Times New Roman"/>
        </w:rPr>
        <w:t xml:space="preserve"> </w:t>
      </w:r>
      <w:r w:rsidRPr="003E6E86">
        <w:rPr>
          <w:rFonts w:ascii="Times New Roman" w:hAnsi="Times New Roman"/>
          <w:lang w:val="lv-LV"/>
        </w:rPr>
        <w:t>Informatīvais ziņojums par Darba aizsardzības politikas pamatnostādņu 2016. – 2020.gadam īstenošanas starpposma novērtējumu un Darba aizsardzības jomas attīstības plāna 2016. – 2018.gadam izpildi (</w:t>
      </w:r>
      <w:hyperlink r:id="rId64" w:history="1">
        <w:r w:rsidRPr="003E6E86">
          <w:rPr>
            <w:rFonts w:ascii="Times New Roman" w:hAnsi="Times New Roman"/>
            <w:lang w:val="lv-LV"/>
          </w:rPr>
          <w:t>http://www.lm.gov.lv/lv/nozares-politika/darba-tiesiskas-attiecibas-un-darba-aizsardziba/8-politikas-planosanas-dokumenti-un-tiesibu-akti/7-latvijas-politikas-planosanas-dokumenti</w:t>
        </w:r>
      </w:hyperlink>
      <w:r w:rsidRPr="00883EB7">
        <w:rPr>
          <w:rFonts w:ascii="Times New Roman" w:hAnsi="Times New Roman"/>
          <w:lang w:val="lv-LV"/>
        </w:rPr>
        <w:t>)</w:t>
      </w:r>
    </w:p>
  </w:footnote>
  <w:footnote w:id="187">
    <w:p w14:paraId="1CB9872A" w14:textId="0376C62E" w:rsidR="00D67CF6" w:rsidRPr="00EE7975" w:rsidRDefault="00D67CF6" w:rsidP="00FB065A">
      <w:pPr>
        <w:pStyle w:val="FootnoteText"/>
        <w:spacing w:after="0" w:line="240" w:lineRule="auto"/>
        <w:jc w:val="both"/>
        <w:rPr>
          <w:rFonts w:ascii="Times New Roman" w:hAnsi="Times New Roman"/>
          <w:lang w:val="lv-LV"/>
        </w:rPr>
      </w:pPr>
      <w:r w:rsidRPr="007739DC">
        <w:rPr>
          <w:rStyle w:val="FootnoteReference"/>
          <w:rFonts w:ascii="Times New Roman" w:hAnsi="Times New Roman"/>
        </w:rPr>
        <w:footnoteRef/>
      </w:r>
      <w:r>
        <w:rPr>
          <w:rFonts w:ascii="Times New Roman" w:hAnsi="Times New Roman"/>
          <w:lang w:val="lv-LV"/>
        </w:rPr>
        <w:t xml:space="preserve"> </w:t>
      </w:r>
      <w:r w:rsidRPr="00B95E54">
        <w:rPr>
          <w:rFonts w:ascii="Times New Roman" w:hAnsi="Times New Roman"/>
          <w:lang w:val="en-US"/>
        </w:rPr>
        <w:t xml:space="preserve">OECD </w:t>
      </w:r>
      <w:r w:rsidRPr="00B95E54">
        <w:rPr>
          <w:rFonts w:ascii="Times New Roman" w:eastAsia="Times New Roman" w:hAnsi="Times New Roman"/>
          <w:color w:val="000000"/>
          <w:lang w:eastAsia="lv-LV"/>
        </w:rPr>
        <w:t>pētījums “Cilvēku sasaiste ar darbvietām: Latvija”</w:t>
      </w:r>
      <w:r>
        <w:rPr>
          <w:rFonts w:ascii="Times New Roman" w:eastAsia="Times New Roman" w:hAnsi="Times New Roman"/>
          <w:color w:val="000000"/>
          <w:lang w:val="lv-LV" w:eastAsia="lv-LV"/>
        </w:rPr>
        <w:t>, 2019,</w:t>
      </w:r>
      <w:r w:rsidRPr="00B90C44">
        <w:rPr>
          <w:rFonts w:ascii="Times New Roman" w:eastAsia="Times New Roman" w:hAnsi="Times New Roman"/>
          <w:color w:val="000000"/>
          <w:lang w:eastAsia="lv-LV"/>
        </w:rPr>
        <w:t xml:space="preserve"> pieejams https://www.oecd.org/latvia/cilveku-sasaiste-ar-darbavietam-ce74856f-lv.htm</w:t>
      </w:r>
    </w:p>
  </w:footnote>
  <w:footnote w:id="188">
    <w:p w14:paraId="1E1AC88C" w14:textId="17838ACA" w:rsidR="00D67CF6" w:rsidRPr="00BD6805" w:rsidRDefault="00D67CF6" w:rsidP="00257C51">
      <w:pPr>
        <w:pStyle w:val="FootnoteText"/>
        <w:spacing w:after="0" w:line="240" w:lineRule="auto"/>
        <w:rPr>
          <w:rFonts w:ascii="Times New Roman" w:hAnsi="Times New Roman"/>
          <w:lang w:val="lv-LV"/>
        </w:rPr>
      </w:pPr>
      <w:r w:rsidRPr="00015229">
        <w:rPr>
          <w:rStyle w:val="FootnoteReference"/>
          <w:rFonts w:ascii="Times New Roman" w:hAnsi="Times New Roman"/>
        </w:rPr>
        <w:footnoteRef/>
      </w:r>
      <w:r w:rsidRPr="00015229">
        <w:rPr>
          <w:rFonts w:ascii="Times New Roman" w:hAnsi="Times New Roman"/>
        </w:rPr>
        <w:t xml:space="preserve"> </w:t>
      </w:r>
      <w:r w:rsidRPr="008F021B">
        <w:rPr>
          <w:rFonts w:ascii="Times New Roman" w:hAnsi="Times New Roman"/>
        </w:rPr>
        <w:t>Nodibinājum</w:t>
      </w:r>
      <w:r>
        <w:rPr>
          <w:rFonts w:ascii="Times New Roman" w:hAnsi="Times New Roman"/>
        </w:rPr>
        <w:t>s</w:t>
      </w:r>
      <w:r w:rsidRPr="008F021B">
        <w:rPr>
          <w:rFonts w:ascii="Times New Roman" w:hAnsi="Times New Roman"/>
        </w:rPr>
        <w:t xml:space="preserve"> “Baltic Institute of Social Sciences”</w:t>
      </w:r>
      <w:r>
        <w:rPr>
          <w:rFonts w:ascii="Times New Roman" w:hAnsi="Times New Roman"/>
        </w:rPr>
        <w:t xml:space="preserve">, </w:t>
      </w:r>
      <w:r w:rsidRPr="00E46C9B">
        <w:rPr>
          <w:rFonts w:ascii="Times New Roman" w:hAnsi="Times New Roman"/>
        </w:rPr>
        <w:t>Ikgadējs nabadzības un sociālās atstumtības mazināšanas rīcībpolitikas izvērtējums (t.sk. izvērtējums par nevienlīdzību veselības aprūpē un nevienlīdzību mājokļa pieejamības jomā) Rīga</w:t>
      </w:r>
      <w:r>
        <w:rPr>
          <w:rFonts w:ascii="Times New Roman" w:hAnsi="Times New Roman"/>
          <w:bCs/>
        </w:rPr>
        <w:t>, 2019.gada 19.jūnijs;</w:t>
      </w:r>
      <w:r w:rsidRPr="008F021B">
        <w:rPr>
          <w:rFonts w:ascii="Times New Roman" w:hAnsi="Times New Roman"/>
          <w:bCs/>
        </w:rPr>
        <w:t xml:space="preserve"> pieejams: </w:t>
      </w:r>
      <w:hyperlink r:id="rId65" w:history="1">
        <w:r w:rsidRPr="00E46C9B">
          <w:rPr>
            <w:rFonts w:ascii="Times New Roman" w:hAnsi="Times New Roman"/>
          </w:rPr>
          <w:t>http://petijumi.mk.gov.lv/node/3048</w:t>
        </w:r>
      </w:hyperlink>
      <w:r>
        <w:rPr>
          <w:rFonts w:ascii="Times New Roman" w:hAnsi="Times New Roman"/>
          <w:lang w:val="lv-LV"/>
        </w:rPr>
        <w:t xml:space="preserve">; </w:t>
      </w:r>
      <w:r w:rsidRPr="006F5FAD">
        <w:rPr>
          <w:rFonts w:ascii="Times New Roman" w:hAnsi="Times New Roman"/>
        </w:rPr>
        <w:t>Valsts kontrole, Revīzijas ziņojums “Vai valstī īstenotā sociālās iekļaušanas politika sasniedz tai izvirzītos mērķus nabadzības mazināšanas jomā?” (apstiprināts ar Valsts kontroles Trešā revīzijas departamenta 28.04.2020. lēmumu Nr.2.4.1-7/2019</w:t>
      </w:r>
      <w:r w:rsidRPr="006F5FAD">
        <w:rPr>
          <w:rFonts w:ascii="Times New Roman" w:hAnsi="Times New Roman"/>
          <w:lang w:val="lv-LV"/>
        </w:rPr>
        <w:t xml:space="preserve">; </w:t>
      </w:r>
      <w:r w:rsidRPr="006F5FAD">
        <w:rPr>
          <w:rFonts w:ascii="Times New Roman" w:hAnsi="Times New Roman"/>
        </w:rPr>
        <w:t>revīzijas publiskošanas datums</w:t>
      </w:r>
      <w:r w:rsidRPr="006F5FAD">
        <w:rPr>
          <w:rFonts w:ascii="Times New Roman" w:hAnsi="Times New Roman"/>
          <w:lang w:val="lv-LV"/>
        </w:rPr>
        <w:t xml:space="preserve"> 14.05.2020.</w:t>
      </w:r>
      <w:r w:rsidRPr="006F5FAD">
        <w:rPr>
          <w:rFonts w:ascii="Times New Roman" w:hAnsi="Times New Roman"/>
        </w:rPr>
        <w:t>)</w:t>
      </w:r>
      <w:r w:rsidRPr="006F5FAD">
        <w:rPr>
          <w:rFonts w:ascii="Times New Roman" w:hAnsi="Times New Roman"/>
          <w:lang w:val="lv-LV"/>
        </w:rPr>
        <w:t xml:space="preserve">, pieejams: </w:t>
      </w:r>
      <w:hyperlink r:id="rId66" w:history="1">
        <w:r w:rsidRPr="006F5FAD">
          <w:rPr>
            <w:rStyle w:val="Hyperlink"/>
            <w:rFonts w:ascii="Times New Roman" w:hAnsi="Times New Roman"/>
          </w:rPr>
          <w:t>https://www.lrvk.gov.lv/lv/revizijas/revizijas/noslegtas-revizijas/vai-valsti-istenota-socialas-ieklausanas-politika-sasniedz-tai-izvirzitos-merkus-nabadzibas-mazinasanas-joma</w:t>
        </w:r>
      </w:hyperlink>
    </w:p>
  </w:footnote>
  <w:footnote w:id="189">
    <w:p w14:paraId="048C5F68" w14:textId="18D1F95B" w:rsidR="00D67CF6" w:rsidRPr="00BD6805" w:rsidRDefault="00D67CF6" w:rsidP="00257C51">
      <w:pPr>
        <w:pStyle w:val="FootnoteText"/>
        <w:spacing w:after="0" w:line="240" w:lineRule="auto"/>
        <w:rPr>
          <w:rFonts w:ascii="Times New Roman" w:hAnsi="Times New Roman"/>
          <w:lang w:val="lv-LV"/>
        </w:rPr>
      </w:pPr>
      <w:r w:rsidRPr="00015229">
        <w:rPr>
          <w:rStyle w:val="FootnoteReference"/>
          <w:rFonts w:ascii="Times New Roman" w:hAnsi="Times New Roman"/>
        </w:rPr>
        <w:footnoteRef/>
      </w:r>
      <w:r w:rsidRPr="00015229">
        <w:rPr>
          <w:rFonts w:ascii="Times New Roman" w:hAnsi="Times New Roman"/>
        </w:rPr>
        <w:t xml:space="preserve"> </w:t>
      </w:r>
      <w:r w:rsidRPr="008F021B">
        <w:rPr>
          <w:rFonts w:ascii="Times New Roman" w:hAnsi="Times New Roman"/>
        </w:rPr>
        <w:t>Nodibinājum</w:t>
      </w:r>
      <w:r>
        <w:rPr>
          <w:rFonts w:ascii="Times New Roman" w:hAnsi="Times New Roman"/>
        </w:rPr>
        <w:t>s</w:t>
      </w:r>
      <w:r w:rsidRPr="008F021B">
        <w:rPr>
          <w:rFonts w:ascii="Times New Roman" w:hAnsi="Times New Roman"/>
        </w:rPr>
        <w:t xml:space="preserve"> “Baltic Institute of Social Sciences”</w:t>
      </w:r>
      <w:r>
        <w:rPr>
          <w:rFonts w:ascii="Times New Roman" w:hAnsi="Times New Roman"/>
        </w:rPr>
        <w:t xml:space="preserve">, </w:t>
      </w:r>
      <w:r w:rsidRPr="00E46C9B">
        <w:rPr>
          <w:rFonts w:ascii="Times New Roman" w:hAnsi="Times New Roman"/>
        </w:rPr>
        <w:t>Ikgadējs nabadzības un sociālās atstumtības mazināšanas rīcībpolitikas izvērtējums (t.sk. izvērtējums par nevienlīdzību veselības aprūpē un nevienlīdzību mājokļa pieejamības jomā) Rīga</w:t>
      </w:r>
      <w:r>
        <w:rPr>
          <w:rFonts w:ascii="Times New Roman" w:hAnsi="Times New Roman"/>
          <w:bCs/>
        </w:rPr>
        <w:t>, 2019.gada 19.jūnijs;</w:t>
      </w:r>
      <w:r w:rsidRPr="008F021B">
        <w:rPr>
          <w:rFonts w:ascii="Times New Roman" w:hAnsi="Times New Roman"/>
          <w:bCs/>
        </w:rPr>
        <w:t xml:space="preserve"> pieejams: </w:t>
      </w:r>
      <w:hyperlink r:id="rId67" w:history="1">
        <w:r w:rsidRPr="00E46C9B">
          <w:rPr>
            <w:rFonts w:ascii="Times New Roman" w:hAnsi="Times New Roman"/>
          </w:rPr>
          <w:t>http://petijumi.mk.gov.lv/node/3048</w:t>
        </w:r>
      </w:hyperlink>
    </w:p>
  </w:footnote>
  <w:footnote w:id="190">
    <w:p w14:paraId="1834C345" w14:textId="634D60E5" w:rsidR="00D67CF6" w:rsidRPr="00705E8C" w:rsidRDefault="00D67CF6" w:rsidP="00257C51">
      <w:pPr>
        <w:pStyle w:val="FootnoteText"/>
        <w:spacing w:after="0" w:line="240" w:lineRule="auto"/>
        <w:rPr>
          <w:rFonts w:ascii="Times New Roman" w:hAnsi="Times New Roman"/>
          <w:lang w:val="lv-LV"/>
        </w:rPr>
      </w:pPr>
      <w:r w:rsidRPr="00705E8C">
        <w:rPr>
          <w:rStyle w:val="FootnoteReference"/>
          <w:rFonts w:ascii="Times New Roman" w:hAnsi="Times New Roman"/>
        </w:rPr>
        <w:footnoteRef/>
      </w:r>
      <w:r w:rsidRPr="00705E8C">
        <w:rPr>
          <w:rFonts w:ascii="Times New Roman" w:hAnsi="Times New Roman"/>
        </w:rPr>
        <w:t xml:space="preserve"> </w:t>
      </w:r>
      <w:r w:rsidRPr="006F5FAD">
        <w:rPr>
          <w:rFonts w:ascii="Times New Roman" w:hAnsi="Times New Roman"/>
        </w:rPr>
        <w:t>Valsts kontrole, Revīzijas ziņojums “Vai valstī īstenotā sociālās iekļaušanas politika sasniedz tai izvirzītos mērķus nabadzības mazināšanas jomā?” (apstiprināts ar Valsts kontroles Trešā revīzijas departamenta 28.04.2020. lēmumu Nr.2.4.1-7/2019</w:t>
      </w:r>
      <w:r w:rsidRPr="006F5FAD">
        <w:rPr>
          <w:rFonts w:ascii="Times New Roman" w:hAnsi="Times New Roman"/>
          <w:lang w:val="lv-LV"/>
        </w:rPr>
        <w:t xml:space="preserve">; </w:t>
      </w:r>
      <w:r w:rsidRPr="006F5FAD">
        <w:rPr>
          <w:rFonts w:ascii="Times New Roman" w:hAnsi="Times New Roman"/>
        </w:rPr>
        <w:t>revīzijas publiskošanas datums</w:t>
      </w:r>
      <w:r w:rsidRPr="006F5FAD">
        <w:rPr>
          <w:rFonts w:ascii="Times New Roman" w:hAnsi="Times New Roman"/>
          <w:lang w:val="lv-LV"/>
        </w:rPr>
        <w:t xml:space="preserve"> 14.05.2020.</w:t>
      </w:r>
      <w:r w:rsidRPr="006F5FAD">
        <w:rPr>
          <w:rFonts w:ascii="Times New Roman" w:hAnsi="Times New Roman"/>
        </w:rPr>
        <w:t>)</w:t>
      </w:r>
      <w:r w:rsidRPr="006F5FAD">
        <w:rPr>
          <w:rFonts w:ascii="Times New Roman" w:hAnsi="Times New Roman"/>
          <w:lang w:val="lv-LV"/>
        </w:rPr>
        <w:t xml:space="preserve">, pieejams: </w:t>
      </w:r>
      <w:hyperlink r:id="rId68" w:history="1">
        <w:r w:rsidRPr="006F5FAD">
          <w:rPr>
            <w:rStyle w:val="Hyperlink"/>
            <w:rFonts w:ascii="Times New Roman" w:hAnsi="Times New Roman"/>
          </w:rPr>
          <w:t>https://www.lrvk.gov.lv/lv/revizijas/revizijas/noslegtas-revizijas/vai-valsti-istenota-socialas-ieklausanas-politika-sasniedz-tai-izvirzitos-merkus-nabadzibas-mazinasanas-joma</w:t>
        </w:r>
      </w:hyperlink>
    </w:p>
  </w:footnote>
  <w:footnote w:id="191">
    <w:p w14:paraId="508025D8" w14:textId="48CF7110" w:rsidR="00D67CF6" w:rsidRPr="00705E8C" w:rsidRDefault="00D67CF6" w:rsidP="00257C51">
      <w:pPr>
        <w:pStyle w:val="FootnoteText"/>
        <w:spacing w:after="0" w:line="240" w:lineRule="auto"/>
        <w:rPr>
          <w:rFonts w:ascii="Times New Roman" w:hAnsi="Times New Roman"/>
          <w:lang w:val="lv-LV"/>
        </w:rPr>
      </w:pPr>
      <w:r w:rsidRPr="00705E8C">
        <w:rPr>
          <w:rStyle w:val="FootnoteReference"/>
          <w:rFonts w:ascii="Times New Roman" w:hAnsi="Times New Roman"/>
        </w:rPr>
        <w:footnoteRef/>
      </w:r>
      <w:r w:rsidRPr="00705E8C">
        <w:rPr>
          <w:rFonts w:ascii="Times New Roman" w:hAnsi="Times New Roman"/>
        </w:rPr>
        <w:t xml:space="preserve"> </w:t>
      </w:r>
      <w:r w:rsidRPr="00705E8C">
        <w:rPr>
          <w:rFonts w:ascii="Times New Roman" w:hAnsi="Times New Roman"/>
          <w:lang w:val="lv-LV"/>
        </w:rPr>
        <w:t xml:space="preserve">OECD projekts: Mājokļu pieejamība Latvijā, 2019, 10., 17., 27.lpp.; pieejams </w:t>
      </w:r>
      <w:hyperlink r:id="rId69" w:history="1">
        <w:r w:rsidRPr="00705E8C">
          <w:rPr>
            <w:rStyle w:val="Hyperlink"/>
            <w:rFonts w:ascii="Times New Roman" w:hAnsi="Times New Roman"/>
          </w:rPr>
          <w:t>http://www.oecd.org/economy/latvia-economic-snapshot/</w:t>
        </w:r>
      </w:hyperlink>
    </w:p>
  </w:footnote>
  <w:footnote w:id="192">
    <w:p w14:paraId="3B33E12B" w14:textId="3574C996" w:rsidR="00D67CF6" w:rsidRPr="00705E8C" w:rsidRDefault="00D67CF6" w:rsidP="00257C51">
      <w:pPr>
        <w:pStyle w:val="FootnoteText"/>
        <w:spacing w:after="0" w:line="240" w:lineRule="auto"/>
        <w:rPr>
          <w:rFonts w:ascii="Times New Roman" w:hAnsi="Times New Roman"/>
          <w:lang w:val="lv-LV"/>
        </w:rPr>
      </w:pPr>
      <w:r w:rsidRPr="00705E8C">
        <w:rPr>
          <w:rStyle w:val="FootnoteReference"/>
          <w:rFonts w:ascii="Times New Roman" w:hAnsi="Times New Roman"/>
        </w:rPr>
        <w:footnoteRef/>
      </w:r>
      <w:r w:rsidRPr="00705E8C">
        <w:rPr>
          <w:rFonts w:ascii="Times New Roman" w:hAnsi="Times New Roman"/>
        </w:rPr>
        <w:t xml:space="preserve"> </w:t>
      </w:r>
      <w:r w:rsidRPr="006F5FAD">
        <w:rPr>
          <w:rFonts w:ascii="Times New Roman" w:hAnsi="Times New Roman"/>
        </w:rPr>
        <w:t>Valsts kontrole, Revīzijas ziņojums “Vai valstī īstenotā sociālās iekļaušanas politika sasniedz tai izvirzītos mērķus nabadzības mazināšanas jomā?” (apstiprināts ar Valsts kontroles Trešā revīzijas departamenta 28.04.2020. lēmumu Nr.2.4.1-7/2019</w:t>
      </w:r>
      <w:r w:rsidRPr="006F5FAD">
        <w:rPr>
          <w:rFonts w:ascii="Times New Roman" w:hAnsi="Times New Roman"/>
          <w:lang w:val="lv-LV"/>
        </w:rPr>
        <w:t xml:space="preserve">; </w:t>
      </w:r>
      <w:r w:rsidRPr="006F5FAD">
        <w:rPr>
          <w:rFonts w:ascii="Times New Roman" w:hAnsi="Times New Roman"/>
        </w:rPr>
        <w:t>revīzijas publiskošanas datums</w:t>
      </w:r>
      <w:r w:rsidRPr="006F5FAD">
        <w:rPr>
          <w:rFonts w:ascii="Times New Roman" w:hAnsi="Times New Roman"/>
          <w:lang w:val="lv-LV"/>
        </w:rPr>
        <w:t xml:space="preserve"> 14.05.2020.</w:t>
      </w:r>
      <w:r w:rsidRPr="006F5FAD">
        <w:rPr>
          <w:rFonts w:ascii="Times New Roman" w:hAnsi="Times New Roman"/>
        </w:rPr>
        <w:t>)</w:t>
      </w:r>
      <w:r w:rsidRPr="006F5FAD">
        <w:rPr>
          <w:rFonts w:ascii="Times New Roman" w:hAnsi="Times New Roman"/>
          <w:lang w:val="lv-LV"/>
        </w:rPr>
        <w:t xml:space="preserve">, pieejams: </w:t>
      </w:r>
      <w:hyperlink r:id="rId70" w:history="1">
        <w:r w:rsidRPr="006F5FAD">
          <w:rPr>
            <w:rStyle w:val="Hyperlink"/>
            <w:rFonts w:ascii="Times New Roman" w:hAnsi="Times New Roman"/>
          </w:rPr>
          <w:t>https://www.lrvk.gov.lv/lv/revizijas/revizijas/noslegtas-revizijas/vai-valsti-istenota-socialas-ieklausanas-politika-sasniedz-tai-izvirzitos-merkus-nabadzibas-mazinasanas-joma</w:t>
        </w:r>
      </w:hyperlink>
    </w:p>
  </w:footnote>
  <w:footnote w:id="193">
    <w:p w14:paraId="505203D0" w14:textId="6F83E1D1" w:rsidR="00D67CF6" w:rsidRPr="00705E8C" w:rsidRDefault="00D67CF6" w:rsidP="00763C6D">
      <w:pPr>
        <w:pStyle w:val="FootnoteText"/>
        <w:spacing w:after="0" w:line="240" w:lineRule="auto"/>
        <w:rPr>
          <w:rFonts w:ascii="Times New Roman" w:hAnsi="Times New Roman"/>
          <w:lang w:val="lv-LV"/>
        </w:rPr>
      </w:pPr>
      <w:r w:rsidRPr="00705E8C">
        <w:rPr>
          <w:rStyle w:val="FootnoteReference"/>
          <w:rFonts w:ascii="Times New Roman" w:hAnsi="Times New Roman"/>
        </w:rPr>
        <w:footnoteRef/>
      </w:r>
      <w:r w:rsidRPr="00705E8C">
        <w:rPr>
          <w:rFonts w:ascii="Times New Roman" w:hAnsi="Times New Roman"/>
        </w:rPr>
        <w:t xml:space="preserve"> </w:t>
      </w:r>
      <w:r>
        <w:rPr>
          <w:rFonts w:ascii="Times New Roman" w:hAnsi="Times New Roman"/>
          <w:lang w:val="lv-LV"/>
        </w:rPr>
        <w:t>Turpat</w:t>
      </w:r>
    </w:p>
  </w:footnote>
  <w:footnote w:id="194">
    <w:p w14:paraId="7569308E" w14:textId="7DE9FAB2" w:rsidR="00D67CF6" w:rsidRPr="00015229" w:rsidRDefault="00D67CF6" w:rsidP="00763C6D">
      <w:pPr>
        <w:pStyle w:val="FootnoteText"/>
        <w:spacing w:after="0" w:line="240" w:lineRule="auto"/>
        <w:rPr>
          <w:rFonts w:ascii="Times New Roman" w:hAnsi="Times New Roman"/>
          <w:lang w:val="lv-LV"/>
        </w:rPr>
      </w:pPr>
      <w:r w:rsidRPr="00705E8C">
        <w:rPr>
          <w:rStyle w:val="FootnoteReference"/>
          <w:rFonts w:ascii="Times New Roman" w:hAnsi="Times New Roman"/>
        </w:rPr>
        <w:footnoteRef/>
      </w:r>
      <w:r w:rsidRPr="00705E8C">
        <w:rPr>
          <w:rFonts w:ascii="Times New Roman" w:hAnsi="Times New Roman"/>
        </w:rPr>
        <w:t xml:space="preserve"> </w:t>
      </w:r>
      <w:r>
        <w:rPr>
          <w:rFonts w:ascii="Times New Roman" w:eastAsia="SimSun" w:hAnsi="Times New Roman"/>
          <w:lang w:val="lv-LV"/>
        </w:rPr>
        <w:t>LU</w:t>
      </w:r>
      <w:r w:rsidRPr="00705E8C">
        <w:rPr>
          <w:rFonts w:ascii="Times New Roman" w:eastAsia="SimSun" w:hAnsi="Times New Roman"/>
        </w:rPr>
        <w:t xml:space="preserve"> </w:t>
      </w:r>
      <w:r w:rsidRPr="00705E8C">
        <w:rPr>
          <w:rFonts w:ascii="Times New Roman" w:hAnsi="Times New Roman"/>
        </w:rPr>
        <w:t>Ekonomikas un vadības fakultātes Ekonomisko sistēmu vadības teoriju un metožu</w:t>
      </w:r>
      <w:r w:rsidRPr="00813335">
        <w:rPr>
          <w:rFonts w:ascii="Times New Roman" w:hAnsi="Times New Roman"/>
        </w:rPr>
        <w:t xml:space="preserve"> katedras profesors Māris Purgailis. Eksperta ziņojums par makrosimulācijas metožu izmantošanu un par makrosimulācijas rīku izstrādi, lietošanu un uzturēšanu; sniegts lietderības revīzijas “Valsts </w:t>
      </w:r>
      <w:r w:rsidRPr="00015229">
        <w:rPr>
          <w:rFonts w:ascii="Times New Roman" w:hAnsi="Times New Roman"/>
        </w:rPr>
        <w:t xml:space="preserve">politikas efektivitāte pensiju sistēmas ilgtspējas nodrošināšanai” ietvaros. </w:t>
      </w:r>
      <w:r w:rsidRPr="00015229">
        <w:rPr>
          <w:rFonts w:ascii="Times New Roman" w:hAnsi="Times New Roman"/>
          <w:bCs/>
        </w:rPr>
        <w:t>Rīga, 2016.gads</w:t>
      </w:r>
      <w:r w:rsidRPr="00015229">
        <w:rPr>
          <w:rFonts w:ascii="Times New Roman" w:hAnsi="Times New Roman"/>
          <w:bCs/>
          <w:lang w:val="lv-LV"/>
        </w:rPr>
        <w:t>, 7.lpp.</w:t>
      </w:r>
    </w:p>
  </w:footnote>
  <w:footnote w:id="195">
    <w:p w14:paraId="2AFA8D29" w14:textId="0C905BDC" w:rsidR="00D67CF6" w:rsidRPr="00B83815" w:rsidRDefault="00D67CF6" w:rsidP="00763C6D">
      <w:pPr>
        <w:pStyle w:val="FootnoteText"/>
        <w:spacing w:after="0" w:line="240" w:lineRule="auto"/>
        <w:rPr>
          <w:rFonts w:ascii="Times New Roman" w:hAnsi="Times New Roman"/>
          <w:lang w:val="lv-LV"/>
        </w:rPr>
      </w:pPr>
      <w:r w:rsidRPr="00B83815">
        <w:rPr>
          <w:rStyle w:val="FootnoteReference"/>
          <w:rFonts w:ascii="Times New Roman" w:hAnsi="Times New Roman"/>
        </w:rPr>
        <w:footnoteRef/>
      </w:r>
      <w:r w:rsidRPr="00B83815">
        <w:rPr>
          <w:rFonts w:ascii="Times New Roman" w:hAnsi="Times New Roman"/>
        </w:rPr>
        <w:t xml:space="preserve"> </w:t>
      </w:r>
      <w:r w:rsidRPr="00B83815">
        <w:rPr>
          <w:rFonts w:ascii="Times New Roman" w:hAnsi="Times New Roman"/>
          <w:lang w:val="lv-LV"/>
        </w:rPr>
        <w:t xml:space="preserve">SIA SAFEGE Baltija, Gala ziņojums “Ģimenes </w:t>
      </w:r>
      <w:r w:rsidRPr="00B83815">
        <w:rPr>
          <w:rFonts w:ascii="Times New Roman" w:hAnsi="Times New Roman"/>
        </w:rPr>
        <w:t>valsts politikas pamatnostādņu 2011.-2017.gadam ex-post novērtējum</w:t>
      </w:r>
      <w:r w:rsidRPr="00B83815">
        <w:rPr>
          <w:rFonts w:ascii="Times New Roman" w:hAnsi="Times New Roman"/>
          <w:lang w:val="lv-LV"/>
        </w:rPr>
        <w:t xml:space="preserve">s”, Rīga, 2018.gada 30.novembris, </w:t>
      </w:r>
      <w:r>
        <w:rPr>
          <w:rFonts w:ascii="Times New Roman" w:hAnsi="Times New Roman"/>
          <w:lang w:val="lv-LV"/>
        </w:rPr>
        <w:t>186.-193., 211</w:t>
      </w:r>
      <w:r w:rsidRPr="00B83815">
        <w:rPr>
          <w:rFonts w:ascii="Times New Roman" w:hAnsi="Times New Roman"/>
          <w:lang w:val="lv-LV"/>
        </w:rPr>
        <w:t>.lpp.</w:t>
      </w:r>
    </w:p>
  </w:footnote>
  <w:footnote w:id="196">
    <w:p w14:paraId="7ECC38FA" w14:textId="77777777" w:rsidR="00D67CF6" w:rsidRPr="00091A4E" w:rsidRDefault="00D67CF6" w:rsidP="003E6E86">
      <w:pPr>
        <w:pStyle w:val="FootnoteText"/>
        <w:spacing w:after="0" w:line="240" w:lineRule="auto"/>
        <w:jc w:val="both"/>
        <w:rPr>
          <w:rFonts w:ascii="Times New Roman" w:hAnsi="Times New Roman"/>
          <w:lang w:val="lv-LV"/>
        </w:rPr>
      </w:pPr>
      <w:r w:rsidRPr="00091A4E">
        <w:rPr>
          <w:rStyle w:val="FootnoteReference"/>
          <w:rFonts w:ascii="Times New Roman" w:hAnsi="Times New Roman"/>
        </w:rPr>
        <w:footnoteRef/>
      </w:r>
      <w:r w:rsidRPr="00091A4E">
        <w:rPr>
          <w:rFonts w:ascii="Times New Roman" w:hAnsi="Times New Roman"/>
        </w:rPr>
        <w:t xml:space="preserve"> </w:t>
      </w:r>
      <w:r w:rsidRPr="00091A4E">
        <w:rPr>
          <w:rFonts w:ascii="Times New Roman" w:hAnsi="Times New Roman"/>
          <w:lang w:val="lv-LV"/>
        </w:rPr>
        <w:t xml:space="preserve">Ministru kabineta 2001.gada 16.oktobra protokols Nr.50, 21.§ “Koncepcija dzimumu līdztiesības īstenošanai”. Pieejams: </w:t>
      </w:r>
      <w:hyperlink r:id="rId71" w:history="1">
        <w:r w:rsidRPr="00091A4E">
          <w:rPr>
            <w:rStyle w:val="Hyperlink"/>
            <w:rFonts w:ascii="Times New Roman" w:hAnsi="Times New Roman"/>
            <w:lang w:val="lv-LV"/>
          </w:rPr>
          <w:t>http://polsis.mk.gov.lv/api/file/file36360.doc</w:t>
        </w:r>
      </w:hyperlink>
      <w:r w:rsidRPr="00091A4E">
        <w:rPr>
          <w:rFonts w:ascii="Times New Roman" w:hAnsi="Times New Roman"/>
          <w:lang w:val="lv-LV"/>
        </w:rPr>
        <w:t xml:space="preserve"> </w:t>
      </w:r>
    </w:p>
  </w:footnote>
  <w:footnote w:id="197">
    <w:p w14:paraId="7BB2DDEE" w14:textId="77777777" w:rsidR="00D67CF6" w:rsidRPr="00091A4E" w:rsidRDefault="00D67CF6" w:rsidP="003E6E86">
      <w:pPr>
        <w:pStyle w:val="FootnoteText"/>
        <w:spacing w:after="0" w:line="240" w:lineRule="auto"/>
        <w:jc w:val="both"/>
        <w:rPr>
          <w:rFonts w:ascii="Times New Roman" w:hAnsi="Times New Roman"/>
          <w:lang w:val="lv-LV"/>
        </w:rPr>
      </w:pPr>
      <w:r w:rsidRPr="00091A4E">
        <w:rPr>
          <w:rStyle w:val="FootnoteReference"/>
          <w:rFonts w:ascii="Times New Roman" w:hAnsi="Times New Roman"/>
        </w:rPr>
        <w:footnoteRef/>
      </w:r>
      <w:r w:rsidRPr="00091A4E">
        <w:rPr>
          <w:rFonts w:ascii="Times New Roman" w:hAnsi="Times New Roman"/>
        </w:rPr>
        <w:t xml:space="preserve"> </w:t>
      </w:r>
      <w:r w:rsidRPr="00091A4E">
        <w:rPr>
          <w:rFonts w:ascii="Times New Roman" w:hAnsi="Times New Roman"/>
          <w:lang w:val="lv-LV"/>
        </w:rPr>
        <w:t xml:space="preserve">Koncepcija dzimumu līdztiesības īstenošanai. </w:t>
      </w:r>
      <w:r w:rsidRPr="00091A4E">
        <w:rPr>
          <w:rFonts w:ascii="Times New Roman" w:hAnsi="Times New Roman"/>
          <w:i/>
          <w:iCs/>
          <w:lang w:val="lv-LV"/>
        </w:rPr>
        <w:t xml:space="preserve">Labklājības ministrija </w:t>
      </w:r>
      <w:r w:rsidRPr="00091A4E">
        <w:rPr>
          <w:rFonts w:ascii="Times New Roman" w:hAnsi="Times New Roman"/>
          <w:lang w:val="lv-LV"/>
        </w:rPr>
        <w:t xml:space="preserve">(2001). Pieejams: </w:t>
      </w:r>
      <w:hyperlink r:id="rId72" w:history="1">
        <w:r w:rsidRPr="00091A4E">
          <w:rPr>
            <w:rStyle w:val="Hyperlink"/>
            <w:rFonts w:ascii="Times New Roman" w:hAnsi="Times New Roman"/>
            <w:lang w:val="lv-LV"/>
          </w:rPr>
          <w:t>http://polsis.mk.gov.lv/api/file/file36359.DOC</w:t>
        </w:r>
      </w:hyperlink>
      <w:r w:rsidRPr="00091A4E">
        <w:rPr>
          <w:rFonts w:ascii="Times New Roman" w:hAnsi="Times New Roman"/>
          <w:lang w:val="lv-LV"/>
        </w:rPr>
        <w:t xml:space="preserve">. </w:t>
      </w:r>
    </w:p>
  </w:footnote>
  <w:footnote w:id="198">
    <w:p w14:paraId="17F8F145" w14:textId="77777777" w:rsidR="00D67CF6" w:rsidRPr="00091A4E" w:rsidRDefault="00D67CF6" w:rsidP="003E6E86">
      <w:pPr>
        <w:pStyle w:val="FootnoteText"/>
        <w:spacing w:after="0" w:line="240" w:lineRule="auto"/>
        <w:jc w:val="both"/>
        <w:rPr>
          <w:rFonts w:ascii="Times New Roman" w:hAnsi="Times New Roman"/>
          <w:lang w:val="lv-LV"/>
        </w:rPr>
      </w:pPr>
      <w:r w:rsidRPr="00091A4E">
        <w:rPr>
          <w:rStyle w:val="FootnoteReference"/>
          <w:rFonts w:ascii="Times New Roman" w:hAnsi="Times New Roman"/>
        </w:rPr>
        <w:footnoteRef/>
      </w:r>
      <w:r w:rsidRPr="00091A4E">
        <w:rPr>
          <w:rFonts w:ascii="Times New Roman" w:hAnsi="Times New Roman"/>
        </w:rPr>
        <w:t xml:space="preserve"> </w:t>
      </w:r>
      <w:r w:rsidRPr="00091A4E">
        <w:rPr>
          <w:rFonts w:ascii="Times New Roman" w:hAnsi="Times New Roman"/>
          <w:lang w:val="lv-LV"/>
        </w:rPr>
        <w:t xml:space="preserve">Kopš Koncepcijas pieņemšanas ir izstrādāti un īstenoti pieci politikas plānošanas dokumenti dzimumu līdztiesības jomā: Pasākumu plāns Koncepcijas dzimumu līdztiesības īstenošanai ieviešanai 2002.gadam, Programma dzimumu līdztiesības īstenošanai 2005.-2006.gadam, Programma dzimumu līdztiesības īstenošanai 2007.-2010.gadam, Plāns dzimumu līdztiesības īstenošanai 2012.-2014.gadam un Plāns sieviešu un vīriešu vienlīdzīgu tiesību un iespēju veicināšanai 2018.-2020.gadam. </w:t>
      </w:r>
    </w:p>
  </w:footnote>
  <w:footnote w:id="199">
    <w:p w14:paraId="444C96A5" w14:textId="77777777" w:rsidR="00D67CF6" w:rsidRPr="00C504E4" w:rsidRDefault="00D67CF6" w:rsidP="00C504E4">
      <w:pPr>
        <w:pStyle w:val="FootnoteText"/>
        <w:spacing w:after="0" w:line="240" w:lineRule="auto"/>
        <w:rPr>
          <w:rFonts w:ascii="Times New Roman" w:hAnsi="Times New Roman"/>
          <w:lang w:val="lv-LV"/>
        </w:rPr>
      </w:pPr>
      <w:r w:rsidRPr="00C504E4">
        <w:rPr>
          <w:rStyle w:val="FootnoteReference"/>
          <w:rFonts w:ascii="Times New Roman" w:hAnsi="Times New Roman"/>
        </w:rPr>
        <w:footnoteRef/>
      </w:r>
      <w:r w:rsidRPr="00C504E4">
        <w:rPr>
          <w:rFonts w:ascii="Times New Roman" w:hAnsi="Times New Roman"/>
        </w:rPr>
        <w:t xml:space="preserve"> </w:t>
      </w:r>
      <w:r w:rsidRPr="00C504E4">
        <w:rPr>
          <w:rFonts w:ascii="Times New Roman" w:hAnsi="Times New Roman"/>
          <w:lang w:val="lv-LV"/>
        </w:rPr>
        <w:t xml:space="preserve">Eiropas Komisija: Special Eirobarometer 499 – Gender-based violence. Report. 17.lpp. Pieejams: </w:t>
      </w:r>
      <w:hyperlink r:id="rId73" w:history="1">
        <w:r w:rsidRPr="00C504E4">
          <w:rPr>
            <w:rStyle w:val="Hyperlink"/>
            <w:rFonts w:ascii="Times New Roman" w:hAnsi="Times New Roman"/>
            <w:lang w:val="lv-LV"/>
          </w:rPr>
          <w:t>https://data.europa.eu/euodp/en/data/dataset/S2115_85_3_449_ENG</w:t>
        </w:r>
      </w:hyperlink>
      <w:r w:rsidRPr="00C504E4">
        <w:rPr>
          <w:rFonts w:ascii="Times New Roman" w:hAnsi="Times New Roman"/>
          <w:lang w:val="lv-LV"/>
        </w:rPr>
        <w:t xml:space="preserve"> </w:t>
      </w:r>
    </w:p>
  </w:footnote>
  <w:footnote w:id="200">
    <w:p w14:paraId="493C02B8" w14:textId="77777777" w:rsidR="00D67CF6" w:rsidRPr="00C504E4" w:rsidRDefault="00D67CF6" w:rsidP="00C504E4">
      <w:pPr>
        <w:spacing w:after="0" w:line="240" w:lineRule="auto"/>
        <w:rPr>
          <w:rFonts w:ascii="Times New Roman" w:hAnsi="Times New Roman" w:cs="Times New Roman"/>
          <w:sz w:val="20"/>
          <w:szCs w:val="20"/>
        </w:rPr>
      </w:pPr>
      <w:r w:rsidRPr="00C504E4">
        <w:rPr>
          <w:rStyle w:val="FootnoteReference"/>
          <w:rFonts w:ascii="Times New Roman" w:hAnsi="Times New Roman" w:cs="Times New Roman"/>
          <w:sz w:val="20"/>
          <w:szCs w:val="20"/>
        </w:rPr>
        <w:footnoteRef/>
      </w:r>
      <w:r w:rsidRPr="00C504E4">
        <w:rPr>
          <w:rFonts w:ascii="Times New Roman" w:hAnsi="Times New Roman" w:cs="Times New Roman"/>
          <w:sz w:val="20"/>
          <w:szCs w:val="20"/>
        </w:rPr>
        <w:t xml:space="preserve"> Ministru kabineta 2002.gada 19.februāra noteikumi Nr.79 “Dzimumu līdztiesības padomes nolikums”. Pieejams: </w:t>
      </w:r>
      <w:hyperlink r:id="rId74" w:history="1">
        <w:r w:rsidRPr="00C504E4">
          <w:rPr>
            <w:rStyle w:val="Hyperlink"/>
            <w:rFonts w:ascii="Times New Roman" w:hAnsi="Times New Roman" w:cs="Times New Roman"/>
            <w:sz w:val="20"/>
            <w:szCs w:val="20"/>
          </w:rPr>
          <w:t>https://likumi.lv/ta/id/59236-dzimumu-lidztiesibas-padomes-nolikums</w:t>
        </w:r>
      </w:hyperlink>
      <w:r w:rsidRPr="00C504E4">
        <w:rPr>
          <w:rFonts w:ascii="Times New Roman" w:hAnsi="Times New Roman" w:cs="Times New Roman"/>
          <w:sz w:val="20"/>
          <w:szCs w:val="20"/>
        </w:rPr>
        <w:t>.</w:t>
      </w:r>
    </w:p>
  </w:footnote>
  <w:footnote w:id="201">
    <w:p w14:paraId="1E413153" w14:textId="77777777" w:rsidR="00D67CF6" w:rsidRPr="00C504E4" w:rsidRDefault="00D67CF6" w:rsidP="00C504E4">
      <w:pPr>
        <w:spacing w:after="0" w:line="240" w:lineRule="auto"/>
        <w:rPr>
          <w:rFonts w:ascii="Times New Roman" w:hAnsi="Times New Roman" w:cs="Times New Roman"/>
          <w:sz w:val="20"/>
          <w:szCs w:val="20"/>
        </w:rPr>
      </w:pPr>
      <w:r w:rsidRPr="00C504E4">
        <w:rPr>
          <w:rStyle w:val="FootnoteReference"/>
          <w:rFonts w:ascii="Times New Roman" w:hAnsi="Times New Roman" w:cs="Times New Roman"/>
          <w:sz w:val="20"/>
          <w:szCs w:val="20"/>
        </w:rPr>
        <w:footnoteRef/>
      </w:r>
      <w:r w:rsidRPr="00C504E4">
        <w:rPr>
          <w:rFonts w:ascii="Times New Roman" w:hAnsi="Times New Roman" w:cs="Times New Roman"/>
          <w:sz w:val="20"/>
          <w:szCs w:val="20"/>
        </w:rPr>
        <w:t xml:space="preserve"> Labklājības ministrijas 2010.gada 10.maija rīkojums Nr.48 “Par Dzimumu līdztiesības komitejas izveidi”. Pieejams: </w:t>
      </w:r>
      <w:hyperlink r:id="rId75" w:history="1">
        <w:r w:rsidRPr="00C504E4">
          <w:rPr>
            <w:rStyle w:val="Hyperlink"/>
            <w:rFonts w:ascii="Times New Roman" w:hAnsi="Times New Roman" w:cs="Times New Roman"/>
            <w:sz w:val="20"/>
            <w:szCs w:val="20"/>
          </w:rPr>
          <w:t>http://lm.gov.lv/upload/dzimumu_lidztiesiba/dz_lidzt_rikojums2.pdf</w:t>
        </w:r>
      </w:hyperlink>
      <w:r w:rsidRPr="00C504E4">
        <w:rPr>
          <w:rFonts w:ascii="Times New Roman" w:hAnsi="Times New Roman" w:cs="Times New Roman"/>
          <w:sz w:val="20"/>
          <w:szCs w:val="20"/>
        </w:rPr>
        <w:t>.</w:t>
      </w:r>
    </w:p>
  </w:footnote>
  <w:footnote w:id="202">
    <w:p w14:paraId="460E06E2" w14:textId="77777777" w:rsidR="00D67CF6" w:rsidRPr="00091A4E" w:rsidRDefault="00D67CF6" w:rsidP="00E4785D">
      <w:pPr>
        <w:pStyle w:val="FootnoteText"/>
        <w:spacing w:after="0" w:line="240" w:lineRule="auto"/>
        <w:rPr>
          <w:rFonts w:ascii="Times New Roman" w:hAnsi="Times New Roman"/>
          <w:i/>
          <w:iCs/>
          <w:lang w:val="lv-LV"/>
        </w:rPr>
      </w:pPr>
      <w:r w:rsidRPr="00091A4E">
        <w:rPr>
          <w:rStyle w:val="FootnoteReference"/>
          <w:rFonts w:ascii="Times New Roman" w:hAnsi="Times New Roman"/>
        </w:rPr>
        <w:footnoteRef/>
      </w:r>
      <w:r w:rsidRPr="00091A4E">
        <w:rPr>
          <w:rFonts w:ascii="Times New Roman" w:hAnsi="Times New Roman"/>
        </w:rPr>
        <w:t xml:space="preserve"> </w:t>
      </w:r>
      <w:r w:rsidRPr="00091A4E">
        <w:rPr>
          <w:rFonts w:ascii="Times New Roman" w:hAnsi="Times New Roman"/>
          <w:lang w:val="lv-LV"/>
        </w:rPr>
        <w:t>Skat., piemēram: Izglītības likums, 3.</w:t>
      </w:r>
      <w:r w:rsidRPr="00091A4E">
        <w:rPr>
          <w:rFonts w:ascii="Times New Roman" w:hAnsi="Times New Roman"/>
          <w:vertAlign w:val="superscript"/>
          <w:lang w:val="lv-LV"/>
        </w:rPr>
        <w:t>1</w:t>
      </w:r>
      <w:r w:rsidRPr="00091A4E">
        <w:rPr>
          <w:rFonts w:ascii="Times New Roman" w:hAnsi="Times New Roman"/>
          <w:lang w:val="lv-LV"/>
        </w:rPr>
        <w:t xml:space="preserve"> pants; Pacienta tiesību likums, 3.pants; Likums “Par sociālo drošību,” 2.</w:t>
      </w:r>
      <w:r w:rsidRPr="00091A4E">
        <w:rPr>
          <w:rFonts w:ascii="Times New Roman" w:hAnsi="Times New Roman"/>
          <w:vertAlign w:val="superscript"/>
          <w:lang w:val="lv-LV"/>
        </w:rPr>
        <w:t>1</w:t>
      </w:r>
      <w:r w:rsidRPr="00091A4E">
        <w:rPr>
          <w:rFonts w:ascii="Times New Roman" w:hAnsi="Times New Roman"/>
          <w:lang w:val="lv-LV"/>
        </w:rPr>
        <w:t xml:space="preserve"> pants; Bērnu tiesību aizsardzības likums, 3.panta otrā daļa; Darba likums, 7.panta otrā daļa u.c.</w:t>
      </w:r>
    </w:p>
  </w:footnote>
  <w:footnote w:id="203">
    <w:p w14:paraId="232ADBC1" w14:textId="6B07026B" w:rsidR="00D67CF6" w:rsidRPr="00091A4E" w:rsidRDefault="00D67CF6" w:rsidP="00CE0BC7">
      <w:pPr>
        <w:pStyle w:val="FootnoteText"/>
        <w:spacing w:after="0" w:line="240" w:lineRule="auto"/>
        <w:rPr>
          <w:rFonts w:ascii="Times New Roman" w:hAnsi="Times New Roman"/>
          <w:lang w:val="lv-LV"/>
        </w:rPr>
      </w:pPr>
      <w:r w:rsidRPr="00091A4E">
        <w:rPr>
          <w:rStyle w:val="FootnoteReference"/>
          <w:rFonts w:ascii="Times New Roman" w:hAnsi="Times New Roman"/>
        </w:rPr>
        <w:footnoteRef/>
      </w:r>
      <w:r w:rsidRPr="00091A4E">
        <w:rPr>
          <w:rFonts w:ascii="Times New Roman" w:hAnsi="Times New Roman"/>
        </w:rPr>
        <w:t xml:space="preserve"> </w:t>
      </w:r>
      <w:r w:rsidRPr="00091A4E">
        <w:rPr>
          <w:rFonts w:ascii="Times New Roman" w:hAnsi="Times New Roman"/>
          <w:lang w:val="lv-LV"/>
        </w:rPr>
        <w:t>Kopš Koncepcijas pieņemšanas izstrādāti un īstenoti pieci politikas plānošanas dokumenti dzimumu līdztiesības jomā: Pasākumu plāns Koncepcijas dzimumu līdztiesības īstenošanai ieviešanai 2002.gadam, Programma dzimumu līdztiesības īstenošanai 2005.-2006.gadam, Programma dzimumu līdztiesības īstenošanai 2007.-2010.gadam, Plāns dzimumu līdztiesības īstenošanai 2012.-2014.gadam un Plāns sieviešu un vīriešu vienlīdzīgu tiesību un iespēju veicināšanai 2018.-2020.gadam. Plāns sieviešu un vīriešu vienlīdzīgu tiesību un iespēju veicināšanai 2021.-2023.gadam.</w:t>
      </w:r>
    </w:p>
  </w:footnote>
  <w:footnote w:id="204">
    <w:p w14:paraId="3E3D31D0" w14:textId="77777777" w:rsidR="00D67CF6" w:rsidRPr="00091A4E" w:rsidRDefault="00D67CF6" w:rsidP="00CE0BC7">
      <w:pPr>
        <w:pStyle w:val="FootnoteText"/>
        <w:spacing w:after="0" w:line="240" w:lineRule="auto"/>
        <w:rPr>
          <w:rFonts w:ascii="Times New Roman" w:hAnsi="Times New Roman"/>
          <w:lang w:val="lv-LV"/>
        </w:rPr>
      </w:pPr>
      <w:r w:rsidRPr="00091A4E">
        <w:rPr>
          <w:rStyle w:val="FootnoteReference"/>
          <w:rFonts w:ascii="Times New Roman" w:hAnsi="Times New Roman"/>
        </w:rPr>
        <w:footnoteRef/>
      </w:r>
      <w:r w:rsidRPr="00091A4E">
        <w:rPr>
          <w:rFonts w:ascii="Times New Roman" w:hAnsi="Times New Roman"/>
        </w:rPr>
        <w:t xml:space="preserve"> </w:t>
      </w:r>
      <w:r w:rsidRPr="00091A4E">
        <w:rPr>
          <w:rFonts w:ascii="Times New Roman" w:hAnsi="Times New Roman"/>
          <w:lang w:val="lv-LV"/>
        </w:rPr>
        <w:t xml:space="preserve">Skat., piemēram: Informatīvais ziņojums “Par </w:t>
      </w:r>
      <w:r w:rsidRPr="00091A4E">
        <w:rPr>
          <w:rFonts w:ascii="Times New Roman" w:hAnsi="Times New Roman"/>
        </w:rPr>
        <w:t>vardarbības pret sievietēm un vardarbības ģimenē gadījumiem, to izplatību un dinamiku 2015.gadā</w:t>
      </w:r>
      <w:r w:rsidRPr="00091A4E">
        <w:rPr>
          <w:rFonts w:ascii="Times New Roman" w:hAnsi="Times New Roman"/>
          <w:lang w:val="lv-LV"/>
        </w:rPr>
        <w:t xml:space="preserve">”. </w:t>
      </w:r>
      <w:r w:rsidRPr="00091A4E">
        <w:rPr>
          <w:rFonts w:ascii="Times New Roman" w:hAnsi="Times New Roman"/>
          <w:i/>
          <w:iCs/>
          <w:lang w:val="lv-LV"/>
        </w:rPr>
        <w:t>Labklājības ministrija</w:t>
      </w:r>
      <w:r w:rsidRPr="00091A4E">
        <w:rPr>
          <w:rFonts w:ascii="Times New Roman" w:hAnsi="Times New Roman"/>
          <w:lang w:val="lv-LV"/>
        </w:rPr>
        <w:t xml:space="preserve"> (2017). Pieejams: </w:t>
      </w:r>
      <w:hyperlink r:id="rId76" w:history="1">
        <w:r w:rsidRPr="00091A4E">
          <w:rPr>
            <w:rStyle w:val="Hyperlink"/>
            <w:rFonts w:ascii="Times New Roman" w:hAnsi="Times New Roman"/>
            <w:lang w:val="lv-LV"/>
          </w:rPr>
          <w:t>http://polsis.mk.gov.lv/api/file/file7278085760657997582.docx</w:t>
        </w:r>
      </w:hyperlink>
    </w:p>
  </w:footnote>
  <w:footnote w:id="205">
    <w:p w14:paraId="4CACC2F7" w14:textId="77777777" w:rsidR="00D67CF6" w:rsidRPr="00091A4E" w:rsidRDefault="00D67CF6" w:rsidP="00CE0BC7">
      <w:pPr>
        <w:spacing w:after="0" w:line="240" w:lineRule="auto"/>
        <w:rPr>
          <w:rFonts w:ascii="Times New Roman" w:hAnsi="Times New Roman" w:cs="Times New Roman"/>
          <w:sz w:val="20"/>
          <w:szCs w:val="20"/>
        </w:rPr>
      </w:pPr>
      <w:r w:rsidRPr="00091A4E">
        <w:rPr>
          <w:rStyle w:val="FootnoteReference"/>
          <w:rFonts w:ascii="Times New Roman" w:hAnsi="Times New Roman" w:cs="Times New Roman"/>
          <w:sz w:val="20"/>
          <w:szCs w:val="20"/>
        </w:rPr>
        <w:footnoteRef/>
      </w:r>
      <w:r w:rsidRPr="00091A4E">
        <w:rPr>
          <w:rFonts w:ascii="Times New Roman" w:hAnsi="Times New Roman" w:cs="Times New Roman"/>
          <w:sz w:val="20"/>
          <w:szCs w:val="20"/>
        </w:rPr>
        <w:t xml:space="preserve"> Skat., piemēram: Informatīvais ziņojums “Par Pekinas rīcības platformas īstenošanu Latvijā”. </w:t>
      </w:r>
      <w:r w:rsidRPr="00091A4E">
        <w:rPr>
          <w:rFonts w:ascii="Times New Roman" w:hAnsi="Times New Roman" w:cs="Times New Roman"/>
          <w:i/>
          <w:iCs/>
          <w:sz w:val="20"/>
          <w:szCs w:val="20"/>
        </w:rPr>
        <w:t>Labklājības ministrija</w:t>
      </w:r>
      <w:r w:rsidRPr="00091A4E">
        <w:rPr>
          <w:rFonts w:ascii="Times New Roman" w:hAnsi="Times New Roman" w:cs="Times New Roman"/>
          <w:sz w:val="20"/>
          <w:szCs w:val="20"/>
        </w:rPr>
        <w:t xml:space="preserve"> (2017). Pieejams: </w:t>
      </w:r>
      <w:hyperlink r:id="rId77" w:history="1">
        <w:r w:rsidRPr="00091A4E">
          <w:rPr>
            <w:rStyle w:val="Hyperlink"/>
            <w:rFonts w:ascii="Times New Roman" w:hAnsi="Times New Roman" w:cs="Times New Roman"/>
            <w:sz w:val="20"/>
            <w:szCs w:val="20"/>
          </w:rPr>
          <w:t>http://lm.gov.lv/upload/dzimumu_lidztiesiba_a/pekinas_zinojums_30012017_1.pdf</w:t>
        </w:r>
      </w:hyperlink>
    </w:p>
  </w:footnote>
  <w:footnote w:id="206">
    <w:p w14:paraId="1AC065BC" w14:textId="77777777" w:rsidR="00D67CF6" w:rsidRPr="00091A4E" w:rsidRDefault="00D67CF6" w:rsidP="00CE0BC7">
      <w:pPr>
        <w:spacing w:after="0" w:line="240" w:lineRule="auto"/>
        <w:rPr>
          <w:rFonts w:ascii="Times New Roman" w:eastAsia="Times New Roman" w:hAnsi="Times New Roman" w:cs="Times New Roman"/>
          <w:sz w:val="20"/>
          <w:szCs w:val="20"/>
          <w:lang w:eastAsia="en-GB"/>
        </w:rPr>
      </w:pPr>
      <w:r w:rsidRPr="00091A4E">
        <w:rPr>
          <w:rStyle w:val="FootnoteReference"/>
          <w:rFonts w:ascii="Times New Roman" w:hAnsi="Times New Roman" w:cs="Times New Roman"/>
          <w:sz w:val="20"/>
          <w:szCs w:val="20"/>
        </w:rPr>
        <w:footnoteRef/>
      </w:r>
      <w:r w:rsidRPr="00091A4E">
        <w:rPr>
          <w:rFonts w:ascii="Times New Roman" w:hAnsi="Times New Roman" w:cs="Times New Roman"/>
          <w:sz w:val="20"/>
          <w:szCs w:val="20"/>
        </w:rPr>
        <w:t xml:space="preserve"> Skat., piemēram: </w:t>
      </w:r>
      <w:r w:rsidRPr="00091A4E">
        <w:rPr>
          <w:rFonts w:ascii="Times New Roman" w:eastAsia="Times New Roman" w:hAnsi="Times New Roman" w:cs="Times New Roman"/>
          <w:sz w:val="20"/>
          <w:szCs w:val="20"/>
          <w:lang w:eastAsia="en-GB"/>
        </w:rPr>
        <w:t xml:space="preserve">Dzimumu līdztiesības komitejas izveidotās darba grupas rekomendācijas sieviešu un vīriešu skaita līdzsvarošanai un dzimumu līdztiesības aspektu integrēšanai Latvijas pirmsskolas, vispārējās, profesionālās un augstākās izglītības līmeņos, izglītības procesā un saturā līdz 2020.gadam. </w:t>
      </w:r>
      <w:r w:rsidRPr="00091A4E">
        <w:rPr>
          <w:rFonts w:ascii="Times New Roman" w:eastAsia="Times New Roman" w:hAnsi="Times New Roman" w:cs="Times New Roman"/>
          <w:i/>
          <w:iCs/>
          <w:sz w:val="20"/>
          <w:szCs w:val="20"/>
          <w:lang w:eastAsia="en-GB"/>
        </w:rPr>
        <w:t>Dzimumu līdztiesības komiteja</w:t>
      </w:r>
      <w:r w:rsidRPr="00091A4E">
        <w:rPr>
          <w:rFonts w:ascii="Times New Roman" w:eastAsia="Times New Roman" w:hAnsi="Times New Roman" w:cs="Times New Roman"/>
          <w:sz w:val="20"/>
          <w:szCs w:val="20"/>
          <w:lang w:eastAsia="en-GB"/>
        </w:rPr>
        <w:t xml:space="preserve"> (2013). Pieejams: </w:t>
      </w:r>
      <w:hyperlink r:id="rId78" w:history="1">
        <w:r w:rsidRPr="00091A4E">
          <w:rPr>
            <w:rStyle w:val="Hyperlink"/>
            <w:rFonts w:ascii="Times New Roman" w:hAnsi="Times New Roman" w:cs="Times New Roman"/>
            <w:sz w:val="20"/>
            <w:szCs w:val="20"/>
          </w:rPr>
          <w:t>http://lm.gov.lv/upload/dzimumu_lidztiesiba/dokumenti_un_tiesibu_akti/rekomend_090713.pdf</w:t>
        </w:r>
      </w:hyperlink>
    </w:p>
  </w:footnote>
  <w:footnote w:id="207">
    <w:p w14:paraId="620B9544" w14:textId="77777777" w:rsidR="00D67CF6" w:rsidRPr="00091A4E" w:rsidRDefault="00D67CF6" w:rsidP="00CE0BC7">
      <w:pPr>
        <w:spacing w:after="0" w:line="240" w:lineRule="auto"/>
        <w:rPr>
          <w:rFonts w:ascii="Times New Roman" w:hAnsi="Times New Roman" w:cs="Times New Roman"/>
          <w:sz w:val="20"/>
          <w:szCs w:val="20"/>
        </w:rPr>
      </w:pPr>
      <w:r w:rsidRPr="00091A4E">
        <w:rPr>
          <w:rStyle w:val="FootnoteReference"/>
          <w:rFonts w:ascii="Times New Roman" w:hAnsi="Times New Roman" w:cs="Times New Roman"/>
          <w:sz w:val="20"/>
          <w:szCs w:val="20"/>
        </w:rPr>
        <w:footnoteRef/>
      </w:r>
      <w:r w:rsidRPr="00091A4E">
        <w:rPr>
          <w:rFonts w:ascii="Times New Roman" w:hAnsi="Times New Roman" w:cs="Times New Roman"/>
          <w:sz w:val="20"/>
          <w:szCs w:val="20"/>
        </w:rPr>
        <w:t xml:space="preserve"> Skat., piemēram: Īss ceļvedis, kā izprast diskriminācijas situācijas dzimuma dēļ. </w:t>
      </w:r>
      <w:r w:rsidRPr="00091A4E">
        <w:rPr>
          <w:rFonts w:ascii="Times New Roman" w:hAnsi="Times New Roman" w:cs="Times New Roman"/>
          <w:i/>
          <w:iCs/>
          <w:sz w:val="20"/>
          <w:szCs w:val="20"/>
        </w:rPr>
        <w:t xml:space="preserve">Labklājības ministrija </w:t>
      </w:r>
      <w:r w:rsidRPr="00091A4E">
        <w:rPr>
          <w:rFonts w:ascii="Times New Roman" w:hAnsi="Times New Roman" w:cs="Times New Roman"/>
          <w:sz w:val="20"/>
          <w:szCs w:val="20"/>
        </w:rPr>
        <w:t xml:space="preserve">(2019). Pieejams: </w:t>
      </w:r>
      <w:hyperlink r:id="rId79" w:history="1">
        <w:r w:rsidRPr="00091A4E">
          <w:rPr>
            <w:rStyle w:val="Hyperlink"/>
            <w:rFonts w:ascii="Times New Roman" w:hAnsi="Times New Roman" w:cs="Times New Roman"/>
            <w:sz w:val="20"/>
            <w:szCs w:val="20"/>
          </w:rPr>
          <w:t>http://lm.gov.lv/upload/diskriminacijas_noversana.pdf</w:t>
        </w:r>
      </w:hyperlink>
    </w:p>
  </w:footnote>
  <w:footnote w:id="208">
    <w:p w14:paraId="716A45D7" w14:textId="77777777" w:rsidR="00D67CF6" w:rsidRPr="00857E45" w:rsidRDefault="00D67CF6" w:rsidP="00857E45">
      <w:pPr>
        <w:pStyle w:val="FootnoteText"/>
        <w:spacing w:after="0" w:line="240" w:lineRule="auto"/>
        <w:rPr>
          <w:rFonts w:ascii="Times New Roman" w:hAnsi="Times New Roman"/>
          <w:lang w:val="lv-LV"/>
        </w:rPr>
      </w:pPr>
      <w:r w:rsidRPr="00857E45">
        <w:rPr>
          <w:rStyle w:val="FootnoteReference"/>
          <w:rFonts w:ascii="Times New Roman" w:hAnsi="Times New Roman"/>
        </w:rPr>
        <w:footnoteRef/>
      </w:r>
      <w:r w:rsidRPr="00857E45">
        <w:rPr>
          <w:rFonts w:ascii="Times New Roman" w:hAnsi="Times New Roman"/>
        </w:rPr>
        <w:t xml:space="preserve"> </w:t>
      </w:r>
      <w:r w:rsidRPr="00857E45">
        <w:rPr>
          <w:rFonts w:ascii="Times New Roman" w:hAnsi="Times New Roman"/>
          <w:lang w:val="lv-LV"/>
        </w:rPr>
        <w:t xml:space="preserve">Skat.: </w:t>
      </w:r>
      <w:hyperlink r:id="rId80" w:history="1">
        <w:r w:rsidRPr="00857E45">
          <w:rPr>
            <w:rStyle w:val="Hyperlink"/>
            <w:rFonts w:ascii="Times New Roman" w:hAnsi="Times New Roman"/>
            <w:lang w:val="lv-LV"/>
          </w:rPr>
          <w:t>https://www.csb.gov.lv/lv/dzimumu-lidztiesiba</w:t>
        </w:r>
      </w:hyperlink>
      <w:r w:rsidRPr="00857E45">
        <w:rPr>
          <w:rFonts w:ascii="Times New Roman" w:hAnsi="Times New Roman"/>
          <w:lang w:val="lv-LV"/>
        </w:rPr>
        <w:t xml:space="preserve"> </w:t>
      </w:r>
    </w:p>
  </w:footnote>
  <w:footnote w:id="209">
    <w:p w14:paraId="5B2EE698" w14:textId="11ED6A7D" w:rsidR="00D67CF6" w:rsidRPr="00857E45" w:rsidRDefault="00D67CF6" w:rsidP="00857E45">
      <w:pPr>
        <w:pStyle w:val="FootnoteText"/>
        <w:spacing w:after="0" w:line="240" w:lineRule="auto"/>
        <w:rPr>
          <w:rFonts w:ascii="Times New Roman" w:hAnsi="Times New Roman"/>
          <w:lang w:val="lv-LV"/>
        </w:rPr>
      </w:pPr>
      <w:r w:rsidRPr="00857E45">
        <w:rPr>
          <w:rStyle w:val="FootnoteReference"/>
          <w:rFonts w:ascii="Times New Roman" w:hAnsi="Times New Roman"/>
        </w:rPr>
        <w:footnoteRef/>
      </w:r>
      <w:r w:rsidRPr="00857E45">
        <w:rPr>
          <w:rFonts w:ascii="Times New Roman" w:hAnsi="Times New Roman"/>
        </w:rPr>
        <w:t xml:space="preserve"> </w:t>
      </w:r>
      <w:r w:rsidRPr="00857E45">
        <w:rPr>
          <w:rFonts w:ascii="Times New Roman" w:hAnsi="Times New Roman"/>
          <w:lang w:val="lv-LV"/>
        </w:rPr>
        <w:t xml:space="preserve">Mājas lapa: </w:t>
      </w:r>
      <w:hyperlink r:id="rId81" w:history="1">
        <w:r w:rsidRPr="00857E45">
          <w:rPr>
            <w:rStyle w:val="Hyperlink"/>
            <w:rFonts w:ascii="Times New Roman" w:hAnsi="Times New Roman"/>
          </w:rPr>
          <w:t>https://eige.europa.eu/</w:t>
        </w:r>
      </w:hyperlink>
    </w:p>
  </w:footnote>
  <w:footnote w:id="210">
    <w:p w14:paraId="43A113AE" w14:textId="68AFCD50" w:rsidR="00D67CF6" w:rsidRPr="00857E45" w:rsidRDefault="00D67CF6" w:rsidP="00857E45">
      <w:pPr>
        <w:pStyle w:val="FootnoteText"/>
        <w:spacing w:after="0" w:line="240" w:lineRule="auto"/>
        <w:rPr>
          <w:rFonts w:ascii="Times New Roman" w:hAnsi="Times New Roman"/>
          <w:lang w:val="lv-LV"/>
        </w:rPr>
      </w:pPr>
      <w:r w:rsidRPr="00857E45">
        <w:rPr>
          <w:rStyle w:val="FootnoteReference"/>
          <w:rFonts w:ascii="Times New Roman" w:hAnsi="Times New Roman"/>
        </w:rPr>
        <w:footnoteRef/>
      </w:r>
      <w:r w:rsidRPr="00857E45">
        <w:rPr>
          <w:rFonts w:ascii="Times New Roman" w:hAnsi="Times New Roman"/>
        </w:rPr>
        <w:t xml:space="preserve"> </w:t>
      </w:r>
      <w:r w:rsidRPr="00857E45">
        <w:rPr>
          <w:rFonts w:ascii="Times New Roman" w:hAnsi="Times New Roman"/>
          <w:lang w:val="lv-LV"/>
        </w:rPr>
        <w:t xml:space="preserve">Informācija par indeksu: </w:t>
      </w:r>
      <w:hyperlink r:id="rId82" w:history="1">
        <w:r w:rsidRPr="00857E45">
          <w:rPr>
            <w:rStyle w:val="Hyperlink"/>
            <w:rFonts w:ascii="Times New Roman" w:hAnsi="Times New Roman"/>
          </w:rPr>
          <w:t>https://eige.europa.eu/gender-equality-index/2020/LV</w:t>
        </w:r>
      </w:hyperlink>
    </w:p>
  </w:footnote>
  <w:footnote w:id="211">
    <w:p w14:paraId="150637C7" w14:textId="77777777" w:rsidR="00D67CF6" w:rsidRPr="00857E45" w:rsidRDefault="00D67CF6" w:rsidP="00857E45">
      <w:pPr>
        <w:spacing w:after="0" w:line="240" w:lineRule="auto"/>
        <w:rPr>
          <w:rFonts w:ascii="Times New Roman" w:hAnsi="Times New Roman" w:cs="Times New Roman"/>
          <w:sz w:val="20"/>
          <w:szCs w:val="20"/>
        </w:rPr>
      </w:pPr>
      <w:r w:rsidRPr="00857E45">
        <w:rPr>
          <w:rStyle w:val="FootnoteReference"/>
          <w:rFonts w:ascii="Times New Roman" w:hAnsi="Times New Roman" w:cs="Times New Roman"/>
          <w:sz w:val="20"/>
          <w:szCs w:val="20"/>
        </w:rPr>
        <w:footnoteRef/>
      </w:r>
      <w:r w:rsidRPr="00857E45">
        <w:rPr>
          <w:rFonts w:ascii="Times New Roman" w:hAnsi="Times New Roman" w:cs="Times New Roman"/>
          <w:sz w:val="20"/>
          <w:szCs w:val="20"/>
        </w:rPr>
        <w:t xml:space="preserve"> Par dzimumu līdztiesības integrētās pieejas īstenošanu atbildīgās amatpersonas. </w:t>
      </w:r>
      <w:r w:rsidRPr="00857E45">
        <w:rPr>
          <w:rFonts w:ascii="Times New Roman" w:hAnsi="Times New Roman" w:cs="Times New Roman"/>
          <w:i/>
          <w:iCs/>
          <w:sz w:val="20"/>
          <w:szCs w:val="20"/>
        </w:rPr>
        <w:t>Labklājības ministrija</w:t>
      </w:r>
      <w:r w:rsidRPr="00857E45">
        <w:rPr>
          <w:rFonts w:ascii="Times New Roman" w:hAnsi="Times New Roman" w:cs="Times New Roman"/>
          <w:sz w:val="20"/>
          <w:szCs w:val="20"/>
        </w:rPr>
        <w:t xml:space="preserve"> (2020). Pieejams: </w:t>
      </w:r>
      <w:hyperlink r:id="rId83" w:history="1">
        <w:r w:rsidRPr="00857E45">
          <w:rPr>
            <w:rStyle w:val="Hyperlink"/>
            <w:rFonts w:ascii="Times New Roman" w:hAnsi="Times New Roman" w:cs="Times New Roman"/>
            <w:sz w:val="20"/>
            <w:szCs w:val="20"/>
          </w:rPr>
          <w:t>http://lm.gov.lv/lv/nozares-politika/darba-tirgus/0-noderiga-informacija/14782-nozares-politika/dzimumu-lidztiesiba/latvijas-institucijas/par-dzimumu-lidztiesibas-integretas-pieejas-istenosanu-atbildigas-amatpersonas</w:t>
        </w:r>
      </w:hyperlink>
      <w:r w:rsidRPr="00857E45">
        <w:rPr>
          <w:rFonts w:ascii="Times New Roman" w:hAnsi="Times New Roman" w:cs="Times New Roman"/>
          <w:sz w:val="20"/>
          <w:szCs w:val="20"/>
        </w:rPr>
        <w:t>.</w:t>
      </w:r>
    </w:p>
  </w:footnote>
  <w:footnote w:id="212">
    <w:p w14:paraId="2A968BB6" w14:textId="77777777" w:rsidR="00D67CF6" w:rsidRPr="00857E45" w:rsidRDefault="00D67CF6" w:rsidP="00857E45">
      <w:pPr>
        <w:spacing w:after="0" w:line="240" w:lineRule="auto"/>
        <w:jc w:val="both"/>
        <w:rPr>
          <w:rFonts w:ascii="Times New Roman" w:hAnsi="Times New Roman" w:cs="Times New Roman"/>
          <w:sz w:val="20"/>
          <w:szCs w:val="20"/>
        </w:rPr>
      </w:pPr>
      <w:r w:rsidRPr="00857E45">
        <w:rPr>
          <w:rStyle w:val="FootnoteReference"/>
          <w:rFonts w:ascii="Times New Roman" w:hAnsi="Times New Roman" w:cs="Times New Roman"/>
          <w:sz w:val="20"/>
          <w:szCs w:val="20"/>
        </w:rPr>
        <w:footnoteRef/>
      </w:r>
      <w:r w:rsidRPr="00857E45">
        <w:rPr>
          <w:rFonts w:ascii="Times New Roman" w:hAnsi="Times New Roman" w:cs="Times New Roman"/>
          <w:sz w:val="20"/>
          <w:szCs w:val="20"/>
        </w:rPr>
        <w:t xml:space="preserve"> Dzimumu līdztiesības komiteja. </w:t>
      </w:r>
      <w:r w:rsidRPr="00857E45">
        <w:rPr>
          <w:rFonts w:ascii="Times New Roman" w:hAnsi="Times New Roman" w:cs="Times New Roman"/>
          <w:i/>
          <w:iCs/>
          <w:sz w:val="20"/>
          <w:szCs w:val="20"/>
        </w:rPr>
        <w:t xml:space="preserve">Labklājības ministrija </w:t>
      </w:r>
      <w:r w:rsidRPr="00857E45">
        <w:rPr>
          <w:rFonts w:ascii="Times New Roman" w:hAnsi="Times New Roman" w:cs="Times New Roman"/>
          <w:sz w:val="20"/>
          <w:szCs w:val="20"/>
        </w:rPr>
        <w:t xml:space="preserve">(2020). Pieejams: </w:t>
      </w:r>
      <w:hyperlink r:id="rId84" w:history="1">
        <w:r w:rsidRPr="00857E45">
          <w:rPr>
            <w:rStyle w:val="Hyperlink"/>
            <w:rFonts w:ascii="Times New Roman" w:hAnsi="Times New Roman" w:cs="Times New Roman"/>
            <w:sz w:val="20"/>
            <w:szCs w:val="20"/>
          </w:rPr>
          <w:t>http://lm.gov.lv/lv/nozares-politika/dzimumu-lidztiesiba/latvijas-institucijas/dzimumu-lidztiesibas-komiteja</w:t>
        </w:r>
      </w:hyperlink>
      <w:r w:rsidRPr="00857E45">
        <w:rPr>
          <w:rFonts w:ascii="Times New Roman" w:hAnsi="Times New Roman" w:cs="Times New Roman"/>
          <w:sz w:val="20"/>
          <w:szCs w:val="20"/>
        </w:rPr>
        <w:t>.</w:t>
      </w:r>
    </w:p>
  </w:footnote>
  <w:footnote w:id="213">
    <w:p w14:paraId="1D7473EB" w14:textId="355E49AE" w:rsidR="00D67CF6" w:rsidRPr="00273CB9" w:rsidRDefault="00D67CF6" w:rsidP="00273CB9">
      <w:pPr>
        <w:pStyle w:val="FootnoteText"/>
        <w:spacing w:after="0" w:line="240" w:lineRule="auto"/>
        <w:rPr>
          <w:rFonts w:ascii="Times New Roman" w:hAnsi="Times New Roman"/>
          <w:lang w:val="lv-LV"/>
        </w:rPr>
      </w:pPr>
      <w:r w:rsidRPr="00273CB9">
        <w:rPr>
          <w:rStyle w:val="FootnoteReference"/>
          <w:rFonts w:ascii="Times New Roman" w:hAnsi="Times New Roman"/>
        </w:rPr>
        <w:footnoteRef/>
      </w:r>
      <w:r w:rsidRPr="00273CB9">
        <w:rPr>
          <w:rFonts w:ascii="Times New Roman" w:hAnsi="Times New Roman"/>
        </w:rPr>
        <w:t xml:space="preserve"> Advisory Committee on Equal Opportunities for Women and Men</w:t>
      </w:r>
      <w:r w:rsidRPr="00273CB9">
        <w:rPr>
          <w:rFonts w:ascii="Times New Roman" w:hAnsi="Times New Roman"/>
          <w:lang w:val="lv-LV"/>
        </w:rPr>
        <w:t xml:space="preserve">, </w:t>
      </w:r>
      <w:r w:rsidRPr="00273CB9">
        <w:rPr>
          <w:rFonts w:ascii="Times New Roman" w:hAnsi="Times New Roman"/>
        </w:rPr>
        <w:t>Opinion on combatting online violence against women</w:t>
      </w:r>
      <w:r w:rsidRPr="00273CB9">
        <w:rPr>
          <w:rFonts w:ascii="Times New Roman" w:hAnsi="Times New Roman"/>
          <w:lang w:val="lv-LV"/>
        </w:rPr>
        <w:t>,</w:t>
      </w:r>
      <w:r w:rsidRPr="00273CB9">
        <w:rPr>
          <w:rFonts w:ascii="Times New Roman" w:hAnsi="Times New Roman"/>
        </w:rPr>
        <w:t>1 st April 2020</w:t>
      </w:r>
      <w:r w:rsidRPr="00273CB9">
        <w:rPr>
          <w:rFonts w:ascii="Times New Roman" w:hAnsi="Times New Roman"/>
          <w:lang w:val="lv-LV"/>
        </w:rPr>
        <w:t xml:space="preserve">, pieejams: </w:t>
      </w:r>
      <w:hyperlink r:id="rId85" w:history="1">
        <w:r w:rsidRPr="00273CB9">
          <w:rPr>
            <w:rStyle w:val="Hyperlink"/>
            <w:rFonts w:ascii="Times New Roman" w:hAnsi="Times New Roman"/>
          </w:rPr>
          <w:t>https://ec.europa.eu/info/sites/info/files/aid_development_cooperation_fundamental_rights/opinion_online_violence_against_women_2020_en.pdf</w:t>
        </w:r>
      </w:hyperlink>
      <w:r w:rsidRPr="00273CB9">
        <w:rPr>
          <w:rFonts w:ascii="Times New Roman" w:hAnsi="Times New Roman"/>
          <w:lang w:val="lv-LV"/>
        </w:rPr>
        <w:t xml:space="preserve">; </w:t>
      </w:r>
      <w:r w:rsidRPr="00273CB9">
        <w:rPr>
          <w:rFonts w:ascii="Times New Roman" w:hAnsi="Times New Roman"/>
        </w:rPr>
        <w:t>Opinion on Artificial Intelligence – opportunities and challenges for gender equality</w:t>
      </w:r>
      <w:r w:rsidRPr="00273CB9">
        <w:rPr>
          <w:rFonts w:ascii="Times New Roman" w:hAnsi="Times New Roman"/>
          <w:lang w:val="lv-LV"/>
        </w:rPr>
        <w:t xml:space="preserve">, </w:t>
      </w:r>
      <w:r w:rsidRPr="00273CB9">
        <w:rPr>
          <w:rFonts w:ascii="Times New Roman" w:hAnsi="Times New Roman"/>
        </w:rPr>
        <w:t>18 March 2020</w:t>
      </w:r>
      <w:r w:rsidRPr="00273CB9">
        <w:rPr>
          <w:rFonts w:ascii="Times New Roman" w:hAnsi="Times New Roman"/>
          <w:lang w:val="lv-LV"/>
        </w:rPr>
        <w:t xml:space="preserve">, pieejams: </w:t>
      </w:r>
      <w:hyperlink r:id="rId86" w:history="1">
        <w:r w:rsidRPr="00273CB9">
          <w:rPr>
            <w:rStyle w:val="Hyperlink"/>
            <w:rFonts w:ascii="Times New Roman" w:hAnsi="Times New Roman"/>
          </w:rPr>
          <w:t>https://ec.europa.eu/info/sites/info/files/aid_development_cooperation_fundamental_rights/opinion_artificial_intelligence_gender_equality_2020_en.pdf</w:t>
        </w:r>
      </w:hyperlink>
    </w:p>
  </w:footnote>
  <w:footnote w:id="214">
    <w:p w14:paraId="2FABE13C" w14:textId="323191DA" w:rsidR="00D67CF6" w:rsidRPr="00EF458D" w:rsidRDefault="00D67CF6" w:rsidP="00EF458D">
      <w:pPr>
        <w:pStyle w:val="FootnoteText"/>
        <w:spacing w:line="240" w:lineRule="auto"/>
        <w:rPr>
          <w:rFonts w:ascii="Times New Roman" w:hAnsi="Times New Roman"/>
          <w:lang w:val="lv-LV"/>
        </w:rPr>
      </w:pPr>
      <w:r>
        <w:rPr>
          <w:rStyle w:val="FootnoteReference"/>
        </w:rPr>
        <w:footnoteRef/>
      </w:r>
      <w:r>
        <w:t xml:space="preserve"> </w:t>
      </w:r>
      <w:r>
        <w:rPr>
          <w:rFonts w:ascii="Times New Roman" w:hAnsi="Times New Roman"/>
          <w:lang w:val="lv-LV"/>
        </w:rPr>
        <w:t xml:space="preserve">LU Biznesa, vadības un ekonomikas fakultāte, pētījums “Distances jeb ātro kredītu izmantošana Latvijā. Patērētāju uzvedības psiholoģiskie aspekti”, 2017; </w:t>
      </w:r>
      <w:r w:rsidRPr="00067227">
        <w:rPr>
          <w:rFonts w:ascii="Times New Roman" w:hAnsi="Times New Roman"/>
          <w:lang w:val="lv-LV"/>
        </w:rPr>
        <w:t xml:space="preserve">pieejams </w:t>
      </w:r>
      <w:hyperlink r:id="rId87" w:history="1">
        <w:r w:rsidRPr="00067227">
          <w:rPr>
            <w:rStyle w:val="Hyperlink"/>
            <w:rFonts w:ascii="Times New Roman" w:hAnsi="Times New Roman"/>
          </w:rPr>
          <w:t>https://www.ptac.gov.lv/lv/content/petijumi</w:t>
        </w:r>
      </w:hyperlink>
    </w:p>
  </w:footnote>
  <w:footnote w:id="215">
    <w:p w14:paraId="5CDA3847" w14:textId="34EAF149" w:rsidR="00D67CF6" w:rsidRPr="00A843EA" w:rsidRDefault="00D67CF6" w:rsidP="00A843EA">
      <w:pPr>
        <w:pStyle w:val="FootnoteText"/>
        <w:spacing w:after="0" w:line="240" w:lineRule="auto"/>
        <w:jc w:val="both"/>
        <w:rPr>
          <w:rFonts w:ascii="Times New Roman" w:hAnsi="Times New Roman"/>
          <w:lang w:val="lv-LV"/>
        </w:rPr>
      </w:pPr>
      <w:r w:rsidRPr="00A843EA">
        <w:rPr>
          <w:rStyle w:val="FootnoteReference"/>
          <w:rFonts w:ascii="Times New Roman" w:hAnsi="Times New Roman"/>
        </w:rPr>
        <w:footnoteRef/>
      </w:r>
      <w:r w:rsidRPr="00A843EA">
        <w:rPr>
          <w:rFonts w:ascii="Times New Roman" w:hAnsi="Times New Roman"/>
        </w:rPr>
        <w:t xml:space="preserve"> </w:t>
      </w:r>
      <w:r w:rsidRPr="00A843EA">
        <w:rPr>
          <w:rFonts w:ascii="Times New Roman" w:hAnsi="Times New Roman"/>
          <w:lang w:val="lv-LV"/>
        </w:rPr>
        <w:t>CSP datu bāze, datu tabula MNG010</w:t>
      </w:r>
    </w:p>
  </w:footnote>
  <w:footnote w:id="216">
    <w:p w14:paraId="175E6A07" w14:textId="26519EB7" w:rsidR="00D67CF6" w:rsidRPr="00A843EA" w:rsidRDefault="00D67CF6" w:rsidP="00A843EA">
      <w:pPr>
        <w:pStyle w:val="FootnoteText"/>
        <w:spacing w:after="0" w:line="240" w:lineRule="auto"/>
        <w:rPr>
          <w:rFonts w:ascii="Times New Roman" w:hAnsi="Times New Roman"/>
          <w:lang w:val="lv-LV"/>
        </w:rPr>
      </w:pPr>
      <w:r w:rsidRPr="00A843EA">
        <w:rPr>
          <w:rStyle w:val="FootnoteReference"/>
          <w:rFonts w:ascii="Times New Roman" w:hAnsi="Times New Roman"/>
        </w:rPr>
        <w:footnoteRef/>
      </w:r>
      <w:r w:rsidRPr="00A843EA">
        <w:rPr>
          <w:rFonts w:ascii="Times New Roman" w:hAnsi="Times New Roman"/>
        </w:rPr>
        <w:t xml:space="preserve"> </w:t>
      </w:r>
      <w:r w:rsidRPr="00A843EA">
        <w:rPr>
          <w:rFonts w:ascii="Times New Roman" w:hAnsi="Times New Roman"/>
          <w:lang w:val="lv-LV"/>
        </w:rPr>
        <w:t>Valsts pētījumu programmas  "Latvijas mantojums un nākotnes izaicinājumi valsts ilgtspējai" RSU projekta “Latvijas valsts un sabiedrības izaicinājumi un risinājumi starptautiskā kontekstā (INTERFRAME-LV)” ietvaros 2019.gadā veiktā aptauja</w:t>
      </w:r>
    </w:p>
  </w:footnote>
  <w:footnote w:id="217">
    <w:p w14:paraId="01A27947" w14:textId="318D7F3F" w:rsidR="00D67CF6" w:rsidRPr="00B72069" w:rsidRDefault="00D67CF6">
      <w:pPr>
        <w:pStyle w:val="FootnoteText"/>
        <w:rPr>
          <w:lang w:val="lv-LV"/>
        </w:rPr>
      </w:pPr>
      <w:r>
        <w:rPr>
          <w:rStyle w:val="FootnoteReference"/>
        </w:rPr>
        <w:footnoteRef/>
      </w:r>
      <w:r>
        <w:t xml:space="preserve"> </w:t>
      </w:r>
      <w:r w:rsidRPr="00B72069">
        <w:rPr>
          <w:rFonts w:ascii="Times New Roman" w:hAnsi="Times New Roman"/>
          <w:lang w:val="lv-LV"/>
        </w:rPr>
        <w:t>E-apmācības modulis “Mana nauda šodien un rīt. Finanšu pratība”</w:t>
      </w:r>
      <w:r>
        <w:rPr>
          <w:rFonts w:ascii="Times New Roman" w:hAnsi="Times New Roman"/>
          <w:lang w:val="lv-LV"/>
        </w:rPr>
        <w:t xml:space="preserve">; </w:t>
      </w:r>
      <w:r w:rsidRPr="00B72069">
        <w:rPr>
          <w:rFonts w:ascii="Times New Roman" w:hAnsi="Times New Roman"/>
          <w:lang w:val="lv-LV"/>
        </w:rPr>
        <w:t>pieejams vietnē </w:t>
      </w:r>
      <w:hyperlink r:id="rId88" w:tgtFrame="_self" w:history="1">
        <w:r w:rsidRPr="00B72069">
          <w:rPr>
            <w:rFonts w:ascii="Times New Roman" w:hAnsi="Times New Roman"/>
            <w:lang w:val="lv-LV"/>
          </w:rPr>
          <w:t>http://e-apmaciba.nva.gov.lv</w:t>
        </w:r>
      </w:hyperlink>
      <w:r w:rsidRPr="00B72069">
        <w:rPr>
          <w:rFonts w:ascii="Times New Roman" w:hAnsi="Times New Roman"/>
          <w:lang w:val="lv-LV"/>
        </w:rPr>
        <w:t>, autorizējoties ar portāla </w:t>
      </w:r>
      <w:hyperlink r:id="rId89" w:tgtFrame="_self" w:history="1">
        <w:r w:rsidRPr="00B72069">
          <w:rPr>
            <w:rFonts w:ascii="Times New Roman" w:hAnsi="Times New Roman"/>
            <w:lang w:val="lv-LV"/>
          </w:rPr>
          <w:t>Latvija.lv</w:t>
        </w:r>
      </w:hyperlink>
      <w:r w:rsidRPr="00B72069">
        <w:rPr>
          <w:rFonts w:ascii="Times New Roman" w:hAnsi="Times New Roman"/>
          <w:lang w:val="lv-LV"/>
        </w:rPr>
        <w:t> starpniecību</w:t>
      </w:r>
      <w:r>
        <w:rPr>
          <w:rFonts w:ascii="Times New Roman" w:hAnsi="Times New Roman"/>
          <w:lang w:val="lv-LV"/>
        </w:rPr>
        <w:t>.</w:t>
      </w:r>
    </w:p>
  </w:footnote>
  <w:footnote w:id="218">
    <w:p w14:paraId="3AD10521" w14:textId="4ECB5BF0" w:rsidR="00D67CF6" w:rsidRPr="00454747" w:rsidRDefault="00D67CF6" w:rsidP="00763C6D">
      <w:pPr>
        <w:pStyle w:val="FootnoteText"/>
        <w:spacing w:after="0" w:line="240" w:lineRule="auto"/>
        <w:rPr>
          <w:rFonts w:ascii="Times New Roman" w:hAnsi="Times New Roman"/>
          <w:lang w:val="lv-LV"/>
        </w:rPr>
      </w:pPr>
      <w:r w:rsidRPr="00454747">
        <w:rPr>
          <w:rStyle w:val="FootnoteReference"/>
          <w:rFonts w:ascii="Times New Roman" w:hAnsi="Times New Roman"/>
        </w:rPr>
        <w:footnoteRef/>
      </w:r>
      <w:r w:rsidRPr="00454747">
        <w:rPr>
          <w:rFonts w:ascii="Times New Roman" w:hAnsi="Times New Roman"/>
        </w:rPr>
        <w:t xml:space="preserve"> </w:t>
      </w:r>
      <w:r>
        <w:rPr>
          <w:rFonts w:ascii="Times New Roman" w:hAnsi="Times New Roman"/>
          <w:lang w:val="lv-LV"/>
        </w:rPr>
        <w:t>“</w:t>
      </w:r>
      <w:r w:rsidRPr="00454747">
        <w:rPr>
          <w:rFonts w:ascii="Times New Roman" w:hAnsi="Times New Roman"/>
          <w:bCs/>
        </w:rPr>
        <w:t>1</w:t>
      </w:r>
      <w:r>
        <w:rPr>
          <w:rFonts w:ascii="Times New Roman" w:hAnsi="Times New Roman"/>
          <w:bCs/>
          <w:lang w:val="lv-LV"/>
        </w:rPr>
        <w:t>”</w:t>
      </w:r>
      <w:r w:rsidRPr="00454747">
        <w:rPr>
          <w:rFonts w:ascii="Times New Roman" w:hAnsi="Times New Roman"/>
          <w:bCs/>
        </w:rPr>
        <w:t xml:space="preserve"> nozīmē, ka neuzticas vispār, bet </w:t>
      </w:r>
      <w:r>
        <w:rPr>
          <w:rFonts w:ascii="Times New Roman" w:hAnsi="Times New Roman"/>
          <w:bCs/>
          <w:lang w:val="lv-LV"/>
        </w:rPr>
        <w:t>“</w:t>
      </w:r>
      <w:r w:rsidRPr="00454747">
        <w:rPr>
          <w:rFonts w:ascii="Times New Roman" w:hAnsi="Times New Roman"/>
          <w:bCs/>
        </w:rPr>
        <w:t>10</w:t>
      </w:r>
      <w:r>
        <w:rPr>
          <w:rFonts w:ascii="Times New Roman" w:hAnsi="Times New Roman"/>
          <w:bCs/>
          <w:lang w:val="lv-LV"/>
        </w:rPr>
        <w:t>” -</w:t>
      </w:r>
      <w:r w:rsidRPr="00454747">
        <w:rPr>
          <w:rFonts w:ascii="Times New Roman" w:hAnsi="Times New Roman"/>
          <w:bCs/>
        </w:rPr>
        <w:t xml:space="preserve"> uzticas pilnībā</w:t>
      </w:r>
    </w:p>
  </w:footnote>
  <w:footnote w:id="219">
    <w:p w14:paraId="254FC2E0" w14:textId="5FC748E6" w:rsidR="00D67CF6" w:rsidRPr="004E1FD1" w:rsidRDefault="00D67CF6" w:rsidP="004E1FD1">
      <w:pPr>
        <w:pStyle w:val="FootnoteText"/>
        <w:spacing w:after="0" w:line="240" w:lineRule="auto"/>
        <w:rPr>
          <w:rFonts w:ascii="Times New Roman" w:hAnsi="Times New Roman"/>
          <w:lang w:val="lv-LV"/>
        </w:rPr>
      </w:pPr>
      <w:r w:rsidRPr="004E1FD1">
        <w:rPr>
          <w:rStyle w:val="FootnoteReference"/>
          <w:rFonts w:ascii="Times New Roman" w:hAnsi="Times New Roman"/>
        </w:rPr>
        <w:footnoteRef/>
      </w:r>
      <w:r w:rsidRPr="004E1FD1">
        <w:rPr>
          <w:rFonts w:ascii="Times New Roman" w:hAnsi="Times New Roman"/>
        </w:rPr>
        <w:t xml:space="preserve"> </w:t>
      </w:r>
      <w:r w:rsidRPr="004E1FD1">
        <w:rPr>
          <w:rFonts w:ascii="Times New Roman" w:hAnsi="Times New Roman"/>
          <w:lang w:val="lv-LV"/>
        </w:rPr>
        <w:t xml:space="preserve">Valsts pētījumu programmas  "Latvijas mantojums un nākotnes izaicinājumi valsts ilgtspējai" RSU projekta “Latvijas valsts un sabiedrības izaicinājumi un risinājumi starptautiskā kontekstā (INTERFRAME-LV)” ietvaros 2019.gadā veiktā aptauja. </w:t>
      </w:r>
    </w:p>
  </w:footnote>
  <w:footnote w:id="220">
    <w:p w14:paraId="0270A01E" w14:textId="72DDA6D3" w:rsidR="00D67CF6" w:rsidRPr="00EA3172" w:rsidRDefault="00D67CF6" w:rsidP="004E1FD1">
      <w:pPr>
        <w:pStyle w:val="FootnoteText"/>
        <w:spacing w:after="0" w:line="240" w:lineRule="auto"/>
        <w:rPr>
          <w:lang w:val="lv-LV"/>
        </w:rPr>
      </w:pPr>
      <w:r w:rsidRPr="004E1FD1">
        <w:rPr>
          <w:rStyle w:val="FootnoteReference"/>
          <w:rFonts w:ascii="Times New Roman" w:hAnsi="Times New Roman"/>
        </w:rPr>
        <w:footnoteRef/>
      </w:r>
      <w:r w:rsidRPr="004E1FD1">
        <w:rPr>
          <w:rFonts w:ascii="Times New Roman" w:hAnsi="Times New Roman"/>
        </w:rPr>
        <w:t xml:space="preserve"> Valsts kontrole, Revīzijas ziņojums “Vai valsts politika pensiju sistēmas ilgtspējas nodrošināšanai ir efektīva?” (apstiprināts ar Valsts kontroles Trešā revīzijas departamenta 27.04.2017. lēmumu Nr.2.4.1-10/2016.; revīzijas publiskošanas datums 5.05.2017.)</w:t>
      </w:r>
      <w:r w:rsidRPr="004E1FD1">
        <w:rPr>
          <w:rFonts w:ascii="Times New Roman" w:hAnsi="Times New Roman"/>
          <w:lang w:val="lv-LV"/>
        </w:rPr>
        <w:t xml:space="preserve">, pieejams: </w:t>
      </w:r>
      <w:hyperlink r:id="rId90" w:history="1">
        <w:r w:rsidRPr="004E1FD1">
          <w:rPr>
            <w:rStyle w:val="Hyperlink"/>
            <w:rFonts w:ascii="Times New Roman" w:hAnsi="Times New Roman"/>
          </w:rPr>
          <w:t>https://www.lrvk.gov.lv/lv/revizijas/revizijas/noslegtas-revizijas/valsts-politikas-efektivitate-pensiju-sistemas-ilgtspejas-nodrosinasanai</w:t>
        </w:r>
      </w:hyperlink>
    </w:p>
  </w:footnote>
  <w:footnote w:id="221">
    <w:p w14:paraId="1E57C15C" w14:textId="77777777" w:rsidR="00D67CF6" w:rsidRPr="000E5EB0" w:rsidRDefault="00D67CF6" w:rsidP="000E5EB0">
      <w:pPr>
        <w:pStyle w:val="FootnoteText"/>
        <w:spacing w:after="0" w:line="240" w:lineRule="auto"/>
        <w:rPr>
          <w:rFonts w:ascii="Times New Roman" w:hAnsi="Times New Roman"/>
          <w:lang w:val="lv-LV"/>
        </w:rPr>
      </w:pPr>
      <w:r w:rsidRPr="000E5EB0">
        <w:rPr>
          <w:rStyle w:val="FootnoteReference"/>
          <w:rFonts w:ascii="Times New Roman" w:hAnsi="Times New Roman"/>
        </w:rPr>
        <w:footnoteRef/>
      </w:r>
      <w:r w:rsidRPr="000E5EB0">
        <w:rPr>
          <w:rFonts w:ascii="Times New Roman" w:hAnsi="Times New Roman"/>
        </w:rPr>
        <w:t xml:space="preserve"> </w:t>
      </w:r>
      <w:r w:rsidRPr="000E5EB0">
        <w:rPr>
          <w:rFonts w:ascii="Times New Roman" w:hAnsi="Times New Roman"/>
          <w:lang w:val="lv-LV"/>
        </w:rPr>
        <w:t>Avots: The Social Progress Imperative. (2020). 2020 Social Progress Index. &lt;</w:t>
      </w:r>
      <w:hyperlink r:id="rId91" w:history="1">
        <w:r w:rsidRPr="000E5EB0">
          <w:rPr>
            <w:rStyle w:val="Hyperlink"/>
            <w:rFonts w:ascii="Times New Roman" w:hAnsi="Times New Roman"/>
            <w:lang w:val="lv-LV"/>
          </w:rPr>
          <w:t>https://www.socialprogress.org/?tab=2&amp;code=LVA</w:t>
        </w:r>
      </w:hyperlink>
      <w:r w:rsidRPr="000E5EB0">
        <w:rPr>
          <w:rFonts w:ascii="Times New Roman" w:hAnsi="Times New Roman"/>
          <w:lang w:val="lv-LV"/>
        </w:rPr>
        <w:t>&gt;</w:t>
      </w:r>
    </w:p>
  </w:footnote>
  <w:footnote w:id="222">
    <w:p w14:paraId="27A1A716" w14:textId="77777777" w:rsidR="00D67CF6" w:rsidRPr="00D2700B" w:rsidRDefault="00D67CF6" w:rsidP="00CF1505">
      <w:pPr>
        <w:pStyle w:val="FootnoteText"/>
        <w:spacing w:after="0" w:line="240" w:lineRule="auto"/>
        <w:rPr>
          <w:rFonts w:ascii="Times New Roman" w:hAnsi="Times New Roman"/>
          <w:lang w:val="lv-LV"/>
        </w:rPr>
      </w:pPr>
      <w:r w:rsidRPr="00D2700B">
        <w:rPr>
          <w:rStyle w:val="FootnoteReference"/>
          <w:rFonts w:ascii="Times New Roman" w:hAnsi="Times New Roman"/>
        </w:rPr>
        <w:footnoteRef/>
      </w:r>
      <w:r w:rsidRPr="00D2700B">
        <w:rPr>
          <w:rFonts w:ascii="Times New Roman" w:hAnsi="Times New Roman"/>
        </w:rPr>
        <w:t xml:space="preserve"> </w:t>
      </w:r>
      <w:r>
        <w:rPr>
          <w:rFonts w:ascii="Times New Roman" w:hAnsi="Times New Roman"/>
          <w:lang w:val="lv-LV"/>
        </w:rPr>
        <w:t xml:space="preserve">Avots: Kantar TNS. (2018). </w:t>
      </w:r>
      <w:r w:rsidRPr="00D2700B">
        <w:rPr>
          <w:rFonts w:ascii="Times New Roman" w:hAnsi="Times New Roman"/>
          <w:lang w:val="lv-LV"/>
        </w:rPr>
        <w:t>Darbinieku vidū iezīmējas profesionālās “izdegšanas” problēma</w:t>
      </w:r>
      <w:r>
        <w:rPr>
          <w:rFonts w:ascii="Times New Roman" w:hAnsi="Times New Roman"/>
          <w:lang w:val="lv-LV"/>
        </w:rPr>
        <w:t>. &lt;</w:t>
      </w:r>
      <w:hyperlink r:id="rId92" w:history="1">
        <w:r w:rsidRPr="00FE68C7">
          <w:rPr>
            <w:rStyle w:val="Hyperlink"/>
            <w:rFonts w:ascii="Times New Roman" w:hAnsi="Times New Roman"/>
            <w:lang w:val="lv-LV"/>
          </w:rPr>
          <w:t>https://www.kantar.lv/newsletters/tnsab55/darbinieku-vidu-iezimejas-profesionalas-izdegsanas-problema/</w:t>
        </w:r>
      </w:hyperlink>
      <w:r>
        <w:rPr>
          <w:rFonts w:ascii="Times New Roman" w:hAnsi="Times New Roman"/>
          <w:lang w:val="lv-LV"/>
        </w:rPr>
        <w:t xml:space="preserve"> &gt;</w:t>
      </w:r>
    </w:p>
  </w:footnote>
  <w:footnote w:id="223">
    <w:p w14:paraId="7F93C776" w14:textId="77777777" w:rsidR="00D67CF6" w:rsidRPr="000E5A4C" w:rsidRDefault="00D67CF6" w:rsidP="00CF1505">
      <w:pPr>
        <w:pStyle w:val="FootnoteText"/>
        <w:spacing w:after="0" w:line="240" w:lineRule="auto"/>
        <w:rPr>
          <w:rFonts w:ascii="Times New Roman" w:hAnsi="Times New Roman"/>
          <w:lang w:val="lv-LV"/>
        </w:rPr>
      </w:pPr>
      <w:r w:rsidRPr="000E5A4C">
        <w:rPr>
          <w:rStyle w:val="FootnoteReference"/>
          <w:rFonts w:ascii="Times New Roman" w:hAnsi="Times New Roman"/>
        </w:rPr>
        <w:footnoteRef/>
      </w:r>
      <w:r w:rsidRPr="000E5A4C">
        <w:rPr>
          <w:rFonts w:ascii="Times New Roman" w:hAnsi="Times New Roman"/>
        </w:rPr>
        <w:t xml:space="preserve"> </w:t>
      </w:r>
      <w:r>
        <w:rPr>
          <w:rFonts w:ascii="Times New Roman" w:hAnsi="Times New Roman"/>
          <w:lang w:val="lv-LV"/>
        </w:rPr>
        <w:t>LM resora iestāžu gada publiskie pārskati</w:t>
      </w:r>
    </w:p>
  </w:footnote>
  <w:footnote w:id="224">
    <w:p w14:paraId="6357FD37" w14:textId="77777777" w:rsidR="00D67CF6" w:rsidRPr="004D50C3" w:rsidRDefault="00D67CF6" w:rsidP="00CF1505">
      <w:pPr>
        <w:pStyle w:val="FootnoteText"/>
        <w:spacing w:after="0" w:line="240" w:lineRule="auto"/>
        <w:rPr>
          <w:rFonts w:ascii="Times New Roman" w:hAnsi="Times New Roman"/>
          <w:lang w:val="lv-LV"/>
        </w:rPr>
      </w:pPr>
      <w:r w:rsidRPr="004D50C3">
        <w:rPr>
          <w:rStyle w:val="FootnoteReference"/>
          <w:rFonts w:ascii="Times New Roman" w:hAnsi="Times New Roman"/>
        </w:rPr>
        <w:footnoteRef/>
      </w:r>
      <w:r w:rsidRPr="004D50C3">
        <w:rPr>
          <w:rFonts w:ascii="Times New Roman" w:hAnsi="Times New Roman"/>
        </w:rPr>
        <w:t xml:space="preserve"> </w:t>
      </w:r>
      <w:r>
        <w:rPr>
          <w:rFonts w:ascii="Times New Roman" w:hAnsi="Times New Roman"/>
          <w:lang w:val="lv-LV"/>
        </w:rPr>
        <w:t xml:space="preserve">Ozoliņa-Ozola, I. (2017). </w:t>
      </w:r>
      <w:r w:rsidRPr="004D50C3">
        <w:rPr>
          <w:rFonts w:ascii="Times New Roman" w:hAnsi="Times New Roman"/>
          <w:lang w:val="lv-LV"/>
        </w:rPr>
        <w:t>Personāla mainības problēmas un</w:t>
      </w:r>
      <w:r>
        <w:rPr>
          <w:rFonts w:ascii="Times New Roman" w:hAnsi="Times New Roman"/>
          <w:lang w:val="lv-LV"/>
        </w:rPr>
        <w:t xml:space="preserve"> </w:t>
      </w:r>
      <w:r w:rsidRPr="004D50C3">
        <w:rPr>
          <w:rFonts w:ascii="Times New Roman" w:hAnsi="Times New Roman"/>
          <w:lang w:val="lv-LV"/>
        </w:rPr>
        <w:t xml:space="preserve">vadīšanas risinājumi uzņēmumos. </w:t>
      </w:r>
      <w:r>
        <w:rPr>
          <w:rFonts w:ascii="Times New Roman" w:hAnsi="Times New Roman"/>
          <w:lang w:val="lv-LV"/>
        </w:rPr>
        <w:t>P</w:t>
      </w:r>
      <w:r w:rsidRPr="004D50C3">
        <w:rPr>
          <w:rFonts w:ascii="Times New Roman" w:hAnsi="Times New Roman"/>
          <w:lang w:val="lv-LV"/>
        </w:rPr>
        <w:t>romocijas darba</w:t>
      </w:r>
      <w:r>
        <w:rPr>
          <w:rFonts w:ascii="Times New Roman" w:hAnsi="Times New Roman"/>
          <w:lang w:val="lv-LV"/>
        </w:rPr>
        <w:t xml:space="preserve"> </w:t>
      </w:r>
      <w:r w:rsidRPr="004D50C3">
        <w:rPr>
          <w:rFonts w:ascii="Times New Roman" w:hAnsi="Times New Roman"/>
          <w:lang w:val="lv-LV"/>
        </w:rPr>
        <w:t>kopsavilkums.</w:t>
      </w:r>
      <w:r>
        <w:rPr>
          <w:rFonts w:ascii="Times New Roman" w:hAnsi="Times New Roman"/>
          <w:lang w:val="lv-LV"/>
        </w:rPr>
        <w:t xml:space="preserve"> &lt;</w:t>
      </w:r>
      <w:r w:rsidRPr="004D50C3">
        <w:rPr>
          <w:rFonts w:ascii="Times New Roman" w:hAnsi="Times New Roman"/>
          <w:lang w:val="lv-LV"/>
        </w:rPr>
        <w:t>https://ortus.rtu.lv/science/lv/publications/25758/attachments/3121</w:t>
      </w:r>
      <w:r>
        <w:rPr>
          <w:rFonts w:ascii="Times New Roman" w:hAnsi="Times New Roman"/>
          <w:lang w:val="lv-LV"/>
        </w:rPr>
        <w:t>&gt;</w:t>
      </w:r>
    </w:p>
  </w:footnote>
  <w:footnote w:id="225">
    <w:p w14:paraId="419A10DB" w14:textId="77777777" w:rsidR="00D67CF6" w:rsidRPr="007E7302" w:rsidRDefault="00D67CF6" w:rsidP="00CF1505">
      <w:pPr>
        <w:pStyle w:val="FootnoteText"/>
        <w:spacing w:after="0" w:line="240" w:lineRule="auto"/>
        <w:rPr>
          <w:rFonts w:ascii="Times New Roman" w:hAnsi="Times New Roman"/>
          <w:lang w:val="lv-LV"/>
        </w:rPr>
      </w:pPr>
      <w:r w:rsidRPr="007E7302">
        <w:rPr>
          <w:rStyle w:val="FootnoteReference"/>
          <w:rFonts w:ascii="Times New Roman" w:hAnsi="Times New Roman"/>
        </w:rPr>
        <w:footnoteRef/>
      </w:r>
      <w:r w:rsidRPr="007E7302">
        <w:rPr>
          <w:rFonts w:ascii="Times New Roman" w:hAnsi="Times New Roman"/>
        </w:rPr>
        <w:t xml:space="preserve"> </w:t>
      </w:r>
      <w:r>
        <w:rPr>
          <w:rFonts w:ascii="Times New Roman" w:hAnsi="Times New Roman"/>
          <w:lang w:val="lv-LV"/>
        </w:rPr>
        <w:t>VSAC “Rīga” 2019. gada publiskais pārskats</w:t>
      </w:r>
    </w:p>
  </w:footnote>
  <w:footnote w:id="226">
    <w:p w14:paraId="4E856E49" w14:textId="77777777" w:rsidR="00D67CF6" w:rsidRPr="00A2289F" w:rsidRDefault="00D67CF6" w:rsidP="00CF1505">
      <w:pPr>
        <w:pStyle w:val="FootnoteText"/>
        <w:spacing w:after="0" w:line="240" w:lineRule="auto"/>
        <w:rPr>
          <w:rFonts w:ascii="Times New Roman" w:hAnsi="Times New Roman"/>
          <w:lang w:val="lv-LV"/>
        </w:rPr>
      </w:pPr>
      <w:r w:rsidRPr="00A2289F">
        <w:rPr>
          <w:rStyle w:val="FootnoteReference"/>
          <w:rFonts w:ascii="Times New Roman" w:hAnsi="Times New Roman"/>
        </w:rPr>
        <w:footnoteRef/>
      </w:r>
      <w:r w:rsidRPr="00A2289F">
        <w:rPr>
          <w:rFonts w:ascii="Times New Roman" w:hAnsi="Times New Roman"/>
        </w:rPr>
        <w:t xml:space="preserve"> </w:t>
      </w:r>
      <w:r>
        <w:rPr>
          <w:rFonts w:ascii="Times New Roman" w:hAnsi="Times New Roman"/>
          <w:lang w:val="lv-LV"/>
        </w:rPr>
        <w:t>Valsts sociālās aprūpes centru gada publiskie pārskati</w:t>
      </w:r>
    </w:p>
  </w:footnote>
  <w:footnote w:id="227">
    <w:p w14:paraId="6FE4C05B" w14:textId="77777777" w:rsidR="00D67CF6" w:rsidRPr="000E5A4C" w:rsidRDefault="00D67CF6" w:rsidP="00CF1505">
      <w:pPr>
        <w:pStyle w:val="FootnoteText"/>
        <w:spacing w:after="0" w:line="240" w:lineRule="auto"/>
        <w:rPr>
          <w:rFonts w:ascii="Times New Roman" w:hAnsi="Times New Roman"/>
          <w:lang w:val="lv-LV"/>
        </w:rPr>
      </w:pPr>
      <w:r w:rsidRPr="000E5A4C">
        <w:rPr>
          <w:rStyle w:val="FootnoteReference"/>
          <w:rFonts w:ascii="Times New Roman" w:hAnsi="Times New Roman"/>
        </w:rPr>
        <w:footnoteRef/>
      </w:r>
      <w:r w:rsidRPr="000E5A4C">
        <w:rPr>
          <w:rFonts w:ascii="Times New Roman" w:hAnsi="Times New Roman"/>
        </w:rPr>
        <w:t xml:space="preserve"> LM resora iestāžu gada publiskie pārskati</w:t>
      </w:r>
    </w:p>
  </w:footnote>
  <w:footnote w:id="228">
    <w:p w14:paraId="6947835D" w14:textId="77777777" w:rsidR="00D67CF6" w:rsidRPr="00600B68" w:rsidRDefault="00D67CF6" w:rsidP="005E5CD1">
      <w:pPr>
        <w:pStyle w:val="FootnoteText"/>
        <w:spacing w:after="0" w:line="240" w:lineRule="auto"/>
        <w:rPr>
          <w:rFonts w:ascii="Times New Roman" w:hAnsi="Times New Roman"/>
          <w:lang w:val="lv-LV"/>
        </w:rPr>
      </w:pPr>
      <w:r w:rsidRPr="00600B68">
        <w:rPr>
          <w:rStyle w:val="FootnoteReference"/>
          <w:rFonts w:ascii="Times New Roman" w:hAnsi="Times New Roman"/>
        </w:rPr>
        <w:footnoteRef/>
      </w:r>
      <w:r w:rsidRPr="00600B68">
        <w:rPr>
          <w:rFonts w:ascii="Times New Roman" w:hAnsi="Times New Roman"/>
        </w:rPr>
        <w:t xml:space="preserve"> </w:t>
      </w:r>
      <w:r>
        <w:rPr>
          <w:rFonts w:ascii="Times New Roman" w:hAnsi="Times New Roman"/>
          <w:lang w:val="lv-LV"/>
        </w:rPr>
        <w:t xml:space="preserve">Valsts kanceleja. </w:t>
      </w:r>
      <w:r w:rsidRPr="00600B68">
        <w:rPr>
          <w:rFonts w:ascii="Times New Roman" w:hAnsi="Times New Roman"/>
          <w:lang w:val="lv-LV"/>
        </w:rPr>
        <w:t>Cilvēkresursu attīstības politika</w:t>
      </w:r>
      <w:r>
        <w:rPr>
          <w:rFonts w:ascii="Times New Roman" w:hAnsi="Times New Roman"/>
          <w:lang w:val="lv-LV"/>
        </w:rPr>
        <w:t xml:space="preserve">. Pētījumi: </w:t>
      </w:r>
      <w:r w:rsidRPr="00600B68">
        <w:rPr>
          <w:rFonts w:ascii="Times New Roman" w:hAnsi="Times New Roman"/>
          <w:lang w:val="lv-LV"/>
        </w:rPr>
        <w:t>Salīdzinošais pētījums par atalgojuma apmēru</w:t>
      </w:r>
      <w:r>
        <w:rPr>
          <w:rFonts w:ascii="Times New Roman" w:hAnsi="Times New Roman"/>
          <w:lang w:val="lv-LV"/>
        </w:rPr>
        <w:t>. &lt;</w:t>
      </w:r>
      <w:hyperlink r:id="rId93" w:history="1">
        <w:r w:rsidRPr="00EE140B">
          <w:rPr>
            <w:rStyle w:val="Hyperlink"/>
            <w:rFonts w:ascii="Times New Roman" w:hAnsi="Times New Roman"/>
            <w:lang w:val="lv-LV"/>
          </w:rPr>
          <w:t>https://www.mk.gov.lv/lv/content/cilvekresursu-attistibas-politika</w:t>
        </w:r>
      </w:hyperlink>
      <w:r>
        <w:rPr>
          <w:rFonts w:ascii="Times New Roman" w:hAnsi="Times New Roman"/>
          <w:lang w:val="lv-LV"/>
        </w:rPr>
        <w:t>&gt;</w:t>
      </w:r>
    </w:p>
  </w:footnote>
  <w:footnote w:id="229">
    <w:p w14:paraId="63178142" w14:textId="77777777" w:rsidR="00D67CF6" w:rsidRPr="00C54037" w:rsidRDefault="00D67CF6" w:rsidP="00CF1505">
      <w:pPr>
        <w:pStyle w:val="FootnoteText"/>
        <w:rPr>
          <w:rFonts w:ascii="Times New Roman" w:hAnsi="Times New Roman"/>
          <w:lang w:val="lv-LV"/>
        </w:rPr>
      </w:pPr>
      <w:r w:rsidRPr="00C54037">
        <w:rPr>
          <w:rStyle w:val="FootnoteReference"/>
          <w:rFonts w:ascii="Times New Roman" w:hAnsi="Times New Roman"/>
        </w:rPr>
        <w:footnoteRef/>
      </w:r>
      <w:r w:rsidRPr="00C54037">
        <w:rPr>
          <w:rFonts w:ascii="Times New Roman" w:hAnsi="Times New Roman"/>
        </w:rPr>
        <w:t xml:space="preserve"> </w:t>
      </w:r>
      <w:r w:rsidRPr="00C54037">
        <w:rPr>
          <w:rFonts w:ascii="Times New Roman" w:hAnsi="Times New Roman"/>
          <w:b/>
          <w:bCs/>
          <w:lang w:val="lv-LV"/>
        </w:rPr>
        <w:t>Ilgstošā vakance</w:t>
      </w:r>
      <w:r>
        <w:rPr>
          <w:rFonts w:ascii="Times New Roman" w:hAnsi="Times New Roman"/>
          <w:lang w:val="lv-LV"/>
        </w:rPr>
        <w:t xml:space="preserve"> ir brīva darba vieta, kas pārskata periodā nav aizpildīta 6</w:t>
      </w:r>
      <w:r>
        <w:rPr>
          <w:rFonts w:ascii="Times New Roman" w:hAnsi="Times New Roman"/>
          <w:lang w:val="lv-LV"/>
        </w:rPr>
        <w:noBreakHyphen/>
        <w:t>12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588291"/>
      <w:docPartObj>
        <w:docPartGallery w:val="Page Numbers (Top of Page)"/>
        <w:docPartUnique/>
      </w:docPartObj>
    </w:sdtPr>
    <w:sdtEndPr>
      <w:rPr>
        <w:rFonts w:ascii="Times New Roman" w:hAnsi="Times New Roman" w:cs="Times New Roman"/>
        <w:noProof/>
      </w:rPr>
    </w:sdtEndPr>
    <w:sdtContent>
      <w:p w14:paraId="2D9FAA13" w14:textId="4875E4C1" w:rsidR="00D67CF6" w:rsidRPr="00A97B2B" w:rsidRDefault="00D67CF6">
        <w:pPr>
          <w:pStyle w:val="Header"/>
          <w:jc w:val="center"/>
          <w:rPr>
            <w:rFonts w:ascii="Times New Roman" w:hAnsi="Times New Roman" w:cs="Times New Roman"/>
          </w:rPr>
        </w:pPr>
        <w:r w:rsidRPr="00A97B2B">
          <w:rPr>
            <w:rFonts w:ascii="Times New Roman" w:hAnsi="Times New Roman" w:cs="Times New Roman"/>
          </w:rPr>
          <w:fldChar w:fldCharType="begin"/>
        </w:r>
        <w:r w:rsidRPr="00A97B2B">
          <w:rPr>
            <w:rFonts w:ascii="Times New Roman" w:hAnsi="Times New Roman" w:cs="Times New Roman"/>
          </w:rPr>
          <w:instrText xml:space="preserve"> PAGE   \* MERGEFORMAT </w:instrText>
        </w:r>
        <w:r w:rsidRPr="00A97B2B">
          <w:rPr>
            <w:rFonts w:ascii="Times New Roman" w:hAnsi="Times New Roman" w:cs="Times New Roman"/>
          </w:rPr>
          <w:fldChar w:fldCharType="separate"/>
        </w:r>
        <w:r w:rsidRPr="00A97B2B">
          <w:rPr>
            <w:rFonts w:ascii="Times New Roman" w:hAnsi="Times New Roman" w:cs="Times New Roman"/>
            <w:noProof/>
          </w:rPr>
          <w:t>2</w:t>
        </w:r>
        <w:r w:rsidRPr="00A97B2B">
          <w:rPr>
            <w:rFonts w:ascii="Times New Roman" w:hAnsi="Times New Roman" w:cs="Times New Roman"/>
            <w:noProof/>
          </w:rPr>
          <w:fldChar w:fldCharType="end"/>
        </w:r>
      </w:p>
    </w:sdtContent>
  </w:sdt>
  <w:p w14:paraId="048011F0" w14:textId="77777777" w:rsidR="00D67CF6" w:rsidRDefault="00D67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88.5pt;height:88.5pt" o:bullet="t">
        <v:imagedata r:id="rId1" o:title="2"/>
      </v:shape>
    </w:pict>
  </w:numPicBullet>
  <w:numPicBullet w:numPicBulletId="1">
    <w:pict>
      <v:shape id="_x0000_i1075" type="#_x0000_t75" style="width:88.5pt;height:88.5pt" o:bullet="t">
        <v:imagedata r:id="rId2" o:title="3"/>
      </v:shape>
    </w:pict>
  </w:numPicBullet>
  <w:numPicBullet w:numPicBulletId="2">
    <w:pict>
      <v:shape id="_x0000_i1076" type="#_x0000_t75" style="width:88.5pt;height:88.5pt" o:bullet="t">
        <v:imagedata r:id="rId3" o:title="1"/>
      </v:shape>
    </w:pict>
  </w:numPicBullet>
  <w:abstractNum w:abstractNumId="0" w15:restartNumberingAfterBreak="0">
    <w:nsid w:val="FFFFFF83"/>
    <w:multiLevelType w:val="singleLevel"/>
    <w:tmpl w:val="692AFCBA"/>
    <w:lvl w:ilvl="0">
      <w:start w:val="1"/>
      <w:numFmt w:val="bullet"/>
      <w:pStyle w:val="ListBullet2"/>
      <w:lvlText w:val=""/>
      <w:lvlJc w:val="left"/>
      <w:pPr>
        <w:tabs>
          <w:tab w:val="num" w:pos="1134"/>
        </w:tabs>
        <w:ind w:left="1134" w:hanging="360"/>
      </w:pPr>
      <w:rPr>
        <w:rFonts w:ascii="Symbol" w:hAnsi="Symbol" w:hint="default"/>
      </w:rPr>
    </w:lvl>
  </w:abstractNum>
  <w:abstractNum w:abstractNumId="1" w15:restartNumberingAfterBreak="0">
    <w:nsid w:val="0000001E"/>
    <w:multiLevelType w:val="multilevel"/>
    <w:tmpl w:val="0000001E"/>
    <w:name w:val="WWNum3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1F"/>
    <w:multiLevelType w:val="multilevel"/>
    <w:tmpl w:val="0000001F"/>
    <w:name w:val="WWNum40"/>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15:restartNumberingAfterBreak="0">
    <w:nsid w:val="00197CFA"/>
    <w:multiLevelType w:val="hybridMultilevel"/>
    <w:tmpl w:val="B4E4268E"/>
    <w:lvl w:ilvl="0" w:tplc="665A153A">
      <w:start w:val="1"/>
      <w:numFmt w:val="bullet"/>
      <w:pStyle w:val="Izpildtskritrijs"/>
      <w:lvlText w:val=""/>
      <w:lvlPicBulletId w:val="0"/>
      <w:lvlJc w:val="left"/>
      <w:pPr>
        <w:ind w:left="720"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04D3AF3"/>
    <w:multiLevelType w:val="multilevel"/>
    <w:tmpl w:val="185E1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A3061E"/>
    <w:multiLevelType w:val="hybridMultilevel"/>
    <w:tmpl w:val="965A9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30035AB"/>
    <w:multiLevelType w:val="hybridMultilevel"/>
    <w:tmpl w:val="5622D7B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03260522"/>
    <w:multiLevelType w:val="hybridMultilevel"/>
    <w:tmpl w:val="5510B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6BA2EDE"/>
    <w:multiLevelType w:val="hybridMultilevel"/>
    <w:tmpl w:val="6EB0D7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06D416E9"/>
    <w:multiLevelType w:val="hybridMultilevel"/>
    <w:tmpl w:val="402EBA48"/>
    <w:lvl w:ilvl="0" w:tplc="04260001">
      <w:start w:val="1"/>
      <w:numFmt w:val="bullet"/>
      <w:lvlText w:val=""/>
      <w:lvlJc w:val="left"/>
      <w:pPr>
        <w:ind w:left="720" w:hanging="360"/>
      </w:pPr>
      <w:rPr>
        <w:rFonts w:ascii="Symbol" w:hAnsi="Symbol" w:hint="default"/>
      </w:rPr>
    </w:lvl>
    <w:lvl w:ilvl="1" w:tplc="158CF80E">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8042DB2"/>
    <w:multiLevelType w:val="multilevel"/>
    <w:tmpl w:val="64B25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80427C"/>
    <w:multiLevelType w:val="hybridMultilevel"/>
    <w:tmpl w:val="F33A8062"/>
    <w:lvl w:ilvl="0" w:tplc="13561FB6">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09604EEF"/>
    <w:multiLevelType w:val="multilevel"/>
    <w:tmpl w:val="19C27E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E10161"/>
    <w:multiLevelType w:val="hybridMultilevel"/>
    <w:tmpl w:val="84927DD8"/>
    <w:lvl w:ilvl="0" w:tplc="36142A7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D842759"/>
    <w:multiLevelType w:val="hybridMultilevel"/>
    <w:tmpl w:val="6E30B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2E053AB"/>
    <w:multiLevelType w:val="multilevel"/>
    <w:tmpl w:val="22CC5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FB4F2F"/>
    <w:multiLevelType w:val="hybridMultilevel"/>
    <w:tmpl w:val="F0466D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72E7CEC"/>
    <w:multiLevelType w:val="hybridMultilevel"/>
    <w:tmpl w:val="513A7758"/>
    <w:lvl w:ilvl="0" w:tplc="C40C87C0">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B595660"/>
    <w:multiLevelType w:val="multilevel"/>
    <w:tmpl w:val="C8A2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5A0C18"/>
    <w:multiLevelType w:val="hybridMultilevel"/>
    <w:tmpl w:val="12246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B6519E9"/>
    <w:multiLevelType w:val="multilevel"/>
    <w:tmpl w:val="C02047BA"/>
    <w:styleLink w:val="Stils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E7B05FB"/>
    <w:multiLevelType w:val="hybridMultilevel"/>
    <w:tmpl w:val="9ADA1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3470C4F"/>
    <w:multiLevelType w:val="hybridMultilevel"/>
    <w:tmpl w:val="823E25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3646CF5"/>
    <w:multiLevelType w:val="hybridMultilevel"/>
    <w:tmpl w:val="64C0B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3A6553F"/>
    <w:multiLevelType w:val="hybridMultilevel"/>
    <w:tmpl w:val="6D8E507C"/>
    <w:lvl w:ilvl="0" w:tplc="FA0C2B1A">
      <w:start w:val="1"/>
      <w:numFmt w:val="bullet"/>
      <w:pStyle w:val="Dajiizpildtskritrijs"/>
      <w:lvlText w:val=""/>
      <w:lvlPicBulletId w:val="2"/>
      <w:lvlJc w:val="left"/>
      <w:pPr>
        <w:ind w:left="502"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4407767"/>
    <w:multiLevelType w:val="hybridMultilevel"/>
    <w:tmpl w:val="A83450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4EA5EA3"/>
    <w:multiLevelType w:val="hybridMultilevel"/>
    <w:tmpl w:val="1D4C5F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6345D75"/>
    <w:multiLevelType w:val="hybridMultilevel"/>
    <w:tmpl w:val="3E3CD392"/>
    <w:lvl w:ilvl="0" w:tplc="793C6DCE">
      <w:start w:val="1"/>
      <w:numFmt w:val="bullet"/>
      <w:lvlText w:val=""/>
      <w:lvlJc w:val="left"/>
      <w:pPr>
        <w:ind w:left="896" w:hanging="360"/>
      </w:pPr>
      <w:rPr>
        <w:rFonts w:ascii="Symbol" w:hAnsi="Symbol" w:hint="default"/>
      </w:rPr>
    </w:lvl>
    <w:lvl w:ilvl="1" w:tplc="04260003" w:tentative="1">
      <w:start w:val="1"/>
      <w:numFmt w:val="bullet"/>
      <w:lvlText w:val="o"/>
      <w:lvlJc w:val="left"/>
      <w:pPr>
        <w:ind w:left="1616" w:hanging="360"/>
      </w:pPr>
      <w:rPr>
        <w:rFonts w:ascii="Courier New" w:hAnsi="Courier New" w:cs="Courier New" w:hint="default"/>
      </w:rPr>
    </w:lvl>
    <w:lvl w:ilvl="2" w:tplc="04260005" w:tentative="1">
      <w:start w:val="1"/>
      <w:numFmt w:val="bullet"/>
      <w:lvlText w:val=""/>
      <w:lvlJc w:val="left"/>
      <w:pPr>
        <w:ind w:left="2336" w:hanging="360"/>
      </w:pPr>
      <w:rPr>
        <w:rFonts w:ascii="Wingdings" w:hAnsi="Wingdings" w:hint="default"/>
      </w:rPr>
    </w:lvl>
    <w:lvl w:ilvl="3" w:tplc="04260001" w:tentative="1">
      <w:start w:val="1"/>
      <w:numFmt w:val="bullet"/>
      <w:lvlText w:val=""/>
      <w:lvlJc w:val="left"/>
      <w:pPr>
        <w:ind w:left="3056" w:hanging="360"/>
      </w:pPr>
      <w:rPr>
        <w:rFonts w:ascii="Symbol" w:hAnsi="Symbol" w:hint="default"/>
      </w:rPr>
    </w:lvl>
    <w:lvl w:ilvl="4" w:tplc="04260003" w:tentative="1">
      <w:start w:val="1"/>
      <w:numFmt w:val="bullet"/>
      <w:lvlText w:val="o"/>
      <w:lvlJc w:val="left"/>
      <w:pPr>
        <w:ind w:left="3776" w:hanging="360"/>
      </w:pPr>
      <w:rPr>
        <w:rFonts w:ascii="Courier New" w:hAnsi="Courier New" w:cs="Courier New" w:hint="default"/>
      </w:rPr>
    </w:lvl>
    <w:lvl w:ilvl="5" w:tplc="04260005" w:tentative="1">
      <w:start w:val="1"/>
      <w:numFmt w:val="bullet"/>
      <w:lvlText w:val=""/>
      <w:lvlJc w:val="left"/>
      <w:pPr>
        <w:ind w:left="4496" w:hanging="360"/>
      </w:pPr>
      <w:rPr>
        <w:rFonts w:ascii="Wingdings" w:hAnsi="Wingdings" w:hint="default"/>
      </w:rPr>
    </w:lvl>
    <w:lvl w:ilvl="6" w:tplc="04260001" w:tentative="1">
      <w:start w:val="1"/>
      <w:numFmt w:val="bullet"/>
      <w:lvlText w:val=""/>
      <w:lvlJc w:val="left"/>
      <w:pPr>
        <w:ind w:left="5216" w:hanging="360"/>
      </w:pPr>
      <w:rPr>
        <w:rFonts w:ascii="Symbol" w:hAnsi="Symbol" w:hint="default"/>
      </w:rPr>
    </w:lvl>
    <w:lvl w:ilvl="7" w:tplc="04260003" w:tentative="1">
      <w:start w:val="1"/>
      <w:numFmt w:val="bullet"/>
      <w:lvlText w:val="o"/>
      <w:lvlJc w:val="left"/>
      <w:pPr>
        <w:ind w:left="5936" w:hanging="360"/>
      </w:pPr>
      <w:rPr>
        <w:rFonts w:ascii="Courier New" w:hAnsi="Courier New" w:cs="Courier New" w:hint="default"/>
      </w:rPr>
    </w:lvl>
    <w:lvl w:ilvl="8" w:tplc="04260005" w:tentative="1">
      <w:start w:val="1"/>
      <w:numFmt w:val="bullet"/>
      <w:lvlText w:val=""/>
      <w:lvlJc w:val="left"/>
      <w:pPr>
        <w:ind w:left="6656" w:hanging="360"/>
      </w:pPr>
      <w:rPr>
        <w:rFonts w:ascii="Wingdings" w:hAnsi="Wingdings" w:hint="default"/>
      </w:rPr>
    </w:lvl>
  </w:abstractNum>
  <w:abstractNum w:abstractNumId="28" w15:restartNumberingAfterBreak="0">
    <w:nsid w:val="26A82B2F"/>
    <w:multiLevelType w:val="hybridMultilevel"/>
    <w:tmpl w:val="B9D223E8"/>
    <w:lvl w:ilvl="0" w:tplc="793C6DCE">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270D50D4"/>
    <w:multiLevelType w:val="hybridMultilevel"/>
    <w:tmpl w:val="620018B2"/>
    <w:lvl w:ilvl="0" w:tplc="C6A4252E">
      <w:start w:val="1"/>
      <w:numFmt w:val="bullet"/>
      <w:pStyle w:val="Neizpildtskritrijs"/>
      <w:lvlText w:val=""/>
      <w:lvlPicBulletId w:val="1"/>
      <w:lvlJc w:val="left"/>
      <w:pPr>
        <w:ind w:left="502" w:hanging="360"/>
      </w:pPr>
      <w:rPr>
        <w:rFonts w:ascii="Symbol" w:hAnsi="Symbol" w:hint="default"/>
        <w:color w:val="auto"/>
        <w:sz w:val="20"/>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0" w15:restartNumberingAfterBreak="0">
    <w:nsid w:val="284C1B53"/>
    <w:multiLevelType w:val="multilevel"/>
    <w:tmpl w:val="2B12D3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290969E0"/>
    <w:multiLevelType w:val="multilevel"/>
    <w:tmpl w:val="2814F3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Style6"/>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29FE2F9E"/>
    <w:multiLevelType w:val="multilevel"/>
    <w:tmpl w:val="988475E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2E2503F1"/>
    <w:multiLevelType w:val="hybridMultilevel"/>
    <w:tmpl w:val="949CBE9A"/>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C37126"/>
    <w:multiLevelType w:val="hybridMultilevel"/>
    <w:tmpl w:val="3FC60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472320F"/>
    <w:multiLevelType w:val="hybridMultilevel"/>
    <w:tmpl w:val="E216FA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5496591"/>
    <w:multiLevelType w:val="hybridMultilevel"/>
    <w:tmpl w:val="56742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55A708F"/>
    <w:multiLevelType w:val="multilevel"/>
    <w:tmpl w:val="DDFE089C"/>
    <w:styleLink w:val="Galvenaisvirsraksts"/>
    <w:lvl w:ilvl="0">
      <w:start w:val="1"/>
      <w:numFmt w:val="decimal"/>
      <w:lvlText w:val="%1"/>
      <w:lvlJc w:val="left"/>
      <w:pPr>
        <w:ind w:left="432" w:hanging="432"/>
      </w:pPr>
      <w:rPr>
        <w:rFonts w:ascii="Times New Roman" w:hAnsi="Times New Roman"/>
        <w:color w:val="00206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360B7404"/>
    <w:multiLevelType w:val="hybridMultilevel"/>
    <w:tmpl w:val="DE5E44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6F92972"/>
    <w:multiLevelType w:val="hybridMultilevel"/>
    <w:tmpl w:val="B9EE62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AED51DA"/>
    <w:multiLevelType w:val="hybridMultilevel"/>
    <w:tmpl w:val="C5304C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BD10F1D"/>
    <w:multiLevelType w:val="multilevel"/>
    <w:tmpl w:val="185E1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43" w15:restartNumberingAfterBreak="0">
    <w:nsid w:val="3F7662B9"/>
    <w:multiLevelType w:val="hybridMultilevel"/>
    <w:tmpl w:val="8436AFFC"/>
    <w:lvl w:ilvl="0" w:tplc="7FF68BBE">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FDB775F"/>
    <w:multiLevelType w:val="hybridMultilevel"/>
    <w:tmpl w:val="73EA4C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1A471DF"/>
    <w:multiLevelType w:val="hybridMultilevel"/>
    <w:tmpl w:val="35C41C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2BA0E29"/>
    <w:multiLevelType w:val="hybridMultilevel"/>
    <w:tmpl w:val="D2CA29A0"/>
    <w:lvl w:ilvl="0" w:tplc="4DC27958">
      <w:start w:val="1"/>
      <w:numFmt w:val="decimal"/>
      <w:lvlText w:val="%1)"/>
      <w:lvlJc w:val="left"/>
      <w:pPr>
        <w:ind w:left="720" w:hanging="360"/>
      </w:pPr>
      <w:rPr>
        <w:rFonts w:hint="default"/>
        <w:b/>
        <w: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3723B38"/>
    <w:multiLevelType w:val="hybridMultilevel"/>
    <w:tmpl w:val="A7B0B2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3EB41F2"/>
    <w:multiLevelType w:val="hybridMultilevel"/>
    <w:tmpl w:val="56707B2C"/>
    <w:lvl w:ilvl="0" w:tplc="6DB655D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5A50D29"/>
    <w:multiLevelType w:val="multilevel"/>
    <w:tmpl w:val="6EA64F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82D1EFF"/>
    <w:multiLevelType w:val="hybridMultilevel"/>
    <w:tmpl w:val="96027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8940C59"/>
    <w:multiLevelType w:val="hybridMultilevel"/>
    <w:tmpl w:val="D5943602"/>
    <w:lvl w:ilvl="0" w:tplc="04260001">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52" w15:restartNumberingAfterBreak="0">
    <w:nsid w:val="49254F9D"/>
    <w:multiLevelType w:val="hybridMultilevel"/>
    <w:tmpl w:val="DEA291F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C075C96"/>
    <w:multiLevelType w:val="multilevel"/>
    <w:tmpl w:val="F712F756"/>
    <w:lvl w:ilvl="0">
      <w:start w:val="1"/>
      <w:numFmt w:val="decimal"/>
      <w:pStyle w:val="TOCHeading"/>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50F51C1F"/>
    <w:multiLevelType w:val="hybridMultilevel"/>
    <w:tmpl w:val="51E8B3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2DA2C74"/>
    <w:multiLevelType w:val="hybridMultilevel"/>
    <w:tmpl w:val="1C0C69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549111E2"/>
    <w:multiLevelType w:val="hybridMultilevel"/>
    <w:tmpl w:val="7744F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49D537C"/>
    <w:multiLevelType w:val="hybridMultilevel"/>
    <w:tmpl w:val="F0DE25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6123F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8ED52DF"/>
    <w:multiLevelType w:val="hybridMultilevel"/>
    <w:tmpl w:val="C0C832E0"/>
    <w:lvl w:ilvl="0" w:tplc="FFDC1DC6">
      <w:start w:val="1"/>
      <w:numFmt w:val="bullet"/>
      <w:pStyle w:val="Tablebullets1"/>
      <w:lvlText w:val=""/>
      <w:lvlJc w:val="left"/>
      <w:pPr>
        <w:tabs>
          <w:tab w:val="num" w:pos="1779"/>
        </w:tabs>
        <w:ind w:left="1779" w:hanging="360"/>
      </w:pPr>
      <w:rPr>
        <w:rFonts w:ascii="Symbol" w:hAnsi="Symbol" w:hint="default"/>
      </w:rPr>
    </w:lvl>
    <w:lvl w:ilvl="1" w:tplc="04260003">
      <w:start w:val="1"/>
      <w:numFmt w:val="bullet"/>
      <w:lvlText w:val="o"/>
      <w:lvlJc w:val="left"/>
      <w:pPr>
        <w:tabs>
          <w:tab w:val="num" w:pos="2505"/>
        </w:tabs>
        <w:ind w:left="2505" w:hanging="360"/>
      </w:pPr>
      <w:rPr>
        <w:rFonts w:ascii="Courier New" w:hAnsi="Courier New" w:cs="Courier New" w:hint="default"/>
      </w:rPr>
    </w:lvl>
    <w:lvl w:ilvl="2" w:tplc="04260005" w:tentative="1">
      <w:start w:val="1"/>
      <w:numFmt w:val="bullet"/>
      <w:lvlText w:val=""/>
      <w:lvlJc w:val="left"/>
      <w:pPr>
        <w:tabs>
          <w:tab w:val="num" w:pos="3225"/>
        </w:tabs>
        <w:ind w:left="3225" w:hanging="360"/>
      </w:pPr>
      <w:rPr>
        <w:rFonts w:ascii="Wingdings" w:hAnsi="Wingdings" w:hint="default"/>
      </w:rPr>
    </w:lvl>
    <w:lvl w:ilvl="3" w:tplc="04260001" w:tentative="1">
      <w:start w:val="1"/>
      <w:numFmt w:val="bullet"/>
      <w:lvlText w:val=""/>
      <w:lvlJc w:val="left"/>
      <w:pPr>
        <w:tabs>
          <w:tab w:val="num" w:pos="3945"/>
        </w:tabs>
        <w:ind w:left="3945" w:hanging="360"/>
      </w:pPr>
      <w:rPr>
        <w:rFonts w:ascii="Symbol" w:hAnsi="Symbol" w:hint="default"/>
      </w:rPr>
    </w:lvl>
    <w:lvl w:ilvl="4" w:tplc="04260003" w:tentative="1">
      <w:start w:val="1"/>
      <w:numFmt w:val="bullet"/>
      <w:lvlText w:val="o"/>
      <w:lvlJc w:val="left"/>
      <w:pPr>
        <w:tabs>
          <w:tab w:val="num" w:pos="4665"/>
        </w:tabs>
        <w:ind w:left="4665" w:hanging="360"/>
      </w:pPr>
      <w:rPr>
        <w:rFonts w:ascii="Courier New" w:hAnsi="Courier New" w:cs="Courier New" w:hint="default"/>
      </w:rPr>
    </w:lvl>
    <w:lvl w:ilvl="5" w:tplc="04260005" w:tentative="1">
      <w:start w:val="1"/>
      <w:numFmt w:val="bullet"/>
      <w:lvlText w:val=""/>
      <w:lvlJc w:val="left"/>
      <w:pPr>
        <w:tabs>
          <w:tab w:val="num" w:pos="5385"/>
        </w:tabs>
        <w:ind w:left="5385" w:hanging="360"/>
      </w:pPr>
      <w:rPr>
        <w:rFonts w:ascii="Wingdings" w:hAnsi="Wingdings" w:hint="default"/>
      </w:rPr>
    </w:lvl>
    <w:lvl w:ilvl="6" w:tplc="04260001" w:tentative="1">
      <w:start w:val="1"/>
      <w:numFmt w:val="bullet"/>
      <w:lvlText w:val=""/>
      <w:lvlJc w:val="left"/>
      <w:pPr>
        <w:tabs>
          <w:tab w:val="num" w:pos="6105"/>
        </w:tabs>
        <w:ind w:left="6105" w:hanging="360"/>
      </w:pPr>
      <w:rPr>
        <w:rFonts w:ascii="Symbol" w:hAnsi="Symbol" w:hint="default"/>
      </w:rPr>
    </w:lvl>
    <w:lvl w:ilvl="7" w:tplc="04260003" w:tentative="1">
      <w:start w:val="1"/>
      <w:numFmt w:val="bullet"/>
      <w:lvlText w:val="o"/>
      <w:lvlJc w:val="left"/>
      <w:pPr>
        <w:tabs>
          <w:tab w:val="num" w:pos="6825"/>
        </w:tabs>
        <w:ind w:left="6825" w:hanging="360"/>
      </w:pPr>
      <w:rPr>
        <w:rFonts w:ascii="Courier New" w:hAnsi="Courier New" w:cs="Courier New" w:hint="default"/>
      </w:rPr>
    </w:lvl>
    <w:lvl w:ilvl="8" w:tplc="04260005" w:tentative="1">
      <w:start w:val="1"/>
      <w:numFmt w:val="bullet"/>
      <w:lvlText w:val=""/>
      <w:lvlJc w:val="left"/>
      <w:pPr>
        <w:tabs>
          <w:tab w:val="num" w:pos="7545"/>
        </w:tabs>
        <w:ind w:left="7545" w:hanging="360"/>
      </w:pPr>
      <w:rPr>
        <w:rFonts w:ascii="Wingdings" w:hAnsi="Wingdings" w:hint="default"/>
      </w:rPr>
    </w:lvl>
  </w:abstractNum>
  <w:abstractNum w:abstractNumId="60" w15:restartNumberingAfterBreak="0">
    <w:nsid w:val="5BDB3093"/>
    <w:multiLevelType w:val="hybridMultilevel"/>
    <w:tmpl w:val="0ED2E42C"/>
    <w:lvl w:ilvl="0" w:tplc="EC2CE7D8">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C0B50C2"/>
    <w:multiLevelType w:val="hybridMultilevel"/>
    <w:tmpl w:val="F2F2E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D7D4259"/>
    <w:multiLevelType w:val="hybridMultilevel"/>
    <w:tmpl w:val="426A6ED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3" w15:restartNumberingAfterBreak="0">
    <w:nsid w:val="6271565E"/>
    <w:multiLevelType w:val="hybridMultilevel"/>
    <w:tmpl w:val="DBE80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36C78A9"/>
    <w:multiLevelType w:val="hybridMultilevel"/>
    <w:tmpl w:val="70BA31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66B53B5"/>
    <w:multiLevelType w:val="hybridMultilevel"/>
    <w:tmpl w:val="3CB8B7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9AC28C7"/>
    <w:multiLevelType w:val="hybridMultilevel"/>
    <w:tmpl w:val="B866CB60"/>
    <w:lvl w:ilvl="0" w:tplc="18AE2EEE">
      <w:start w:val="1"/>
      <w:numFmt w:val="decimal"/>
      <w:lvlText w:val="%1."/>
      <w:lvlJc w:val="left"/>
      <w:pPr>
        <w:ind w:left="720" w:hanging="360"/>
      </w:pPr>
      <w:rPr>
        <w:rFonts w:eastAsiaTheme="minorHAns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D7A237F"/>
    <w:multiLevelType w:val="hybridMultilevel"/>
    <w:tmpl w:val="24B6E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1441E6C"/>
    <w:multiLevelType w:val="multilevel"/>
    <w:tmpl w:val="8C8660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205036B"/>
    <w:multiLevelType w:val="hybridMultilevel"/>
    <w:tmpl w:val="4B58CB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44B2F0B"/>
    <w:multiLevelType w:val="hybridMultilevel"/>
    <w:tmpl w:val="035059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6305FBF"/>
    <w:multiLevelType w:val="hybridMultilevel"/>
    <w:tmpl w:val="091A75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79440AE"/>
    <w:multiLevelType w:val="hybridMultilevel"/>
    <w:tmpl w:val="0A6E7272"/>
    <w:lvl w:ilvl="0" w:tplc="0F688774">
      <w:start w:val="1"/>
      <w:numFmt w:val="decimal"/>
      <w:lvlText w:val="%1."/>
      <w:lvlJc w:val="left"/>
      <w:pPr>
        <w:ind w:left="720" w:hanging="360"/>
      </w:pPr>
      <w:rPr>
        <w:rFonts w:eastAsiaTheme="majorEastAsia" w:hint="default"/>
        <w:b/>
        <w: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A1706F6"/>
    <w:multiLevelType w:val="hybridMultilevel"/>
    <w:tmpl w:val="CAFCC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A281DEE"/>
    <w:multiLevelType w:val="hybridMultilevel"/>
    <w:tmpl w:val="49C2E9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C272DDF"/>
    <w:multiLevelType w:val="hybridMultilevel"/>
    <w:tmpl w:val="DAD4AC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8"/>
  </w:num>
  <w:num w:numId="4">
    <w:abstractNumId w:val="72"/>
  </w:num>
  <w:num w:numId="5">
    <w:abstractNumId w:val="60"/>
  </w:num>
  <w:num w:numId="6">
    <w:abstractNumId w:val="59"/>
  </w:num>
  <w:num w:numId="7">
    <w:abstractNumId w:val="20"/>
  </w:num>
  <w:num w:numId="8">
    <w:abstractNumId w:val="3"/>
  </w:num>
  <w:num w:numId="9">
    <w:abstractNumId w:val="29"/>
  </w:num>
  <w:num w:numId="10">
    <w:abstractNumId w:val="24"/>
  </w:num>
  <w:num w:numId="11">
    <w:abstractNumId w:val="71"/>
  </w:num>
  <w:num w:numId="12">
    <w:abstractNumId w:val="42"/>
  </w:num>
  <w:num w:numId="13">
    <w:abstractNumId w:val="50"/>
  </w:num>
  <w:num w:numId="14">
    <w:abstractNumId w:val="40"/>
  </w:num>
  <w:num w:numId="15">
    <w:abstractNumId w:val="49"/>
  </w:num>
  <w:num w:numId="16">
    <w:abstractNumId w:val="44"/>
  </w:num>
  <w:num w:numId="17">
    <w:abstractNumId w:val="9"/>
  </w:num>
  <w:num w:numId="18">
    <w:abstractNumId w:val="67"/>
  </w:num>
  <w:num w:numId="19">
    <w:abstractNumId w:val="45"/>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5"/>
  </w:num>
  <w:num w:numId="23">
    <w:abstractNumId w:val="26"/>
  </w:num>
  <w:num w:numId="24">
    <w:abstractNumId w:val="25"/>
  </w:num>
  <w:num w:numId="25">
    <w:abstractNumId w:val="51"/>
  </w:num>
  <w:num w:numId="26">
    <w:abstractNumId w:val="58"/>
  </w:num>
  <w:num w:numId="27">
    <w:abstractNumId w:val="16"/>
  </w:num>
  <w:num w:numId="28">
    <w:abstractNumId w:val="48"/>
  </w:num>
  <w:num w:numId="29">
    <w:abstractNumId w:val="54"/>
  </w:num>
  <w:num w:numId="30">
    <w:abstractNumId w:val="11"/>
  </w:num>
  <w:num w:numId="31">
    <w:abstractNumId w:val="17"/>
  </w:num>
  <w:num w:numId="32">
    <w:abstractNumId w:val="13"/>
  </w:num>
  <w:num w:numId="33">
    <w:abstractNumId w:val="22"/>
  </w:num>
  <w:num w:numId="34">
    <w:abstractNumId w:val="43"/>
  </w:num>
  <w:num w:numId="35">
    <w:abstractNumId w:val="66"/>
  </w:num>
  <w:num w:numId="36">
    <w:abstractNumId w:val="5"/>
  </w:num>
  <w:num w:numId="37">
    <w:abstractNumId w:val="56"/>
  </w:num>
  <w:num w:numId="38">
    <w:abstractNumId w:val="68"/>
  </w:num>
  <w:num w:numId="39">
    <w:abstractNumId w:val="34"/>
  </w:num>
  <w:num w:numId="40">
    <w:abstractNumId w:val="36"/>
  </w:num>
  <w:num w:numId="41">
    <w:abstractNumId w:val="74"/>
  </w:num>
  <w:num w:numId="42">
    <w:abstractNumId w:val="7"/>
  </w:num>
  <w:num w:numId="43">
    <w:abstractNumId w:val="63"/>
  </w:num>
  <w:num w:numId="44">
    <w:abstractNumId w:val="76"/>
  </w:num>
  <w:num w:numId="45">
    <w:abstractNumId w:val="64"/>
  </w:num>
  <w:num w:numId="46">
    <w:abstractNumId w:val="23"/>
  </w:num>
  <w:num w:numId="47">
    <w:abstractNumId w:val="57"/>
  </w:num>
  <w:num w:numId="48">
    <w:abstractNumId w:val="39"/>
  </w:num>
  <w:num w:numId="49">
    <w:abstractNumId w:val="70"/>
  </w:num>
  <w:num w:numId="50">
    <w:abstractNumId w:val="47"/>
  </w:num>
  <w:num w:numId="51">
    <w:abstractNumId w:val="21"/>
  </w:num>
  <w:num w:numId="52">
    <w:abstractNumId w:val="73"/>
  </w:num>
  <w:num w:numId="53">
    <w:abstractNumId w:val="75"/>
  </w:num>
  <w:num w:numId="54">
    <w:abstractNumId w:val="38"/>
  </w:num>
  <w:num w:numId="55">
    <w:abstractNumId w:val="37"/>
  </w:num>
  <w:num w:numId="56">
    <w:abstractNumId w:val="12"/>
  </w:num>
  <w:num w:numId="57">
    <w:abstractNumId w:val="31"/>
  </w:num>
  <w:num w:numId="58">
    <w:abstractNumId w:val="53"/>
  </w:num>
  <w:num w:numId="59">
    <w:abstractNumId w:val="30"/>
  </w:num>
  <w:num w:numId="60">
    <w:abstractNumId w:val="32"/>
  </w:num>
  <w:num w:numId="61">
    <w:abstractNumId w:val="27"/>
  </w:num>
  <w:num w:numId="62">
    <w:abstractNumId w:val="28"/>
  </w:num>
  <w:num w:numId="63">
    <w:abstractNumId w:val="62"/>
  </w:num>
  <w:num w:numId="64">
    <w:abstractNumId w:val="52"/>
  </w:num>
  <w:num w:numId="65">
    <w:abstractNumId w:val="19"/>
  </w:num>
  <w:num w:numId="66">
    <w:abstractNumId w:val="61"/>
  </w:num>
  <w:num w:numId="67">
    <w:abstractNumId w:val="6"/>
  </w:num>
  <w:num w:numId="68">
    <w:abstractNumId w:val="14"/>
  </w:num>
  <w:num w:numId="69">
    <w:abstractNumId w:val="1"/>
  </w:num>
  <w:num w:numId="70">
    <w:abstractNumId w:val="2"/>
  </w:num>
  <w:num w:numId="71">
    <w:abstractNumId w:val="55"/>
  </w:num>
  <w:num w:numId="72">
    <w:abstractNumId w:val="8"/>
  </w:num>
  <w:num w:numId="73">
    <w:abstractNumId w:val="69"/>
  </w:num>
  <w:num w:numId="74">
    <w:abstractNumId w:val="41"/>
  </w:num>
  <w:num w:numId="75">
    <w:abstractNumId w:val="4"/>
  </w:num>
  <w:num w:numId="76">
    <w:abstractNumId w:val="4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837"/>
    <w:rsid w:val="000001DD"/>
    <w:rsid w:val="00004DC4"/>
    <w:rsid w:val="0000783E"/>
    <w:rsid w:val="000104B0"/>
    <w:rsid w:val="000122F0"/>
    <w:rsid w:val="0001244B"/>
    <w:rsid w:val="000127C3"/>
    <w:rsid w:val="00012A67"/>
    <w:rsid w:val="000132BB"/>
    <w:rsid w:val="00013CA6"/>
    <w:rsid w:val="00015035"/>
    <w:rsid w:val="00015229"/>
    <w:rsid w:val="00022B44"/>
    <w:rsid w:val="000247F3"/>
    <w:rsid w:val="00024D7D"/>
    <w:rsid w:val="00026CEE"/>
    <w:rsid w:val="00030BD6"/>
    <w:rsid w:val="0003198E"/>
    <w:rsid w:val="00033452"/>
    <w:rsid w:val="00037782"/>
    <w:rsid w:val="00040F6B"/>
    <w:rsid w:val="00041D3E"/>
    <w:rsid w:val="00043B4D"/>
    <w:rsid w:val="00045116"/>
    <w:rsid w:val="00051FF7"/>
    <w:rsid w:val="0005240B"/>
    <w:rsid w:val="00055C62"/>
    <w:rsid w:val="00057711"/>
    <w:rsid w:val="0006016D"/>
    <w:rsid w:val="00060413"/>
    <w:rsid w:val="000655DF"/>
    <w:rsid w:val="00067227"/>
    <w:rsid w:val="00067E5B"/>
    <w:rsid w:val="00070E9E"/>
    <w:rsid w:val="00070F44"/>
    <w:rsid w:val="00071D1F"/>
    <w:rsid w:val="00073BBC"/>
    <w:rsid w:val="00074CAA"/>
    <w:rsid w:val="00075100"/>
    <w:rsid w:val="000767F2"/>
    <w:rsid w:val="00077F84"/>
    <w:rsid w:val="000869E6"/>
    <w:rsid w:val="00086D3E"/>
    <w:rsid w:val="00086E8E"/>
    <w:rsid w:val="00091A4E"/>
    <w:rsid w:val="00091B0D"/>
    <w:rsid w:val="0009356A"/>
    <w:rsid w:val="00096B3C"/>
    <w:rsid w:val="00096C2C"/>
    <w:rsid w:val="000A02BD"/>
    <w:rsid w:val="000A0E5A"/>
    <w:rsid w:val="000A37F6"/>
    <w:rsid w:val="000A72A7"/>
    <w:rsid w:val="000B75C0"/>
    <w:rsid w:val="000B7F98"/>
    <w:rsid w:val="000C0574"/>
    <w:rsid w:val="000C0BD5"/>
    <w:rsid w:val="000C104F"/>
    <w:rsid w:val="000C220D"/>
    <w:rsid w:val="000C2825"/>
    <w:rsid w:val="000C29A9"/>
    <w:rsid w:val="000C39D7"/>
    <w:rsid w:val="000C55D6"/>
    <w:rsid w:val="000C7D44"/>
    <w:rsid w:val="000D01C5"/>
    <w:rsid w:val="000D01E6"/>
    <w:rsid w:val="000D144E"/>
    <w:rsid w:val="000D1B81"/>
    <w:rsid w:val="000D44B9"/>
    <w:rsid w:val="000D485B"/>
    <w:rsid w:val="000D5B0D"/>
    <w:rsid w:val="000E1DEB"/>
    <w:rsid w:val="000E1E12"/>
    <w:rsid w:val="000E2D79"/>
    <w:rsid w:val="000E4F95"/>
    <w:rsid w:val="000E5EB0"/>
    <w:rsid w:val="000F0C45"/>
    <w:rsid w:val="000F3DE3"/>
    <w:rsid w:val="000F45F4"/>
    <w:rsid w:val="000F4705"/>
    <w:rsid w:val="000F4795"/>
    <w:rsid w:val="00101C7F"/>
    <w:rsid w:val="001033E4"/>
    <w:rsid w:val="0010366F"/>
    <w:rsid w:val="00105C88"/>
    <w:rsid w:val="001061AE"/>
    <w:rsid w:val="0010707F"/>
    <w:rsid w:val="00107DBE"/>
    <w:rsid w:val="001101F7"/>
    <w:rsid w:val="00111253"/>
    <w:rsid w:val="001119D9"/>
    <w:rsid w:val="001122E4"/>
    <w:rsid w:val="0011371F"/>
    <w:rsid w:val="00114F9C"/>
    <w:rsid w:val="00115741"/>
    <w:rsid w:val="001212FE"/>
    <w:rsid w:val="0012166F"/>
    <w:rsid w:val="00121815"/>
    <w:rsid w:val="001222E2"/>
    <w:rsid w:val="00122B76"/>
    <w:rsid w:val="00123959"/>
    <w:rsid w:val="001239EB"/>
    <w:rsid w:val="001243CF"/>
    <w:rsid w:val="00124B06"/>
    <w:rsid w:val="001265DB"/>
    <w:rsid w:val="00127A2E"/>
    <w:rsid w:val="00132320"/>
    <w:rsid w:val="00132AC4"/>
    <w:rsid w:val="00134319"/>
    <w:rsid w:val="00134710"/>
    <w:rsid w:val="00136A0C"/>
    <w:rsid w:val="00136EF1"/>
    <w:rsid w:val="00137834"/>
    <w:rsid w:val="001413AC"/>
    <w:rsid w:val="00141986"/>
    <w:rsid w:val="00141B01"/>
    <w:rsid w:val="00142462"/>
    <w:rsid w:val="00142C2F"/>
    <w:rsid w:val="001437D2"/>
    <w:rsid w:val="0014409D"/>
    <w:rsid w:val="00144406"/>
    <w:rsid w:val="00147AF8"/>
    <w:rsid w:val="0015154B"/>
    <w:rsid w:val="00152E91"/>
    <w:rsid w:val="0015403E"/>
    <w:rsid w:val="00160639"/>
    <w:rsid w:val="00161124"/>
    <w:rsid w:val="00164535"/>
    <w:rsid w:val="00164890"/>
    <w:rsid w:val="001663FA"/>
    <w:rsid w:val="0017029D"/>
    <w:rsid w:val="00177B29"/>
    <w:rsid w:val="001802D9"/>
    <w:rsid w:val="00180664"/>
    <w:rsid w:val="00183044"/>
    <w:rsid w:val="00184F4B"/>
    <w:rsid w:val="00185448"/>
    <w:rsid w:val="001925CC"/>
    <w:rsid w:val="00196D41"/>
    <w:rsid w:val="001A0E9C"/>
    <w:rsid w:val="001A137D"/>
    <w:rsid w:val="001A430F"/>
    <w:rsid w:val="001A7C09"/>
    <w:rsid w:val="001B0694"/>
    <w:rsid w:val="001B12F7"/>
    <w:rsid w:val="001B1991"/>
    <w:rsid w:val="001B4422"/>
    <w:rsid w:val="001B509D"/>
    <w:rsid w:val="001B6FD9"/>
    <w:rsid w:val="001B7608"/>
    <w:rsid w:val="001C1FBE"/>
    <w:rsid w:val="001C244F"/>
    <w:rsid w:val="001C4665"/>
    <w:rsid w:val="001C64ED"/>
    <w:rsid w:val="001C656E"/>
    <w:rsid w:val="001C68FC"/>
    <w:rsid w:val="001C6B3F"/>
    <w:rsid w:val="001C717B"/>
    <w:rsid w:val="001D529A"/>
    <w:rsid w:val="001D5EE6"/>
    <w:rsid w:val="001D647A"/>
    <w:rsid w:val="001E0240"/>
    <w:rsid w:val="001E0CEC"/>
    <w:rsid w:val="001E4D3B"/>
    <w:rsid w:val="001E5BC8"/>
    <w:rsid w:val="001F1367"/>
    <w:rsid w:val="001F162B"/>
    <w:rsid w:val="001F2872"/>
    <w:rsid w:val="001F2EE1"/>
    <w:rsid w:val="001F7DF6"/>
    <w:rsid w:val="002003E6"/>
    <w:rsid w:val="00200837"/>
    <w:rsid w:val="00203B7C"/>
    <w:rsid w:val="00203DA3"/>
    <w:rsid w:val="00211F2D"/>
    <w:rsid w:val="00212063"/>
    <w:rsid w:val="00212163"/>
    <w:rsid w:val="00213F3B"/>
    <w:rsid w:val="002142D3"/>
    <w:rsid w:val="002148FC"/>
    <w:rsid w:val="00214998"/>
    <w:rsid w:val="00214EBC"/>
    <w:rsid w:val="002163B3"/>
    <w:rsid w:val="002200B5"/>
    <w:rsid w:val="00220A0E"/>
    <w:rsid w:val="00221D87"/>
    <w:rsid w:val="00222534"/>
    <w:rsid w:val="00223B4B"/>
    <w:rsid w:val="002258B8"/>
    <w:rsid w:val="00232468"/>
    <w:rsid w:val="00232ACE"/>
    <w:rsid w:val="00235290"/>
    <w:rsid w:val="002374CA"/>
    <w:rsid w:val="00240175"/>
    <w:rsid w:val="00243EE2"/>
    <w:rsid w:val="00246B9E"/>
    <w:rsid w:val="0025422D"/>
    <w:rsid w:val="00254B54"/>
    <w:rsid w:val="0025550C"/>
    <w:rsid w:val="00255BAD"/>
    <w:rsid w:val="00256C94"/>
    <w:rsid w:val="00257B78"/>
    <w:rsid w:val="00257C51"/>
    <w:rsid w:val="002619D2"/>
    <w:rsid w:val="00261DC9"/>
    <w:rsid w:val="00261DCF"/>
    <w:rsid w:val="00261FD0"/>
    <w:rsid w:val="0026365F"/>
    <w:rsid w:val="00263F55"/>
    <w:rsid w:val="00265B22"/>
    <w:rsid w:val="00266DE9"/>
    <w:rsid w:val="00267025"/>
    <w:rsid w:val="002703FB"/>
    <w:rsid w:val="00270D2C"/>
    <w:rsid w:val="002717E3"/>
    <w:rsid w:val="00271840"/>
    <w:rsid w:val="0027207A"/>
    <w:rsid w:val="00273CB9"/>
    <w:rsid w:val="00275861"/>
    <w:rsid w:val="00276397"/>
    <w:rsid w:val="00277B96"/>
    <w:rsid w:val="00277D9A"/>
    <w:rsid w:val="00280B67"/>
    <w:rsid w:val="002814E1"/>
    <w:rsid w:val="002847A2"/>
    <w:rsid w:val="00287E2D"/>
    <w:rsid w:val="00291438"/>
    <w:rsid w:val="00294A6F"/>
    <w:rsid w:val="00294FD3"/>
    <w:rsid w:val="00295F72"/>
    <w:rsid w:val="00296A40"/>
    <w:rsid w:val="00296F87"/>
    <w:rsid w:val="002A0D02"/>
    <w:rsid w:val="002A785B"/>
    <w:rsid w:val="002B00E3"/>
    <w:rsid w:val="002B0BF2"/>
    <w:rsid w:val="002B164B"/>
    <w:rsid w:val="002B53E5"/>
    <w:rsid w:val="002B5CC8"/>
    <w:rsid w:val="002B6545"/>
    <w:rsid w:val="002C0C29"/>
    <w:rsid w:val="002C12A5"/>
    <w:rsid w:val="002D5516"/>
    <w:rsid w:val="002D770C"/>
    <w:rsid w:val="002D77B4"/>
    <w:rsid w:val="002D7C73"/>
    <w:rsid w:val="002E0D87"/>
    <w:rsid w:val="002E22C0"/>
    <w:rsid w:val="002E4D66"/>
    <w:rsid w:val="002F3BEA"/>
    <w:rsid w:val="002F3C66"/>
    <w:rsid w:val="002F5278"/>
    <w:rsid w:val="002F52EB"/>
    <w:rsid w:val="002F5C4C"/>
    <w:rsid w:val="003018FA"/>
    <w:rsid w:val="00301907"/>
    <w:rsid w:val="00301F26"/>
    <w:rsid w:val="003022D1"/>
    <w:rsid w:val="0030363D"/>
    <w:rsid w:val="00306878"/>
    <w:rsid w:val="003077EC"/>
    <w:rsid w:val="0031085C"/>
    <w:rsid w:val="00310E26"/>
    <w:rsid w:val="00313607"/>
    <w:rsid w:val="00313673"/>
    <w:rsid w:val="003144B3"/>
    <w:rsid w:val="00314AA0"/>
    <w:rsid w:val="00316CBC"/>
    <w:rsid w:val="00322BDB"/>
    <w:rsid w:val="00323E7A"/>
    <w:rsid w:val="00325581"/>
    <w:rsid w:val="003264DB"/>
    <w:rsid w:val="00327431"/>
    <w:rsid w:val="0033005A"/>
    <w:rsid w:val="0033352D"/>
    <w:rsid w:val="00333A57"/>
    <w:rsid w:val="00333DD8"/>
    <w:rsid w:val="00334711"/>
    <w:rsid w:val="00334CEA"/>
    <w:rsid w:val="00335298"/>
    <w:rsid w:val="00335E16"/>
    <w:rsid w:val="003428F1"/>
    <w:rsid w:val="003443D5"/>
    <w:rsid w:val="003445B4"/>
    <w:rsid w:val="0034498F"/>
    <w:rsid w:val="0034525F"/>
    <w:rsid w:val="0034630B"/>
    <w:rsid w:val="00350281"/>
    <w:rsid w:val="0035260F"/>
    <w:rsid w:val="00352FEC"/>
    <w:rsid w:val="003541C8"/>
    <w:rsid w:val="00355DF1"/>
    <w:rsid w:val="0035751A"/>
    <w:rsid w:val="00357728"/>
    <w:rsid w:val="00357862"/>
    <w:rsid w:val="003623B0"/>
    <w:rsid w:val="00363E66"/>
    <w:rsid w:val="00364B06"/>
    <w:rsid w:val="00365465"/>
    <w:rsid w:val="0036582B"/>
    <w:rsid w:val="0036597A"/>
    <w:rsid w:val="003674B3"/>
    <w:rsid w:val="00372F61"/>
    <w:rsid w:val="0037328A"/>
    <w:rsid w:val="00373626"/>
    <w:rsid w:val="00373BB8"/>
    <w:rsid w:val="00375BD0"/>
    <w:rsid w:val="003804D2"/>
    <w:rsid w:val="00382BEA"/>
    <w:rsid w:val="00384F2B"/>
    <w:rsid w:val="00385A3B"/>
    <w:rsid w:val="003974EF"/>
    <w:rsid w:val="003A0C82"/>
    <w:rsid w:val="003B2092"/>
    <w:rsid w:val="003B3FA0"/>
    <w:rsid w:val="003B5C85"/>
    <w:rsid w:val="003B680F"/>
    <w:rsid w:val="003C17FF"/>
    <w:rsid w:val="003C34AF"/>
    <w:rsid w:val="003C3EC8"/>
    <w:rsid w:val="003C4055"/>
    <w:rsid w:val="003C4A7D"/>
    <w:rsid w:val="003C54B6"/>
    <w:rsid w:val="003D10A6"/>
    <w:rsid w:val="003D2755"/>
    <w:rsid w:val="003D5E9D"/>
    <w:rsid w:val="003E0FDE"/>
    <w:rsid w:val="003E3D11"/>
    <w:rsid w:val="003E4328"/>
    <w:rsid w:val="003E49EA"/>
    <w:rsid w:val="003E53F9"/>
    <w:rsid w:val="003E6E86"/>
    <w:rsid w:val="003E719B"/>
    <w:rsid w:val="003F0DFA"/>
    <w:rsid w:val="003F19D3"/>
    <w:rsid w:val="003F5246"/>
    <w:rsid w:val="003F622E"/>
    <w:rsid w:val="003F650C"/>
    <w:rsid w:val="004000F0"/>
    <w:rsid w:val="00403817"/>
    <w:rsid w:val="0040403E"/>
    <w:rsid w:val="00404318"/>
    <w:rsid w:val="00405962"/>
    <w:rsid w:val="00405AAD"/>
    <w:rsid w:val="00414C6F"/>
    <w:rsid w:val="0041778D"/>
    <w:rsid w:val="004178E6"/>
    <w:rsid w:val="00417A9F"/>
    <w:rsid w:val="00420A9D"/>
    <w:rsid w:val="00421E6A"/>
    <w:rsid w:val="004230EF"/>
    <w:rsid w:val="00425C73"/>
    <w:rsid w:val="00427B7B"/>
    <w:rsid w:val="00430D19"/>
    <w:rsid w:val="00430EBE"/>
    <w:rsid w:val="00431EF9"/>
    <w:rsid w:val="004335DE"/>
    <w:rsid w:val="00435165"/>
    <w:rsid w:val="00436443"/>
    <w:rsid w:val="004364E7"/>
    <w:rsid w:val="004376AA"/>
    <w:rsid w:val="0044313C"/>
    <w:rsid w:val="00444B62"/>
    <w:rsid w:val="0045237F"/>
    <w:rsid w:val="00452E8E"/>
    <w:rsid w:val="00453EBD"/>
    <w:rsid w:val="00454099"/>
    <w:rsid w:val="00454641"/>
    <w:rsid w:val="00454747"/>
    <w:rsid w:val="0045543A"/>
    <w:rsid w:val="004564D7"/>
    <w:rsid w:val="004570DD"/>
    <w:rsid w:val="00457AF4"/>
    <w:rsid w:val="00460D8E"/>
    <w:rsid w:val="00462FE1"/>
    <w:rsid w:val="00463085"/>
    <w:rsid w:val="00463B4E"/>
    <w:rsid w:val="00464B55"/>
    <w:rsid w:val="00465165"/>
    <w:rsid w:val="004702F2"/>
    <w:rsid w:val="004744E1"/>
    <w:rsid w:val="00477DCB"/>
    <w:rsid w:val="004826D8"/>
    <w:rsid w:val="00482C2E"/>
    <w:rsid w:val="00482D44"/>
    <w:rsid w:val="004837A8"/>
    <w:rsid w:val="00487AAB"/>
    <w:rsid w:val="00492C0A"/>
    <w:rsid w:val="00495259"/>
    <w:rsid w:val="004959E8"/>
    <w:rsid w:val="004970D8"/>
    <w:rsid w:val="004A236C"/>
    <w:rsid w:val="004A329E"/>
    <w:rsid w:val="004A5DA8"/>
    <w:rsid w:val="004A5E8D"/>
    <w:rsid w:val="004A6572"/>
    <w:rsid w:val="004B0588"/>
    <w:rsid w:val="004B2FCE"/>
    <w:rsid w:val="004B3F74"/>
    <w:rsid w:val="004B73FB"/>
    <w:rsid w:val="004C0E98"/>
    <w:rsid w:val="004C1289"/>
    <w:rsid w:val="004C2656"/>
    <w:rsid w:val="004C2F58"/>
    <w:rsid w:val="004C4D69"/>
    <w:rsid w:val="004C522B"/>
    <w:rsid w:val="004C526E"/>
    <w:rsid w:val="004C6334"/>
    <w:rsid w:val="004C73FC"/>
    <w:rsid w:val="004C7EC2"/>
    <w:rsid w:val="004D0EDD"/>
    <w:rsid w:val="004D1597"/>
    <w:rsid w:val="004D2297"/>
    <w:rsid w:val="004D421D"/>
    <w:rsid w:val="004D435A"/>
    <w:rsid w:val="004D49EC"/>
    <w:rsid w:val="004D5331"/>
    <w:rsid w:val="004E1FD1"/>
    <w:rsid w:val="004E2DD8"/>
    <w:rsid w:val="004E5C4B"/>
    <w:rsid w:val="004E61D0"/>
    <w:rsid w:val="004E633E"/>
    <w:rsid w:val="004F2391"/>
    <w:rsid w:val="004F3734"/>
    <w:rsid w:val="0050062D"/>
    <w:rsid w:val="00500C22"/>
    <w:rsid w:val="00500E46"/>
    <w:rsid w:val="00501C7A"/>
    <w:rsid w:val="005058AB"/>
    <w:rsid w:val="00506C04"/>
    <w:rsid w:val="005076F1"/>
    <w:rsid w:val="0051030E"/>
    <w:rsid w:val="00510795"/>
    <w:rsid w:val="005121D6"/>
    <w:rsid w:val="00512722"/>
    <w:rsid w:val="005141EA"/>
    <w:rsid w:val="00514BF8"/>
    <w:rsid w:val="0051576E"/>
    <w:rsid w:val="00515A85"/>
    <w:rsid w:val="00515FFE"/>
    <w:rsid w:val="00520521"/>
    <w:rsid w:val="00521043"/>
    <w:rsid w:val="00522390"/>
    <w:rsid w:val="005233E6"/>
    <w:rsid w:val="00525F21"/>
    <w:rsid w:val="00526A06"/>
    <w:rsid w:val="00527FBD"/>
    <w:rsid w:val="00530C2F"/>
    <w:rsid w:val="00531028"/>
    <w:rsid w:val="00531202"/>
    <w:rsid w:val="00534E1A"/>
    <w:rsid w:val="00534F50"/>
    <w:rsid w:val="00534FDB"/>
    <w:rsid w:val="0053516E"/>
    <w:rsid w:val="005377D7"/>
    <w:rsid w:val="00537C53"/>
    <w:rsid w:val="005400C5"/>
    <w:rsid w:val="00540B09"/>
    <w:rsid w:val="00540C91"/>
    <w:rsid w:val="00545F5B"/>
    <w:rsid w:val="0054699C"/>
    <w:rsid w:val="005478EA"/>
    <w:rsid w:val="00552077"/>
    <w:rsid w:val="00552513"/>
    <w:rsid w:val="00553017"/>
    <w:rsid w:val="0055317D"/>
    <w:rsid w:val="00554119"/>
    <w:rsid w:val="00557382"/>
    <w:rsid w:val="00557C3F"/>
    <w:rsid w:val="00557FA6"/>
    <w:rsid w:val="00563E4A"/>
    <w:rsid w:val="005653A7"/>
    <w:rsid w:val="0056646C"/>
    <w:rsid w:val="00566712"/>
    <w:rsid w:val="00570129"/>
    <w:rsid w:val="00572347"/>
    <w:rsid w:val="005739AB"/>
    <w:rsid w:val="00573B49"/>
    <w:rsid w:val="00573DCD"/>
    <w:rsid w:val="00575241"/>
    <w:rsid w:val="005754C2"/>
    <w:rsid w:val="0057760C"/>
    <w:rsid w:val="00577FB9"/>
    <w:rsid w:val="005800DE"/>
    <w:rsid w:val="00581460"/>
    <w:rsid w:val="00583410"/>
    <w:rsid w:val="00583732"/>
    <w:rsid w:val="00583BA7"/>
    <w:rsid w:val="00583D77"/>
    <w:rsid w:val="005843E4"/>
    <w:rsid w:val="0058459C"/>
    <w:rsid w:val="00585345"/>
    <w:rsid w:val="005869BF"/>
    <w:rsid w:val="00590B21"/>
    <w:rsid w:val="00596697"/>
    <w:rsid w:val="00596BC0"/>
    <w:rsid w:val="005976A7"/>
    <w:rsid w:val="00597B53"/>
    <w:rsid w:val="005A0F0F"/>
    <w:rsid w:val="005A179F"/>
    <w:rsid w:val="005A190F"/>
    <w:rsid w:val="005A40D5"/>
    <w:rsid w:val="005A410F"/>
    <w:rsid w:val="005A4E0A"/>
    <w:rsid w:val="005A4F16"/>
    <w:rsid w:val="005A5A57"/>
    <w:rsid w:val="005B08A8"/>
    <w:rsid w:val="005B17B4"/>
    <w:rsid w:val="005B22DE"/>
    <w:rsid w:val="005B240A"/>
    <w:rsid w:val="005B2BC8"/>
    <w:rsid w:val="005B6F21"/>
    <w:rsid w:val="005C086B"/>
    <w:rsid w:val="005C3800"/>
    <w:rsid w:val="005C3E8E"/>
    <w:rsid w:val="005C4C85"/>
    <w:rsid w:val="005D7010"/>
    <w:rsid w:val="005E06A8"/>
    <w:rsid w:val="005E1237"/>
    <w:rsid w:val="005E1993"/>
    <w:rsid w:val="005E1CFB"/>
    <w:rsid w:val="005E2D17"/>
    <w:rsid w:val="005E3DEA"/>
    <w:rsid w:val="005E4944"/>
    <w:rsid w:val="005E5ADD"/>
    <w:rsid w:val="005E5CD1"/>
    <w:rsid w:val="005E61B0"/>
    <w:rsid w:val="005E701A"/>
    <w:rsid w:val="005E77BE"/>
    <w:rsid w:val="005F1963"/>
    <w:rsid w:val="005F2753"/>
    <w:rsid w:val="005F48D3"/>
    <w:rsid w:val="005F6369"/>
    <w:rsid w:val="00600027"/>
    <w:rsid w:val="006004B0"/>
    <w:rsid w:val="00601B3C"/>
    <w:rsid w:val="00602A69"/>
    <w:rsid w:val="006072C6"/>
    <w:rsid w:val="00607933"/>
    <w:rsid w:val="006107C1"/>
    <w:rsid w:val="0061394B"/>
    <w:rsid w:val="00613AC8"/>
    <w:rsid w:val="00613B2C"/>
    <w:rsid w:val="0061503B"/>
    <w:rsid w:val="00615513"/>
    <w:rsid w:val="0062076E"/>
    <w:rsid w:val="0062156B"/>
    <w:rsid w:val="00623E0F"/>
    <w:rsid w:val="00624FA2"/>
    <w:rsid w:val="006253A4"/>
    <w:rsid w:val="006271CA"/>
    <w:rsid w:val="00627730"/>
    <w:rsid w:val="00627756"/>
    <w:rsid w:val="00630DB4"/>
    <w:rsid w:val="00631417"/>
    <w:rsid w:val="0063380C"/>
    <w:rsid w:val="0063446A"/>
    <w:rsid w:val="00634B7D"/>
    <w:rsid w:val="006356EF"/>
    <w:rsid w:val="00635716"/>
    <w:rsid w:val="00641DB7"/>
    <w:rsid w:val="0064202F"/>
    <w:rsid w:val="006449DE"/>
    <w:rsid w:val="00644C59"/>
    <w:rsid w:val="00645900"/>
    <w:rsid w:val="006468A6"/>
    <w:rsid w:val="00646C45"/>
    <w:rsid w:val="00651F17"/>
    <w:rsid w:val="00652FE6"/>
    <w:rsid w:val="00653445"/>
    <w:rsid w:val="006545F7"/>
    <w:rsid w:val="006553CE"/>
    <w:rsid w:val="006618BE"/>
    <w:rsid w:val="00662D1E"/>
    <w:rsid w:val="00664152"/>
    <w:rsid w:val="0066419A"/>
    <w:rsid w:val="0066459C"/>
    <w:rsid w:val="00665087"/>
    <w:rsid w:val="006663C7"/>
    <w:rsid w:val="006723BE"/>
    <w:rsid w:val="00672405"/>
    <w:rsid w:val="00673C38"/>
    <w:rsid w:val="00675EDA"/>
    <w:rsid w:val="0067611F"/>
    <w:rsid w:val="00677E5C"/>
    <w:rsid w:val="00680783"/>
    <w:rsid w:val="00684AA6"/>
    <w:rsid w:val="00690392"/>
    <w:rsid w:val="00690780"/>
    <w:rsid w:val="006922A3"/>
    <w:rsid w:val="006A01ED"/>
    <w:rsid w:val="006A322A"/>
    <w:rsid w:val="006A58A9"/>
    <w:rsid w:val="006A79E5"/>
    <w:rsid w:val="006A7A07"/>
    <w:rsid w:val="006A7B59"/>
    <w:rsid w:val="006B16FE"/>
    <w:rsid w:val="006B1B19"/>
    <w:rsid w:val="006B24DD"/>
    <w:rsid w:val="006B303C"/>
    <w:rsid w:val="006B5D99"/>
    <w:rsid w:val="006B7505"/>
    <w:rsid w:val="006C2A9A"/>
    <w:rsid w:val="006C2B61"/>
    <w:rsid w:val="006C2D58"/>
    <w:rsid w:val="006C4FC8"/>
    <w:rsid w:val="006C7759"/>
    <w:rsid w:val="006D4103"/>
    <w:rsid w:val="006D6565"/>
    <w:rsid w:val="006D670A"/>
    <w:rsid w:val="006D741D"/>
    <w:rsid w:val="006E1AB4"/>
    <w:rsid w:val="006E5736"/>
    <w:rsid w:val="006E6C03"/>
    <w:rsid w:val="006E6F08"/>
    <w:rsid w:val="006F1450"/>
    <w:rsid w:val="006F21A6"/>
    <w:rsid w:val="006F2D5D"/>
    <w:rsid w:val="006F34C4"/>
    <w:rsid w:val="006F5FAD"/>
    <w:rsid w:val="00705E8C"/>
    <w:rsid w:val="007063DF"/>
    <w:rsid w:val="00710ECB"/>
    <w:rsid w:val="007111B1"/>
    <w:rsid w:val="00711EB5"/>
    <w:rsid w:val="0071301D"/>
    <w:rsid w:val="007157D3"/>
    <w:rsid w:val="007172E5"/>
    <w:rsid w:val="00717443"/>
    <w:rsid w:val="00720BC2"/>
    <w:rsid w:val="00723D6F"/>
    <w:rsid w:val="00724B79"/>
    <w:rsid w:val="007317FF"/>
    <w:rsid w:val="007332CC"/>
    <w:rsid w:val="0073417E"/>
    <w:rsid w:val="00736E2C"/>
    <w:rsid w:val="00737C4E"/>
    <w:rsid w:val="00740200"/>
    <w:rsid w:val="007414DB"/>
    <w:rsid w:val="007422C8"/>
    <w:rsid w:val="007425D4"/>
    <w:rsid w:val="00743977"/>
    <w:rsid w:val="00744EF8"/>
    <w:rsid w:val="00745D73"/>
    <w:rsid w:val="00746FD8"/>
    <w:rsid w:val="00747C36"/>
    <w:rsid w:val="007505C2"/>
    <w:rsid w:val="00752BD4"/>
    <w:rsid w:val="00760899"/>
    <w:rsid w:val="0076183B"/>
    <w:rsid w:val="00763C6D"/>
    <w:rsid w:val="007647F3"/>
    <w:rsid w:val="00764ACF"/>
    <w:rsid w:val="00764F95"/>
    <w:rsid w:val="00770C49"/>
    <w:rsid w:val="007716BD"/>
    <w:rsid w:val="007739DC"/>
    <w:rsid w:val="00775696"/>
    <w:rsid w:val="00776BFB"/>
    <w:rsid w:val="00780A28"/>
    <w:rsid w:val="0078124C"/>
    <w:rsid w:val="00783263"/>
    <w:rsid w:val="007851A8"/>
    <w:rsid w:val="00786EFE"/>
    <w:rsid w:val="0078760A"/>
    <w:rsid w:val="00793F10"/>
    <w:rsid w:val="00796CFE"/>
    <w:rsid w:val="007A0E23"/>
    <w:rsid w:val="007A239E"/>
    <w:rsid w:val="007A27EB"/>
    <w:rsid w:val="007A3CF5"/>
    <w:rsid w:val="007A5013"/>
    <w:rsid w:val="007A6930"/>
    <w:rsid w:val="007B114B"/>
    <w:rsid w:val="007B2074"/>
    <w:rsid w:val="007B3870"/>
    <w:rsid w:val="007B76A5"/>
    <w:rsid w:val="007C08B2"/>
    <w:rsid w:val="007C3F33"/>
    <w:rsid w:val="007C57C1"/>
    <w:rsid w:val="007C6C0D"/>
    <w:rsid w:val="007D098D"/>
    <w:rsid w:val="007D47FF"/>
    <w:rsid w:val="007D4A24"/>
    <w:rsid w:val="007D5195"/>
    <w:rsid w:val="007D647E"/>
    <w:rsid w:val="007E00E5"/>
    <w:rsid w:val="007E2CED"/>
    <w:rsid w:val="007E3194"/>
    <w:rsid w:val="007E39A8"/>
    <w:rsid w:val="007E5E70"/>
    <w:rsid w:val="007F0A36"/>
    <w:rsid w:val="007F3D1D"/>
    <w:rsid w:val="007F7152"/>
    <w:rsid w:val="007F77C5"/>
    <w:rsid w:val="0080291F"/>
    <w:rsid w:val="008057B3"/>
    <w:rsid w:val="008101CF"/>
    <w:rsid w:val="00813335"/>
    <w:rsid w:val="00813DFB"/>
    <w:rsid w:val="00813EAE"/>
    <w:rsid w:val="008142D3"/>
    <w:rsid w:val="00814A52"/>
    <w:rsid w:val="00815669"/>
    <w:rsid w:val="00821BFC"/>
    <w:rsid w:val="008221C1"/>
    <w:rsid w:val="0082245F"/>
    <w:rsid w:val="0082461E"/>
    <w:rsid w:val="00824E31"/>
    <w:rsid w:val="00825BD5"/>
    <w:rsid w:val="00826F63"/>
    <w:rsid w:val="0083177E"/>
    <w:rsid w:val="008323FD"/>
    <w:rsid w:val="00832D1E"/>
    <w:rsid w:val="00832FF9"/>
    <w:rsid w:val="00834B23"/>
    <w:rsid w:val="0083747E"/>
    <w:rsid w:val="00840179"/>
    <w:rsid w:val="00841804"/>
    <w:rsid w:val="00841EF3"/>
    <w:rsid w:val="008420AA"/>
    <w:rsid w:val="008429BE"/>
    <w:rsid w:val="00845DF1"/>
    <w:rsid w:val="008463CF"/>
    <w:rsid w:val="00852226"/>
    <w:rsid w:val="0085373C"/>
    <w:rsid w:val="00853915"/>
    <w:rsid w:val="00854BD7"/>
    <w:rsid w:val="008578F4"/>
    <w:rsid w:val="00857E45"/>
    <w:rsid w:val="008600AC"/>
    <w:rsid w:val="00860A5E"/>
    <w:rsid w:val="008647EA"/>
    <w:rsid w:val="00864F47"/>
    <w:rsid w:val="00865001"/>
    <w:rsid w:val="0086527B"/>
    <w:rsid w:val="00865D97"/>
    <w:rsid w:val="00865F39"/>
    <w:rsid w:val="00866AA6"/>
    <w:rsid w:val="008676BA"/>
    <w:rsid w:val="00867DCC"/>
    <w:rsid w:val="0087012C"/>
    <w:rsid w:val="00871872"/>
    <w:rsid w:val="00872556"/>
    <w:rsid w:val="00874C56"/>
    <w:rsid w:val="008761A0"/>
    <w:rsid w:val="0087725D"/>
    <w:rsid w:val="00882BE0"/>
    <w:rsid w:val="00883EB7"/>
    <w:rsid w:val="00885B42"/>
    <w:rsid w:val="0088669C"/>
    <w:rsid w:val="00887CCC"/>
    <w:rsid w:val="008905CC"/>
    <w:rsid w:val="00890937"/>
    <w:rsid w:val="008912F3"/>
    <w:rsid w:val="00891BDC"/>
    <w:rsid w:val="00892542"/>
    <w:rsid w:val="0089261F"/>
    <w:rsid w:val="00892BEF"/>
    <w:rsid w:val="00893F6D"/>
    <w:rsid w:val="00893F8D"/>
    <w:rsid w:val="00894570"/>
    <w:rsid w:val="00895C3F"/>
    <w:rsid w:val="00897D44"/>
    <w:rsid w:val="008A1C83"/>
    <w:rsid w:val="008A4672"/>
    <w:rsid w:val="008A4C71"/>
    <w:rsid w:val="008A6B9A"/>
    <w:rsid w:val="008A7663"/>
    <w:rsid w:val="008B0455"/>
    <w:rsid w:val="008B3747"/>
    <w:rsid w:val="008B55B7"/>
    <w:rsid w:val="008B7894"/>
    <w:rsid w:val="008C36DD"/>
    <w:rsid w:val="008C6388"/>
    <w:rsid w:val="008C7969"/>
    <w:rsid w:val="008D3DCF"/>
    <w:rsid w:val="008D4F9F"/>
    <w:rsid w:val="008E0873"/>
    <w:rsid w:val="008E110A"/>
    <w:rsid w:val="008E1CB3"/>
    <w:rsid w:val="008E5EB7"/>
    <w:rsid w:val="008F021B"/>
    <w:rsid w:val="008F190F"/>
    <w:rsid w:val="008F19F1"/>
    <w:rsid w:val="008F23E9"/>
    <w:rsid w:val="008F2900"/>
    <w:rsid w:val="008F2DED"/>
    <w:rsid w:val="008F3508"/>
    <w:rsid w:val="008F3B30"/>
    <w:rsid w:val="008F74D2"/>
    <w:rsid w:val="00900D13"/>
    <w:rsid w:val="00900EDB"/>
    <w:rsid w:val="00902035"/>
    <w:rsid w:val="0090281E"/>
    <w:rsid w:val="00903C6E"/>
    <w:rsid w:val="00905AB0"/>
    <w:rsid w:val="00905D36"/>
    <w:rsid w:val="00906938"/>
    <w:rsid w:val="00907058"/>
    <w:rsid w:val="00907F80"/>
    <w:rsid w:val="00910436"/>
    <w:rsid w:val="009119D8"/>
    <w:rsid w:val="009120A7"/>
    <w:rsid w:val="00912F9E"/>
    <w:rsid w:val="00917B24"/>
    <w:rsid w:val="00924C32"/>
    <w:rsid w:val="0092528F"/>
    <w:rsid w:val="00930316"/>
    <w:rsid w:val="00930458"/>
    <w:rsid w:val="00930692"/>
    <w:rsid w:val="009321C8"/>
    <w:rsid w:val="00932D62"/>
    <w:rsid w:val="00936E50"/>
    <w:rsid w:val="009377C3"/>
    <w:rsid w:val="00937DC8"/>
    <w:rsid w:val="00941613"/>
    <w:rsid w:val="00942DDF"/>
    <w:rsid w:val="009447B9"/>
    <w:rsid w:val="00944DB8"/>
    <w:rsid w:val="0094542C"/>
    <w:rsid w:val="009513D1"/>
    <w:rsid w:val="009517B5"/>
    <w:rsid w:val="009528CE"/>
    <w:rsid w:val="00954682"/>
    <w:rsid w:val="00954C26"/>
    <w:rsid w:val="009560E8"/>
    <w:rsid w:val="00956927"/>
    <w:rsid w:val="00957260"/>
    <w:rsid w:val="009625EE"/>
    <w:rsid w:val="0096375F"/>
    <w:rsid w:val="00965BCD"/>
    <w:rsid w:val="0096656D"/>
    <w:rsid w:val="009703E6"/>
    <w:rsid w:val="00970AA4"/>
    <w:rsid w:val="00971E4A"/>
    <w:rsid w:val="00971EBA"/>
    <w:rsid w:val="00971EEA"/>
    <w:rsid w:val="00973467"/>
    <w:rsid w:val="00974071"/>
    <w:rsid w:val="0097411D"/>
    <w:rsid w:val="009741B1"/>
    <w:rsid w:val="00974813"/>
    <w:rsid w:val="00974F0C"/>
    <w:rsid w:val="009764D1"/>
    <w:rsid w:val="009767D0"/>
    <w:rsid w:val="00980919"/>
    <w:rsid w:val="009820F3"/>
    <w:rsid w:val="0098484F"/>
    <w:rsid w:val="00984A76"/>
    <w:rsid w:val="009876E9"/>
    <w:rsid w:val="00992B3A"/>
    <w:rsid w:val="00993381"/>
    <w:rsid w:val="009951DC"/>
    <w:rsid w:val="009978A2"/>
    <w:rsid w:val="009A0784"/>
    <w:rsid w:val="009A6FF6"/>
    <w:rsid w:val="009B1489"/>
    <w:rsid w:val="009B4A30"/>
    <w:rsid w:val="009B51DF"/>
    <w:rsid w:val="009C199E"/>
    <w:rsid w:val="009C3197"/>
    <w:rsid w:val="009C3893"/>
    <w:rsid w:val="009C461E"/>
    <w:rsid w:val="009C5154"/>
    <w:rsid w:val="009D04A1"/>
    <w:rsid w:val="009D13E7"/>
    <w:rsid w:val="009D230A"/>
    <w:rsid w:val="009D3D01"/>
    <w:rsid w:val="009E3699"/>
    <w:rsid w:val="009E3770"/>
    <w:rsid w:val="009E6FD8"/>
    <w:rsid w:val="009F031B"/>
    <w:rsid w:val="009F2670"/>
    <w:rsid w:val="009F4F17"/>
    <w:rsid w:val="009F5A65"/>
    <w:rsid w:val="00A04BAB"/>
    <w:rsid w:val="00A06654"/>
    <w:rsid w:val="00A15C82"/>
    <w:rsid w:val="00A17134"/>
    <w:rsid w:val="00A22C2A"/>
    <w:rsid w:val="00A256C4"/>
    <w:rsid w:val="00A26099"/>
    <w:rsid w:val="00A27757"/>
    <w:rsid w:val="00A3198E"/>
    <w:rsid w:val="00A333E6"/>
    <w:rsid w:val="00A33B32"/>
    <w:rsid w:val="00A3459E"/>
    <w:rsid w:val="00A3540E"/>
    <w:rsid w:val="00A42717"/>
    <w:rsid w:val="00A44473"/>
    <w:rsid w:val="00A44507"/>
    <w:rsid w:val="00A46E82"/>
    <w:rsid w:val="00A54374"/>
    <w:rsid w:val="00A55454"/>
    <w:rsid w:val="00A55F08"/>
    <w:rsid w:val="00A56436"/>
    <w:rsid w:val="00A608D3"/>
    <w:rsid w:val="00A6163D"/>
    <w:rsid w:val="00A62BF0"/>
    <w:rsid w:val="00A63763"/>
    <w:rsid w:val="00A63A5A"/>
    <w:rsid w:val="00A64ACD"/>
    <w:rsid w:val="00A64CA4"/>
    <w:rsid w:val="00A703F7"/>
    <w:rsid w:val="00A716E6"/>
    <w:rsid w:val="00A720F7"/>
    <w:rsid w:val="00A728BA"/>
    <w:rsid w:val="00A72D39"/>
    <w:rsid w:val="00A732F2"/>
    <w:rsid w:val="00A7433E"/>
    <w:rsid w:val="00A74C4A"/>
    <w:rsid w:val="00A7636C"/>
    <w:rsid w:val="00A80085"/>
    <w:rsid w:val="00A8180B"/>
    <w:rsid w:val="00A843EA"/>
    <w:rsid w:val="00A848A8"/>
    <w:rsid w:val="00A84946"/>
    <w:rsid w:val="00A857F2"/>
    <w:rsid w:val="00A92DAB"/>
    <w:rsid w:val="00A935A3"/>
    <w:rsid w:val="00A94B98"/>
    <w:rsid w:val="00A95BAE"/>
    <w:rsid w:val="00A97B2B"/>
    <w:rsid w:val="00AA108F"/>
    <w:rsid w:val="00AA2D1C"/>
    <w:rsid w:val="00AA663F"/>
    <w:rsid w:val="00AA6DBC"/>
    <w:rsid w:val="00AB239A"/>
    <w:rsid w:val="00AB74AC"/>
    <w:rsid w:val="00AC38FA"/>
    <w:rsid w:val="00AC40BB"/>
    <w:rsid w:val="00AC72B7"/>
    <w:rsid w:val="00AC790D"/>
    <w:rsid w:val="00AC7FB3"/>
    <w:rsid w:val="00AD0F1A"/>
    <w:rsid w:val="00AD2C1B"/>
    <w:rsid w:val="00AD49F4"/>
    <w:rsid w:val="00AD7D67"/>
    <w:rsid w:val="00AE08A5"/>
    <w:rsid w:val="00AE10FA"/>
    <w:rsid w:val="00AE1B28"/>
    <w:rsid w:val="00AE2115"/>
    <w:rsid w:val="00AE4E71"/>
    <w:rsid w:val="00AE5EE3"/>
    <w:rsid w:val="00AF0D28"/>
    <w:rsid w:val="00AF2E4C"/>
    <w:rsid w:val="00AF6D84"/>
    <w:rsid w:val="00B04E88"/>
    <w:rsid w:val="00B0720D"/>
    <w:rsid w:val="00B10017"/>
    <w:rsid w:val="00B11CBE"/>
    <w:rsid w:val="00B11D8C"/>
    <w:rsid w:val="00B13695"/>
    <w:rsid w:val="00B20717"/>
    <w:rsid w:val="00B2178A"/>
    <w:rsid w:val="00B2434E"/>
    <w:rsid w:val="00B2683A"/>
    <w:rsid w:val="00B26D14"/>
    <w:rsid w:val="00B27646"/>
    <w:rsid w:val="00B33541"/>
    <w:rsid w:val="00B34E6E"/>
    <w:rsid w:val="00B43015"/>
    <w:rsid w:val="00B4311C"/>
    <w:rsid w:val="00B436B8"/>
    <w:rsid w:val="00B43ACB"/>
    <w:rsid w:val="00B533B5"/>
    <w:rsid w:val="00B53B08"/>
    <w:rsid w:val="00B54290"/>
    <w:rsid w:val="00B5535C"/>
    <w:rsid w:val="00B57798"/>
    <w:rsid w:val="00B57B0D"/>
    <w:rsid w:val="00B604F2"/>
    <w:rsid w:val="00B61309"/>
    <w:rsid w:val="00B63C48"/>
    <w:rsid w:val="00B64023"/>
    <w:rsid w:val="00B661CA"/>
    <w:rsid w:val="00B6739A"/>
    <w:rsid w:val="00B72069"/>
    <w:rsid w:val="00B73795"/>
    <w:rsid w:val="00B7401E"/>
    <w:rsid w:val="00B761C8"/>
    <w:rsid w:val="00B76644"/>
    <w:rsid w:val="00B83815"/>
    <w:rsid w:val="00B90C44"/>
    <w:rsid w:val="00B95E54"/>
    <w:rsid w:val="00B97641"/>
    <w:rsid w:val="00BA1CA1"/>
    <w:rsid w:val="00BA30FB"/>
    <w:rsid w:val="00BA60B7"/>
    <w:rsid w:val="00BA6430"/>
    <w:rsid w:val="00BA7456"/>
    <w:rsid w:val="00BA760C"/>
    <w:rsid w:val="00BB315F"/>
    <w:rsid w:val="00BB3942"/>
    <w:rsid w:val="00BB63EE"/>
    <w:rsid w:val="00BB6EB7"/>
    <w:rsid w:val="00BB746B"/>
    <w:rsid w:val="00BC04A9"/>
    <w:rsid w:val="00BC2162"/>
    <w:rsid w:val="00BD038B"/>
    <w:rsid w:val="00BD0FCB"/>
    <w:rsid w:val="00BD279D"/>
    <w:rsid w:val="00BD4B03"/>
    <w:rsid w:val="00BD52AE"/>
    <w:rsid w:val="00BD6805"/>
    <w:rsid w:val="00BD6A7B"/>
    <w:rsid w:val="00BD7A13"/>
    <w:rsid w:val="00BE2F37"/>
    <w:rsid w:val="00BE72E0"/>
    <w:rsid w:val="00BE73AF"/>
    <w:rsid w:val="00BF25AD"/>
    <w:rsid w:val="00BF4764"/>
    <w:rsid w:val="00BF5218"/>
    <w:rsid w:val="00BF5451"/>
    <w:rsid w:val="00BF7954"/>
    <w:rsid w:val="00BF7EAC"/>
    <w:rsid w:val="00C00A2D"/>
    <w:rsid w:val="00C03EA7"/>
    <w:rsid w:val="00C1006C"/>
    <w:rsid w:val="00C12458"/>
    <w:rsid w:val="00C12802"/>
    <w:rsid w:val="00C14421"/>
    <w:rsid w:val="00C1460D"/>
    <w:rsid w:val="00C156C4"/>
    <w:rsid w:val="00C162AD"/>
    <w:rsid w:val="00C17BD7"/>
    <w:rsid w:val="00C201AC"/>
    <w:rsid w:val="00C2041B"/>
    <w:rsid w:val="00C20842"/>
    <w:rsid w:val="00C23BBB"/>
    <w:rsid w:val="00C24125"/>
    <w:rsid w:val="00C2478E"/>
    <w:rsid w:val="00C2711A"/>
    <w:rsid w:val="00C315E5"/>
    <w:rsid w:val="00C3230B"/>
    <w:rsid w:val="00C3265E"/>
    <w:rsid w:val="00C32C9F"/>
    <w:rsid w:val="00C33D1E"/>
    <w:rsid w:val="00C347CC"/>
    <w:rsid w:val="00C35958"/>
    <w:rsid w:val="00C35C81"/>
    <w:rsid w:val="00C36BF7"/>
    <w:rsid w:val="00C4040D"/>
    <w:rsid w:val="00C471DC"/>
    <w:rsid w:val="00C504E4"/>
    <w:rsid w:val="00C51EEB"/>
    <w:rsid w:val="00C52862"/>
    <w:rsid w:val="00C53782"/>
    <w:rsid w:val="00C54A39"/>
    <w:rsid w:val="00C54B81"/>
    <w:rsid w:val="00C5571D"/>
    <w:rsid w:val="00C565DA"/>
    <w:rsid w:val="00C627E7"/>
    <w:rsid w:val="00C62E4E"/>
    <w:rsid w:val="00C6330C"/>
    <w:rsid w:val="00C63513"/>
    <w:rsid w:val="00C64F75"/>
    <w:rsid w:val="00C66EA0"/>
    <w:rsid w:val="00C710A1"/>
    <w:rsid w:val="00C711C1"/>
    <w:rsid w:val="00C71B59"/>
    <w:rsid w:val="00C75414"/>
    <w:rsid w:val="00C76E19"/>
    <w:rsid w:val="00C77341"/>
    <w:rsid w:val="00C7777F"/>
    <w:rsid w:val="00C80C23"/>
    <w:rsid w:val="00C81187"/>
    <w:rsid w:val="00C86B2B"/>
    <w:rsid w:val="00C8766A"/>
    <w:rsid w:val="00C93556"/>
    <w:rsid w:val="00C93724"/>
    <w:rsid w:val="00C93A7C"/>
    <w:rsid w:val="00C95000"/>
    <w:rsid w:val="00C954D4"/>
    <w:rsid w:val="00CA0136"/>
    <w:rsid w:val="00CA449C"/>
    <w:rsid w:val="00CA540D"/>
    <w:rsid w:val="00CA55E3"/>
    <w:rsid w:val="00CA638A"/>
    <w:rsid w:val="00CB109E"/>
    <w:rsid w:val="00CB1DD3"/>
    <w:rsid w:val="00CB2133"/>
    <w:rsid w:val="00CB767B"/>
    <w:rsid w:val="00CB7A30"/>
    <w:rsid w:val="00CC0B55"/>
    <w:rsid w:val="00CC5DD9"/>
    <w:rsid w:val="00CC6716"/>
    <w:rsid w:val="00CC681C"/>
    <w:rsid w:val="00CC6E36"/>
    <w:rsid w:val="00CD5AFA"/>
    <w:rsid w:val="00CE092F"/>
    <w:rsid w:val="00CE0BC7"/>
    <w:rsid w:val="00CE48BC"/>
    <w:rsid w:val="00CE4A12"/>
    <w:rsid w:val="00CE4A1C"/>
    <w:rsid w:val="00CE558F"/>
    <w:rsid w:val="00CE695A"/>
    <w:rsid w:val="00CE7FC0"/>
    <w:rsid w:val="00CF1505"/>
    <w:rsid w:val="00CF38E4"/>
    <w:rsid w:val="00CF395A"/>
    <w:rsid w:val="00CF4B98"/>
    <w:rsid w:val="00CF7F9E"/>
    <w:rsid w:val="00D01A20"/>
    <w:rsid w:val="00D04FB4"/>
    <w:rsid w:val="00D06282"/>
    <w:rsid w:val="00D127B6"/>
    <w:rsid w:val="00D128E7"/>
    <w:rsid w:val="00D12B23"/>
    <w:rsid w:val="00D139FD"/>
    <w:rsid w:val="00D2163B"/>
    <w:rsid w:val="00D22F7A"/>
    <w:rsid w:val="00D2305B"/>
    <w:rsid w:val="00D26E21"/>
    <w:rsid w:val="00D26F57"/>
    <w:rsid w:val="00D272D9"/>
    <w:rsid w:val="00D30955"/>
    <w:rsid w:val="00D324B7"/>
    <w:rsid w:val="00D33C2F"/>
    <w:rsid w:val="00D33E47"/>
    <w:rsid w:val="00D34AEC"/>
    <w:rsid w:val="00D36870"/>
    <w:rsid w:val="00D37D4B"/>
    <w:rsid w:val="00D41CDE"/>
    <w:rsid w:val="00D41E98"/>
    <w:rsid w:val="00D4308C"/>
    <w:rsid w:val="00D43F57"/>
    <w:rsid w:val="00D44B2A"/>
    <w:rsid w:val="00D47804"/>
    <w:rsid w:val="00D51782"/>
    <w:rsid w:val="00D51A0A"/>
    <w:rsid w:val="00D51FFF"/>
    <w:rsid w:val="00D53BBE"/>
    <w:rsid w:val="00D5561A"/>
    <w:rsid w:val="00D56854"/>
    <w:rsid w:val="00D568CA"/>
    <w:rsid w:val="00D57ADD"/>
    <w:rsid w:val="00D61914"/>
    <w:rsid w:val="00D6309F"/>
    <w:rsid w:val="00D63378"/>
    <w:rsid w:val="00D63A78"/>
    <w:rsid w:val="00D63B05"/>
    <w:rsid w:val="00D640A8"/>
    <w:rsid w:val="00D64BCA"/>
    <w:rsid w:val="00D671DD"/>
    <w:rsid w:val="00D67CF6"/>
    <w:rsid w:val="00D816A1"/>
    <w:rsid w:val="00D81B3D"/>
    <w:rsid w:val="00D84CEB"/>
    <w:rsid w:val="00D861A9"/>
    <w:rsid w:val="00D908CB"/>
    <w:rsid w:val="00D91B6A"/>
    <w:rsid w:val="00D949F6"/>
    <w:rsid w:val="00D9595F"/>
    <w:rsid w:val="00D95F3F"/>
    <w:rsid w:val="00D978D0"/>
    <w:rsid w:val="00DA30B1"/>
    <w:rsid w:val="00DA5144"/>
    <w:rsid w:val="00DA731D"/>
    <w:rsid w:val="00DB10CB"/>
    <w:rsid w:val="00DB21CB"/>
    <w:rsid w:val="00DB391B"/>
    <w:rsid w:val="00DB6104"/>
    <w:rsid w:val="00DB7806"/>
    <w:rsid w:val="00DC0685"/>
    <w:rsid w:val="00DC0AB7"/>
    <w:rsid w:val="00DC159A"/>
    <w:rsid w:val="00DC247E"/>
    <w:rsid w:val="00DC2623"/>
    <w:rsid w:val="00DC422A"/>
    <w:rsid w:val="00DC4A98"/>
    <w:rsid w:val="00DD03A1"/>
    <w:rsid w:val="00DD3866"/>
    <w:rsid w:val="00DD44B4"/>
    <w:rsid w:val="00DD4FC1"/>
    <w:rsid w:val="00DD525B"/>
    <w:rsid w:val="00DD53A9"/>
    <w:rsid w:val="00DD75EB"/>
    <w:rsid w:val="00DD764C"/>
    <w:rsid w:val="00DD7F96"/>
    <w:rsid w:val="00DE0896"/>
    <w:rsid w:val="00DE18B9"/>
    <w:rsid w:val="00DE3B2D"/>
    <w:rsid w:val="00DE5608"/>
    <w:rsid w:val="00DE5DE2"/>
    <w:rsid w:val="00DF6C2B"/>
    <w:rsid w:val="00DF79F1"/>
    <w:rsid w:val="00DF7A40"/>
    <w:rsid w:val="00DF7B5C"/>
    <w:rsid w:val="00E007DF"/>
    <w:rsid w:val="00E01845"/>
    <w:rsid w:val="00E03040"/>
    <w:rsid w:val="00E03DDA"/>
    <w:rsid w:val="00E05D9A"/>
    <w:rsid w:val="00E0741D"/>
    <w:rsid w:val="00E07E75"/>
    <w:rsid w:val="00E07EC0"/>
    <w:rsid w:val="00E1089B"/>
    <w:rsid w:val="00E12C49"/>
    <w:rsid w:val="00E1305C"/>
    <w:rsid w:val="00E132FC"/>
    <w:rsid w:val="00E14A75"/>
    <w:rsid w:val="00E1506E"/>
    <w:rsid w:val="00E15629"/>
    <w:rsid w:val="00E17B25"/>
    <w:rsid w:val="00E20AD5"/>
    <w:rsid w:val="00E234E0"/>
    <w:rsid w:val="00E23859"/>
    <w:rsid w:val="00E273E5"/>
    <w:rsid w:val="00E310DF"/>
    <w:rsid w:val="00E314A8"/>
    <w:rsid w:val="00E334E6"/>
    <w:rsid w:val="00E3404A"/>
    <w:rsid w:val="00E34DEC"/>
    <w:rsid w:val="00E36D32"/>
    <w:rsid w:val="00E4061F"/>
    <w:rsid w:val="00E41F54"/>
    <w:rsid w:val="00E42439"/>
    <w:rsid w:val="00E43592"/>
    <w:rsid w:val="00E453E5"/>
    <w:rsid w:val="00E4739D"/>
    <w:rsid w:val="00E4785D"/>
    <w:rsid w:val="00E47D6E"/>
    <w:rsid w:val="00E47F63"/>
    <w:rsid w:val="00E50346"/>
    <w:rsid w:val="00E50C29"/>
    <w:rsid w:val="00E52E22"/>
    <w:rsid w:val="00E538F5"/>
    <w:rsid w:val="00E569D4"/>
    <w:rsid w:val="00E57397"/>
    <w:rsid w:val="00E614F5"/>
    <w:rsid w:val="00E61E66"/>
    <w:rsid w:val="00E62B37"/>
    <w:rsid w:val="00E63680"/>
    <w:rsid w:val="00E63B8F"/>
    <w:rsid w:val="00E660F6"/>
    <w:rsid w:val="00E6732F"/>
    <w:rsid w:val="00E70933"/>
    <w:rsid w:val="00E73A8B"/>
    <w:rsid w:val="00E77E34"/>
    <w:rsid w:val="00E807D6"/>
    <w:rsid w:val="00E80FD7"/>
    <w:rsid w:val="00E8117C"/>
    <w:rsid w:val="00E824FA"/>
    <w:rsid w:val="00E83B52"/>
    <w:rsid w:val="00E8574B"/>
    <w:rsid w:val="00E87868"/>
    <w:rsid w:val="00E91408"/>
    <w:rsid w:val="00E93513"/>
    <w:rsid w:val="00E93570"/>
    <w:rsid w:val="00E967EB"/>
    <w:rsid w:val="00E969C1"/>
    <w:rsid w:val="00EA0C4E"/>
    <w:rsid w:val="00EA3172"/>
    <w:rsid w:val="00EA383F"/>
    <w:rsid w:val="00EA47C7"/>
    <w:rsid w:val="00EA7FE5"/>
    <w:rsid w:val="00EB50F4"/>
    <w:rsid w:val="00EB5163"/>
    <w:rsid w:val="00EB564A"/>
    <w:rsid w:val="00EC0186"/>
    <w:rsid w:val="00EC090F"/>
    <w:rsid w:val="00EC7537"/>
    <w:rsid w:val="00EC7C8E"/>
    <w:rsid w:val="00ED028B"/>
    <w:rsid w:val="00ED0650"/>
    <w:rsid w:val="00ED15D7"/>
    <w:rsid w:val="00ED3C71"/>
    <w:rsid w:val="00ED5545"/>
    <w:rsid w:val="00ED5C1B"/>
    <w:rsid w:val="00ED61B3"/>
    <w:rsid w:val="00EE2309"/>
    <w:rsid w:val="00EE39B0"/>
    <w:rsid w:val="00EE3A9C"/>
    <w:rsid w:val="00EE3AAA"/>
    <w:rsid w:val="00EE5F86"/>
    <w:rsid w:val="00EE5F91"/>
    <w:rsid w:val="00EE6AD5"/>
    <w:rsid w:val="00EE6BF0"/>
    <w:rsid w:val="00EE7401"/>
    <w:rsid w:val="00EE7D96"/>
    <w:rsid w:val="00EF0248"/>
    <w:rsid w:val="00EF22A3"/>
    <w:rsid w:val="00EF458D"/>
    <w:rsid w:val="00EF5BE0"/>
    <w:rsid w:val="00EF6C67"/>
    <w:rsid w:val="00F0064C"/>
    <w:rsid w:val="00F02C45"/>
    <w:rsid w:val="00F04ECD"/>
    <w:rsid w:val="00F056EB"/>
    <w:rsid w:val="00F06512"/>
    <w:rsid w:val="00F06E40"/>
    <w:rsid w:val="00F07644"/>
    <w:rsid w:val="00F1352D"/>
    <w:rsid w:val="00F13923"/>
    <w:rsid w:val="00F13CFA"/>
    <w:rsid w:val="00F171B5"/>
    <w:rsid w:val="00F21A99"/>
    <w:rsid w:val="00F2340D"/>
    <w:rsid w:val="00F23BC5"/>
    <w:rsid w:val="00F23E4F"/>
    <w:rsid w:val="00F30926"/>
    <w:rsid w:val="00F31951"/>
    <w:rsid w:val="00F34020"/>
    <w:rsid w:val="00F36B71"/>
    <w:rsid w:val="00F375D0"/>
    <w:rsid w:val="00F37C8D"/>
    <w:rsid w:val="00F431A3"/>
    <w:rsid w:val="00F434D9"/>
    <w:rsid w:val="00F44A3F"/>
    <w:rsid w:val="00F46381"/>
    <w:rsid w:val="00F50E7F"/>
    <w:rsid w:val="00F514DF"/>
    <w:rsid w:val="00F51BEC"/>
    <w:rsid w:val="00F526EC"/>
    <w:rsid w:val="00F536BE"/>
    <w:rsid w:val="00F5750B"/>
    <w:rsid w:val="00F606E1"/>
    <w:rsid w:val="00F607D2"/>
    <w:rsid w:val="00F62411"/>
    <w:rsid w:val="00F6283D"/>
    <w:rsid w:val="00F6336A"/>
    <w:rsid w:val="00F64207"/>
    <w:rsid w:val="00F65CC0"/>
    <w:rsid w:val="00F726AE"/>
    <w:rsid w:val="00F74771"/>
    <w:rsid w:val="00F747D6"/>
    <w:rsid w:val="00F74A24"/>
    <w:rsid w:val="00F74C29"/>
    <w:rsid w:val="00F762BE"/>
    <w:rsid w:val="00F77CD0"/>
    <w:rsid w:val="00F815C0"/>
    <w:rsid w:val="00F81B3E"/>
    <w:rsid w:val="00F81D6F"/>
    <w:rsid w:val="00F90831"/>
    <w:rsid w:val="00F90C9A"/>
    <w:rsid w:val="00F9444A"/>
    <w:rsid w:val="00F94DA1"/>
    <w:rsid w:val="00F94E5E"/>
    <w:rsid w:val="00F94FB3"/>
    <w:rsid w:val="00F9616D"/>
    <w:rsid w:val="00FA3A23"/>
    <w:rsid w:val="00FA4491"/>
    <w:rsid w:val="00FA59EC"/>
    <w:rsid w:val="00FA6E49"/>
    <w:rsid w:val="00FB065A"/>
    <w:rsid w:val="00FB11A6"/>
    <w:rsid w:val="00FB1506"/>
    <w:rsid w:val="00FB1C15"/>
    <w:rsid w:val="00FB2295"/>
    <w:rsid w:val="00FB32BA"/>
    <w:rsid w:val="00FB3AD9"/>
    <w:rsid w:val="00FB425F"/>
    <w:rsid w:val="00FB5025"/>
    <w:rsid w:val="00FB6D4C"/>
    <w:rsid w:val="00FB6FFD"/>
    <w:rsid w:val="00FB7DB0"/>
    <w:rsid w:val="00FC203B"/>
    <w:rsid w:val="00FC20D3"/>
    <w:rsid w:val="00FC3D1E"/>
    <w:rsid w:val="00FC3D33"/>
    <w:rsid w:val="00FC6754"/>
    <w:rsid w:val="00FD05BB"/>
    <w:rsid w:val="00FD0ECA"/>
    <w:rsid w:val="00FD1186"/>
    <w:rsid w:val="00FD6A34"/>
    <w:rsid w:val="00FD6D87"/>
    <w:rsid w:val="00FD745B"/>
    <w:rsid w:val="00FE1751"/>
    <w:rsid w:val="00FE1DF9"/>
    <w:rsid w:val="00FE304C"/>
    <w:rsid w:val="00FE3DEA"/>
    <w:rsid w:val="00FE5DBE"/>
    <w:rsid w:val="00FE676E"/>
    <w:rsid w:val="00FF11AE"/>
    <w:rsid w:val="00FF3332"/>
    <w:rsid w:val="00FF39A9"/>
    <w:rsid w:val="00FF5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032FEF7"/>
  <w15:chartTrackingRefBased/>
  <w15:docId w15:val="{A3E3B42D-0693-4EC4-B2D9-58E67838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837"/>
  </w:style>
  <w:style w:type="paragraph" w:styleId="Heading1">
    <w:name w:val="heading 1"/>
    <w:basedOn w:val="Normal"/>
    <w:next w:val="NormalIndent"/>
    <w:link w:val="Heading1Char"/>
    <w:autoRedefine/>
    <w:uiPriority w:val="9"/>
    <w:qFormat/>
    <w:rsid w:val="00EC7537"/>
    <w:pPr>
      <w:numPr>
        <w:numId w:val="60"/>
      </w:numPr>
      <w:spacing w:before="100" w:beforeAutospacing="1" w:after="100" w:afterAutospacing="1" w:line="240" w:lineRule="auto"/>
      <w:jc w:val="center"/>
      <w:outlineLvl w:val="0"/>
    </w:pPr>
    <w:rPr>
      <w:rFonts w:ascii="Times New Roman" w:eastAsia="Times New Roman" w:hAnsi="Times New Roman" w:cs="Times New Roman"/>
      <w:b/>
      <w:bCs/>
      <w:color w:val="002060"/>
      <w:kern w:val="36"/>
      <w:sz w:val="36"/>
      <w:szCs w:val="48"/>
      <w:lang w:eastAsia="lv-LV"/>
    </w:rPr>
  </w:style>
  <w:style w:type="paragraph" w:styleId="Heading2">
    <w:name w:val="heading 2"/>
    <w:basedOn w:val="Normal"/>
    <w:next w:val="Normal"/>
    <w:link w:val="Heading2Char"/>
    <w:autoRedefine/>
    <w:uiPriority w:val="9"/>
    <w:unhideWhenUsed/>
    <w:qFormat/>
    <w:rsid w:val="00DA5144"/>
    <w:pPr>
      <w:keepNext/>
      <w:keepLines/>
      <w:numPr>
        <w:ilvl w:val="1"/>
        <w:numId w:val="60"/>
      </w:numPr>
      <w:spacing w:before="40"/>
      <w:jc w:val="center"/>
      <w:outlineLvl w:val="1"/>
    </w:pPr>
    <w:rPr>
      <w:rFonts w:ascii="Times New Roman" w:eastAsiaTheme="majorEastAsia" w:hAnsi="Times New Roman" w:cstheme="majorBidi"/>
      <w:b/>
      <w:color w:val="002060"/>
      <w:sz w:val="32"/>
      <w:szCs w:val="26"/>
    </w:rPr>
  </w:style>
  <w:style w:type="paragraph" w:styleId="Heading3">
    <w:name w:val="heading 3"/>
    <w:basedOn w:val="Normal"/>
    <w:next w:val="Normal"/>
    <w:link w:val="Heading3Char"/>
    <w:autoRedefine/>
    <w:uiPriority w:val="9"/>
    <w:unhideWhenUsed/>
    <w:qFormat/>
    <w:rsid w:val="001101F7"/>
    <w:pPr>
      <w:widowControl w:val="0"/>
      <w:numPr>
        <w:ilvl w:val="2"/>
        <w:numId w:val="60"/>
      </w:numPr>
      <w:spacing w:line="240" w:lineRule="auto"/>
      <w:outlineLvl w:val="2"/>
    </w:pPr>
    <w:rPr>
      <w:rFonts w:ascii="Times New Roman" w:eastAsiaTheme="majorEastAsia" w:hAnsi="Times New Roman" w:cs="Times New Roman"/>
      <w:b/>
      <w:color w:val="002060"/>
      <w:sz w:val="26"/>
      <w:szCs w:val="24"/>
    </w:rPr>
  </w:style>
  <w:style w:type="paragraph" w:styleId="Heading4">
    <w:name w:val="heading 4"/>
    <w:basedOn w:val="Normal"/>
    <w:next w:val="Normal"/>
    <w:link w:val="Heading4Char"/>
    <w:uiPriority w:val="9"/>
    <w:unhideWhenUsed/>
    <w:qFormat/>
    <w:rsid w:val="00200837"/>
    <w:pPr>
      <w:keepNext/>
      <w:keepLines/>
      <w:numPr>
        <w:ilvl w:val="3"/>
        <w:numId w:val="60"/>
      </w:numPr>
      <w:spacing w:before="40" w:after="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9"/>
    <w:unhideWhenUsed/>
    <w:qFormat/>
    <w:rsid w:val="00200837"/>
    <w:pPr>
      <w:keepNext/>
      <w:keepLines/>
      <w:numPr>
        <w:ilvl w:val="4"/>
        <w:numId w:val="60"/>
      </w:numPr>
      <w:spacing w:before="40" w:after="0"/>
      <w:jc w:val="both"/>
      <w:outlineLvl w:val="4"/>
    </w:pPr>
    <w:rPr>
      <w:rFonts w:ascii="Times New Roman" w:eastAsia="Times New Roman" w:hAnsi="Times New Roman" w:cs="Times New Roman"/>
      <w:b/>
      <w:color w:val="666666"/>
      <w:sz w:val="23"/>
      <w:szCs w:val="23"/>
    </w:rPr>
  </w:style>
  <w:style w:type="paragraph" w:styleId="Heading6">
    <w:name w:val="heading 6"/>
    <w:basedOn w:val="Normal"/>
    <w:next w:val="Normal"/>
    <w:link w:val="Heading6Char"/>
    <w:uiPriority w:val="99"/>
    <w:unhideWhenUsed/>
    <w:qFormat/>
    <w:rsid w:val="00200837"/>
    <w:pPr>
      <w:keepNext/>
      <w:keepLines/>
      <w:numPr>
        <w:ilvl w:val="5"/>
        <w:numId w:val="60"/>
      </w:numPr>
      <w:spacing w:before="40" w:after="0"/>
      <w:jc w:val="both"/>
      <w:outlineLvl w:val="5"/>
    </w:pPr>
    <w:rPr>
      <w:rFonts w:ascii="Times New Roman" w:eastAsia="Times New Roman" w:hAnsi="Times New Roman" w:cs="Times New Roman"/>
      <w:color w:val="15314A"/>
      <w:sz w:val="23"/>
      <w:szCs w:val="23"/>
    </w:rPr>
  </w:style>
  <w:style w:type="paragraph" w:styleId="Heading7">
    <w:name w:val="heading 7"/>
    <w:basedOn w:val="Normal"/>
    <w:next w:val="Normal"/>
    <w:link w:val="Heading7Char"/>
    <w:uiPriority w:val="99"/>
    <w:unhideWhenUsed/>
    <w:qFormat/>
    <w:rsid w:val="00200837"/>
    <w:pPr>
      <w:keepNext/>
      <w:keepLines/>
      <w:numPr>
        <w:ilvl w:val="6"/>
        <w:numId w:val="60"/>
      </w:numPr>
      <w:spacing w:before="200" w:after="0"/>
      <w:jc w:val="both"/>
      <w:outlineLvl w:val="6"/>
    </w:pPr>
    <w:rPr>
      <w:rFonts w:ascii="Times New Roman" w:eastAsia="Times New Roman" w:hAnsi="Times New Roman" w:cs="Times New Roman"/>
      <w:i/>
      <w:iCs/>
      <w:color w:val="666666"/>
      <w:sz w:val="23"/>
      <w:szCs w:val="23"/>
    </w:rPr>
  </w:style>
  <w:style w:type="paragraph" w:styleId="Heading8">
    <w:name w:val="heading 8"/>
    <w:basedOn w:val="Normal"/>
    <w:next w:val="Normal"/>
    <w:link w:val="Heading8Char"/>
    <w:uiPriority w:val="9"/>
    <w:unhideWhenUsed/>
    <w:qFormat/>
    <w:rsid w:val="00200837"/>
    <w:pPr>
      <w:keepNext/>
      <w:keepLines/>
      <w:numPr>
        <w:ilvl w:val="7"/>
        <w:numId w:val="60"/>
      </w:numPr>
      <w:spacing w:before="200" w:after="0"/>
      <w:jc w:val="both"/>
      <w:outlineLvl w:val="7"/>
    </w:pPr>
    <w:rPr>
      <w:rFonts w:ascii="Times New Roman" w:eastAsia="Times New Roman" w:hAnsi="Times New Roman" w:cs="Times New Roman"/>
      <w:color w:val="666666"/>
      <w:sz w:val="20"/>
      <w:szCs w:val="20"/>
    </w:rPr>
  </w:style>
  <w:style w:type="paragraph" w:styleId="Heading9">
    <w:name w:val="heading 9"/>
    <w:basedOn w:val="Normal"/>
    <w:next w:val="Normal"/>
    <w:link w:val="Heading9Char"/>
    <w:uiPriority w:val="9"/>
    <w:unhideWhenUsed/>
    <w:qFormat/>
    <w:rsid w:val="00200837"/>
    <w:pPr>
      <w:keepNext/>
      <w:keepLines/>
      <w:numPr>
        <w:ilvl w:val="8"/>
        <w:numId w:val="60"/>
      </w:numPr>
      <w:spacing w:before="200" w:after="0"/>
      <w:jc w:val="both"/>
      <w:outlineLvl w:val="8"/>
    </w:pPr>
    <w:rPr>
      <w:rFonts w:ascii="Times New Roman" w:eastAsia="Times New Roman" w:hAnsi="Times New Roman" w:cs="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537"/>
    <w:rPr>
      <w:rFonts w:ascii="Times New Roman" w:eastAsia="Times New Roman" w:hAnsi="Times New Roman" w:cs="Times New Roman"/>
      <w:b/>
      <w:bCs/>
      <w:color w:val="002060"/>
      <w:kern w:val="36"/>
      <w:sz w:val="36"/>
      <w:szCs w:val="48"/>
      <w:lang w:eastAsia="lv-LV"/>
    </w:rPr>
  </w:style>
  <w:style w:type="character" w:customStyle="1" w:styleId="Heading2Char">
    <w:name w:val="Heading 2 Char"/>
    <w:basedOn w:val="DefaultParagraphFont"/>
    <w:link w:val="Heading2"/>
    <w:uiPriority w:val="9"/>
    <w:rsid w:val="00DA5144"/>
    <w:rPr>
      <w:rFonts w:ascii="Times New Roman" w:eastAsiaTheme="majorEastAsia" w:hAnsi="Times New Roman" w:cstheme="majorBidi"/>
      <w:b/>
      <w:color w:val="002060"/>
      <w:sz w:val="32"/>
      <w:szCs w:val="26"/>
    </w:rPr>
  </w:style>
  <w:style w:type="character" w:customStyle="1" w:styleId="Heading3Char">
    <w:name w:val="Heading 3 Char"/>
    <w:basedOn w:val="DefaultParagraphFont"/>
    <w:link w:val="Heading3"/>
    <w:uiPriority w:val="9"/>
    <w:rsid w:val="001101F7"/>
    <w:rPr>
      <w:rFonts w:ascii="Times New Roman" w:eastAsiaTheme="majorEastAsia" w:hAnsi="Times New Roman" w:cs="Times New Roman"/>
      <w:b/>
      <w:color w:val="002060"/>
      <w:sz w:val="26"/>
      <w:szCs w:val="24"/>
    </w:rPr>
  </w:style>
  <w:style w:type="character" w:customStyle="1" w:styleId="Heading4Char">
    <w:name w:val="Heading 4 Char"/>
    <w:basedOn w:val="DefaultParagraphFont"/>
    <w:link w:val="Heading4"/>
    <w:uiPriority w:val="9"/>
    <w:rsid w:val="00200837"/>
    <w:rPr>
      <w:rFonts w:asciiTheme="majorHAnsi" w:eastAsiaTheme="majorEastAsia" w:hAnsiTheme="majorHAnsi" w:cstheme="majorBidi"/>
      <w:i/>
      <w:iCs/>
      <w:color w:val="3E762A" w:themeColor="accent1" w:themeShade="BF"/>
    </w:rPr>
  </w:style>
  <w:style w:type="character" w:customStyle="1" w:styleId="Heading5Char">
    <w:name w:val="Heading 5 Char"/>
    <w:basedOn w:val="DefaultParagraphFont"/>
    <w:link w:val="Heading5"/>
    <w:uiPriority w:val="99"/>
    <w:rsid w:val="00200837"/>
    <w:rPr>
      <w:rFonts w:ascii="Times New Roman" w:eastAsia="Times New Roman" w:hAnsi="Times New Roman" w:cs="Times New Roman"/>
      <w:b/>
      <w:color w:val="666666"/>
      <w:sz w:val="23"/>
      <w:szCs w:val="23"/>
    </w:rPr>
  </w:style>
  <w:style w:type="character" w:customStyle="1" w:styleId="Heading6Char">
    <w:name w:val="Heading 6 Char"/>
    <w:basedOn w:val="DefaultParagraphFont"/>
    <w:link w:val="Heading6"/>
    <w:uiPriority w:val="99"/>
    <w:rsid w:val="00200837"/>
    <w:rPr>
      <w:rFonts w:ascii="Times New Roman" w:eastAsia="Times New Roman" w:hAnsi="Times New Roman" w:cs="Times New Roman"/>
      <w:color w:val="15314A"/>
      <w:sz w:val="23"/>
      <w:szCs w:val="23"/>
    </w:rPr>
  </w:style>
  <w:style w:type="character" w:customStyle="1" w:styleId="Heading7Char">
    <w:name w:val="Heading 7 Char"/>
    <w:basedOn w:val="DefaultParagraphFont"/>
    <w:link w:val="Heading7"/>
    <w:uiPriority w:val="99"/>
    <w:rsid w:val="00200837"/>
    <w:rPr>
      <w:rFonts w:ascii="Times New Roman" w:eastAsia="Times New Roman" w:hAnsi="Times New Roman" w:cs="Times New Roman"/>
      <w:i/>
      <w:iCs/>
      <w:color w:val="666666"/>
      <w:sz w:val="23"/>
      <w:szCs w:val="23"/>
    </w:rPr>
  </w:style>
  <w:style w:type="character" w:customStyle="1" w:styleId="Heading8Char">
    <w:name w:val="Heading 8 Char"/>
    <w:basedOn w:val="DefaultParagraphFont"/>
    <w:link w:val="Heading8"/>
    <w:uiPriority w:val="9"/>
    <w:rsid w:val="00200837"/>
    <w:rPr>
      <w:rFonts w:ascii="Times New Roman" w:eastAsia="Times New Roman" w:hAnsi="Times New Roman" w:cs="Times New Roman"/>
      <w:color w:val="666666"/>
      <w:sz w:val="20"/>
      <w:szCs w:val="20"/>
    </w:rPr>
  </w:style>
  <w:style w:type="character" w:customStyle="1" w:styleId="Heading9Char">
    <w:name w:val="Heading 9 Char"/>
    <w:basedOn w:val="DefaultParagraphFont"/>
    <w:link w:val="Heading9"/>
    <w:uiPriority w:val="9"/>
    <w:rsid w:val="00200837"/>
    <w:rPr>
      <w:rFonts w:ascii="Times New Roman" w:eastAsia="Times New Roman" w:hAnsi="Times New Roman" w:cs="Times New Roman"/>
      <w:i/>
      <w:iCs/>
      <w:color w:val="666666"/>
      <w:sz w:val="20"/>
      <w:szCs w:val="20"/>
    </w:rPr>
  </w:style>
  <w:style w:type="paragraph" w:styleId="Header">
    <w:name w:val="header"/>
    <w:basedOn w:val="Normal"/>
    <w:link w:val="HeaderChar"/>
    <w:uiPriority w:val="99"/>
    <w:unhideWhenUsed/>
    <w:rsid w:val="002008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37"/>
  </w:style>
  <w:style w:type="paragraph" w:styleId="Footer">
    <w:name w:val="footer"/>
    <w:basedOn w:val="Normal"/>
    <w:link w:val="FooterChar"/>
    <w:uiPriority w:val="99"/>
    <w:unhideWhenUsed/>
    <w:rsid w:val="002008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37"/>
  </w:style>
  <w:style w:type="character" w:styleId="Hyperlink">
    <w:name w:val="Hyperlink"/>
    <w:basedOn w:val="DefaultParagraphFont"/>
    <w:uiPriority w:val="99"/>
    <w:unhideWhenUsed/>
    <w:rsid w:val="00200837"/>
    <w:rPr>
      <w:color w:val="0000FF"/>
      <w:u w:val="single"/>
    </w:rPr>
  </w:style>
  <w:style w:type="character" w:customStyle="1" w:styleId="UnresolvedMention1">
    <w:name w:val="Unresolved Mention1"/>
    <w:basedOn w:val="DefaultParagraphFont"/>
    <w:uiPriority w:val="99"/>
    <w:semiHidden/>
    <w:unhideWhenUsed/>
    <w:rsid w:val="00200837"/>
    <w:rPr>
      <w:color w:val="605E5C"/>
      <w:shd w:val="clear" w:color="auto" w:fill="E1DFDD"/>
    </w:rPr>
  </w:style>
  <w:style w:type="table" w:styleId="TableGrid">
    <w:name w:val="Table Grid"/>
    <w:basedOn w:val="TableNormal"/>
    <w:uiPriority w:val="39"/>
    <w:rsid w:val="00200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et Styl"/>
    <w:basedOn w:val="Normal"/>
    <w:link w:val="ListParagraphChar"/>
    <w:qFormat/>
    <w:rsid w:val="00200837"/>
    <w:pPr>
      <w:ind w:left="720"/>
      <w:contextualSpacing/>
    </w:p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qFormat/>
    <w:locked/>
    <w:rsid w:val="00200837"/>
  </w:style>
  <w:style w:type="paragraph" w:customStyle="1" w:styleId="CoverNormal">
    <w:name w:val="CoverNormal"/>
    <w:basedOn w:val="Normal"/>
    <w:link w:val="CoverNormalChar"/>
    <w:rsid w:val="00200837"/>
    <w:pPr>
      <w:spacing w:after="0" w:line="240" w:lineRule="auto"/>
    </w:pPr>
    <w:rPr>
      <w:rFonts w:ascii="Times New Roman" w:eastAsia="SimSun" w:hAnsi="Times New Roman" w:cs="Times New Roman"/>
      <w:szCs w:val="20"/>
      <w:lang w:val="lv"/>
    </w:rPr>
  </w:style>
  <w:style w:type="character" w:customStyle="1" w:styleId="CoverNormalChar">
    <w:name w:val="CoverNormal Char"/>
    <w:basedOn w:val="DefaultParagraphFont"/>
    <w:link w:val="CoverNormal"/>
    <w:rsid w:val="00200837"/>
    <w:rPr>
      <w:rFonts w:ascii="Times New Roman" w:eastAsia="SimSun" w:hAnsi="Times New Roman" w:cs="Times New Roman"/>
      <w:szCs w:val="20"/>
      <w:lang w:val="lv"/>
    </w:rPr>
  </w:style>
  <w:style w:type="paragraph" w:customStyle="1" w:styleId="Para">
    <w:name w:val="Para"/>
    <w:basedOn w:val="Normal"/>
    <w:link w:val="ParaChar"/>
    <w:uiPriority w:val="3"/>
    <w:qFormat/>
    <w:rsid w:val="00200837"/>
    <w:pPr>
      <w:spacing w:before="120" w:line="240" w:lineRule="auto"/>
      <w:ind w:left="680" w:right="680"/>
      <w:jc w:val="both"/>
    </w:pPr>
    <w:rPr>
      <w:rFonts w:ascii="Times New Roman" w:eastAsia="SimSun" w:hAnsi="Times New Roman" w:cs="Times New Roman"/>
      <w:szCs w:val="20"/>
      <w:lang w:val="lv"/>
    </w:rPr>
  </w:style>
  <w:style w:type="character" w:customStyle="1" w:styleId="ParaChar">
    <w:name w:val="Para Char"/>
    <w:basedOn w:val="DefaultParagraphFont"/>
    <w:link w:val="Para"/>
    <w:uiPriority w:val="3"/>
    <w:rsid w:val="00200837"/>
    <w:rPr>
      <w:rFonts w:ascii="Times New Roman" w:eastAsia="SimSun" w:hAnsi="Times New Roman" w:cs="Times New Roman"/>
      <w:szCs w:val="20"/>
      <w:lang w:val="lv"/>
    </w:rPr>
  </w:style>
  <w:style w:type="paragraph" w:customStyle="1" w:styleId="Default">
    <w:name w:val="Default"/>
    <w:rsid w:val="0020083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aliases w:val="sākums"/>
    <w:basedOn w:val="Normal"/>
    <w:link w:val="NormalWebChar"/>
    <w:uiPriority w:val="99"/>
    <w:unhideWhenUsed/>
    <w:qFormat/>
    <w:rsid w:val="00200837"/>
    <w:pPr>
      <w:spacing w:before="100" w:beforeAutospacing="1" w:after="100" w:afterAutospacing="1" w:line="240" w:lineRule="auto"/>
    </w:pPr>
    <w:rPr>
      <w:rFonts w:ascii="Verdana" w:eastAsia="Times New Roman" w:hAnsi="Verdana" w:cs="Times New Roman"/>
      <w:sz w:val="18"/>
      <w:szCs w:val="18"/>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f"/>
    <w:basedOn w:val="Normal"/>
    <w:link w:val="FootnoteTextChar"/>
    <w:uiPriority w:val="99"/>
    <w:unhideWhenUsed/>
    <w:qFormat/>
    <w:rsid w:val="00200837"/>
    <w:pPr>
      <w:spacing w:after="200" w:line="276" w:lineRule="auto"/>
    </w:pPr>
    <w:rPr>
      <w:rFonts w:ascii="Calibri" w:eastAsia="Calibri" w:hAnsi="Calibri" w:cs="Times New Roman"/>
      <w:sz w:val="20"/>
      <w:szCs w:val="20"/>
      <w:lang w:val="x-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200837"/>
    <w:rPr>
      <w:rFonts w:ascii="Calibri" w:eastAsia="Calibri" w:hAnsi="Calibri" w:cs="Times New Roman"/>
      <w:sz w:val="20"/>
      <w:szCs w:val="20"/>
      <w:lang w:val="x-none"/>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link w:val="BVIfnrZnak"/>
    <w:uiPriority w:val="99"/>
    <w:unhideWhenUsed/>
    <w:qFormat/>
    <w:rsid w:val="00200837"/>
    <w:rPr>
      <w:vertAlign w:val="superscript"/>
    </w:rPr>
  </w:style>
  <w:style w:type="character" w:styleId="Strong">
    <w:name w:val="Strong"/>
    <w:uiPriority w:val="22"/>
    <w:qFormat/>
    <w:rsid w:val="00200837"/>
    <w:rPr>
      <w:b/>
      <w:bCs/>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200837"/>
    <w:pPr>
      <w:spacing w:line="240" w:lineRule="exact"/>
    </w:pPr>
    <w:rPr>
      <w:vertAlign w:val="superscript"/>
    </w:rPr>
  </w:style>
  <w:style w:type="paragraph" w:customStyle="1" w:styleId="labojumupamats">
    <w:name w:val="labojumu_pamats"/>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Bullet2">
    <w:name w:val="List Bullet 2"/>
    <w:basedOn w:val="Normal"/>
    <w:semiHidden/>
    <w:unhideWhenUsed/>
    <w:rsid w:val="00200837"/>
    <w:pPr>
      <w:numPr>
        <w:numId w:val="1"/>
      </w:numPr>
      <w:suppressAutoHyphens/>
      <w:autoSpaceDN w:val="0"/>
      <w:spacing w:after="0" w:line="240" w:lineRule="auto"/>
      <w:contextualSpacing/>
      <w:textAlignment w:val="baseline"/>
    </w:pPr>
    <w:rPr>
      <w:rFonts w:ascii="Times New Roman" w:eastAsia="Times New Roman" w:hAnsi="Times New Roman" w:cs="Times New Roman"/>
      <w:sz w:val="28"/>
      <w:szCs w:val="24"/>
      <w:lang w:eastAsia="lv-LV"/>
    </w:rPr>
  </w:style>
  <w:style w:type="character" w:styleId="Emphasis">
    <w:name w:val="Emphasis"/>
    <w:basedOn w:val="DefaultParagraphFont"/>
    <w:uiPriority w:val="20"/>
    <w:qFormat/>
    <w:rsid w:val="00200837"/>
    <w:rPr>
      <w:i/>
      <w:iCs/>
    </w:rPr>
  </w:style>
  <w:style w:type="paragraph" w:customStyle="1" w:styleId="greypar1">
    <w:name w:val="grey_par1"/>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200837"/>
    <w:rPr>
      <w:color w:val="605E5C"/>
      <w:shd w:val="clear" w:color="auto" w:fill="E1DFDD"/>
    </w:rPr>
  </w:style>
  <w:style w:type="character" w:customStyle="1" w:styleId="rightside">
    <w:name w:val="right_side"/>
    <w:basedOn w:val="DefaultParagraphFont"/>
    <w:rsid w:val="00200837"/>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200837"/>
    <w:pPr>
      <w:spacing w:line="240" w:lineRule="exact"/>
    </w:pPr>
    <w:rPr>
      <w:vertAlign w:val="superscript"/>
      <w:lang w:val="en-GB"/>
    </w:rPr>
  </w:style>
  <w:style w:type="paragraph" w:customStyle="1" w:styleId="lvsubnew">
    <w:name w:val="lv_sub_new"/>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data-product-info-title">
    <w:name w:val="data-product-info-title"/>
    <w:basedOn w:val="DefaultParagraphFont"/>
    <w:rsid w:val="00200837"/>
  </w:style>
  <w:style w:type="character" w:customStyle="1" w:styleId="data-product-info-code">
    <w:name w:val="data-product-info-code"/>
    <w:basedOn w:val="DefaultParagraphFont"/>
    <w:rsid w:val="00200837"/>
  </w:style>
  <w:style w:type="character" w:customStyle="1" w:styleId="data-product-info-source-title">
    <w:name w:val="data-product-info-source-title"/>
    <w:basedOn w:val="DefaultParagraphFont"/>
    <w:rsid w:val="00200837"/>
  </w:style>
  <w:style w:type="character" w:customStyle="1" w:styleId="data-product-info-source-value">
    <w:name w:val="data-product-info-source-value"/>
    <w:basedOn w:val="DefaultParagraphFont"/>
    <w:rsid w:val="00200837"/>
  </w:style>
  <w:style w:type="character" w:customStyle="1" w:styleId="contextual-helphelp-label">
    <w:name w:val="contextual-help__help-label"/>
    <w:basedOn w:val="DefaultParagraphFont"/>
    <w:rsid w:val="00200837"/>
  </w:style>
  <w:style w:type="character" w:customStyle="1" w:styleId="title-options">
    <w:name w:val="title-options"/>
    <w:basedOn w:val="DefaultParagraphFont"/>
    <w:rsid w:val="00200837"/>
  </w:style>
  <w:style w:type="character" w:styleId="CommentReference">
    <w:name w:val="annotation reference"/>
    <w:basedOn w:val="DefaultParagraphFont"/>
    <w:uiPriority w:val="99"/>
    <w:unhideWhenUsed/>
    <w:rsid w:val="00200837"/>
    <w:rPr>
      <w:sz w:val="16"/>
      <w:szCs w:val="16"/>
    </w:rPr>
  </w:style>
  <w:style w:type="paragraph" w:styleId="CommentText">
    <w:name w:val="annotation text"/>
    <w:basedOn w:val="Normal"/>
    <w:link w:val="CommentTextChar"/>
    <w:unhideWhenUsed/>
    <w:rsid w:val="00200837"/>
    <w:pPr>
      <w:spacing w:line="240" w:lineRule="auto"/>
    </w:pPr>
    <w:rPr>
      <w:sz w:val="20"/>
      <w:szCs w:val="20"/>
    </w:rPr>
  </w:style>
  <w:style w:type="character" w:customStyle="1" w:styleId="CommentTextChar">
    <w:name w:val="Comment Text Char"/>
    <w:basedOn w:val="DefaultParagraphFont"/>
    <w:link w:val="CommentText"/>
    <w:rsid w:val="00200837"/>
    <w:rPr>
      <w:sz w:val="20"/>
      <w:szCs w:val="20"/>
    </w:rPr>
  </w:style>
  <w:style w:type="paragraph" w:styleId="CommentSubject">
    <w:name w:val="annotation subject"/>
    <w:basedOn w:val="CommentText"/>
    <w:next w:val="CommentText"/>
    <w:link w:val="CommentSubjectChar"/>
    <w:uiPriority w:val="99"/>
    <w:unhideWhenUsed/>
    <w:rsid w:val="00200837"/>
    <w:rPr>
      <w:b/>
      <w:bCs/>
    </w:rPr>
  </w:style>
  <w:style w:type="character" w:customStyle="1" w:styleId="CommentSubjectChar">
    <w:name w:val="Comment Subject Char"/>
    <w:basedOn w:val="CommentTextChar"/>
    <w:link w:val="CommentSubject"/>
    <w:uiPriority w:val="99"/>
    <w:rsid w:val="00200837"/>
    <w:rPr>
      <w:b/>
      <w:bCs/>
      <w:sz w:val="20"/>
      <w:szCs w:val="20"/>
    </w:rPr>
  </w:style>
  <w:style w:type="paragraph" w:styleId="BalloonText">
    <w:name w:val="Balloon Text"/>
    <w:basedOn w:val="Normal"/>
    <w:link w:val="BalloonTextChar"/>
    <w:uiPriority w:val="99"/>
    <w:semiHidden/>
    <w:unhideWhenUsed/>
    <w:rsid w:val="0020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837"/>
    <w:rPr>
      <w:rFonts w:ascii="Segoe UI" w:hAnsi="Segoe UI" w:cs="Segoe UI"/>
      <w:sz w:val="18"/>
      <w:szCs w:val="18"/>
    </w:rPr>
  </w:style>
  <w:style w:type="paragraph" w:styleId="BodyTextIndent3">
    <w:name w:val="Body Text Indent 3"/>
    <w:basedOn w:val="Normal"/>
    <w:link w:val="BodyTextIndent3Char"/>
    <w:unhideWhenUsed/>
    <w:rsid w:val="00200837"/>
    <w:pPr>
      <w:spacing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00837"/>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200837"/>
    <w:pPr>
      <w:spacing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200837"/>
    <w:rPr>
      <w:rFonts w:ascii="Times New Roman" w:eastAsia="Times New Roman" w:hAnsi="Times New Roman" w:cs="Times New Roman"/>
      <w:sz w:val="24"/>
      <w:szCs w:val="24"/>
    </w:rPr>
  </w:style>
  <w:style w:type="paragraph" w:customStyle="1" w:styleId="Char2">
    <w:name w:val="Char2"/>
    <w:aliases w:val="Char Char Char Char"/>
    <w:basedOn w:val="Normal"/>
    <w:next w:val="Normal"/>
    <w:uiPriority w:val="99"/>
    <w:rsid w:val="00200837"/>
    <w:pPr>
      <w:spacing w:line="240" w:lineRule="exact"/>
      <w:jc w:val="both"/>
      <w:textAlignment w:val="baseline"/>
    </w:pPr>
    <w:rPr>
      <w:vertAlign w:val="superscript"/>
    </w:rPr>
  </w:style>
  <w:style w:type="character" w:styleId="PageNumber">
    <w:name w:val="page number"/>
    <w:basedOn w:val="DefaultParagraphFont"/>
    <w:uiPriority w:val="99"/>
    <w:rsid w:val="00200837"/>
  </w:style>
  <w:style w:type="character" w:customStyle="1" w:styleId="fontsize2">
    <w:name w:val="fontsize2"/>
    <w:rsid w:val="00200837"/>
  </w:style>
  <w:style w:type="paragraph" w:styleId="Title">
    <w:name w:val="Title"/>
    <w:aliases w:val="Title Char1 Char"/>
    <w:basedOn w:val="Normal"/>
    <w:link w:val="TitleChar"/>
    <w:qFormat/>
    <w:rsid w:val="00200837"/>
    <w:pPr>
      <w:spacing w:after="0" w:line="240" w:lineRule="auto"/>
      <w:jc w:val="center"/>
    </w:pPr>
    <w:rPr>
      <w:rFonts w:ascii="Times New Roman" w:eastAsia="Times New Roman" w:hAnsi="Times New Roman" w:cs="Times New Roman"/>
      <w:b/>
      <w:caps/>
      <w:sz w:val="24"/>
      <w:szCs w:val="24"/>
    </w:rPr>
  </w:style>
  <w:style w:type="character" w:customStyle="1" w:styleId="TitleChar">
    <w:name w:val="Title Char"/>
    <w:aliases w:val="Title Char1 Char Char1"/>
    <w:basedOn w:val="DefaultParagraphFont"/>
    <w:link w:val="Title"/>
    <w:rsid w:val="00200837"/>
    <w:rPr>
      <w:rFonts w:ascii="Times New Roman" w:eastAsia="Times New Roman" w:hAnsi="Times New Roman" w:cs="Times New Roman"/>
      <w:b/>
      <w:caps/>
      <w:sz w:val="24"/>
      <w:szCs w:val="24"/>
    </w:rPr>
  </w:style>
  <w:style w:type="paragraph" w:styleId="Subtitle">
    <w:name w:val="Subtitle"/>
    <w:basedOn w:val="Normal"/>
    <w:next w:val="Normal"/>
    <w:link w:val="SubtitleChar"/>
    <w:uiPriority w:val="99"/>
    <w:qFormat/>
    <w:rsid w:val="00200837"/>
    <w:pPr>
      <w:widowControl w:val="0"/>
      <w:numPr>
        <w:ilvl w:val="1"/>
      </w:numPr>
      <w:spacing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200837"/>
    <w:rPr>
      <w:rFonts w:eastAsiaTheme="minorEastAsia"/>
      <w:color w:val="5A5A5A" w:themeColor="text1" w:themeTint="A5"/>
      <w:spacing w:val="15"/>
    </w:rPr>
  </w:style>
  <w:style w:type="character" w:styleId="SubtleEmphasis">
    <w:name w:val="Subtle Emphasis"/>
    <w:basedOn w:val="DefaultParagraphFont"/>
    <w:uiPriority w:val="99"/>
    <w:qFormat/>
    <w:rsid w:val="00200837"/>
    <w:rPr>
      <w:i/>
      <w:iCs/>
      <w:color w:val="404040" w:themeColor="text1" w:themeTint="BF"/>
    </w:rPr>
  </w:style>
  <w:style w:type="paragraph" w:styleId="TOCHeading">
    <w:name w:val="TOC Heading"/>
    <w:basedOn w:val="Heading1"/>
    <w:next w:val="Normal"/>
    <w:uiPriority w:val="39"/>
    <w:unhideWhenUsed/>
    <w:qFormat/>
    <w:rsid w:val="00200837"/>
    <w:pPr>
      <w:keepNext/>
      <w:keepLines/>
      <w:numPr>
        <w:numId w:val="58"/>
      </w:numPr>
      <w:spacing w:before="240" w:beforeAutospacing="0" w:after="0" w:afterAutospacing="0" w:line="259" w:lineRule="auto"/>
      <w:outlineLvl w:val="9"/>
    </w:pPr>
    <w:rPr>
      <w:rFonts w:asciiTheme="majorHAnsi" w:eastAsiaTheme="majorEastAsia" w:hAnsiTheme="majorHAnsi" w:cstheme="majorBidi"/>
      <w:b w:val="0"/>
      <w:bCs w:val="0"/>
      <w:color w:val="3E762A" w:themeColor="accent1" w:themeShade="BF"/>
      <w:kern w:val="0"/>
      <w:sz w:val="32"/>
      <w:szCs w:val="32"/>
      <w:lang w:val="en-US" w:eastAsia="en-US"/>
    </w:rPr>
  </w:style>
  <w:style w:type="paragraph" w:styleId="TOC1">
    <w:name w:val="toc 1"/>
    <w:basedOn w:val="Normal"/>
    <w:next w:val="Normal"/>
    <w:autoRedefine/>
    <w:uiPriority w:val="39"/>
    <w:unhideWhenUsed/>
    <w:rsid w:val="00525F21"/>
    <w:pPr>
      <w:widowControl w:val="0"/>
      <w:tabs>
        <w:tab w:val="left" w:pos="660"/>
        <w:tab w:val="right" w:leader="dot" w:pos="9071"/>
      </w:tabs>
      <w:spacing w:after="0" w:line="276" w:lineRule="auto"/>
    </w:pPr>
    <w:rPr>
      <w:rFonts w:ascii="Times New Roman" w:eastAsia="Calibri" w:hAnsi="Times New Roman" w:cs="Times New Roman"/>
      <w:noProof/>
      <w:sz w:val="24"/>
      <w:szCs w:val="24"/>
    </w:rPr>
  </w:style>
  <w:style w:type="paragraph" w:styleId="TOC2">
    <w:name w:val="toc 2"/>
    <w:basedOn w:val="Normal"/>
    <w:next w:val="Normal"/>
    <w:autoRedefine/>
    <w:uiPriority w:val="39"/>
    <w:unhideWhenUsed/>
    <w:rsid w:val="00F2340D"/>
    <w:pPr>
      <w:widowControl w:val="0"/>
      <w:tabs>
        <w:tab w:val="left" w:pos="284"/>
        <w:tab w:val="left" w:pos="1276"/>
        <w:tab w:val="right" w:leader="dot" w:pos="9061"/>
      </w:tabs>
      <w:spacing w:after="0" w:line="240" w:lineRule="auto"/>
      <w:ind w:left="278" w:firstLine="289"/>
    </w:pPr>
    <w:rPr>
      <w:rFonts w:ascii="Times New Roman" w:eastAsia="Calibri" w:hAnsi="Times New Roman" w:cs="Times New Roman"/>
      <w:sz w:val="24"/>
    </w:rPr>
  </w:style>
  <w:style w:type="paragraph" w:styleId="PlainText">
    <w:name w:val="Plain Text"/>
    <w:basedOn w:val="Normal"/>
    <w:link w:val="PlainTextChar1"/>
    <w:uiPriority w:val="99"/>
    <w:rsid w:val="00200837"/>
    <w:pPr>
      <w:spacing w:after="0" w:line="240" w:lineRule="auto"/>
    </w:pPr>
    <w:rPr>
      <w:rFonts w:ascii="Times New Roman" w:eastAsia="Times New Roman" w:hAnsi="Times New Roman" w:cs="Times New Roman"/>
      <w:sz w:val="24"/>
      <w:szCs w:val="24"/>
      <w:lang w:eastAsia="lv-LV"/>
    </w:rPr>
  </w:style>
  <w:style w:type="character" w:customStyle="1" w:styleId="PlainTextChar">
    <w:name w:val="Plain Text Char"/>
    <w:basedOn w:val="DefaultParagraphFont"/>
    <w:uiPriority w:val="99"/>
    <w:semiHidden/>
    <w:rsid w:val="00200837"/>
    <w:rPr>
      <w:rFonts w:ascii="Consolas" w:hAnsi="Consolas"/>
      <w:sz w:val="21"/>
      <w:szCs w:val="21"/>
    </w:rPr>
  </w:style>
  <w:style w:type="character" w:customStyle="1" w:styleId="PlainTextChar1">
    <w:name w:val="Plain Text Char1"/>
    <w:link w:val="PlainText"/>
    <w:uiPriority w:val="99"/>
    <w:locked/>
    <w:rsid w:val="00200837"/>
    <w:rPr>
      <w:rFonts w:ascii="Times New Roman" w:eastAsia="Times New Roman" w:hAnsi="Times New Roman" w:cs="Times New Roman"/>
      <w:sz w:val="24"/>
      <w:szCs w:val="24"/>
      <w:lang w:eastAsia="lv-LV"/>
    </w:rPr>
  </w:style>
  <w:style w:type="paragraph" w:styleId="NoSpacing">
    <w:name w:val="No Spacing"/>
    <w:link w:val="NoSpacingChar"/>
    <w:uiPriority w:val="1"/>
    <w:qFormat/>
    <w:rsid w:val="00200837"/>
    <w:pPr>
      <w:spacing w:before="100" w:after="0" w:line="240" w:lineRule="auto"/>
    </w:pPr>
    <w:rPr>
      <w:sz w:val="20"/>
      <w:szCs w:val="20"/>
    </w:rPr>
  </w:style>
  <w:style w:type="paragraph" w:customStyle="1" w:styleId="liknoteik">
    <w:name w:val="lik_noteik"/>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likdat">
    <w:name w:val="lik_dat"/>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200837"/>
    <w:pPr>
      <w:spacing w:after="0" w:line="240" w:lineRule="auto"/>
    </w:pPr>
    <w:rPr>
      <w:rFonts w:ascii="Times New Roman" w:eastAsia="Calibri" w:hAnsi="Times New Roman" w:cs="Times New Roman"/>
      <w:sz w:val="28"/>
    </w:rPr>
  </w:style>
  <w:style w:type="paragraph" w:customStyle="1" w:styleId="Tablebullets1">
    <w:name w:val="Table bullets 1"/>
    <w:basedOn w:val="Normal"/>
    <w:rsid w:val="00200837"/>
    <w:pPr>
      <w:numPr>
        <w:numId w:val="6"/>
      </w:numPr>
      <w:tabs>
        <w:tab w:val="left" w:pos="-900"/>
      </w:tabs>
      <w:autoSpaceDE w:val="0"/>
      <w:autoSpaceDN w:val="0"/>
      <w:adjustRightInd w:val="0"/>
      <w:spacing w:line="240" w:lineRule="auto"/>
      <w:ind w:right="103"/>
      <w:jc w:val="both"/>
    </w:pPr>
    <w:rPr>
      <w:rFonts w:ascii="Times New Roman" w:eastAsia="Times New Roman" w:hAnsi="Times New Roman" w:cs="Times New Roman"/>
      <w:sz w:val="24"/>
      <w:szCs w:val="24"/>
    </w:rPr>
  </w:style>
  <w:style w:type="paragraph" w:customStyle="1" w:styleId="HeadingText">
    <w:name w:val="Heading Text"/>
    <w:basedOn w:val="Normal"/>
    <w:qFormat/>
    <w:rsid w:val="00200837"/>
    <w:pPr>
      <w:spacing w:line="280" w:lineRule="atLeast"/>
      <w:jc w:val="both"/>
    </w:pPr>
    <w:rPr>
      <w:rFonts w:ascii="Arial" w:eastAsia="Times New Roman" w:hAnsi="Arial" w:cs="Arial"/>
      <w:b/>
      <w:bCs/>
      <w:sz w:val="20"/>
      <w:szCs w:val="20"/>
      <w:lang w:val="en-US" w:eastAsia="de-DE"/>
    </w:rPr>
  </w:style>
  <w:style w:type="character" w:customStyle="1" w:styleId="apple-converted-space">
    <w:name w:val="apple-converted-space"/>
    <w:basedOn w:val="DefaultParagraphFont"/>
    <w:uiPriority w:val="99"/>
    <w:rsid w:val="00200837"/>
  </w:style>
  <w:style w:type="paragraph" w:customStyle="1" w:styleId="naisf">
    <w:name w:val="naisf"/>
    <w:basedOn w:val="Normal"/>
    <w:link w:val="naisfChar"/>
    <w:uiPriority w:val="99"/>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3">
    <w:name w:val="toc 3"/>
    <w:basedOn w:val="Normal"/>
    <w:next w:val="Normal"/>
    <w:autoRedefine/>
    <w:uiPriority w:val="39"/>
    <w:unhideWhenUsed/>
    <w:rsid w:val="00F2340D"/>
    <w:pPr>
      <w:tabs>
        <w:tab w:val="left" w:pos="1134"/>
        <w:tab w:val="left" w:pos="1701"/>
        <w:tab w:val="right" w:leader="dot" w:pos="9071"/>
      </w:tabs>
      <w:spacing w:after="0" w:line="240" w:lineRule="auto"/>
      <w:ind w:left="1560" w:hanging="709"/>
    </w:pPr>
    <w:rPr>
      <w:rFonts w:ascii="Times New Roman" w:eastAsiaTheme="minorEastAsia" w:hAnsi="Times New Roman" w:cs="Times New Roman"/>
      <w:sz w:val="24"/>
      <w:lang w:val="en-US"/>
    </w:rPr>
  </w:style>
  <w:style w:type="character" w:styleId="FollowedHyperlink">
    <w:name w:val="FollowedHyperlink"/>
    <w:basedOn w:val="DefaultParagraphFont"/>
    <w:uiPriority w:val="99"/>
    <w:unhideWhenUsed/>
    <w:rsid w:val="00200837"/>
    <w:rPr>
      <w:color w:val="BA6906" w:themeColor="followedHyperlink"/>
      <w:u w:val="single"/>
    </w:rPr>
  </w:style>
  <w:style w:type="paragraph" w:styleId="Caption">
    <w:name w:val="caption"/>
    <w:basedOn w:val="Normal"/>
    <w:next w:val="Normal"/>
    <w:link w:val="CaptionChar"/>
    <w:uiPriority w:val="35"/>
    <w:qFormat/>
    <w:rsid w:val="00200837"/>
    <w:pPr>
      <w:spacing w:after="0" w:line="240" w:lineRule="auto"/>
    </w:pPr>
    <w:rPr>
      <w:rFonts w:ascii="Times New Roman" w:eastAsia="Times New Roman" w:hAnsi="Times New Roman" w:cs="Times New Roman"/>
      <w:b/>
      <w:bCs/>
      <w:sz w:val="20"/>
      <w:szCs w:val="20"/>
      <w:lang w:eastAsia="lv-LV"/>
    </w:rPr>
  </w:style>
  <w:style w:type="paragraph" w:styleId="EndnoteText">
    <w:name w:val="endnote text"/>
    <w:basedOn w:val="FootnoteText"/>
    <w:link w:val="EndnoteTextChar"/>
    <w:uiPriority w:val="99"/>
    <w:rsid w:val="00200837"/>
    <w:pPr>
      <w:spacing w:after="120" w:line="240" w:lineRule="auto"/>
      <w:ind w:left="680" w:right="680"/>
      <w:jc w:val="both"/>
    </w:pPr>
    <w:rPr>
      <w:rFonts w:ascii="Times New Roman" w:eastAsia="SimSun" w:hAnsi="Times New Roman"/>
      <w:lang w:val="lv-LV"/>
    </w:rPr>
  </w:style>
  <w:style w:type="character" w:customStyle="1" w:styleId="EndnoteTextChar">
    <w:name w:val="Endnote Text Char"/>
    <w:basedOn w:val="DefaultParagraphFont"/>
    <w:link w:val="EndnoteText"/>
    <w:uiPriority w:val="99"/>
    <w:rsid w:val="00200837"/>
    <w:rPr>
      <w:rFonts w:ascii="Times New Roman" w:eastAsia="SimSun" w:hAnsi="Times New Roman" w:cs="Times New Roman"/>
      <w:sz w:val="20"/>
      <w:szCs w:val="20"/>
    </w:rPr>
  </w:style>
  <w:style w:type="character" w:styleId="EndnoteReference">
    <w:name w:val="endnote reference"/>
    <w:basedOn w:val="DefaultParagraphFont"/>
    <w:unhideWhenUsed/>
    <w:rsid w:val="00200837"/>
    <w:rPr>
      <w:rFonts w:ascii="Times New Roman" w:hAnsi="Times New Roman"/>
      <w:i w:val="0"/>
      <w:position w:val="0"/>
      <w:sz w:val="22"/>
      <w:vertAlign w:val="superscript"/>
    </w:rPr>
  </w:style>
  <w:style w:type="paragraph" w:customStyle="1" w:styleId="tvhtml">
    <w:name w:val="tv_html"/>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Quote">
    <w:name w:val="Quote"/>
    <w:aliases w:val="Secinājums"/>
    <w:basedOn w:val="Normal"/>
    <w:next w:val="Normal"/>
    <w:link w:val="QuoteChar"/>
    <w:uiPriority w:val="29"/>
    <w:qFormat/>
    <w:rsid w:val="00200837"/>
    <w:pPr>
      <w:pBdr>
        <w:top w:val="dotted" w:sz="4" w:space="15" w:color="666666"/>
        <w:bottom w:val="dotted" w:sz="4" w:space="15" w:color="666666"/>
      </w:pBdr>
      <w:spacing w:before="200" w:line="288" w:lineRule="auto"/>
      <w:jc w:val="both"/>
    </w:pPr>
    <w:rPr>
      <w:rFonts w:ascii="Times New Roman" w:eastAsia="Times New Roman" w:hAnsi="Times New Roman" w:cs="Times New Roman"/>
      <w:iCs/>
      <w:color w:val="3D87C7"/>
      <w:sz w:val="26"/>
      <w:szCs w:val="23"/>
    </w:rPr>
  </w:style>
  <w:style w:type="character" w:customStyle="1" w:styleId="QuoteChar">
    <w:name w:val="Quote Char"/>
    <w:aliases w:val="Secinājums Char"/>
    <w:basedOn w:val="DefaultParagraphFont"/>
    <w:link w:val="Quote"/>
    <w:uiPriority w:val="29"/>
    <w:rsid w:val="00200837"/>
    <w:rPr>
      <w:rFonts w:ascii="Times New Roman" w:eastAsia="Times New Roman" w:hAnsi="Times New Roman" w:cs="Times New Roman"/>
      <w:iCs/>
      <w:color w:val="3D87C7"/>
      <w:sz w:val="26"/>
      <w:szCs w:val="23"/>
    </w:rPr>
  </w:style>
  <w:style w:type="paragraph" w:styleId="IntenseQuote">
    <w:name w:val="Intense Quote"/>
    <w:basedOn w:val="Normal"/>
    <w:next w:val="Normal"/>
    <w:link w:val="IntenseQuoteChar"/>
    <w:uiPriority w:val="30"/>
    <w:rsid w:val="00200837"/>
    <w:pPr>
      <w:pBdr>
        <w:top w:val="single" w:sz="4" w:space="31" w:color="2A6496"/>
        <w:bottom w:val="single" w:sz="4" w:space="20" w:color="2A6496"/>
      </w:pBdr>
      <w:spacing w:before="600" w:after="600" w:line="288" w:lineRule="auto"/>
    </w:pPr>
    <w:rPr>
      <w:rFonts w:ascii="Times New Roman" w:eastAsia="Times New Roman" w:hAnsi="Times New Roman" w:cs="Times New Roman"/>
      <w:iCs/>
      <w:color w:val="3D87C7"/>
      <w:sz w:val="24"/>
      <w:szCs w:val="23"/>
    </w:rPr>
  </w:style>
  <w:style w:type="character" w:customStyle="1" w:styleId="IntenseQuoteChar">
    <w:name w:val="Intense Quote Char"/>
    <w:basedOn w:val="DefaultParagraphFont"/>
    <w:link w:val="IntenseQuote"/>
    <w:uiPriority w:val="30"/>
    <w:rsid w:val="00200837"/>
    <w:rPr>
      <w:rFonts w:ascii="Times New Roman" w:eastAsia="Times New Roman" w:hAnsi="Times New Roman" w:cs="Times New Roman"/>
      <w:iCs/>
      <w:color w:val="3D87C7"/>
      <w:sz w:val="24"/>
      <w:szCs w:val="23"/>
    </w:rPr>
  </w:style>
  <w:style w:type="paragraph" w:customStyle="1" w:styleId="Kopsavlikums">
    <w:name w:val="Kopsavlikums"/>
    <w:basedOn w:val="Normal"/>
    <w:next w:val="Normal"/>
    <w:qFormat/>
    <w:rsid w:val="00200837"/>
    <w:pPr>
      <w:pBdr>
        <w:top w:val="single" w:sz="4" w:space="31" w:color="3D87C7"/>
        <w:bottom w:val="single" w:sz="4" w:space="31" w:color="3D87C7"/>
      </w:pBdr>
      <w:spacing w:after="0" w:line="288" w:lineRule="auto"/>
    </w:pPr>
    <w:rPr>
      <w:rFonts w:ascii="Times New Roman" w:eastAsia="Times New Roman" w:hAnsi="Times New Roman" w:cs="Times New Roman"/>
      <w:color w:val="3D87C7"/>
      <w:sz w:val="24"/>
      <w:szCs w:val="23"/>
    </w:rPr>
  </w:style>
  <w:style w:type="table" w:customStyle="1" w:styleId="GridTable7Colorful-Accent31">
    <w:name w:val="Grid Table 7 Colorful - Accent 31"/>
    <w:basedOn w:val="TableNormal"/>
    <w:uiPriority w:val="52"/>
    <w:locked/>
    <w:rsid w:val="00200837"/>
    <w:pPr>
      <w:spacing w:after="0" w:line="240" w:lineRule="auto"/>
    </w:pPr>
    <w:rPr>
      <w:rFonts w:ascii="Times New Roman" w:eastAsia="Times New Roman" w:hAnsi="Times New Roman" w:cs="Times New Roman"/>
      <w:color w:val="183855"/>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6DBEF"/>
      </w:tcPr>
    </w:tblStylePr>
    <w:tblStylePr w:type="band1Horz">
      <w:tblPr/>
      <w:tcPr>
        <w:shd w:val="clear" w:color="auto" w:fill="C6DBEF"/>
      </w:tcPr>
    </w:tblStylePr>
    <w:tblStylePr w:type="neCell">
      <w:tblPr/>
      <w:tcPr>
        <w:tcBorders>
          <w:bottom w:val="single" w:sz="4" w:space="0" w:color="5495CF"/>
        </w:tcBorders>
      </w:tcPr>
    </w:tblStylePr>
    <w:tblStylePr w:type="nwCell">
      <w:tblPr/>
      <w:tcPr>
        <w:tcBorders>
          <w:bottom w:val="single" w:sz="4" w:space="0" w:color="5495CF"/>
        </w:tcBorders>
      </w:tcPr>
    </w:tblStylePr>
    <w:tblStylePr w:type="seCell">
      <w:tblPr/>
      <w:tcPr>
        <w:tcBorders>
          <w:top w:val="single" w:sz="4" w:space="0" w:color="5495CF"/>
        </w:tcBorders>
      </w:tcPr>
    </w:tblStylePr>
    <w:tblStylePr w:type="swCell">
      <w:tblPr/>
      <w:tcPr>
        <w:tcBorders>
          <w:top w:val="single" w:sz="4" w:space="0" w:color="5495CF"/>
        </w:tcBorders>
      </w:tcPr>
    </w:tblStylePr>
  </w:style>
  <w:style w:type="table" w:customStyle="1" w:styleId="ListTable6Colorful-Accent11">
    <w:name w:val="List Table 6 Colorful - Accent 11"/>
    <w:basedOn w:val="TableNormal"/>
    <w:uiPriority w:val="51"/>
    <w:locked/>
    <w:rsid w:val="00200837"/>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2A6496"/>
        <w:bottom w:val="single" w:sz="4" w:space="0" w:color="2A6496"/>
      </w:tblBorders>
    </w:tblPr>
    <w:tblStylePr w:type="firstRow">
      <w:rPr>
        <w:b/>
        <w:bCs/>
      </w:rPr>
      <w:tblPr/>
      <w:tcPr>
        <w:tcBorders>
          <w:bottom w:val="single" w:sz="4" w:space="0" w:color="2A6496"/>
        </w:tcBorders>
      </w:tcPr>
    </w:tblStylePr>
    <w:tblStylePr w:type="lastRow">
      <w:rPr>
        <w:b/>
        <w:bCs/>
      </w:rPr>
      <w:tblPr/>
      <w:tcPr>
        <w:tcBorders>
          <w:top w:val="double" w:sz="4" w:space="0" w:color="2A6496"/>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paragraph" w:customStyle="1" w:styleId="Viedoklis">
    <w:name w:val="Viedoklis"/>
    <w:basedOn w:val="Normal"/>
    <w:next w:val="Normal"/>
    <w:uiPriority w:val="99"/>
    <w:qFormat/>
    <w:rsid w:val="00200837"/>
    <w:pPr>
      <w:pBdr>
        <w:left w:val="single" w:sz="4" w:space="10" w:color="E7E6E6"/>
      </w:pBdr>
      <w:ind w:left="567"/>
      <w:jc w:val="both"/>
    </w:pPr>
    <w:rPr>
      <w:rFonts w:ascii="Times New Roman" w:eastAsia="Times New Roman" w:hAnsi="Times New Roman" w:cs="Times New Roman"/>
      <w:i/>
      <w:color w:val="666666"/>
      <w:sz w:val="23"/>
      <w:szCs w:val="23"/>
    </w:rPr>
  </w:style>
  <w:style w:type="character" w:styleId="BookTitle">
    <w:name w:val="Book Title"/>
    <w:uiPriority w:val="33"/>
    <w:rsid w:val="00200837"/>
    <w:rPr>
      <w:b/>
      <w:bCs/>
      <w:i/>
      <w:iCs/>
      <w:spacing w:val="5"/>
    </w:rPr>
  </w:style>
  <w:style w:type="table" w:customStyle="1" w:styleId="PlainTable21">
    <w:name w:val="Plain Table 21"/>
    <w:basedOn w:val="TableNormal"/>
    <w:uiPriority w:val="42"/>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89898"/>
        <w:bottom w:val="single" w:sz="4" w:space="0" w:color="989898"/>
      </w:tblBorders>
    </w:tblPr>
    <w:tblStylePr w:type="firstRow">
      <w:rPr>
        <w:b/>
        <w:bCs/>
      </w:rPr>
      <w:tblPr/>
      <w:tcPr>
        <w:tcBorders>
          <w:bottom w:val="single" w:sz="4" w:space="0" w:color="989898"/>
        </w:tcBorders>
      </w:tcPr>
    </w:tblStylePr>
    <w:tblStylePr w:type="lastRow">
      <w:rPr>
        <w:b/>
        <w:bCs/>
      </w:rPr>
      <w:tblPr/>
      <w:tcPr>
        <w:tcBorders>
          <w:top w:val="single" w:sz="4" w:space="0" w:color="989898"/>
        </w:tcBorders>
      </w:tcPr>
    </w:tblStylePr>
    <w:tblStylePr w:type="firstCol">
      <w:rPr>
        <w:b/>
        <w:bCs/>
      </w:rPr>
    </w:tblStylePr>
    <w:tblStylePr w:type="lastCol">
      <w:rPr>
        <w:b/>
        <w:bCs/>
      </w:rPr>
    </w:tblStylePr>
    <w:tblStylePr w:type="band1Vert">
      <w:tblPr/>
      <w:tcPr>
        <w:tcBorders>
          <w:left w:val="single" w:sz="4" w:space="0" w:color="989898"/>
          <w:right w:val="single" w:sz="4" w:space="0" w:color="989898"/>
        </w:tcBorders>
      </w:tcPr>
    </w:tblStylePr>
    <w:tblStylePr w:type="band2Vert">
      <w:tblPr/>
      <w:tcPr>
        <w:tcBorders>
          <w:left w:val="single" w:sz="4" w:space="0" w:color="989898"/>
          <w:right w:val="single" w:sz="4" w:space="0" w:color="989898"/>
        </w:tcBorders>
      </w:tcPr>
    </w:tblStylePr>
    <w:tblStylePr w:type="band1Horz">
      <w:tblPr/>
      <w:tcPr>
        <w:tcBorders>
          <w:top w:val="single" w:sz="4" w:space="0" w:color="989898"/>
          <w:bottom w:val="single" w:sz="4" w:space="0" w:color="989898"/>
        </w:tcBorders>
      </w:tcPr>
    </w:tblStylePr>
  </w:style>
  <w:style w:type="table" w:customStyle="1" w:styleId="PlainTable11">
    <w:name w:val="Plain Table 11"/>
    <w:basedOn w:val="TableNormal"/>
    <w:uiPriority w:val="41"/>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ils1">
    <w:name w:val="Stils1"/>
    <w:uiPriority w:val="99"/>
    <w:locked/>
    <w:rsid w:val="00200837"/>
    <w:pPr>
      <w:numPr>
        <w:numId w:val="7"/>
      </w:numPr>
    </w:pPr>
  </w:style>
  <w:style w:type="table" w:customStyle="1" w:styleId="GridTable2-Accent11">
    <w:name w:val="Grid Table 2 - Accent 11"/>
    <w:basedOn w:val="TableNormal"/>
    <w:uiPriority w:val="47"/>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9A3D5"/>
        <w:bottom w:val="single" w:sz="2" w:space="0" w:color="69A3D5"/>
        <w:insideH w:val="single" w:sz="2" w:space="0" w:color="69A3D5"/>
        <w:insideV w:val="single" w:sz="2" w:space="0" w:color="69A3D5"/>
      </w:tblBorders>
    </w:tblPr>
    <w:tblStylePr w:type="firstRow">
      <w:rPr>
        <w:b/>
        <w:bCs/>
      </w:rPr>
      <w:tblPr/>
      <w:tcPr>
        <w:tcBorders>
          <w:top w:val="nil"/>
          <w:bottom w:val="single" w:sz="12" w:space="0" w:color="69A3D5"/>
          <w:insideH w:val="nil"/>
          <w:insideV w:val="nil"/>
        </w:tcBorders>
        <w:shd w:val="clear" w:color="auto" w:fill="FFFFFF"/>
      </w:tcPr>
    </w:tblStylePr>
    <w:tblStylePr w:type="lastRow">
      <w:rPr>
        <w:b/>
        <w:bCs/>
      </w:rPr>
      <w:tblPr/>
      <w:tcPr>
        <w:tcBorders>
          <w:top w:val="double" w:sz="2" w:space="0" w:color="69A3D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GridTable4-Accent31">
    <w:name w:val="Grid Table 4 - Accent 31"/>
    <w:basedOn w:val="TableNormal"/>
    <w:uiPriority w:val="49"/>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color w:val="FFFFFF"/>
      </w:rPr>
      <w:tblPr/>
      <w:tcPr>
        <w:tcBorders>
          <w:top w:val="single" w:sz="4" w:space="0" w:color="204C72"/>
          <w:left w:val="single" w:sz="4" w:space="0" w:color="204C72"/>
          <w:bottom w:val="single" w:sz="4" w:space="0" w:color="204C72"/>
          <w:right w:val="single" w:sz="4" w:space="0" w:color="204C72"/>
          <w:insideH w:val="nil"/>
          <w:insideV w:val="nil"/>
        </w:tcBorders>
        <w:shd w:val="clear" w:color="auto" w:fill="204C72"/>
      </w:tcPr>
    </w:tblStylePr>
    <w:tblStylePr w:type="lastRow">
      <w:rPr>
        <w:b/>
        <w:bCs/>
      </w:rPr>
      <w:tblPr/>
      <w:tcPr>
        <w:tcBorders>
          <w:top w:val="double" w:sz="4" w:space="0" w:color="204C72"/>
        </w:tcBorders>
      </w:tcPr>
    </w:tblStylePr>
    <w:tblStylePr w:type="firstCol">
      <w:rPr>
        <w:b/>
        <w:bCs/>
      </w:rPr>
    </w:tblStylePr>
    <w:tblStylePr w:type="lastCol">
      <w:rPr>
        <w:b/>
        <w:bCs/>
      </w:rPr>
    </w:tblStylePr>
    <w:tblStylePr w:type="band1Vert">
      <w:tblPr/>
      <w:tcPr>
        <w:shd w:val="clear" w:color="auto" w:fill="C6DBEF"/>
      </w:tcPr>
    </w:tblStylePr>
    <w:tblStylePr w:type="band1Horz">
      <w:tblPr/>
      <w:tcPr>
        <w:shd w:val="clear" w:color="auto" w:fill="C6DBEF"/>
      </w:tcPr>
    </w:tblStylePr>
  </w:style>
  <w:style w:type="character" w:styleId="IntenseEmphasis">
    <w:name w:val="Intense Emphasis"/>
    <w:uiPriority w:val="21"/>
    <w:rsid w:val="00200837"/>
    <w:rPr>
      <w:i/>
      <w:iCs/>
      <w:color w:val="2A6496"/>
    </w:rPr>
  </w:style>
  <w:style w:type="table" w:customStyle="1" w:styleId="GridTable5Dark-Accent31">
    <w:name w:val="Grid Table 5 Dark - Accent 31"/>
    <w:basedOn w:val="TableNormal"/>
    <w:uiPriority w:val="50"/>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6DBE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04C7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04C7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04C7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04C72"/>
      </w:tcPr>
    </w:tblStylePr>
    <w:tblStylePr w:type="band1Vert">
      <w:tblPr/>
      <w:tcPr>
        <w:shd w:val="clear" w:color="auto" w:fill="8DB8DF"/>
      </w:tcPr>
    </w:tblStylePr>
    <w:tblStylePr w:type="band1Horz">
      <w:tblPr/>
      <w:tcPr>
        <w:shd w:val="clear" w:color="auto" w:fill="8DB8DF"/>
      </w:tcPr>
    </w:tblStylePr>
  </w:style>
  <w:style w:type="table" w:customStyle="1" w:styleId="ListTable2-Accent41">
    <w:name w:val="List Table 2 - Accent 41"/>
    <w:basedOn w:val="TableNormal"/>
    <w:uiPriority w:val="47"/>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E3F6"/>
        <w:bottom w:val="single" w:sz="4" w:space="0" w:color="B2E3F6"/>
        <w:insideH w:val="single" w:sz="4" w:space="0" w:color="B2E3F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5FC"/>
      </w:tcPr>
    </w:tblStylePr>
    <w:tblStylePr w:type="band1Horz">
      <w:tblPr/>
      <w:tcPr>
        <w:shd w:val="clear" w:color="auto" w:fill="E5F5FC"/>
      </w:tcPr>
    </w:tblStylePr>
  </w:style>
  <w:style w:type="table" w:customStyle="1" w:styleId="GridTable6Colorful1">
    <w:name w:val="Grid Table 6 Colorful1"/>
    <w:basedOn w:val="TableNormal"/>
    <w:uiPriority w:val="51"/>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rPr>
      <w:tblPr/>
      <w:tcPr>
        <w:tcBorders>
          <w:bottom w:val="single" w:sz="12" w:space="0" w:color="848484"/>
        </w:tcBorders>
      </w:tcPr>
    </w:tblStylePr>
    <w:tblStylePr w:type="lastRow">
      <w:rPr>
        <w:b/>
        <w:bCs/>
      </w:rPr>
      <w:tblPr/>
      <w:tcPr>
        <w:tcBorders>
          <w:top w:val="double" w:sz="4" w:space="0" w:color="848484"/>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table" w:customStyle="1" w:styleId="TableGridLight1">
    <w:name w:val="Table Grid Light1"/>
    <w:basedOn w:val="TableNormal"/>
    <w:uiPriority w:val="40"/>
    <w:locked/>
    <w:rsid w:val="00200837"/>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locked/>
    <w:rsid w:val="00200837"/>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989898"/>
        </w:tcBorders>
        <w:shd w:val="clear" w:color="auto" w:fill="FFFFFF"/>
      </w:tcPr>
    </w:tblStylePr>
    <w:tblStylePr w:type="lastRow">
      <w:rPr>
        <w:rFonts w:ascii="Times New Roman" w:eastAsia="Times New Roman" w:hAnsi="Times New Roman" w:cs="Times New Roman"/>
        <w:i/>
        <w:iCs/>
        <w:sz w:val="26"/>
      </w:rPr>
      <w:tblPr/>
      <w:tcPr>
        <w:tcBorders>
          <w:top w:val="single" w:sz="4" w:space="0" w:color="989898"/>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989898"/>
        </w:tcBorders>
        <w:shd w:val="clear" w:color="auto" w:fill="FFFFFF"/>
      </w:tcPr>
    </w:tblStylePr>
    <w:tblStylePr w:type="lastCol">
      <w:rPr>
        <w:rFonts w:ascii="Times New Roman" w:eastAsia="Times New Roman" w:hAnsi="Times New Roman" w:cs="Times New Roman"/>
        <w:i/>
        <w:iCs/>
        <w:sz w:val="26"/>
      </w:rPr>
      <w:tblPr/>
      <w:tcPr>
        <w:tcBorders>
          <w:left w:val="single" w:sz="4" w:space="0" w:color="989898"/>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agrammuTabula">
    <w:name w:val="Diagrammu_Tabula"/>
    <w:basedOn w:val="TableNormal"/>
    <w:uiPriority w:val="99"/>
    <w:rsid w:val="00200837"/>
    <w:pPr>
      <w:spacing w:after="0" w:line="240" w:lineRule="auto"/>
    </w:pPr>
    <w:rPr>
      <w:rFonts w:ascii="Times New Roman" w:eastAsia="Times New Roman" w:hAnsi="Times New Roman" w:cs="Times New Roman"/>
      <w:sz w:val="20"/>
      <w:szCs w:val="20"/>
    </w:rPr>
    <w:tblPr>
      <w:tblBorders>
        <w:top w:val="single" w:sz="4" w:space="0" w:color="3D87C7"/>
        <w:bottom w:val="single" w:sz="4" w:space="0" w:color="3D87C7"/>
      </w:tblBorders>
      <w:tblCellMar>
        <w:top w:w="284" w:type="dxa"/>
        <w:bottom w:w="284" w:type="dxa"/>
      </w:tblCellMar>
    </w:tblPr>
  </w:style>
  <w:style w:type="paragraph" w:customStyle="1" w:styleId="Diagrammasatsauce">
    <w:name w:val="Diagrammas atsauce"/>
    <w:basedOn w:val="Normal"/>
    <w:next w:val="Normal"/>
    <w:link w:val="DiagrammasatsauceRakstz"/>
    <w:rsid w:val="00200837"/>
    <w:pPr>
      <w:spacing w:before="120" w:after="480"/>
    </w:pPr>
    <w:rPr>
      <w:rFonts w:ascii="Times New Roman" w:eastAsia="Times New Roman" w:hAnsi="Times New Roman" w:cs="Times New Roman"/>
      <w:i/>
      <w:color w:val="666666"/>
      <w:sz w:val="16"/>
      <w:szCs w:val="23"/>
    </w:rPr>
  </w:style>
  <w:style w:type="character" w:customStyle="1" w:styleId="DiagrammasatsauceRakstz">
    <w:name w:val="Diagrammas atsauce Rakstz."/>
    <w:link w:val="Diagrammasatsauce"/>
    <w:rsid w:val="00200837"/>
    <w:rPr>
      <w:rFonts w:ascii="Times New Roman" w:eastAsia="Times New Roman" w:hAnsi="Times New Roman" w:cs="Times New Roman"/>
      <w:i/>
      <w:color w:val="666666"/>
      <w:sz w:val="16"/>
      <w:szCs w:val="23"/>
    </w:rPr>
  </w:style>
  <w:style w:type="table" w:customStyle="1" w:styleId="GridTable5Dark-Accent61">
    <w:name w:val="Grid Table 5 Dark - Accent 61"/>
    <w:basedOn w:val="TableNormal"/>
    <w:uiPriority w:val="50"/>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9D9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3474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3474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3474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34742"/>
      </w:tcPr>
    </w:tblStylePr>
    <w:tblStylePr w:type="band1Vert">
      <w:tblPr/>
      <w:tcPr>
        <w:shd w:val="clear" w:color="auto" w:fill="F3B4B3"/>
      </w:tcPr>
    </w:tblStylePr>
    <w:tblStylePr w:type="band1Horz">
      <w:tblPr/>
      <w:tcPr>
        <w:shd w:val="clear" w:color="auto" w:fill="F3B4B3"/>
      </w:tcPr>
    </w:tblStylePr>
  </w:style>
  <w:style w:type="table" w:customStyle="1" w:styleId="GridTable5Dark-Accent41">
    <w:name w:val="Grid Table 5 Dark - Accent 41"/>
    <w:basedOn w:val="TableNormal"/>
    <w:uiPriority w:val="50"/>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F5F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FD2F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FD2F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FD2F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FD2F1"/>
      </w:tcPr>
    </w:tblStylePr>
    <w:tblStylePr w:type="band1Vert">
      <w:tblPr/>
      <w:tcPr>
        <w:shd w:val="clear" w:color="auto" w:fill="CBECF9"/>
      </w:tcPr>
    </w:tblStylePr>
    <w:tblStylePr w:type="band1Horz">
      <w:tblPr/>
      <w:tcPr>
        <w:shd w:val="clear" w:color="auto" w:fill="CBECF9"/>
      </w:tcPr>
    </w:tblStylePr>
  </w:style>
  <w:style w:type="table" w:customStyle="1" w:styleId="GridTable6Colorful-Accent11">
    <w:name w:val="Grid Table 6 Colorful - Accent 11"/>
    <w:basedOn w:val="TableNormal"/>
    <w:uiPriority w:val="51"/>
    <w:locked/>
    <w:rsid w:val="00200837"/>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69A3D5"/>
        <w:left w:val="single" w:sz="4" w:space="0" w:color="69A3D5"/>
        <w:bottom w:val="single" w:sz="4" w:space="0" w:color="69A3D5"/>
        <w:right w:val="single" w:sz="4" w:space="0" w:color="69A3D5"/>
        <w:insideH w:val="single" w:sz="4" w:space="0" w:color="69A3D5"/>
        <w:insideV w:val="single" w:sz="4" w:space="0" w:color="69A3D5"/>
      </w:tblBorders>
    </w:tblPr>
    <w:tblStylePr w:type="firstRow">
      <w:rPr>
        <w:b/>
        <w:bCs/>
      </w:rPr>
      <w:tblPr/>
      <w:tcPr>
        <w:tcBorders>
          <w:bottom w:val="single" w:sz="12" w:space="0" w:color="69A3D5"/>
        </w:tcBorders>
      </w:tcPr>
    </w:tblStylePr>
    <w:tblStylePr w:type="lastRow">
      <w:rPr>
        <w:b/>
        <w:bCs/>
      </w:rPr>
      <w:tblPr/>
      <w:tcPr>
        <w:tcBorders>
          <w:top w:val="double" w:sz="4" w:space="0" w:color="69A3D5"/>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VKTabula">
    <w:name w:val="VK Tabula"/>
    <w:basedOn w:val="TableNormal"/>
    <w:uiPriority w:val="99"/>
    <w:rsid w:val="00200837"/>
    <w:pPr>
      <w:spacing w:after="0" w:line="240" w:lineRule="auto"/>
    </w:pPr>
    <w:rPr>
      <w:rFonts w:ascii="Times New Roman" w:eastAsia="Times New Roman" w:hAnsi="Times New Roman" w:cs="Times New Roman"/>
      <w:sz w:val="20"/>
      <w:szCs w:val="20"/>
    </w:rPr>
    <w:tblPr>
      <w:tblStyleRowBandSize w:val="1"/>
      <w:tblBorders>
        <w:top w:val="single" w:sz="4" w:space="0" w:color="3D87C7"/>
        <w:bottom w:val="single" w:sz="4" w:space="0" w:color="3D87C7"/>
        <w:insideH w:val="single" w:sz="4" w:space="0" w:color="3D87C7"/>
      </w:tblBorders>
      <w:tblCellMar>
        <w:top w:w="255" w:type="dxa"/>
        <w:bottom w:w="255" w:type="dxa"/>
      </w:tblCellMar>
    </w:tblPr>
    <w:tblStylePr w:type="firstRow">
      <w:rPr>
        <w:rFonts w:ascii="Times New Roman" w:hAnsi="Times New Roman"/>
        <w:b/>
        <w:color w:val="3D87C7"/>
        <w:sz w:val="22"/>
      </w:rPr>
      <w:tblPr/>
      <w:tcPr>
        <w:tcBorders>
          <w:top w:val="single" w:sz="12" w:space="0" w:color="3D87C7"/>
          <w:left w:val="nil"/>
          <w:bottom w:val="nil"/>
          <w:right w:val="nil"/>
          <w:insideH w:val="nil"/>
          <w:insideV w:val="nil"/>
          <w:tl2br w:val="nil"/>
          <w:tr2bl w:val="nil"/>
        </w:tcBorders>
      </w:tcPr>
    </w:tblStylePr>
    <w:tblStylePr w:type="lastRow">
      <w:rPr>
        <w:color w:val="333333"/>
      </w:rPr>
    </w:tblStylePr>
    <w:tblStylePr w:type="band1Horz">
      <w:rPr>
        <w:rFonts w:ascii="Times New Roman" w:hAnsi="Times New Roman"/>
        <w:sz w:val="20"/>
      </w:rPr>
    </w:tblStylePr>
    <w:tblStylePr w:type="band2Horz">
      <w:rPr>
        <w:rFonts w:ascii="Times New Roman" w:hAnsi="Times New Roman"/>
        <w:sz w:val="20"/>
      </w:rPr>
    </w:tblStylePr>
  </w:style>
  <w:style w:type="table" w:customStyle="1" w:styleId="GridTable4-Accent51">
    <w:name w:val="Grid Table 4 - Accent 51"/>
    <w:basedOn w:val="TableNormal"/>
    <w:uiPriority w:val="49"/>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B93"/>
        <w:left w:val="single" w:sz="4" w:space="0" w:color="FFDB93"/>
        <w:bottom w:val="single" w:sz="4" w:space="0" w:color="FFDB93"/>
        <w:right w:val="single" w:sz="4" w:space="0" w:color="FFDB93"/>
        <w:insideH w:val="single" w:sz="4" w:space="0" w:color="FFDB93"/>
        <w:insideV w:val="single" w:sz="4" w:space="0" w:color="FFDB93"/>
      </w:tblBorders>
    </w:tblPr>
    <w:tblStylePr w:type="firstRow">
      <w:rPr>
        <w:b/>
        <w:bCs/>
        <w:color w:val="FFFFFF"/>
      </w:rPr>
      <w:tblPr/>
      <w:tcPr>
        <w:tcBorders>
          <w:top w:val="single" w:sz="4" w:space="0" w:color="FFC54B"/>
          <w:left w:val="single" w:sz="4" w:space="0" w:color="FFC54B"/>
          <w:bottom w:val="single" w:sz="4" w:space="0" w:color="FFC54B"/>
          <w:right w:val="single" w:sz="4" w:space="0" w:color="FFC54B"/>
          <w:insideH w:val="nil"/>
          <w:insideV w:val="nil"/>
        </w:tcBorders>
        <w:shd w:val="clear" w:color="auto" w:fill="FFC54B"/>
      </w:tcPr>
    </w:tblStylePr>
    <w:tblStylePr w:type="lastRow">
      <w:rPr>
        <w:b/>
        <w:bCs/>
      </w:rPr>
      <w:tblPr/>
      <w:tcPr>
        <w:tcBorders>
          <w:top w:val="double" w:sz="4" w:space="0" w:color="FFC54B"/>
        </w:tcBorders>
      </w:tcPr>
    </w:tblStylePr>
    <w:tblStylePr w:type="firstCol">
      <w:rPr>
        <w:b/>
        <w:bCs/>
      </w:rPr>
    </w:tblStylePr>
    <w:tblStylePr w:type="lastCol">
      <w:rPr>
        <w:b/>
        <w:bCs/>
      </w:rPr>
    </w:tblStylePr>
    <w:tblStylePr w:type="band1Vert">
      <w:tblPr/>
      <w:tcPr>
        <w:shd w:val="clear" w:color="auto" w:fill="FFF3DB"/>
      </w:tcPr>
    </w:tblStylePr>
    <w:tblStylePr w:type="band1Horz">
      <w:tblPr/>
      <w:tcPr>
        <w:shd w:val="clear" w:color="auto" w:fill="FFF3DB"/>
      </w:tcPr>
    </w:tblStylePr>
  </w:style>
  <w:style w:type="table" w:customStyle="1" w:styleId="GridTable41">
    <w:name w:val="Grid Table 41"/>
    <w:basedOn w:val="TableNormal"/>
    <w:uiPriority w:val="49"/>
    <w:locked/>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color w:val="FFFFFF"/>
      </w:rPr>
      <w:tblPr/>
      <w:tcPr>
        <w:tcBorders>
          <w:top w:val="single" w:sz="4" w:space="0" w:color="333333"/>
          <w:left w:val="single" w:sz="4" w:space="0" w:color="333333"/>
          <w:bottom w:val="single" w:sz="4" w:space="0" w:color="333333"/>
          <w:right w:val="single" w:sz="4" w:space="0" w:color="333333"/>
          <w:insideH w:val="nil"/>
          <w:insideV w:val="nil"/>
        </w:tcBorders>
        <w:shd w:val="clear" w:color="auto" w:fill="333333"/>
      </w:tcPr>
    </w:tblStylePr>
    <w:tblStylePr w:type="lastRow">
      <w:rPr>
        <w:b/>
        <w:bCs/>
      </w:rPr>
      <w:tblPr/>
      <w:tcPr>
        <w:tcBorders>
          <w:top w:val="double" w:sz="4" w:space="0" w:color="333333"/>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paragraph" w:customStyle="1" w:styleId="Izpildtskritrijs">
    <w:name w:val="Izpildīts kritērijs"/>
    <w:basedOn w:val="ListParagraph"/>
    <w:qFormat/>
    <w:rsid w:val="00200837"/>
    <w:pPr>
      <w:numPr>
        <w:numId w:val="8"/>
      </w:numPr>
      <w:contextualSpacing w:val="0"/>
      <w:jc w:val="both"/>
    </w:pPr>
    <w:rPr>
      <w:rFonts w:ascii="Times New Roman" w:eastAsia="Times New Roman" w:hAnsi="Times New Roman" w:cs="Times New Roman"/>
      <w:color w:val="333333"/>
      <w:sz w:val="23"/>
      <w:szCs w:val="23"/>
      <w:lang w:eastAsia="lv-LV"/>
    </w:rPr>
  </w:style>
  <w:style w:type="paragraph" w:customStyle="1" w:styleId="Neizpildtskritrijs">
    <w:name w:val="Neizpildīts kritērijs"/>
    <w:basedOn w:val="ListParagraph"/>
    <w:next w:val="Normal"/>
    <w:qFormat/>
    <w:rsid w:val="00200837"/>
    <w:pPr>
      <w:numPr>
        <w:numId w:val="9"/>
      </w:numPr>
      <w:contextualSpacing w:val="0"/>
      <w:jc w:val="both"/>
    </w:pPr>
    <w:rPr>
      <w:rFonts w:ascii="Times New Roman" w:eastAsia="Times New Roman" w:hAnsi="Times New Roman" w:cs="Times New Roman"/>
      <w:color w:val="333333"/>
      <w:sz w:val="23"/>
      <w:szCs w:val="23"/>
    </w:rPr>
  </w:style>
  <w:style w:type="paragraph" w:customStyle="1" w:styleId="Dajiizpildtskritrijs">
    <w:name w:val="Daļēji izpildīts kritērijs"/>
    <w:basedOn w:val="ListParagraph"/>
    <w:qFormat/>
    <w:rsid w:val="00200837"/>
    <w:pPr>
      <w:numPr>
        <w:numId w:val="10"/>
      </w:numPr>
      <w:contextualSpacing w:val="0"/>
      <w:jc w:val="both"/>
    </w:pPr>
    <w:rPr>
      <w:rFonts w:ascii="Times New Roman" w:eastAsia="Times New Roman" w:hAnsi="Times New Roman" w:cs="Times New Roman"/>
      <w:color w:val="333333"/>
      <w:sz w:val="23"/>
      <w:szCs w:val="23"/>
      <w:lang w:eastAsia="lv-LV"/>
    </w:rPr>
  </w:style>
  <w:style w:type="paragraph" w:customStyle="1" w:styleId="Diagrammasvirsraksts">
    <w:name w:val="Diagrammas virsraksts"/>
    <w:next w:val="Normal"/>
    <w:qFormat/>
    <w:rsid w:val="00200837"/>
    <w:pPr>
      <w:spacing w:before="240"/>
    </w:pPr>
    <w:rPr>
      <w:rFonts w:ascii="Times New Roman" w:eastAsia="Times New Roman" w:hAnsi="Times New Roman" w:cs="Times New Roman"/>
      <w:iCs/>
      <w:color w:val="3D87C7"/>
      <w:sz w:val="24"/>
      <w:szCs w:val="23"/>
    </w:rPr>
  </w:style>
  <w:style w:type="paragraph" w:customStyle="1" w:styleId="xVirsraksts">
    <w:name w:val="x Virsraksts"/>
    <w:next w:val="Normal"/>
    <w:link w:val="xVirsrakstsRakstz"/>
    <w:autoRedefine/>
    <w:qFormat/>
    <w:rsid w:val="00200837"/>
    <w:pPr>
      <w:spacing w:before="7680" w:after="480"/>
    </w:pPr>
    <w:rPr>
      <w:rFonts w:ascii="Times New Roman" w:eastAsia="Times New Roman" w:hAnsi="Times New Roman" w:cs="Times New Roman"/>
      <w:iCs/>
      <w:color w:val="3D87C7"/>
      <w:sz w:val="34"/>
      <w:szCs w:val="23"/>
    </w:rPr>
  </w:style>
  <w:style w:type="character" w:customStyle="1" w:styleId="xVirsrakstsRakstz">
    <w:name w:val="x Virsraksts Rakstz."/>
    <w:link w:val="xVirsraksts"/>
    <w:rsid w:val="00200837"/>
    <w:rPr>
      <w:rFonts w:ascii="Times New Roman" w:eastAsia="Times New Roman" w:hAnsi="Times New Roman" w:cs="Times New Roman"/>
      <w:iCs/>
      <w:color w:val="3D87C7"/>
      <w:sz w:val="34"/>
      <w:szCs w:val="23"/>
    </w:rPr>
  </w:style>
  <w:style w:type="paragraph" w:customStyle="1" w:styleId="BVIfnrChar">
    <w:name w:val="BVI fnr Char"/>
    <w:aliases w:val="BVI fnr Car Car Char,BVI fnr Car Char,BVI fnr Car Car Car Car Char1,BVI fnr Car Car Car Car Char Car Char Char"/>
    <w:basedOn w:val="Normal"/>
    <w:uiPriority w:val="99"/>
    <w:rsid w:val="00200837"/>
    <w:pPr>
      <w:spacing w:line="240" w:lineRule="exact"/>
    </w:pPr>
    <w:rPr>
      <w:rFonts w:ascii="Times New Roman" w:eastAsia="Times New Roman" w:hAnsi="Times New Roman" w:cs="Times New Roman"/>
      <w:color w:val="333333"/>
      <w:sz w:val="23"/>
      <w:szCs w:val="23"/>
      <w:vertAlign w:val="superscript"/>
    </w:rPr>
  </w:style>
  <w:style w:type="table" w:styleId="LightShading-Accent1">
    <w:name w:val="Light Shading Accent 1"/>
    <w:basedOn w:val="TableNormal"/>
    <w:uiPriority w:val="60"/>
    <w:rsid w:val="00200837"/>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table" w:customStyle="1" w:styleId="Gaisnojumsizclums11">
    <w:name w:val="Gaišs ēnojums — izcēlums 11"/>
    <w:basedOn w:val="TableNormal"/>
    <w:next w:val="LightShading-Accent1"/>
    <w:uiPriority w:val="60"/>
    <w:rsid w:val="00200837"/>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paragraph" w:styleId="BodyText3">
    <w:name w:val="Body Text 3"/>
    <w:basedOn w:val="Normal"/>
    <w:link w:val="BodyText3Char"/>
    <w:rsid w:val="00200837"/>
    <w:pPr>
      <w:spacing w:after="0" w:line="360" w:lineRule="exact"/>
      <w:jc w:val="both"/>
    </w:pPr>
    <w:rPr>
      <w:rFonts w:ascii="Times New Roman" w:eastAsia="Times New Roman" w:hAnsi="Times New Roman" w:cs="Times New Roman"/>
      <w:sz w:val="28"/>
      <w:szCs w:val="20"/>
    </w:rPr>
  </w:style>
  <w:style w:type="character" w:customStyle="1" w:styleId="BodyText3Char">
    <w:name w:val="Body Text 3 Char"/>
    <w:basedOn w:val="DefaultParagraphFont"/>
    <w:link w:val="BodyText3"/>
    <w:rsid w:val="00200837"/>
    <w:rPr>
      <w:rFonts w:ascii="Times New Roman" w:eastAsia="Times New Roman" w:hAnsi="Times New Roman" w:cs="Times New Roman"/>
      <w:sz w:val="28"/>
      <w:szCs w:val="20"/>
    </w:rPr>
  </w:style>
  <w:style w:type="paragraph" w:styleId="BodyText">
    <w:name w:val="Body Text"/>
    <w:aliases w:val="OT Body Text,Body,Tekst"/>
    <w:basedOn w:val="Normal"/>
    <w:link w:val="BodyTextChar"/>
    <w:rsid w:val="00200837"/>
    <w:pPr>
      <w:spacing w:line="240" w:lineRule="auto"/>
    </w:pPr>
    <w:rPr>
      <w:rFonts w:ascii="Times New Roman" w:eastAsia="Times New Roman" w:hAnsi="Times New Roman" w:cs="Times New Roman"/>
      <w:sz w:val="20"/>
      <w:szCs w:val="20"/>
      <w:lang w:eastAsia="lv-LV"/>
    </w:rPr>
  </w:style>
  <w:style w:type="character" w:customStyle="1" w:styleId="BodyTextChar">
    <w:name w:val="Body Text Char"/>
    <w:aliases w:val="OT Body Text Char,Body Char,Tekst Char"/>
    <w:basedOn w:val="DefaultParagraphFont"/>
    <w:link w:val="BodyText"/>
    <w:rsid w:val="00200837"/>
    <w:rPr>
      <w:rFonts w:ascii="Times New Roman" w:eastAsia="Times New Roman" w:hAnsi="Times New Roman" w:cs="Times New Roman"/>
      <w:sz w:val="20"/>
      <w:szCs w:val="20"/>
      <w:lang w:eastAsia="lv-LV"/>
    </w:rPr>
  </w:style>
  <w:style w:type="table" w:customStyle="1" w:styleId="Reatabula1">
    <w:name w:val="Režģa tabula1"/>
    <w:basedOn w:val="TableNormal"/>
    <w:next w:val="TableGrid"/>
    <w:uiPriority w:val="59"/>
    <w:rsid w:val="0020083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200837"/>
    <w:pPr>
      <w:tabs>
        <w:tab w:val="num" w:pos="360"/>
      </w:tabs>
      <w:spacing w:before="120" w:after="0" w:line="240" w:lineRule="auto"/>
      <w:ind w:left="360" w:hanging="360"/>
    </w:pPr>
    <w:rPr>
      <w:rFonts w:ascii="Times New Roman" w:eastAsia="Times New Roman" w:hAnsi="Times New Roman" w:cs="Times New Roman"/>
      <w:sz w:val="24"/>
      <w:szCs w:val="20"/>
    </w:rPr>
  </w:style>
  <w:style w:type="paragraph" w:customStyle="1" w:styleId="tv2132">
    <w:name w:val="tv2132"/>
    <w:basedOn w:val="Normal"/>
    <w:rsid w:val="00200837"/>
    <w:pPr>
      <w:spacing w:after="0"/>
      <w:ind w:firstLine="300"/>
    </w:pPr>
    <w:rPr>
      <w:rFonts w:ascii="Times New Roman" w:eastAsia="Times New Roman" w:hAnsi="Times New Roman" w:cs="Times New Roman"/>
      <w:color w:val="414142"/>
      <w:sz w:val="20"/>
      <w:szCs w:val="20"/>
      <w:lang w:eastAsia="lv-LV"/>
    </w:rPr>
  </w:style>
  <w:style w:type="table" w:customStyle="1" w:styleId="Reatabula2">
    <w:name w:val="Režģa tabula2"/>
    <w:basedOn w:val="TableNormal"/>
    <w:next w:val="TableGrid"/>
    <w:uiPriority w:val="59"/>
    <w:rsid w:val="0020083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20083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200837"/>
  </w:style>
  <w:style w:type="paragraph" w:customStyle="1" w:styleId="ParastaisTaisnots">
    <w:name w:val="Parastais + Taisnots"/>
    <w:basedOn w:val="Normal"/>
    <w:rsid w:val="00200837"/>
    <w:pPr>
      <w:tabs>
        <w:tab w:val="left" w:pos="5370"/>
      </w:tabs>
      <w:spacing w:after="0" w:line="240" w:lineRule="auto"/>
      <w:jc w:val="both"/>
    </w:pPr>
    <w:rPr>
      <w:rFonts w:ascii="Times New Roman" w:eastAsia="Times New Roman" w:hAnsi="Times New Roman" w:cs="Times New Roman"/>
      <w:bCs/>
      <w:color w:val="000000"/>
      <w:sz w:val="18"/>
      <w:szCs w:val="24"/>
      <w:lang w:eastAsia="lv-LV"/>
    </w:rPr>
  </w:style>
  <w:style w:type="table" w:styleId="LightGrid-Accent2">
    <w:name w:val="Light Grid Accent 2"/>
    <w:basedOn w:val="TableNormal"/>
    <w:uiPriority w:val="62"/>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insideH w:val="single" w:sz="8" w:space="0" w:color="3D87C7"/>
        <w:insideV w:val="single" w:sz="8" w:space="0" w:color="3D87C7"/>
      </w:tblBorders>
    </w:tblPr>
    <w:tblStylePr w:type="firstRow">
      <w:pPr>
        <w:spacing w:before="0" w:after="0" w:line="240" w:lineRule="auto"/>
      </w:pPr>
      <w:rPr>
        <w:rFonts w:ascii="Times New Roman" w:eastAsia="Times New Roman" w:hAnsi="Times New Roman" w:cs="Times New Roman"/>
        <w:b/>
        <w:bCs/>
      </w:rPr>
      <w:tblPr/>
      <w:tcPr>
        <w:tcBorders>
          <w:top w:val="single" w:sz="8" w:space="0" w:color="3D87C7"/>
          <w:left w:val="single" w:sz="8" w:space="0" w:color="3D87C7"/>
          <w:bottom w:val="single" w:sz="18" w:space="0" w:color="3D87C7"/>
          <w:right w:val="single" w:sz="8" w:space="0" w:color="3D87C7"/>
          <w:insideH w:val="nil"/>
          <w:insideV w:val="single" w:sz="8" w:space="0" w:color="3D87C7"/>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3D87C7"/>
          <w:left w:val="single" w:sz="8" w:space="0" w:color="3D87C7"/>
          <w:bottom w:val="single" w:sz="8" w:space="0" w:color="3D87C7"/>
          <w:right w:val="single" w:sz="8" w:space="0" w:color="3D87C7"/>
          <w:insideH w:val="nil"/>
          <w:insideV w:val="single" w:sz="8" w:space="0" w:color="3D87C7"/>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3D87C7"/>
          <w:left w:val="single" w:sz="8" w:space="0" w:color="3D87C7"/>
          <w:bottom w:val="single" w:sz="8" w:space="0" w:color="3D87C7"/>
          <w:right w:val="single" w:sz="8" w:space="0" w:color="3D87C7"/>
        </w:tcBorders>
      </w:tcPr>
    </w:tblStylePr>
    <w:tblStylePr w:type="band1Vert">
      <w:tblPr/>
      <w:tcPr>
        <w:tcBorders>
          <w:top w:val="single" w:sz="8" w:space="0" w:color="3D87C7"/>
          <w:left w:val="single" w:sz="8" w:space="0" w:color="3D87C7"/>
          <w:bottom w:val="single" w:sz="8" w:space="0" w:color="3D87C7"/>
          <w:right w:val="single" w:sz="8" w:space="0" w:color="3D87C7"/>
        </w:tcBorders>
        <w:shd w:val="clear" w:color="auto" w:fill="CEE1F1"/>
      </w:tcPr>
    </w:tblStylePr>
    <w:tblStylePr w:type="band1Horz">
      <w:tblPr/>
      <w:tcPr>
        <w:tcBorders>
          <w:top w:val="single" w:sz="8" w:space="0" w:color="3D87C7"/>
          <w:left w:val="single" w:sz="8" w:space="0" w:color="3D87C7"/>
          <w:bottom w:val="single" w:sz="8" w:space="0" w:color="3D87C7"/>
          <w:right w:val="single" w:sz="8" w:space="0" w:color="3D87C7"/>
          <w:insideV w:val="single" w:sz="8" w:space="0" w:color="3D87C7"/>
        </w:tcBorders>
        <w:shd w:val="clear" w:color="auto" w:fill="CEE1F1"/>
      </w:tcPr>
    </w:tblStylePr>
    <w:tblStylePr w:type="band2Horz">
      <w:tblPr/>
      <w:tcPr>
        <w:tcBorders>
          <w:top w:val="single" w:sz="8" w:space="0" w:color="3D87C7"/>
          <w:left w:val="single" w:sz="8" w:space="0" w:color="3D87C7"/>
          <w:bottom w:val="single" w:sz="8" w:space="0" w:color="3D87C7"/>
          <w:right w:val="single" w:sz="8" w:space="0" w:color="3D87C7"/>
          <w:insideV w:val="single" w:sz="8" w:space="0" w:color="3D87C7"/>
        </w:tcBorders>
      </w:tcPr>
    </w:tblStylePr>
  </w:style>
  <w:style w:type="paragraph" w:styleId="z-BottomofForm">
    <w:name w:val="HTML Bottom of Form"/>
    <w:basedOn w:val="Normal"/>
    <w:next w:val="Normal"/>
    <w:link w:val="z-BottomofFormChar"/>
    <w:hidden/>
    <w:uiPriority w:val="99"/>
    <w:unhideWhenUsed/>
    <w:rsid w:val="00200837"/>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rsid w:val="00200837"/>
    <w:rPr>
      <w:rFonts w:ascii="Arial" w:eastAsia="Times New Roman" w:hAnsi="Arial" w:cs="Arial"/>
      <w:vanish/>
      <w:sz w:val="16"/>
      <w:szCs w:val="16"/>
      <w:lang w:eastAsia="lv-LV"/>
    </w:rPr>
  </w:style>
  <w:style w:type="table" w:styleId="ColorfulList-Accent1">
    <w:name w:val="Colorful List Accent 1"/>
    <w:basedOn w:val="TableNormal"/>
    <w:uiPriority w:val="72"/>
    <w:rsid w:val="00200837"/>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6EFF8"/>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D9ED"/>
      </w:tcPr>
    </w:tblStylePr>
    <w:tblStylePr w:type="band1Horz">
      <w:tblPr/>
      <w:tcPr>
        <w:shd w:val="clear" w:color="auto" w:fill="CDE0F1"/>
      </w:tcPr>
    </w:tblStylePr>
  </w:style>
  <w:style w:type="table" w:styleId="LightShading-Accent2">
    <w:name w:val="Light Shading Accent 2"/>
    <w:basedOn w:val="TableNormal"/>
    <w:uiPriority w:val="60"/>
    <w:rsid w:val="00200837"/>
    <w:pPr>
      <w:spacing w:after="0" w:line="240" w:lineRule="auto"/>
    </w:pPr>
    <w:rPr>
      <w:rFonts w:ascii="Times New Roman" w:eastAsia="Times New Roman" w:hAnsi="Times New Roman" w:cs="Times New Roman"/>
      <w:color w:val="2B6497"/>
      <w:sz w:val="20"/>
      <w:szCs w:val="20"/>
    </w:rPr>
    <w:tblPr>
      <w:tblStyleRowBandSize w:val="1"/>
      <w:tblStyleColBandSize w:val="1"/>
      <w:tblBorders>
        <w:top w:val="single" w:sz="8" w:space="0" w:color="3D87C7"/>
        <w:bottom w:val="single" w:sz="8" w:space="0" w:color="3D87C7"/>
      </w:tblBorders>
    </w:tblPr>
    <w:tblStylePr w:type="fir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la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1F1"/>
      </w:tcPr>
    </w:tblStylePr>
    <w:tblStylePr w:type="band1Horz">
      <w:tblPr/>
      <w:tcPr>
        <w:tcBorders>
          <w:left w:val="nil"/>
          <w:right w:val="nil"/>
          <w:insideH w:val="nil"/>
          <w:insideV w:val="nil"/>
        </w:tcBorders>
        <w:shd w:val="clear" w:color="auto" w:fill="CEE1F1"/>
      </w:tcPr>
    </w:tblStylePr>
  </w:style>
  <w:style w:type="table" w:styleId="MediumList1-Accent3">
    <w:name w:val="Medium List 1 Accent 3"/>
    <w:basedOn w:val="TableNormal"/>
    <w:uiPriority w:val="65"/>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04C72"/>
        <w:bottom w:val="single" w:sz="8" w:space="0" w:color="204C72"/>
      </w:tblBorders>
    </w:tblPr>
    <w:tblStylePr w:type="firstRow">
      <w:rPr>
        <w:rFonts w:ascii="Times New Roman" w:eastAsia="Times New Roman" w:hAnsi="Times New Roman" w:cs="Times New Roman"/>
      </w:rPr>
      <w:tblPr/>
      <w:tcPr>
        <w:tcBorders>
          <w:top w:val="nil"/>
          <w:bottom w:val="single" w:sz="8" w:space="0" w:color="204C72"/>
        </w:tcBorders>
      </w:tcPr>
    </w:tblStylePr>
    <w:tblStylePr w:type="lastRow">
      <w:rPr>
        <w:b/>
        <w:bCs/>
        <w:color w:val="666666"/>
      </w:rPr>
      <w:tblPr/>
      <w:tcPr>
        <w:tcBorders>
          <w:top w:val="single" w:sz="8" w:space="0" w:color="204C72"/>
          <w:bottom w:val="single" w:sz="8" w:space="0" w:color="204C72"/>
        </w:tcBorders>
      </w:tcPr>
    </w:tblStylePr>
    <w:tblStylePr w:type="firstCol">
      <w:rPr>
        <w:b/>
        <w:bCs/>
      </w:rPr>
    </w:tblStylePr>
    <w:tblStylePr w:type="lastCol">
      <w:rPr>
        <w:b/>
        <w:bCs/>
      </w:rPr>
      <w:tblPr/>
      <w:tcPr>
        <w:tcBorders>
          <w:top w:val="single" w:sz="8" w:space="0" w:color="204C72"/>
          <w:bottom w:val="single" w:sz="8" w:space="0" w:color="204C72"/>
        </w:tcBorders>
      </w:tcPr>
    </w:tblStylePr>
    <w:tblStylePr w:type="band1Vert">
      <w:tblPr/>
      <w:tcPr>
        <w:shd w:val="clear" w:color="auto" w:fill="B8D3EB"/>
      </w:tcPr>
    </w:tblStylePr>
    <w:tblStylePr w:type="band1Horz">
      <w:tblPr/>
      <w:tcPr>
        <w:shd w:val="clear" w:color="auto" w:fill="B8D3EB"/>
      </w:tcPr>
    </w:tblStylePr>
  </w:style>
  <w:style w:type="table" w:styleId="MediumList1-Accent2">
    <w:name w:val="Medium List 1 Accent 2"/>
    <w:basedOn w:val="TableNormal"/>
    <w:uiPriority w:val="65"/>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bottom w:val="single" w:sz="8" w:space="0" w:color="3D87C7"/>
      </w:tblBorders>
    </w:tblPr>
    <w:tblStylePr w:type="firstRow">
      <w:rPr>
        <w:rFonts w:ascii="Times New Roman" w:eastAsia="Times New Roman" w:hAnsi="Times New Roman" w:cs="Times New Roman"/>
      </w:rPr>
      <w:tblPr/>
      <w:tcPr>
        <w:tcBorders>
          <w:top w:val="nil"/>
          <w:bottom w:val="single" w:sz="8" w:space="0" w:color="3D87C7"/>
        </w:tcBorders>
      </w:tcPr>
    </w:tblStylePr>
    <w:tblStylePr w:type="lastRow">
      <w:rPr>
        <w:b/>
        <w:bCs/>
        <w:color w:val="666666"/>
      </w:rPr>
      <w:tblPr/>
      <w:tcPr>
        <w:tcBorders>
          <w:top w:val="single" w:sz="8" w:space="0" w:color="3D87C7"/>
          <w:bottom w:val="single" w:sz="8" w:space="0" w:color="3D87C7"/>
        </w:tcBorders>
      </w:tcPr>
    </w:tblStylePr>
    <w:tblStylePr w:type="firstCol">
      <w:rPr>
        <w:b/>
        <w:bCs/>
      </w:rPr>
    </w:tblStylePr>
    <w:tblStylePr w:type="lastCol">
      <w:rPr>
        <w:b/>
        <w:bCs/>
      </w:rPr>
      <w:tblPr/>
      <w:tcPr>
        <w:tcBorders>
          <w:top w:val="single" w:sz="8" w:space="0" w:color="3D87C7"/>
          <w:bottom w:val="single" w:sz="8" w:space="0" w:color="3D87C7"/>
        </w:tcBorders>
      </w:tcPr>
    </w:tblStylePr>
    <w:tblStylePr w:type="band1Vert">
      <w:tblPr/>
      <w:tcPr>
        <w:shd w:val="clear" w:color="auto" w:fill="CEE1F1"/>
      </w:tcPr>
    </w:tblStylePr>
    <w:tblStylePr w:type="band1Horz">
      <w:tblPr/>
      <w:tcPr>
        <w:shd w:val="clear" w:color="auto" w:fill="CEE1F1"/>
      </w:tcPr>
    </w:tblStylePr>
  </w:style>
  <w:style w:type="table" w:styleId="MediumList1-Accent1">
    <w:name w:val="Medium List 1 Accent 1"/>
    <w:basedOn w:val="TableNormal"/>
    <w:uiPriority w:val="65"/>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bottom w:val="single" w:sz="8" w:space="0" w:color="2A6496"/>
      </w:tblBorders>
    </w:tblPr>
    <w:tblStylePr w:type="firstRow">
      <w:rPr>
        <w:rFonts w:ascii="Times New Roman" w:eastAsia="Times New Roman" w:hAnsi="Times New Roman" w:cs="Times New Roman"/>
      </w:rPr>
      <w:tblPr/>
      <w:tcPr>
        <w:tcBorders>
          <w:top w:val="nil"/>
          <w:bottom w:val="single" w:sz="8" w:space="0" w:color="2A6496"/>
        </w:tcBorders>
      </w:tcPr>
    </w:tblStylePr>
    <w:tblStylePr w:type="lastRow">
      <w:rPr>
        <w:b/>
        <w:bCs/>
        <w:color w:val="666666"/>
      </w:rPr>
      <w:tblPr/>
      <w:tcPr>
        <w:tcBorders>
          <w:top w:val="single" w:sz="8" w:space="0" w:color="2A6496"/>
          <w:bottom w:val="single" w:sz="8" w:space="0" w:color="2A6496"/>
        </w:tcBorders>
      </w:tcPr>
    </w:tblStylePr>
    <w:tblStylePr w:type="firstCol">
      <w:rPr>
        <w:b/>
        <w:bCs/>
      </w:rPr>
    </w:tblStylePr>
    <w:tblStylePr w:type="lastCol">
      <w:rPr>
        <w:b/>
        <w:bCs/>
      </w:rPr>
      <w:tblPr/>
      <w:tcPr>
        <w:tcBorders>
          <w:top w:val="single" w:sz="8" w:space="0" w:color="2A6496"/>
          <w:bottom w:val="single" w:sz="8" w:space="0" w:color="2A6496"/>
        </w:tcBorders>
      </w:tcPr>
    </w:tblStylePr>
    <w:tblStylePr w:type="band1Vert">
      <w:tblPr/>
      <w:tcPr>
        <w:shd w:val="clear" w:color="auto" w:fill="C1D9ED"/>
      </w:tcPr>
    </w:tblStylePr>
    <w:tblStylePr w:type="band1Horz">
      <w:tblPr/>
      <w:tcPr>
        <w:shd w:val="clear" w:color="auto" w:fill="C1D9ED"/>
      </w:tcPr>
    </w:tblStylePr>
  </w:style>
  <w:style w:type="table" w:styleId="MediumList1-Accent4">
    <w:name w:val="Medium List 1 Accent 4"/>
    <w:basedOn w:val="TableNormal"/>
    <w:uiPriority w:val="65"/>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bottom w:val="single" w:sz="8" w:space="0" w:color="7FD2F1"/>
      </w:tblBorders>
    </w:tblPr>
    <w:tblStylePr w:type="firstRow">
      <w:rPr>
        <w:rFonts w:ascii="Times New Roman" w:eastAsia="Times New Roman" w:hAnsi="Times New Roman" w:cs="Times New Roman"/>
      </w:rPr>
      <w:tblPr/>
      <w:tcPr>
        <w:tcBorders>
          <w:top w:val="nil"/>
          <w:bottom w:val="single" w:sz="8" w:space="0" w:color="7FD2F1"/>
        </w:tcBorders>
      </w:tcPr>
    </w:tblStylePr>
    <w:tblStylePr w:type="lastRow">
      <w:rPr>
        <w:b/>
        <w:bCs/>
        <w:color w:val="666666"/>
      </w:rPr>
      <w:tblPr/>
      <w:tcPr>
        <w:tcBorders>
          <w:top w:val="single" w:sz="8" w:space="0" w:color="7FD2F1"/>
          <w:bottom w:val="single" w:sz="8" w:space="0" w:color="7FD2F1"/>
        </w:tcBorders>
      </w:tcPr>
    </w:tblStylePr>
    <w:tblStylePr w:type="firstCol">
      <w:rPr>
        <w:b/>
        <w:bCs/>
      </w:rPr>
    </w:tblStylePr>
    <w:tblStylePr w:type="lastCol">
      <w:rPr>
        <w:b/>
        <w:bCs/>
      </w:rPr>
      <w:tblPr/>
      <w:tcPr>
        <w:tcBorders>
          <w:top w:val="single" w:sz="8" w:space="0" w:color="7FD2F1"/>
          <w:bottom w:val="single" w:sz="8" w:space="0" w:color="7FD2F1"/>
        </w:tcBorders>
      </w:tcPr>
    </w:tblStylePr>
    <w:tblStylePr w:type="band1Vert">
      <w:tblPr/>
      <w:tcPr>
        <w:shd w:val="clear" w:color="auto" w:fill="DFF3FB"/>
      </w:tcPr>
    </w:tblStylePr>
    <w:tblStylePr w:type="band1Horz">
      <w:tblPr/>
      <w:tcPr>
        <w:shd w:val="clear" w:color="auto" w:fill="DFF3FB"/>
      </w:tcPr>
    </w:tblStylePr>
  </w:style>
  <w:style w:type="table" w:styleId="MediumShading1-Accent1">
    <w:name w:val="Medium Shading 1 Accent 1"/>
    <w:basedOn w:val="TableNormal"/>
    <w:uiPriority w:val="63"/>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tblBorders>
    </w:tblPr>
    <w:tblStylePr w:type="firstRow">
      <w:pPr>
        <w:spacing w:before="0" w:after="0" w:line="240" w:lineRule="auto"/>
      </w:pPr>
      <w:rPr>
        <w:b/>
        <w:bCs/>
        <w:color w:val="FFFFFF"/>
      </w:rPr>
      <w:tblPr/>
      <w:tcPr>
        <w:tcBorders>
          <w:top w:val="single" w:sz="8" w:space="0" w:color="448CCA"/>
          <w:left w:val="single" w:sz="8" w:space="0" w:color="448CCA"/>
          <w:bottom w:val="single" w:sz="8" w:space="0" w:color="448CCA"/>
          <w:right w:val="single" w:sz="8" w:space="0" w:color="448CCA"/>
          <w:insideH w:val="nil"/>
          <w:insideV w:val="nil"/>
        </w:tcBorders>
        <w:shd w:val="clear" w:color="auto" w:fill="2A6496"/>
      </w:tcPr>
    </w:tblStylePr>
    <w:tblStylePr w:type="lastRow">
      <w:pPr>
        <w:spacing w:before="0" w:after="0" w:line="240" w:lineRule="auto"/>
      </w:pPr>
      <w:rPr>
        <w:b/>
        <w:bCs/>
      </w:rPr>
      <w:tblPr/>
      <w:tcPr>
        <w:tcBorders>
          <w:top w:val="double" w:sz="6" w:space="0" w:color="448CCA"/>
          <w:left w:val="single" w:sz="8" w:space="0" w:color="448CCA"/>
          <w:bottom w:val="single" w:sz="8" w:space="0" w:color="448CCA"/>
          <w:right w:val="single" w:sz="8" w:space="0" w:color="448CCA"/>
          <w:insideH w:val="nil"/>
          <w:insideV w:val="nil"/>
        </w:tcBorders>
      </w:tcPr>
    </w:tblStylePr>
    <w:tblStylePr w:type="firstCol">
      <w:rPr>
        <w:b/>
        <w:bCs/>
      </w:rPr>
    </w:tblStylePr>
    <w:tblStylePr w:type="lastCol">
      <w:rPr>
        <w:b/>
        <w:bCs/>
      </w:rPr>
    </w:tblStylePr>
    <w:tblStylePr w:type="band1Vert">
      <w:tblPr/>
      <w:tcPr>
        <w:shd w:val="clear" w:color="auto" w:fill="C1D9ED"/>
      </w:tcPr>
    </w:tblStylePr>
    <w:tblStylePr w:type="band1Horz">
      <w:tblPr/>
      <w:tcPr>
        <w:tcBorders>
          <w:insideH w:val="nil"/>
          <w:insideV w:val="nil"/>
        </w:tcBorders>
        <w:shd w:val="clear" w:color="auto" w:fill="C1D9ED"/>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6DA4D5"/>
        <w:left w:val="single" w:sz="8" w:space="0" w:color="6DA4D5"/>
        <w:bottom w:val="single" w:sz="8" w:space="0" w:color="6DA4D5"/>
        <w:right w:val="single" w:sz="8" w:space="0" w:color="6DA4D5"/>
        <w:insideH w:val="single" w:sz="8" w:space="0" w:color="6DA4D5"/>
      </w:tblBorders>
    </w:tblPr>
    <w:tblStylePr w:type="firstRow">
      <w:pPr>
        <w:spacing w:before="0" w:after="0" w:line="240" w:lineRule="auto"/>
      </w:pPr>
      <w:rPr>
        <w:b/>
        <w:bCs/>
        <w:color w:val="FFFFFF"/>
      </w:rPr>
      <w:tblPr/>
      <w:tcPr>
        <w:tcBorders>
          <w:top w:val="single" w:sz="8" w:space="0" w:color="6DA4D5"/>
          <w:left w:val="single" w:sz="8" w:space="0" w:color="6DA4D5"/>
          <w:bottom w:val="single" w:sz="8" w:space="0" w:color="6DA4D5"/>
          <w:right w:val="single" w:sz="8" w:space="0" w:color="6DA4D5"/>
          <w:insideH w:val="nil"/>
          <w:insideV w:val="nil"/>
        </w:tcBorders>
        <w:shd w:val="clear" w:color="auto" w:fill="3D87C7"/>
      </w:tcPr>
    </w:tblStylePr>
    <w:tblStylePr w:type="lastRow">
      <w:pPr>
        <w:spacing w:before="0" w:after="0" w:line="240" w:lineRule="auto"/>
      </w:pPr>
      <w:rPr>
        <w:b/>
        <w:bCs/>
      </w:rPr>
      <w:tblPr/>
      <w:tcPr>
        <w:tcBorders>
          <w:top w:val="double" w:sz="6" w:space="0" w:color="6DA4D5"/>
          <w:left w:val="single" w:sz="8" w:space="0" w:color="6DA4D5"/>
          <w:bottom w:val="single" w:sz="8" w:space="0" w:color="6DA4D5"/>
          <w:right w:val="single" w:sz="8" w:space="0" w:color="6DA4D5"/>
          <w:insideH w:val="nil"/>
          <w:insideV w:val="nil"/>
        </w:tcBorders>
      </w:tcPr>
    </w:tblStylePr>
    <w:tblStylePr w:type="firstCol">
      <w:rPr>
        <w:b/>
        <w:bCs/>
      </w:rPr>
    </w:tblStylePr>
    <w:tblStylePr w:type="lastCol">
      <w:rPr>
        <w:b/>
        <w:bCs/>
      </w:rPr>
    </w:tblStylePr>
    <w:tblStylePr w:type="band1Vert">
      <w:tblPr/>
      <w:tcPr>
        <w:shd w:val="clear" w:color="auto" w:fill="CEE1F1"/>
      </w:tcPr>
    </w:tblStylePr>
    <w:tblStylePr w:type="band1Horz">
      <w:tblPr/>
      <w:tcPr>
        <w:tcBorders>
          <w:insideH w:val="nil"/>
          <w:insideV w:val="nil"/>
        </w:tcBorders>
        <w:shd w:val="clear" w:color="auto" w:fill="CEE1F1"/>
      </w:tcPr>
    </w:tblStylePr>
    <w:tblStylePr w:type="band2Horz">
      <w:tblPr/>
      <w:tcPr>
        <w:tcBorders>
          <w:insideH w:val="nil"/>
          <w:insideV w:val="nil"/>
        </w:tcBorders>
      </w:tcPr>
    </w:tblStylePr>
  </w:style>
  <w:style w:type="table" w:styleId="LightList-Accent2">
    <w:name w:val="Light List Accent 2"/>
    <w:basedOn w:val="TableNormal"/>
    <w:uiPriority w:val="61"/>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tblBorders>
    </w:tblPr>
    <w:tblStylePr w:type="firstRow">
      <w:pPr>
        <w:spacing w:before="0" w:after="0" w:line="240" w:lineRule="auto"/>
      </w:pPr>
      <w:rPr>
        <w:b/>
        <w:bCs/>
        <w:color w:val="FFFFFF"/>
      </w:rPr>
      <w:tblPr/>
      <w:tcPr>
        <w:shd w:val="clear" w:color="auto" w:fill="3D87C7"/>
      </w:tcPr>
    </w:tblStylePr>
    <w:tblStylePr w:type="lastRow">
      <w:pPr>
        <w:spacing w:before="0" w:after="0" w:line="240" w:lineRule="auto"/>
      </w:pPr>
      <w:rPr>
        <w:b/>
        <w:bCs/>
      </w:rPr>
      <w:tblPr/>
      <w:tcPr>
        <w:tcBorders>
          <w:top w:val="double" w:sz="6" w:space="0" w:color="3D87C7"/>
          <w:left w:val="single" w:sz="8" w:space="0" w:color="3D87C7"/>
          <w:bottom w:val="single" w:sz="8" w:space="0" w:color="3D87C7"/>
          <w:right w:val="single" w:sz="8" w:space="0" w:color="3D87C7"/>
        </w:tcBorders>
      </w:tcPr>
    </w:tblStylePr>
    <w:tblStylePr w:type="firstCol">
      <w:rPr>
        <w:b/>
        <w:bCs/>
      </w:rPr>
    </w:tblStylePr>
    <w:tblStylePr w:type="lastCol">
      <w:rPr>
        <w:b/>
        <w:bCs/>
      </w:rPr>
    </w:tblStylePr>
    <w:tblStylePr w:type="band1Vert">
      <w:tblPr/>
      <w:tcPr>
        <w:tcBorders>
          <w:top w:val="single" w:sz="8" w:space="0" w:color="3D87C7"/>
          <w:left w:val="single" w:sz="8" w:space="0" w:color="3D87C7"/>
          <w:bottom w:val="single" w:sz="8" w:space="0" w:color="3D87C7"/>
          <w:right w:val="single" w:sz="8" w:space="0" w:color="3D87C7"/>
        </w:tcBorders>
      </w:tcPr>
    </w:tblStylePr>
    <w:tblStylePr w:type="band1Horz">
      <w:tblPr/>
      <w:tcPr>
        <w:tcBorders>
          <w:top w:val="single" w:sz="8" w:space="0" w:color="3D87C7"/>
          <w:left w:val="single" w:sz="8" w:space="0" w:color="3D87C7"/>
          <w:bottom w:val="single" w:sz="8" w:space="0" w:color="3D87C7"/>
          <w:right w:val="single" w:sz="8" w:space="0" w:color="3D87C7"/>
        </w:tcBorders>
      </w:tcPr>
    </w:tblStylePr>
  </w:style>
  <w:style w:type="table" w:styleId="MediumGrid3-Accent2">
    <w:name w:val="Medium Grid 3 Accent 2"/>
    <w:basedOn w:val="TableNormal"/>
    <w:uiPriority w:val="69"/>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1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D87C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D87C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D87C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D87C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EC2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EC2E3"/>
      </w:tcPr>
    </w:tblStylePr>
  </w:style>
  <w:style w:type="table" w:styleId="MediumGrid3-Accent1">
    <w:name w:val="Medium Grid 3 Accent 1"/>
    <w:basedOn w:val="TableNormal"/>
    <w:uiPriority w:val="69"/>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table" w:styleId="LightList-Accent4">
    <w:name w:val="Light List Accent 4"/>
    <w:basedOn w:val="TableNormal"/>
    <w:uiPriority w:val="61"/>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left w:val="single" w:sz="8" w:space="0" w:color="7FD2F1"/>
        <w:bottom w:val="single" w:sz="8" w:space="0" w:color="7FD2F1"/>
        <w:right w:val="single" w:sz="8" w:space="0" w:color="7FD2F1"/>
      </w:tblBorders>
    </w:tblPr>
    <w:tblStylePr w:type="firstRow">
      <w:pPr>
        <w:spacing w:before="0" w:after="0" w:line="240" w:lineRule="auto"/>
      </w:pPr>
      <w:rPr>
        <w:b/>
        <w:bCs/>
        <w:color w:val="FFFFFF"/>
      </w:rPr>
      <w:tblPr/>
      <w:tcPr>
        <w:shd w:val="clear" w:color="auto" w:fill="7FD2F1"/>
      </w:tcPr>
    </w:tblStylePr>
    <w:tblStylePr w:type="lastRow">
      <w:pPr>
        <w:spacing w:before="0" w:after="0" w:line="240" w:lineRule="auto"/>
      </w:pPr>
      <w:rPr>
        <w:b/>
        <w:bCs/>
      </w:rPr>
      <w:tblPr/>
      <w:tcPr>
        <w:tcBorders>
          <w:top w:val="double" w:sz="6" w:space="0" w:color="7FD2F1"/>
          <w:left w:val="single" w:sz="8" w:space="0" w:color="7FD2F1"/>
          <w:bottom w:val="single" w:sz="8" w:space="0" w:color="7FD2F1"/>
          <w:right w:val="single" w:sz="8" w:space="0" w:color="7FD2F1"/>
        </w:tcBorders>
      </w:tcPr>
    </w:tblStylePr>
    <w:tblStylePr w:type="firstCol">
      <w:rPr>
        <w:b/>
        <w:bCs/>
      </w:rPr>
    </w:tblStylePr>
    <w:tblStylePr w:type="lastCol">
      <w:rPr>
        <w:b/>
        <w:bCs/>
      </w:rPr>
    </w:tblStylePr>
    <w:tblStylePr w:type="band1Vert">
      <w:tblPr/>
      <w:tcPr>
        <w:tcBorders>
          <w:top w:val="single" w:sz="8" w:space="0" w:color="7FD2F1"/>
          <w:left w:val="single" w:sz="8" w:space="0" w:color="7FD2F1"/>
          <w:bottom w:val="single" w:sz="8" w:space="0" w:color="7FD2F1"/>
          <w:right w:val="single" w:sz="8" w:space="0" w:color="7FD2F1"/>
        </w:tcBorders>
      </w:tcPr>
    </w:tblStylePr>
    <w:tblStylePr w:type="band1Horz">
      <w:tblPr/>
      <w:tcPr>
        <w:tcBorders>
          <w:top w:val="single" w:sz="8" w:space="0" w:color="7FD2F1"/>
          <w:left w:val="single" w:sz="8" w:space="0" w:color="7FD2F1"/>
          <w:bottom w:val="single" w:sz="8" w:space="0" w:color="7FD2F1"/>
          <w:right w:val="single" w:sz="8" w:space="0" w:color="7FD2F1"/>
        </w:tcBorders>
      </w:tcPr>
    </w:tblStylePr>
  </w:style>
  <w:style w:type="paragraph" w:styleId="z-TopofForm">
    <w:name w:val="HTML Top of Form"/>
    <w:basedOn w:val="Normal"/>
    <w:next w:val="Normal"/>
    <w:link w:val="z-TopofFormChar"/>
    <w:hidden/>
    <w:uiPriority w:val="99"/>
    <w:semiHidden/>
    <w:unhideWhenUsed/>
    <w:rsid w:val="00200837"/>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200837"/>
    <w:rPr>
      <w:rFonts w:ascii="Arial" w:eastAsia="Times New Roman" w:hAnsi="Arial" w:cs="Arial"/>
      <w:vanish/>
      <w:sz w:val="16"/>
      <w:szCs w:val="16"/>
      <w:lang w:eastAsia="lv-LV"/>
    </w:rPr>
  </w:style>
  <w:style w:type="table" w:styleId="ColorfulList-Accent2">
    <w:name w:val="Colorful List Accent 2"/>
    <w:basedOn w:val="TableNormal"/>
    <w:uiPriority w:val="72"/>
    <w:rsid w:val="00200837"/>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paragraph" w:styleId="BodyText2">
    <w:name w:val="Body Text 2"/>
    <w:basedOn w:val="Normal"/>
    <w:link w:val="BodyText2Char"/>
    <w:uiPriority w:val="99"/>
    <w:rsid w:val="00200837"/>
    <w:pPr>
      <w:spacing w:after="0" w:line="240" w:lineRule="auto"/>
    </w:pPr>
    <w:rPr>
      <w:rFonts w:ascii="Times New Roman" w:eastAsia="Times New Roman" w:hAnsi="Times New Roman" w:cs="Times New Roman"/>
      <w:b/>
      <w:sz w:val="24"/>
      <w:szCs w:val="20"/>
      <w:lang w:eastAsia="lv-LV"/>
    </w:rPr>
  </w:style>
  <w:style w:type="character" w:customStyle="1" w:styleId="BodyText2Char">
    <w:name w:val="Body Text 2 Char"/>
    <w:basedOn w:val="DefaultParagraphFont"/>
    <w:link w:val="BodyText2"/>
    <w:uiPriority w:val="99"/>
    <w:rsid w:val="00200837"/>
    <w:rPr>
      <w:rFonts w:ascii="Times New Roman" w:eastAsia="Times New Roman" w:hAnsi="Times New Roman" w:cs="Times New Roman"/>
      <w:b/>
      <w:sz w:val="24"/>
      <w:szCs w:val="20"/>
      <w:lang w:eastAsia="lv-LV"/>
    </w:rPr>
  </w:style>
  <w:style w:type="paragraph" w:customStyle="1" w:styleId="tv2131">
    <w:name w:val="tv2131"/>
    <w:basedOn w:val="Normal"/>
    <w:rsid w:val="00200837"/>
    <w:pPr>
      <w:spacing w:after="0"/>
      <w:ind w:firstLine="300"/>
    </w:pPr>
    <w:rPr>
      <w:rFonts w:ascii="Times New Roman" w:eastAsia="Times New Roman" w:hAnsi="Times New Roman" w:cs="Times New Roman"/>
      <w:color w:val="414142"/>
      <w:sz w:val="20"/>
      <w:szCs w:val="20"/>
      <w:lang w:eastAsia="lv-LV"/>
    </w:rPr>
  </w:style>
  <w:style w:type="table" w:styleId="MediumGrid1-Accent1">
    <w:name w:val="Medium Grid 1 Accent 1"/>
    <w:basedOn w:val="TableNormal"/>
    <w:uiPriority w:val="67"/>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insideV w:val="single" w:sz="8" w:space="0" w:color="448CCA"/>
      </w:tblBorders>
    </w:tblPr>
    <w:tcPr>
      <w:shd w:val="clear" w:color="auto" w:fill="C1D9ED"/>
    </w:tcPr>
    <w:tblStylePr w:type="firstRow">
      <w:rPr>
        <w:b/>
        <w:bCs/>
      </w:rPr>
    </w:tblStylePr>
    <w:tblStylePr w:type="lastRow">
      <w:rPr>
        <w:b/>
        <w:bCs/>
      </w:rPr>
      <w:tblPr/>
      <w:tcPr>
        <w:tcBorders>
          <w:top w:val="single" w:sz="18" w:space="0" w:color="448CCA"/>
        </w:tcBorders>
      </w:tcPr>
    </w:tblStylePr>
    <w:tblStylePr w:type="firstCol">
      <w:rPr>
        <w:b/>
        <w:bCs/>
      </w:rPr>
    </w:tblStylePr>
    <w:tblStylePr w:type="lastCol">
      <w:rPr>
        <w:b/>
        <w:bCs/>
      </w:rPr>
    </w:tblStylePr>
    <w:tblStylePr w:type="band1Vert">
      <w:tblPr/>
      <w:tcPr>
        <w:shd w:val="clear" w:color="auto" w:fill="83B2DC"/>
      </w:tcPr>
    </w:tblStylePr>
    <w:tblStylePr w:type="band1Horz">
      <w:tblPr/>
      <w:tcPr>
        <w:shd w:val="clear" w:color="auto" w:fill="83B2DC"/>
      </w:tcPr>
    </w:tblStylePr>
  </w:style>
  <w:style w:type="character" w:customStyle="1" w:styleId="st1">
    <w:name w:val="st1"/>
    <w:basedOn w:val="DefaultParagraphFont"/>
    <w:rsid w:val="00200837"/>
  </w:style>
  <w:style w:type="table" w:customStyle="1" w:styleId="Krsainssarakstsizclums21">
    <w:name w:val="Krāsains saraksts — izcēlums 21"/>
    <w:basedOn w:val="TableNormal"/>
    <w:next w:val="ColorfulList-Accent2"/>
    <w:uiPriority w:val="72"/>
    <w:rsid w:val="00200837"/>
    <w:pPr>
      <w:spacing w:after="0" w:line="240" w:lineRule="auto"/>
    </w:pPr>
    <w:rPr>
      <w:rFonts w:ascii="Times New Roman" w:eastAsia="Times New Roman" w:hAnsi="Times New Roman" w:cs="Times New Roman"/>
      <w:color w:val="333333"/>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table" w:styleId="MediumGrid3-Accent3">
    <w:name w:val="Medium Grid 3 Accent 3"/>
    <w:basedOn w:val="TableNormal"/>
    <w:uiPriority w:val="69"/>
    <w:rsid w:val="00200837"/>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8D3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04C7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04C7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04C7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04C7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1A7D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1A7D7"/>
      </w:tcPr>
    </w:tblStylePr>
  </w:style>
  <w:style w:type="table" w:styleId="MediumGrid3-Accent4">
    <w:name w:val="Medium Grid 3 Accent 4"/>
    <w:basedOn w:val="TableNormal"/>
    <w:uiPriority w:val="69"/>
    <w:rsid w:val="00200837"/>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F3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FD2F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FD2F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FD2F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FD2F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E8F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E8F8"/>
      </w:tcPr>
    </w:tblStylePr>
  </w:style>
  <w:style w:type="table" w:styleId="LightGrid-Accent5">
    <w:name w:val="Light Grid Accent 5"/>
    <w:basedOn w:val="TableNormal"/>
    <w:uiPriority w:val="62"/>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54B"/>
        <w:left w:val="single" w:sz="8" w:space="0" w:color="FFC54B"/>
        <w:bottom w:val="single" w:sz="8" w:space="0" w:color="FFC54B"/>
        <w:right w:val="single" w:sz="8" w:space="0" w:color="FFC54B"/>
        <w:insideH w:val="single" w:sz="8" w:space="0" w:color="FFC54B"/>
        <w:insideV w:val="single" w:sz="8" w:space="0" w:color="FFC54B"/>
      </w:tblBorders>
    </w:tblPr>
    <w:tblStylePr w:type="firstRow">
      <w:pPr>
        <w:spacing w:before="0" w:after="0" w:line="240" w:lineRule="auto"/>
      </w:pPr>
      <w:rPr>
        <w:rFonts w:ascii="Times New Roman" w:eastAsia="Times New Roman" w:hAnsi="Times New Roman" w:cs="Times New Roman"/>
        <w:b/>
        <w:bCs/>
      </w:rPr>
      <w:tblPr/>
      <w:tcPr>
        <w:tcBorders>
          <w:top w:val="single" w:sz="8" w:space="0" w:color="FFC54B"/>
          <w:left w:val="single" w:sz="8" w:space="0" w:color="FFC54B"/>
          <w:bottom w:val="single" w:sz="18" w:space="0" w:color="FFC54B"/>
          <w:right w:val="single" w:sz="8" w:space="0" w:color="FFC54B"/>
          <w:insideH w:val="nil"/>
          <w:insideV w:val="single" w:sz="8" w:space="0" w:color="FFC54B"/>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FC54B"/>
          <w:left w:val="single" w:sz="8" w:space="0" w:color="FFC54B"/>
          <w:bottom w:val="single" w:sz="8" w:space="0" w:color="FFC54B"/>
          <w:right w:val="single" w:sz="8" w:space="0" w:color="FFC54B"/>
          <w:insideH w:val="nil"/>
          <w:insideV w:val="single" w:sz="8" w:space="0" w:color="FFC54B"/>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FC54B"/>
          <w:left w:val="single" w:sz="8" w:space="0" w:color="FFC54B"/>
          <w:bottom w:val="single" w:sz="8" w:space="0" w:color="FFC54B"/>
          <w:right w:val="single" w:sz="8" w:space="0" w:color="FFC54B"/>
        </w:tcBorders>
      </w:tcPr>
    </w:tblStylePr>
    <w:tblStylePr w:type="band1Vert">
      <w:tblPr/>
      <w:tcPr>
        <w:tcBorders>
          <w:top w:val="single" w:sz="8" w:space="0" w:color="FFC54B"/>
          <w:left w:val="single" w:sz="8" w:space="0" w:color="FFC54B"/>
          <w:bottom w:val="single" w:sz="8" w:space="0" w:color="FFC54B"/>
          <w:right w:val="single" w:sz="8" w:space="0" w:color="FFC54B"/>
        </w:tcBorders>
        <w:shd w:val="clear" w:color="auto" w:fill="FFF0D2"/>
      </w:tcPr>
    </w:tblStylePr>
    <w:tblStylePr w:type="band1Horz">
      <w:tblPr/>
      <w:tcPr>
        <w:tcBorders>
          <w:top w:val="single" w:sz="8" w:space="0" w:color="FFC54B"/>
          <w:left w:val="single" w:sz="8" w:space="0" w:color="FFC54B"/>
          <w:bottom w:val="single" w:sz="8" w:space="0" w:color="FFC54B"/>
          <w:right w:val="single" w:sz="8" w:space="0" w:color="FFC54B"/>
          <w:insideV w:val="single" w:sz="8" w:space="0" w:color="FFC54B"/>
        </w:tcBorders>
        <w:shd w:val="clear" w:color="auto" w:fill="FFF0D2"/>
      </w:tcPr>
    </w:tblStylePr>
    <w:tblStylePr w:type="band2Horz">
      <w:tblPr/>
      <w:tcPr>
        <w:tcBorders>
          <w:top w:val="single" w:sz="8" w:space="0" w:color="FFC54B"/>
          <w:left w:val="single" w:sz="8" w:space="0" w:color="FFC54B"/>
          <w:bottom w:val="single" w:sz="8" w:space="0" w:color="FFC54B"/>
          <w:right w:val="single" w:sz="8" w:space="0" w:color="FFC54B"/>
          <w:insideV w:val="single" w:sz="8" w:space="0" w:color="FFC54B"/>
        </w:tcBorders>
      </w:tcPr>
    </w:tblStylePr>
  </w:style>
  <w:style w:type="paragraph" w:customStyle="1" w:styleId="C1">
    <w:name w:val="C1"/>
    <w:basedOn w:val="Normal"/>
    <w:next w:val="FootnoteText"/>
    <w:uiPriority w:val="99"/>
    <w:unhideWhenUsed/>
    <w:qFormat/>
    <w:rsid w:val="00200837"/>
    <w:pPr>
      <w:spacing w:after="0" w:line="240" w:lineRule="auto"/>
      <w:jc w:val="both"/>
    </w:pPr>
    <w:rPr>
      <w:rFonts w:ascii="Times New Roman" w:eastAsia="Times New Roman" w:hAnsi="Times New Roman" w:cs="Times New Roman"/>
      <w:sz w:val="20"/>
      <w:szCs w:val="20"/>
    </w:rPr>
  </w:style>
  <w:style w:type="table" w:customStyle="1" w:styleId="Vidjsreis3izclums11">
    <w:name w:val="Vidējs režģis 3 — izcēlums 11"/>
    <w:basedOn w:val="TableNormal"/>
    <w:next w:val="MediumGrid3-Accent1"/>
    <w:uiPriority w:val="69"/>
    <w:rsid w:val="00200837"/>
    <w:pPr>
      <w:spacing w:after="0" w:line="240" w:lineRule="auto"/>
    </w:pPr>
    <w:rPr>
      <w:rFonts w:ascii="Times New Roman" w:eastAsia="Times New Roman" w:hAnsi="Times New Roman" w:cs="Times New Roman"/>
      <w:color w:val="333333"/>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character" w:customStyle="1" w:styleId="VrestekstsRakstz1">
    <w:name w:val="Vēres teksts Rakstz.1"/>
    <w:uiPriority w:val="99"/>
    <w:rsid w:val="00200837"/>
    <w:rPr>
      <w:rFonts w:ascii="Times New Roman" w:hAnsi="Times New Roman"/>
      <w:sz w:val="20"/>
      <w:szCs w:val="20"/>
    </w:rPr>
  </w:style>
  <w:style w:type="table" w:styleId="LightList-Accent1">
    <w:name w:val="Light List Accent 1"/>
    <w:basedOn w:val="TableNormal"/>
    <w:uiPriority w:val="61"/>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2A6496"/>
        <w:left w:val="single" w:sz="8" w:space="0" w:color="2A6496"/>
        <w:bottom w:val="single" w:sz="8" w:space="0" w:color="2A6496"/>
        <w:right w:val="single" w:sz="8" w:space="0" w:color="2A6496"/>
      </w:tblBorders>
    </w:tblPr>
    <w:tblStylePr w:type="firstRow">
      <w:pPr>
        <w:spacing w:before="0" w:after="0" w:line="240" w:lineRule="auto"/>
      </w:pPr>
      <w:rPr>
        <w:b/>
        <w:bCs/>
        <w:color w:val="FFFFFF"/>
      </w:rPr>
      <w:tblPr/>
      <w:tcPr>
        <w:shd w:val="clear" w:color="auto" w:fill="2A6496"/>
      </w:tcPr>
    </w:tblStylePr>
    <w:tblStylePr w:type="lastRow">
      <w:pPr>
        <w:spacing w:before="0" w:after="0" w:line="240" w:lineRule="auto"/>
      </w:pPr>
      <w:rPr>
        <w:b/>
        <w:bCs/>
      </w:rPr>
      <w:tblPr/>
      <w:tcPr>
        <w:tcBorders>
          <w:top w:val="double" w:sz="6" w:space="0" w:color="2A6496"/>
          <w:left w:val="single" w:sz="8" w:space="0" w:color="2A6496"/>
          <w:bottom w:val="single" w:sz="8" w:space="0" w:color="2A6496"/>
          <w:right w:val="single" w:sz="8" w:space="0" w:color="2A6496"/>
        </w:tcBorders>
      </w:tcPr>
    </w:tblStylePr>
    <w:tblStylePr w:type="firstCol">
      <w:rPr>
        <w:b/>
        <w:bCs/>
      </w:rPr>
    </w:tblStylePr>
    <w:tblStylePr w:type="lastCol">
      <w:rPr>
        <w:b/>
        <w:bCs/>
      </w:rPr>
    </w:tblStylePr>
    <w:tblStylePr w:type="band1Vert">
      <w:tblPr/>
      <w:tcPr>
        <w:tcBorders>
          <w:top w:val="single" w:sz="8" w:space="0" w:color="2A6496"/>
          <w:left w:val="single" w:sz="8" w:space="0" w:color="2A6496"/>
          <w:bottom w:val="single" w:sz="8" w:space="0" w:color="2A6496"/>
          <w:right w:val="single" w:sz="8" w:space="0" w:color="2A6496"/>
        </w:tcBorders>
      </w:tcPr>
    </w:tblStylePr>
    <w:tblStylePr w:type="band1Horz">
      <w:tblPr/>
      <w:tcPr>
        <w:tcBorders>
          <w:top w:val="single" w:sz="8" w:space="0" w:color="2A6496"/>
          <w:left w:val="single" w:sz="8" w:space="0" w:color="2A6496"/>
          <w:bottom w:val="single" w:sz="8" w:space="0" w:color="2A6496"/>
          <w:right w:val="single" w:sz="8" w:space="0" w:color="2A6496"/>
        </w:tcBorders>
      </w:tcPr>
    </w:tblStylePr>
  </w:style>
  <w:style w:type="table" w:styleId="MediumShading2-Accent1">
    <w:name w:val="Medium Shading 2 Accent 1"/>
    <w:basedOn w:val="TableNormal"/>
    <w:uiPriority w:val="64"/>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A64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A6496"/>
      </w:tcPr>
    </w:tblStylePr>
    <w:tblStylePr w:type="lastCol">
      <w:rPr>
        <w:b/>
        <w:bCs/>
        <w:color w:val="FFFFFF"/>
      </w:rPr>
      <w:tblPr/>
      <w:tcPr>
        <w:tcBorders>
          <w:left w:val="nil"/>
          <w:right w:val="nil"/>
          <w:insideH w:val="nil"/>
          <w:insideV w:val="nil"/>
        </w:tcBorders>
        <w:shd w:val="clear" w:color="auto" w:fill="2A649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61">
    <w:name w:val="List Table 3 - Accent 61"/>
    <w:basedOn w:val="TableNormal"/>
    <w:uiPriority w:val="48"/>
    <w:rsid w:val="00200837"/>
    <w:pPr>
      <w:spacing w:after="0" w:line="240" w:lineRule="auto"/>
    </w:pPr>
    <w:rPr>
      <w:rFonts w:ascii="Times New Roman" w:eastAsia="Times New Roman" w:hAnsi="Times New Roman" w:cs="Times New Roman"/>
      <w:lang w:bidi="lo-LA"/>
    </w:rPr>
    <w:tblPr>
      <w:tblStyleRowBandSize w:val="1"/>
      <w:tblStyleColBandSize w:val="1"/>
      <w:tblBorders>
        <w:top w:val="single" w:sz="4" w:space="0" w:color="E34742"/>
        <w:left w:val="single" w:sz="4" w:space="0" w:color="E34742"/>
        <w:bottom w:val="single" w:sz="4" w:space="0" w:color="E34742"/>
        <w:right w:val="single" w:sz="4" w:space="0" w:color="E34742"/>
      </w:tblBorders>
    </w:tblPr>
    <w:tblStylePr w:type="firstRow">
      <w:rPr>
        <w:b/>
        <w:bCs/>
        <w:color w:val="FFFFFF"/>
      </w:rPr>
      <w:tblPr/>
      <w:tcPr>
        <w:shd w:val="clear" w:color="auto" w:fill="E34742"/>
      </w:tcPr>
    </w:tblStylePr>
    <w:tblStylePr w:type="lastRow">
      <w:rPr>
        <w:b/>
        <w:bCs/>
      </w:rPr>
      <w:tblPr/>
      <w:tcPr>
        <w:tcBorders>
          <w:top w:val="double" w:sz="4" w:space="0" w:color="E3474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34742"/>
          <w:right w:val="single" w:sz="4" w:space="0" w:color="E34742"/>
        </w:tcBorders>
      </w:tcPr>
    </w:tblStylePr>
    <w:tblStylePr w:type="band1Horz">
      <w:tblPr/>
      <w:tcPr>
        <w:tcBorders>
          <w:top w:val="single" w:sz="4" w:space="0" w:color="E34742"/>
          <w:bottom w:val="single" w:sz="4" w:space="0" w:color="E3474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4742"/>
          <w:left w:val="nil"/>
        </w:tcBorders>
      </w:tcPr>
    </w:tblStylePr>
    <w:tblStylePr w:type="swCell">
      <w:tblPr/>
      <w:tcPr>
        <w:tcBorders>
          <w:top w:val="double" w:sz="4" w:space="0" w:color="E34742"/>
          <w:right w:val="nil"/>
        </w:tcBorders>
      </w:tcPr>
    </w:tblStylePr>
  </w:style>
  <w:style w:type="character" w:customStyle="1" w:styleId="A2">
    <w:name w:val="A2"/>
    <w:uiPriority w:val="99"/>
    <w:rsid w:val="00200837"/>
    <w:rPr>
      <w:rFonts w:cs="DaxlinePro-Regular"/>
      <w:color w:val="000000"/>
      <w:sz w:val="16"/>
      <w:szCs w:val="16"/>
    </w:rPr>
  </w:style>
  <w:style w:type="character" w:customStyle="1" w:styleId="Hipersaite1">
    <w:name w:val="Hipersaite1"/>
    <w:uiPriority w:val="99"/>
    <w:semiHidden/>
    <w:unhideWhenUsed/>
    <w:rsid w:val="00200837"/>
    <w:rPr>
      <w:color w:val="3D87C7"/>
      <w:u w:val="single"/>
    </w:rPr>
  </w:style>
  <w:style w:type="table" w:styleId="MediumShading1-Accent3">
    <w:name w:val="Medium Shading 1 Accent 3"/>
    <w:basedOn w:val="TableNormal"/>
    <w:uiPriority w:val="63"/>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47BB9"/>
        <w:left w:val="single" w:sz="8" w:space="0" w:color="347BB9"/>
        <w:bottom w:val="single" w:sz="8" w:space="0" w:color="347BB9"/>
        <w:right w:val="single" w:sz="8" w:space="0" w:color="347BB9"/>
        <w:insideH w:val="single" w:sz="8" w:space="0" w:color="347BB9"/>
      </w:tblBorders>
    </w:tblPr>
    <w:tblStylePr w:type="firstRow">
      <w:pPr>
        <w:spacing w:before="0" w:after="0" w:line="240" w:lineRule="auto"/>
      </w:pPr>
      <w:rPr>
        <w:b/>
        <w:bCs/>
        <w:color w:val="FFFFFF"/>
      </w:rPr>
      <w:tblPr/>
      <w:tcPr>
        <w:tcBorders>
          <w:top w:val="single" w:sz="8" w:space="0" w:color="347BB9"/>
          <w:left w:val="single" w:sz="8" w:space="0" w:color="347BB9"/>
          <w:bottom w:val="single" w:sz="8" w:space="0" w:color="347BB9"/>
          <w:right w:val="single" w:sz="8" w:space="0" w:color="347BB9"/>
          <w:insideH w:val="nil"/>
          <w:insideV w:val="nil"/>
        </w:tcBorders>
        <w:shd w:val="clear" w:color="auto" w:fill="204C72"/>
      </w:tcPr>
    </w:tblStylePr>
    <w:tblStylePr w:type="lastRow">
      <w:pPr>
        <w:spacing w:before="0" w:after="0" w:line="240" w:lineRule="auto"/>
      </w:pPr>
      <w:rPr>
        <w:b/>
        <w:bCs/>
      </w:rPr>
      <w:tblPr/>
      <w:tcPr>
        <w:tcBorders>
          <w:top w:val="double" w:sz="6" w:space="0" w:color="347BB9"/>
          <w:left w:val="single" w:sz="8" w:space="0" w:color="347BB9"/>
          <w:bottom w:val="single" w:sz="8" w:space="0" w:color="347BB9"/>
          <w:right w:val="single" w:sz="8" w:space="0" w:color="347BB9"/>
          <w:insideH w:val="nil"/>
          <w:insideV w:val="nil"/>
        </w:tcBorders>
      </w:tcPr>
    </w:tblStylePr>
    <w:tblStylePr w:type="firstCol">
      <w:rPr>
        <w:b/>
        <w:bCs/>
      </w:rPr>
    </w:tblStylePr>
    <w:tblStylePr w:type="lastCol">
      <w:rPr>
        <w:b/>
        <w:bCs/>
      </w:rPr>
    </w:tblStylePr>
    <w:tblStylePr w:type="band1Vert">
      <w:tblPr/>
      <w:tcPr>
        <w:shd w:val="clear" w:color="auto" w:fill="B8D3EB"/>
      </w:tcPr>
    </w:tblStylePr>
    <w:tblStylePr w:type="band1Horz">
      <w:tblPr/>
      <w:tcPr>
        <w:tcBorders>
          <w:insideH w:val="nil"/>
          <w:insideV w:val="nil"/>
        </w:tcBorders>
        <w:shd w:val="clear" w:color="auto" w:fill="B8D3EB"/>
      </w:tcPr>
    </w:tblStylePr>
    <w:tblStylePr w:type="band2Horz">
      <w:tblPr/>
      <w:tcPr>
        <w:tcBorders>
          <w:insideH w:val="nil"/>
          <w:insideV w:val="nil"/>
        </w:tcBorders>
      </w:tcPr>
    </w:tblStylePr>
  </w:style>
  <w:style w:type="numbering" w:customStyle="1" w:styleId="Bezsaraksta1">
    <w:name w:val="Bez saraksta1"/>
    <w:next w:val="NoList"/>
    <w:uiPriority w:val="99"/>
    <w:semiHidden/>
    <w:unhideWhenUsed/>
    <w:rsid w:val="00200837"/>
  </w:style>
  <w:style w:type="table" w:customStyle="1" w:styleId="Vidjsnojums1izclums11">
    <w:name w:val="Vidējs ēnojums 1 — izcēlums 11"/>
    <w:basedOn w:val="TableNormal"/>
    <w:next w:val="MediumShading1-Accent1"/>
    <w:uiPriority w:val="63"/>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Izmantotahipersaite1">
    <w:name w:val="Izmantota hipersaite1"/>
    <w:rsid w:val="00200837"/>
    <w:rPr>
      <w:color w:val="800080"/>
      <w:u w:val="single"/>
    </w:rPr>
  </w:style>
  <w:style w:type="table" w:customStyle="1" w:styleId="Vidjsreis1izclums11">
    <w:name w:val="Vidējs režģis 1 — izcēlums 11"/>
    <w:basedOn w:val="TableNormal"/>
    <w:next w:val="MediumGrid1-Accent1"/>
    <w:uiPriority w:val="67"/>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Saturardtjavirsraksts1">
    <w:name w:val="Satura rādītāja virsraksts1"/>
    <w:basedOn w:val="Heading1"/>
    <w:next w:val="Normal"/>
    <w:uiPriority w:val="39"/>
    <w:unhideWhenUsed/>
    <w:qFormat/>
    <w:rsid w:val="00200837"/>
    <w:pPr>
      <w:keepNext/>
      <w:keepLines/>
      <w:numPr>
        <w:numId w:val="0"/>
      </w:numPr>
      <w:spacing w:before="480" w:beforeAutospacing="0" w:after="0" w:afterAutospacing="0" w:line="276" w:lineRule="auto"/>
      <w:ind w:left="432" w:hanging="432"/>
      <w:outlineLvl w:val="9"/>
    </w:pPr>
    <w:rPr>
      <w:color w:val="1F4A70"/>
      <w:kern w:val="0"/>
      <w:sz w:val="28"/>
      <w:szCs w:val="28"/>
    </w:rPr>
  </w:style>
  <w:style w:type="paragraph" w:customStyle="1" w:styleId="Citts1">
    <w:name w:val="Citāts1"/>
    <w:basedOn w:val="Normal"/>
    <w:next w:val="Normal"/>
    <w:uiPriority w:val="29"/>
    <w:qFormat/>
    <w:rsid w:val="00200837"/>
    <w:pPr>
      <w:spacing w:after="0" w:line="240" w:lineRule="auto"/>
    </w:pPr>
    <w:rPr>
      <w:rFonts w:ascii="Times New Roman" w:eastAsia="Times New Roman" w:hAnsi="Times New Roman" w:cs="Times New Roman"/>
      <w:i/>
      <w:iCs/>
      <w:color w:val="000000"/>
      <w:sz w:val="24"/>
      <w:szCs w:val="24"/>
      <w:lang w:eastAsia="lv-LV"/>
    </w:rPr>
  </w:style>
  <w:style w:type="table" w:customStyle="1" w:styleId="Gaissarakstsizclums11">
    <w:name w:val="Gaišs saraksts — izcēlums 11"/>
    <w:basedOn w:val="TableNormal"/>
    <w:next w:val="LightList-Accent1"/>
    <w:uiPriority w:val="61"/>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2izclums11">
    <w:name w:val="Vidējs ēnojums 2 — izcēlums 11"/>
    <w:basedOn w:val="TableNormal"/>
    <w:next w:val="MediumShading2-Accent1"/>
    <w:uiPriority w:val="64"/>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aisreisizclums11">
    <w:name w:val="Gaišs režģis — izcēlums 11"/>
    <w:basedOn w:val="TableNormal"/>
    <w:next w:val="LightGrid-Accent1"/>
    <w:uiPriority w:val="62"/>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1">
    <w:name w:val="Table Columns 1"/>
    <w:basedOn w:val="TableNormal"/>
    <w:rsid w:val="00200837"/>
    <w:pPr>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4">
    <w:name w:val="Table Grid 4"/>
    <w:basedOn w:val="TableNormal"/>
    <w:rsid w:val="00200837"/>
    <w:pPr>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hps">
    <w:name w:val="hps"/>
    <w:uiPriority w:val="99"/>
    <w:rsid w:val="00200837"/>
  </w:style>
  <w:style w:type="character" w:customStyle="1" w:styleId="CittsRakstz1">
    <w:name w:val="Citāts Rakstz.1"/>
    <w:uiPriority w:val="29"/>
    <w:rsid w:val="00200837"/>
    <w:rPr>
      <w:i/>
      <w:iCs/>
      <w:color w:val="333333"/>
    </w:rPr>
  </w:style>
  <w:style w:type="table" w:styleId="LightGrid-Accent1">
    <w:name w:val="Light Grid Accent 1"/>
    <w:basedOn w:val="TableNormal"/>
    <w:uiPriority w:val="62"/>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left w:val="single" w:sz="8" w:space="0" w:color="2A6496"/>
        <w:bottom w:val="single" w:sz="8" w:space="0" w:color="2A6496"/>
        <w:right w:val="single" w:sz="8" w:space="0" w:color="2A6496"/>
        <w:insideH w:val="single" w:sz="8" w:space="0" w:color="2A6496"/>
        <w:insideV w:val="single" w:sz="8" w:space="0" w:color="2A6496"/>
      </w:tblBorders>
    </w:tblPr>
    <w:tblStylePr w:type="firstRow">
      <w:pPr>
        <w:spacing w:before="0" w:after="0" w:line="240" w:lineRule="auto"/>
      </w:pPr>
      <w:rPr>
        <w:rFonts w:ascii="Times New Roman" w:eastAsia="Times New Roman" w:hAnsi="Times New Roman" w:cs="Times New Roman"/>
        <w:b/>
        <w:bCs/>
      </w:rPr>
      <w:tblPr/>
      <w:tcPr>
        <w:tcBorders>
          <w:top w:val="single" w:sz="8" w:space="0" w:color="2A6496"/>
          <w:left w:val="single" w:sz="8" w:space="0" w:color="2A6496"/>
          <w:bottom w:val="single" w:sz="18" w:space="0" w:color="2A6496"/>
          <w:right w:val="single" w:sz="8" w:space="0" w:color="2A6496"/>
          <w:insideH w:val="nil"/>
          <w:insideV w:val="single" w:sz="8" w:space="0" w:color="2A649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2A6496"/>
          <w:left w:val="single" w:sz="8" w:space="0" w:color="2A6496"/>
          <w:bottom w:val="single" w:sz="8" w:space="0" w:color="2A6496"/>
          <w:right w:val="single" w:sz="8" w:space="0" w:color="2A6496"/>
          <w:insideH w:val="nil"/>
          <w:insideV w:val="single" w:sz="8" w:space="0" w:color="2A649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2A6496"/>
          <w:left w:val="single" w:sz="8" w:space="0" w:color="2A6496"/>
          <w:bottom w:val="single" w:sz="8" w:space="0" w:color="2A6496"/>
          <w:right w:val="single" w:sz="8" w:space="0" w:color="2A6496"/>
        </w:tcBorders>
      </w:tcPr>
    </w:tblStylePr>
    <w:tblStylePr w:type="band1Vert">
      <w:tblPr/>
      <w:tcPr>
        <w:tcBorders>
          <w:top w:val="single" w:sz="8" w:space="0" w:color="2A6496"/>
          <w:left w:val="single" w:sz="8" w:space="0" w:color="2A6496"/>
          <w:bottom w:val="single" w:sz="8" w:space="0" w:color="2A6496"/>
          <w:right w:val="single" w:sz="8" w:space="0" w:color="2A6496"/>
        </w:tcBorders>
        <w:shd w:val="clear" w:color="auto" w:fill="C1D9ED"/>
      </w:tcPr>
    </w:tblStylePr>
    <w:tblStylePr w:type="band1Horz">
      <w:tblPr/>
      <w:tcPr>
        <w:tcBorders>
          <w:top w:val="single" w:sz="8" w:space="0" w:color="2A6496"/>
          <w:left w:val="single" w:sz="8" w:space="0" w:color="2A6496"/>
          <w:bottom w:val="single" w:sz="8" w:space="0" w:color="2A6496"/>
          <w:right w:val="single" w:sz="8" w:space="0" w:color="2A6496"/>
          <w:insideV w:val="single" w:sz="8" w:space="0" w:color="2A6496"/>
        </w:tcBorders>
        <w:shd w:val="clear" w:color="auto" w:fill="C1D9ED"/>
      </w:tcPr>
    </w:tblStylePr>
    <w:tblStylePr w:type="band2Horz">
      <w:tblPr/>
      <w:tcPr>
        <w:tcBorders>
          <w:top w:val="single" w:sz="8" w:space="0" w:color="2A6496"/>
          <w:left w:val="single" w:sz="8" w:space="0" w:color="2A6496"/>
          <w:bottom w:val="single" w:sz="8" w:space="0" w:color="2A6496"/>
          <w:right w:val="single" w:sz="8" w:space="0" w:color="2A6496"/>
          <w:insideV w:val="single" w:sz="8" w:space="0" w:color="2A6496"/>
        </w:tcBorders>
      </w:tcPr>
    </w:tblStylePr>
  </w:style>
  <w:style w:type="table" w:customStyle="1" w:styleId="Gaissarakstsizclums111">
    <w:name w:val="Gaišs saraksts — izcēlums 111"/>
    <w:basedOn w:val="TableNormal"/>
    <w:next w:val="LightList-Accent1"/>
    <w:uiPriority w:val="61"/>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2">
    <w:name w:val="Gaišs saraksts — izcēlums 112"/>
    <w:basedOn w:val="TableNormal"/>
    <w:next w:val="LightList-Accent1"/>
    <w:uiPriority w:val="61"/>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1izclums12">
    <w:name w:val="Vidējs ēnojums 1 — izcēlums 12"/>
    <w:basedOn w:val="TableNormal"/>
    <w:next w:val="MediumShading1-Accent1"/>
    <w:uiPriority w:val="63"/>
    <w:rsid w:val="00200837"/>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aissarakstsizclums12">
    <w:name w:val="Gaišs saraksts — izcēlums 12"/>
    <w:basedOn w:val="TableNormal"/>
    <w:next w:val="LightList-Accent1"/>
    <w:uiPriority w:val="61"/>
    <w:rsid w:val="00200837"/>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3">
    <w:name w:val="Gaišs saraksts — izcēlums 113"/>
    <w:basedOn w:val="TableNormal"/>
    <w:next w:val="LightList-Accent1"/>
    <w:uiPriority w:val="61"/>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Reatabula4">
    <w:name w:val="Režģa tabula4"/>
    <w:basedOn w:val="TableNormal"/>
    <w:next w:val="TableGrid"/>
    <w:uiPriority w:val="59"/>
    <w:rsid w:val="002008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sarakstsizclums114">
    <w:name w:val="Gaišs saraksts — izcēlums 114"/>
    <w:basedOn w:val="TableNormal"/>
    <w:next w:val="LightList-Accent1"/>
    <w:uiPriority w:val="61"/>
    <w:rsid w:val="00200837"/>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pelle">
    <w:name w:val="spelle"/>
    <w:basedOn w:val="DefaultParagraphFont"/>
    <w:rsid w:val="00200837"/>
  </w:style>
  <w:style w:type="character" w:customStyle="1" w:styleId="leftside">
    <w:name w:val="left_side"/>
    <w:basedOn w:val="DefaultParagraphFont"/>
    <w:rsid w:val="00200837"/>
  </w:style>
  <w:style w:type="numbering" w:customStyle="1" w:styleId="Bezsaraksta2">
    <w:name w:val="Bez saraksta2"/>
    <w:next w:val="NoList"/>
    <w:uiPriority w:val="99"/>
    <w:semiHidden/>
    <w:unhideWhenUsed/>
    <w:rsid w:val="00200837"/>
  </w:style>
  <w:style w:type="table" w:customStyle="1" w:styleId="Reatabula5">
    <w:name w:val="Režģa tabula5"/>
    <w:basedOn w:val="TableNormal"/>
    <w:next w:val="TableGrid"/>
    <w:uiPriority w:val="59"/>
    <w:rsid w:val="002008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Char2,Fußnote Char2,Char Char2,Char Rakstz. Rakstz. Rakstz. Rakstz. Rakstz. Rakstz. Rakstz. Char2,Char Rakstz. Rakstz. Rakstz. Rakstz. Rakstz. Rakstz. Char2,f Char1"/>
    <w:uiPriority w:val="99"/>
    <w:rsid w:val="00200837"/>
    <w:rPr>
      <w:rFonts w:ascii="Calibri" w:hAnsi="Calibri" w:cs="Calibri"/>
      <w:sz w:val="20"/>
      <w:szCs w:val="20"/>
    </w:rPr>
  </w:style>
  <w:style w:type="character" w:customStyle="1" w:styleId="naisfChar">
    <w:name w:val="naisf Char"/>
    <w:link w:val="naisf"/>
    <w:uiPriority w:val="99"/>
    <w:rsid w:val="00200837"/>
    <w:rPr>
      <w:rFonts w:ascii="Times New Roman" w:eastAsia="Times New Roman" w:hAnsi="Times New Roman" w:cs="Times New Roman"/>
      <w:sz w:val="24"/>
      <w:szCs w:val="24"/>
      <w:lang w:eastAsia="lv-LV"/>
    </w:rPr>
  </w:style>
  <w:style w:type="paragraph" w:customStyle="1" w:styleId="text-align-justify">
    <w:name w:val="text-align-justify"/>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MediumGrid1-Accent3">
    <w:name w:val="Medium Grid 1 Accent 3"/>
    <w:basedOn w:val="TableNormal"/>
    <w:uiPriority w:val="67"/>
    <w:rsid w:val="0020083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DB6B" w:themeColor="accent3" w:themeTint="BF"/>
        <w:left w:val="single" w:sz="8" w:space="0" w:color="CFDB6B" w:themeColor="accent3" w:themeTint="BF"/>
        <w:bottom w:val="single" w:sz="8" w:space="0" w:color="CFDB6B" w:themeColor="accent3" w:themeTint="BF"/>
        <w:right w:val="single" w:sz="8" w:space="0" w:color="CFDB6B" w:themeColor="accent3" w:themeTint="BF"/>
        <w:insideH w:val="single" w:sz="8" w:space="0" w:color="CFDB6B" w:themeColor="accent3" w:themeTint="BF"/>
        <w:insideV w:val="single" w:sz="8" w:space="0" w:color="CFDB6B" w:themeColor="accent3" w:themeTint="BF"/>
      </w:tblBorders>
    </w:tblPr>
    <w:tcPr>
      <w:shd w:val="clear" w:color="auto" w:fill="EFF3CE" w:themeFill="accent3" w:themeFillTint="3F"/>
    </w:tcPr>
    <w:tblStylePr w:type="firstRow">
      <w:rPr>
        <w:b/>
        <w:bCs/>
      </w:rPr>
    </w:tblStylePr>
    <w:tblStylePr w:type="lastRow">
      <w:rPr>
        <w:b/>
        <w:bCs/>
      </w:rPr>
      <w:tblPr/>
      <w:tcPr>
        <w:tcBorders>
          <w:top w:val="single" w:sz="18" w:space="0" w:color="CFDB6B" w:themeColor="accent3" w:themeTint="BF"/>
        </w:tcBorders>
      </w:tcPr>
    </w:tblStylePr>
    <w:tblStylePr w:type="firstCol">
      <w:rPr>
        <w:b/>
        <w:bCs/>
      </w:rPr>
    </w:tblStylePr>
    <w:tblStylePr w:type="lastCol">
      <w:rPr>
        <w:b/>
        <w:bCs/>
      </w:rPr>
    </w:tblStylePr>
    <w:tblStylePr w:type="band1Vert">
      <w:tblPr/>
      <w:tcPr>
        <w:shd w:val="clear" w:color="auto" w:fill="DFE79C" w:themeFill="accent3" w:themeFillTint="7F"/>
      </w:tcPr>
    </w:tblStylePr>
    <w:tblStylePr w:type="band1Horz">
      <w:tblPr/>
      <w:tcPr>
        <w:shd w:val="clear" w:color="auto" w:fill="DFE79C" w:themeFill="accent3" w:themeFillTint="7F"/>
      </w:tcPr>
    </w:tblStylePr>
  </w:style>
  <w:style w:type="table" w:styleId="ColorfulShading-Accent1">
    <w:name w:val="Colorful Shading Accent 1"/>
    <w:basedOn w:val="TableNormal"/>
    <w:uiPriority w:val="71"/>
    <w:rsid w:val="00200837"/>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8AB833" w:themeColor="accent2"/>
        <w:left w:val="single" w:sz="4" w:space="0" w:color="549E39" w:themeColor="accent1"/>
        <w:bottom w:val="single" w:sz="4" w:space="0" w:color="549E39" w:themeColor="accent1"/>
        <w:right w:val="single" w:sz="4" w:space="0" w:color="549E39" w:themeColor="accent1"/>
        <w:insideH w:val="single" w:sz="4" w:space="0" w:color="FFFFFF" w:themeColor="background1"/>
        <w:insideV w:val="single" w:sz="4" w:space="0" w:color="FFFFFF" w:themeColor="background1"/>
      </w:tblBorders>
    </w:tblPr>
    <w:tcPr>
      <w:shd w:val="clear" w:color="auto" w:fill="EDF7E9" w:themeFill="accent1" w:themeFillTint="19"/>
    </w:tcPr>
    <w:tblStylePr w:type="firstRow">
      <w:rPr>
        <w:b/>
        <w:bCs/>
      </w:rPr>
      <w:tblPr/>
      <w:tcPr>
        <w:tcBorders>
          <w:top w:val="nil"/>
          <w:left w:val="nil"/>
          <w:bottom w:val="single" w:sz="24" w:space="0" w:color="8AB8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5E22" w:themeFill="accent1" w:themeFillShade="99"/>
      </w:tcPr>
    </w:tblStylePr>
    <w:tblStylePr w:type="firstCol">
      <w:rPr>
        <w:color w:val="FFFFFF" w:themeColor="background1"/>
      </w:rPr>
      <w:tblPr/>
      <w:tcPr>
        <w:tcBorders>
          <w:top w:val="nil"/>
          <w:left w:val="nil"/>
          <w:bottom w:val="nil"/>
          <w:right w:val="nil"/>
          <w:insideH w:val="single" w:sz="4" w:space="0" w:color="325E22" w:themeColor="accent1" w:themeShade="99"/>
          <w:insideV w:val="nil"/>
        </w:tcBorders>
        <w:shd w:val="clear" w:color="auto" w:fill="325E2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25E22" w:themeFill="accent1" w:themeFillShade="99"/>
      </w:tcPr>
    </w:tblStylePr>
    <w:tblStylePr w:type="band1Vert">
      <w:tblPr/>
      <w:tcPr>
        <w:shd w:val="clear" w:color="auto" w:fill="B7DFA8" w:themeFill="accent1" w:themeFillTint="66"/>
      </w:tcPr>
    </w:tblStylePr>
    <w:tblStylePr w:type="band1Horz">
      <w:tblPr/>
      <w:tcPr>
        <w:shd w:val="clear" w:color="auto" w:fill="A5D893" w:themeFill="accent1" w:themeFillTint="7F"/>
      </w:tcPr>
    </w:tblStylePr>
    <w:tblStylePr w:type="neCell">
      <w:rPr>
        <w:color w:val="000000" w:themeColor="text1"/>
      </w:rPr>
    </w:tblStylePr>
    <w:tblStylePr w:type="nwCell">
      <w:rPr>
        <w:color w:val="000000" w:themeColor="text1"/>
      </w:rPr>
    </w:tblStylePr>
  </w:style>
  <w:style w:type="character" w:customStyle="1" w:styleId="t3">
    <w:name w:val="t3"/>
    <w:rsid w:val="00200837"/>
  </w:style>
  <w:style w:type="paragraph" w:customStyle="1" w:styleId="rtejustify">
    <w:name w:val="rtejustify"/>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200837"/>
    <w:pPr>
      <w:spacing w:after="0" w:line="240" w:lineRule="auto"/>
      <w:ind w:left="720" w:hanging="360"/>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200837"/>
    <w:rPr>
      <w:rFonts w:ascii="Times New Roman" w:eastAsia="Times New Roman" w:hAnsi="Times New Roman" w:cs="Times New Roman"/>
      <w:sz w:val="28"/>
      <w:szCs w:val="24"/>
    </w:rPr>
  </w:style>
  <w:style w:type="character" w:customStyle="1" w:styleId="BodyTextIndent2Char1">
    <w:name w:val="Body Text Indent 2 Char1"/>
    <w:locked/>
    <w:rsid w:val="00200837"/>
    <w:rPr>
      <w:sz w:val="28"/>
      <w:lang w:val="lv-LV" w:eastAsia="en-US" w:bidi="ar-SA"/>
    </w:rPr>
  </w:style>
  <w:style w:type="character" w:customStyle="1" w:styleId="TitleChar1">
    <w:name w:val="Title Char1"/>
    <w:aliases w:val="Title Char1 Char Char"/>
    <w:locked/>
    <w:rsid w:val="00200837"/>
    <w:rPr>
      <w:b/>
      <w:bCs/>
      <w:sz w:val="28"/>
      <w:szCs w:val="24"/>
      <w:u w:val="single"/>
      <w:lang w:val="lv-LV" w:eastAsia="en-US" w:bidi="ar-SA"/>
    </w:rPr>
  </w:style>
  <w:style w:type="paragraph" w:customStyle="1" w:styleId="Blockquote">
    <w:name w:val="Blockquote"/>
    <w:basedOn w:val="Normal"/>
    <w:rsid w:val="00200837"/>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naispant">
    <w:name w:val="naispant"/>
    <w:basedOn w:val="Normal"/>
    <w:rsid w:val="00200837"/>
    <w:pPr>
      <w:spacing w:before="374" w:after="94" w:line="240" w:lineRule="auto"/>
      <w:ind w:left="468" w:firstLine="468"/>
      <w:jc w:val="both"/>
    </w:pPr>
    <w:rPr>
      <w:rFonts w:ascii="Times New Roman" w:eastAsia="Times New Roman" w:hAnsi="Times New Roman" w:cs="Times New Roman"/>
      <w:b/>
      <w:bCs/>
      <w:sz w:val="24"/>
      <w:szCs w:val="24"/>
      <w:lang w:eastAsia="lv-LV"/>
    </w:rPr>
  </w:style>
  <w:style w:type="paragraph" w:customStyle="1" w:styleId="Pamatteksts1">
    <w:name w:val="Pamatteksts1"/>
    <w:rsid w:val="00200837"/>
    <w:pPr>
      <w:widowControl w:val="0"/>
      <w:spacing w:after="0" w:line="370" w:lineRule="atLeast"/>
      <w:ind w:firstLine="340"/>
      <w:jc w:val="both"/>
    </w:pPr>
    <w:rPr>
      <w:rFonts w:ascii="Dotum" w:eastAsia="Dotum" w:hAnsi="Times New Roman" w:cs="Times New Roman"/>
      <w:sz w:val="24"/>
      <w:szCs w:val="20"/>
      <w:lang w:val="en-US"/>
    </w:rPr>
  </w:style>
  <w:style w:type="paragraph" w:customStyle="1" w:styleId="teksts">
    <w:name w:val="teksts"/>
    <w:rsid w:val="00200837"/>
    <w:pPr>
      <w:overflowPunct w:val="0"/>
      <w:autoSpaceDE w:val="0"/>
      <w:autoSpaceDN w:val="0"/>
      <w:adjustRightInd w:val="0"/>
      <w:spacing w:line="240" w:lineRule="auto"/>
      <w:jc w:val="both"/>
      <w:textAlignment w:val="baseline"/>
    </w:pPr>
    <w:rPr>
      <w:rFonts w:ascii="Times New Roman" w:eastAsia="Times New Roman" w:hAnsi="Times New Roman" w:cs="Times New Roman"/>
      <w:sz w:val="24"/>
      <w:szCs w:val="20"/>
      <w:lang w:val="en-GB"/>
    </w:rPr>
  </w:style>
  <w:style w:type="character" w:customStyle="1" w:styleId="numercijaarbuletiem">
    <w:name w:val="numerācija ar buletiem"/>
    <w:rsid w:val="00200837"/>
    <w:rPr>
      <w:iCs/>
    </w:rPr>
  </w:style>
  <w:style w:type="paragraph" w:customStyle="1" w:styleId="attlanr">
    <w:name w:val="attēla nr."/>
    <w:basedOn w:val="Normal"/>
    <w:rsid w:val="00200837"/>
    <w:pPr>
      <w:spacing w:after="0" w:line="240" w:lineRule="auto"/>
      <w:ind w:firstLine="709"/>
      <w:jc w:val="right"/>
    </w:pPr>
    <w:rPr>
      <w:rFonts w:ascii="Times New Roman" w:eastAsia="Times New Roman" w:hAnsi="Times New Roman" w:cs="Times New Roman"/>
      <w:sz w:val="28"/>
      <w:szCs w:val="24"/>
      <w:lang w:eastAsia="lv-LV"/>
    </w:rPr>
  </w:style>
  <w:style w:type="paragraph" w:customStyle="1" w:styleId="Virsraksts">
    <w:name w:val="Virsraksts"/>
    <w:basedOn w:val="Normal"/>
    <w:rsid w:val="00200837"/>
    <w:pPr>
      <w:spacing w:after="0" w:line="240" w:lineRule="auto"/>
      <w:ind w:firstLine="567"/>
      <w:jc w:val="center"/>
    </w:pPr>
    <w:rPr>
      <w:rFonts w:ascii="Times New Roman" w:eastAsia="Times New Roman" w:hAnsi="Times New Roman" w:cs="Times New Roman"/>
      <w:b/>
      <w:bCs/>
      <w:sz w:val="44"/>
      <w:szCs w:val="24"/>
      <w:lang w:eastAsia="lv-LV"/>
    </w:rPr>
  </w:style>
  <w:style w:type="paragraph" w:customStyle="1" w:styleId="Visraksts2">
    <w:name w:val="Visraksts 2"/>
    <w:basedOn w:val="Normal"/>
    <w:rsid w:val="00200837"/>
    <w:pPr>
      <w:spacing w:after="0" w:line="240" w:lineRule="auto"/>
      <w:ind w:firstLine="567"/>
      <w:jc w:val="center"/>
    </w:pPr>
    <w:rPr>
      <w:rFonts w:ascii="Times New Roman" w:eastAsia="Times New Roman" w:hAnsi="Times New Roman" w:cs="Times New Roman"/>
      <w:sz w:val="40"/>
      <w:szCs w:val="24"/>
      <w:lang w:eastAsia="lv-LV"/>
    </w:rPr>
  </w:style>
  <w:style w:type="paragraph" w:customStyle="1" w:styleId="Virsraksts31">
    <w:name w:val="Virsraksts 31"/>
    <w:basedOn w:val="Normal"/>
    <w:rsid w:val="00200837"/>
    <w:pPr>
      <w:spacing w:after="0" w:line="240" w:lineRule="auto"/>
      <w:ind w:firstLine="567"/>
      <w:jc w:val="center"/>
    </w:pPr>
    <w:rPr>
      <w:rFonts w:ascii="Times New Roman" w:eastAsia="Times New Roman" w:hAnsi="Times New Roman" w:cs="Times New Roman"/>
      <w:b/>
      <w:bCs/>
      <w:sz w:val="40"/>
      <w:szCs w:val="24"/>
      <w:lang w:eastAsia="lv-LV"/>
    </w:rPr>
  </w:style>
  <w:style w:type="paragraph" w:customStyle="1" w:styleId="N">
    <w:name w:val="N"/>
    <w:basedOn w:val="Normal"/>
    <w:autoRedefine/>
    <w:rsid w:val="00200837"/>
    <w:pPr>
      <w:spacing w:after="0" w:line="240" w:lineRule="auto"/>
      <w:ind w:firstLine="720"/>
      <w:jc w:val="both"/>
    </w:pPr>
    <w:rPr>
      <w:rFonts w:ascii="Times New Roman" w:eastAsia="Times New Roman" w:hAnsi="Times New Roman" w:cs="Times New Roman"/>
      <w:sz w:val="28"/>
      <w:szCs w:val="28"/>
      <w:lang w:eastAsia="lv-LV"/>
    </w:rPr>
  </w:style>
  <w:style w:type="paragraph" w:customStyle="1" w:styleId="Taksts11">
    <w:name w:val="Taksts_11"/>
    <w:basedOn w:val="Normal"/>
    <w:rsid w:val="00200837"/>
    <w:pPr>
      <w:spacing w:after="0" w:line="240" w:lineRule="auto"/>
      <w:ind w:firstLine="567"/>
      <w:jc w:val="both"/>
    </w:pPr>
    <w:rPr>
      <w:rFonts w:ascii="Times New Roman" w:eastAsia="Times New Roman" w:hAnsi="Times New Roman" w:cs="Times New Roman"/>
      <w:sz w:val="28"/>
      <w:szCs w:val="20"/>
      <w:lang w:val="en-US"/>
    </w:rPr>
  </w:style>
  <w:style w:type="paragraph" w:customStyle="1" w:styleId="attls">
    <w:name w:val="attēls"/>
    <w:basedOn w:val="BodyText"/>
    <w:rsid w:val="00200837"/>
    <w:pPr>
      <w:spacing w:after="0"/>
      <w:ind w:firstLine="720"/>
      <w:jc w:val="right"/>
    </w:pPr>
    <w:rPr>
      <w:sz w:val="28"/>
      <w:szCs w:val="24"/>
    </w:rPr>
  </w:style>
  <w:style w:type="paragraph" w:customStyle="1" w:styleId="StyleVirsrakstsUBComplex11pt">
    <w:name w:val="Style Virsraksts U B + (Complex) 11 pt"/>
    <w:basedOn w:val="Normal"/>
    <w:rsid w:val="00200837"/>
    <w:pPr>
      <w:spacing w:after="0" w:line="240" w:lineRule="auto"/>
      <w:ind w:firstLine="567"/>
      <w:jc w:val="both"/>
    </w:pPr>
    <w:rPr>
      <w:rFonts w:ascii="Times New Roman" w:eastAsia="Times New Roman" w:hAnsi="Times New Roman" w:cs="Times New Roman"/>
      <w:b/>
      <w:bCs/>
      <w:sz w:val="28"/>
      <w:u w:val="single"/>
    </w:rPr>
  </w:style>
  <w:style w:type="character" w:customStyle="1" w:styleId="StyleVirsrakstsUBComplex11ptChar">
    <w:name w:val="Style Virsraksts U B + (Complex) 11 pt Char"/>
    <w:rsid w:val="00200837"/>
    <w:rPr>
      <w:b/>
      <w:bCs/>
      <w:sz w:val="28"/>
      <w:szCs w:val="22"/>
      <w:u w:val="single"/>
      <w:lang w:val="lv-LV" w:eastAsia="en-US" w:bidi="ar-SA"/>
    </w:rPr>
  </w:style>
  <w:style w:type="paragraph" w:customStyle="1" w:styleId="naisnod">
    <w:name w:val="naisnod"/>
    <w:basedOn w:val="Normal"/>
    <w:uiPriority w:val="99"/>
    <w:rsid w:val="00200837"/>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avinfo1">
    <w:name w:val="navinfo1"/>
    <w:rsid w:val="00200837"/>
    <w:rPr>
      <w:rFonts w:ascii="Arial" w:hAnsi="Arial" w:cs="Arial" w:hint="default"/>
      <w:b/>
      <w:bCs/>
      <w:color w:val="14247C"/>
      <w:sz w:val="17"/>
      <w:szCs w:val="17"/>
    </w:rPr>
  </w:style>
  <w:style w:type="paragraph" w:customStyle="1" w:styleId="Style6">
    <w:name w:val="Style6"/>
    <w:basedOn w:val="Heading4"/>
    <w:link w:val="Style6Char"/>
    <w:autoRedefine/>
    <w:rsid w:val="00200837"/>
    <w:pPr>
      <w:keepLines w:val="0"/>
      <w:numPr>
        <w:numId w:val="57"/>
      </w:numPr>
      <w:spacing w:before="120" w:after="60" w:line="240" w:lineRule="auto"/>
    </w:pPr>
    <w:rPr>
      <w:rFonts w:ascii="Times New Roman" w:eastAsia="Times New Roman" w:hAnsi="Times New Roman" w:cs="Times New Roman"/>
      <w:b/>
      <w:bCs/>
      <w:color w:val="auto"/>
      <w:sz w:val="24"/>
      <w:szCs w:val="24"/>
      <w:lang w:eastAsia="lv-LV"/>
    </w:rPr>
  </w:style>
  <w:style w:type="character" w:customStyle="1" w:styleId="Style6Char">
    <w:name w:val="Style6 Char"/>
    <w:link w:val="Style6"/>
    <w:locked/>
    <w:rsid w:val="00200837"/>
    <w:rPr>
      <w:rFonts w:ascii="Times New Roman" w:eastAsia="Times New Roman" w:hAnsi="Times New Roman" w:cs="Times New Roman"/>
      <w:b/>
      <w:bCs/>
      <w:i/>
      <w:iCs/>
      <w:sz w:val="24"/>
      <w:szCs w:val="24"/>
      <w:lang w:eastAsia="lv-LV"/>
    </w:rPr>
  </w:style>
  <w:style w:type="paragraph" w:customStyle="1" w:styleId="RakstzRakstz1">
    <w:name w:val="Rakstz. Rakstz.1"/>
    <w:basedOn w:val="Normal"/>
    <w:next w:val="BlockText"/>
    <w:rsid w:val="00200837"/>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200837"/>
    <w:pPr>
      <w:spacing w:line="240" w:lineRule="auto"/>
      <w:ind w:left="1440" w:right="1440"/>
    </w:pPr>
    <w:rPr>
      <w:rFonts w:ascii="Times New Roman" w:eastAsia="Times New Roman" w:hAnsi="Times New Roman" w:cs="Times New Roman"/>
      <w:sz w:val="24"/>
      <w:szCs w:val="24"/>
      <w:lang w:val="ru-RU" w:eastAsia="lv-LV"/>
    </w:rPr>
  </w:style>
  <w:style w:type="paragraph" w:customStyle="1" w:styleId="naiskr">
    <w:name w:val="naiskr"/>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TMLTypewriter">
    <w:name w:val="HTML Typewriter"/>
    <w:rsid w:val="00200837"/>
    <w:rPr>
      <w:rFonts w:ascii="Courier New" w:eastAsia="Times New Roman" w:hAnsi="Courier New" w:cs="Courier New"/>
      <w:sz w:val="20"/>
      <w:szCs w:val="20"/>
    </w:rPr>
  </w:style>
  <w:style w:type="paragraph" w:customStyle="1" w:styleId="NormalJustified">
    <w:name w:val="Normal + Justified"/>
    <w:basedOn w:val="Normal"/>
    <w:rsid w:val="00200837"/>
    <w:pPr>
      <w:spacing w:after="0" w:line="240" w:lineRule="auto"/>
      <w:jc w:val="both"/>
    </w:pPr>
    <w:rPr>
      <w:rFonts w:ascii="Times New Roman" w:eastAsia="Times New Roman" w:hAnsi="Times New Roman" w:cs="Times New Roman"/>
      <w:sz w:val="24"/>
      <w:szCs w:val="20"/>
    </w:rPr>
  </w:style>
  <w:style w:type="paragraph" w:styleId="EnvelopeReturn">
    <w:name w:val="envelope return"/>
    <w:basedOn w:val="Normal"/>
    <w:rsid w:val="00200837"/>
    <w:pPr>
      <w:keepLines/>
      <w:widowControl w:val="0"/>
      <w:spacing w:before="600" w:after="0" w:line="240" w:lineRule="auto"/>
    </w:pPr>
    <w:rPr>
      <w:rFonts w:ascii="Times New Roman" w:eastAsia="Times New Roman" w:hAnsi="Times New Roman" w:cs="Times New Roman"/>
      <w:sz w:val="26"/>
      <w:szCs w:val="20"/>
      <w:lang w:val="en-AU"/>
    </w:rPr>
  </w:style>
  <w:style w:type="paragraph" w:customStyle="1" w:styleId="TOCHeading1">
    <w:name w:val="TOC Heading1"/>
    <w:basedOn w:val="Heading1"/>
    <w:next w:val="Normal"/>
    <w:qFormat/>
    <w:rsid w:val="00200837"/>
    <w:pPr>
      <w:keepNext/>
      <w:keepLines/>
      <w:numPr>
        <w:numId w:val="0"/>
      </w:numPr>
      <w:spacing w:before="480" w:beforeAutospacing="0" w:after="0" w:afterAutospacing="0" w:line="276" w:lineRule="auto"/>
      <w:ind w:left="432" w:hanging="432"/>
      <w:outlineLvl w:val="9"/>
    </w:pPr>
    <w:rPr>
      <w:rFonts w:ascii="Cambria" w:eastAsia="PMingLiU" w:hAnsi="Cambria"/>
      <w:color w:val="365F91"/>
      <w:kern w:val="0"/>
      <w:sz w:val="28"/>
      <w:szCs w:val="28"/>
      <w:lang w:val="en-US" w:eastAsia="en-US"/>
    </w:rPr>
  </w:style>
  <w:style w:type="paragraph" w:customStyle="1" w:styleId="naispie">
    <w:name w:val="naispie"/>
    <w:basedOn w:val="Normal"/>
    <w:uiPriority w:val="99"/>
    <w:rsid w:val="00200837"/>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apple-style-span">
    <w:name w:val="apple-style-span"/>
    <w:basedOn w:val="DefaultParagraphFont"/>
    <w:rsid w:val="00200837"/>
  </w:style>
  <w:style w:type="character" w:customStyle="1" w:styleId="link-pdf-js">
    <w:name w:val="link-pdf-js"/>
    <w:basedOn w:val="DefaultParagraphFont"/>
    <w:rsid w:val="00200837"/>
  </w:style>
  <w:style w:type="character" w:customStyle="1" w:styleId="t3fwnfsmfclg">
    <w:name w:val="t3 fwn fsm fclg"/>
    <w:basedOn w:val="DefaultParagraphFont"/>
    <w:rsid w:val="00200837"/>
  </w:style>
  <w:style w:type="paragraph" w:customStyle="1" w:styleId="a3520normaltiret201">
    <w:name w:val="a__35__20_normal_tiret_20_1"/>
    <w:basedOn w:val="Normal"/>
    <w:uiPriority w:val="99"/>
    <w:rsid w:val="00200837"/>
    <w:pPr>
      <w:spacing w:before="100" w:beforeAutospacing="1" w:after="100" w:afterAutospacing="1" w:line="240" w:lineRule="auto"/>
    </w:pPr>
    <w:rPr>
      <w:rFonts w:ascii="Calibri" w:eastAsia="Calibri" w:hAnsi="Calibri" w:cs="Calibri"/>
      <w:sz w:val="24"/>
      <w:szCs w:val="24"/>
      <w:lang w:eastAsia="lv-LV"/>
    </w:rPr>
  </w:style>
  <w:style w:type="character" w:customStyle="1" w:styleId="st">
    <w:name w:val="st"/>
    <w:uiPriority w:val="99"/>
    <w:rsid w:val="00200837"/>
  </w:style>
  <w:style w:type="character" w:customStyle="1" w:styleId="samazinams">
    <w:name w:val="samazinams"/>
    <w:rsid w:val="00200837"/>
  </w:style>
  <w:style w:type="character" w:customStyle="1" w:styleId="UnresolvedMention3">
    <w:name w:val="Unresolved Mention3"/>
    <w:uiPriority w:val="99"/>
    <w:semiHidden/>
    <w:unhideWhenUsed/>
    <w:rsid w:val="00200837"/>
    <w:rPr>
      <w:color w:val="605E5C"/>
      <w:shd w:val="clear" w:color="auto" w:fill="E1DFDD"/>
    </w:rPr>
  </w:style>
  <w:style w:type="character" w:customStyle="1" w:styleId="fontstyle01">
    <w:name w:val="fontstyle01"/>
    <w:rsid w:val="00200837"/>
    <w:rPr>
      <w:rFonts w:ascii="Calibri" w:hAnsi="Calibri" w:cs="Calibri" w:hint="default"/>
      <w:b w:val="0"/>
      <w:bCs w:val="0"/>
      <w:i w:val="0"/>
      <w:iCs w:val="0"/>
      <w:color w:val="000000"/>
      <w:sz w:val="22"/>
      <w:szCs w:val="22"/>
    </w:rPr>
  </w:style>
  <w:style w:type="character" w:customStyle="1" w:styleId="quenote">
    <w:name w:val="que_note"/>
    <w:basedOn w:val="DefaultParagraphFont"/>
    <w:uiPriority w:val="99"/>
    <w:rsid w:val="00200837"/>
  </w:style>
  <w:style w:type="paragraph" w:customStyle="1" w:styleId="naisvisr">
    <w:name w:val="naisvisr"/>
    <w:basedOn w:val="Normal"/>
    <w:uiPriority w:val="99"/>
    <w:rsid w:val="00200837"/>
    <w:pPr>
      <w:spacing w:before="450" w:after="300" w:line="240" w:lineRule="auto"/>
      <w:jc w:val="center"/>
    </w:pPr>
    <w:rPr>
      <w:rFonts w:ascii="Times New Roman" w:eastAsia="Times New Roman" w:hAnsi="Times New Roman" w:cs="Times New Roman"/>
      <w:b/>
      <w:bCs/>
      <w:sz w:val="28"/>
      <w:szCs w:val="28"/>
      <w:lang w:eastAsia="lv-LV"/>
    </w:rPr>
  </w:style>
  <w:style w:type="character" w:customStyle="1" w:styleId="BodyText2Char1">
    <w:name w:val="Body Text 2 Char1"/>
    <w:uiPriority w:val="99"/>
    <w:rsid w:val="00200837"/>
    <w:rPr>
      <w:sz w:val="24"/>
      <w:szCs w:val="24"/>
    </w:rPr>
  </w:style>
  <w:style w:type="paragraph" w:customStyle="1" w:styleId="naislab">
    <w:name w:val="naislab"/>
    <w:basedOn w:val="Normal"/>
    <w:uiPriority w:val="99"/>
    <w:rsid w:val="00200837"/>
    <w:pPr>
      <w:spacing w:before="75" w:after="75" w:line="240" w:lineRule="auto"/>
      <w:jc w:val="right"/>
    </w:pPr>
    <w:rPr>
      <w:rFonts w:ascii="Times New Roman" w:eastAsia="Times New Roman" w:hAnsi="Times New Roman" w:cs="Times New Roman"/>
      <w:sz w:val="24"/>
      <w:szCs w:val="24"/>
      <w:lang w:eastAsia="lv-LV"/>
    </w:rPr>
  </w:style>
  <w:style w:type="paragraph" w:styleId="TOC4">
    <w:name w:val="toc 4"/>
    <w:basedOn w:val="Normal"/>
    <w:next w:val="Normal"/>
    <w:autoRedefine/>
    <w:uiPriority w:val="99"/>
    <w:semiHidden/>
    <w:rsid w:val="00200837"/>
    <w:pPr>
      <w:spacing w:after="0" w:line="276" w:lineRule="auto"/>
      <w:ind w:left="660"/>
    </w:pPr>
    <w:rPr>
      <w:rFonts w:eastAsia="Calibri" w:cs="Calibri"/>
      <w:sz w:val="18"/>
      <w:szCs w:val="18"/>
    </w:rPr>
  </w:style>
  <w:style w:type="paragraph" w:styleId="TOC5">
    <w:name w:val="toc 5"/>
    <w:basedOn w:val="Normal"/>
    <w:next w:val="Normal"/>
    <w:autoRedefine/>
    <w:uiPriority w:val="99"/>
    <w:semiHidden/>
    <w:rsid w:val="00200837"/>
    <w:pPr>
      <w:spacing w:after="0" w:line="276" w:lineRule="auto"/>
      <w:ind w:left="880"/>
    </w:pPr>
    <w:rPr>
      <w:rFonts w:eastAsia="Calibri" w:cs="Calibri"/>
      <w:sz w:val="18"/>
      <w:szCs w:val="18"/>
    </w:rPr>
  </w:style>
  <w:style w:type="paragraph" w:styleId="TOC6">
    <w:name w:val="toc 6"/>
    <w:basedOn w:val="Normal"/>
    <w:next w:val="Normal"/>
    <w:autoRedefine/>
    <w:uiPriority w:val="99"/>
    <w:semiHidden/>
    <w:rsid w:val="00200837"/>
    <w:pPr>
      <w:spacing w:after="0" w:line="276" w:lineRule="auto"/>
      <w:ind w:left="1100"/>
    </w:pPr>
    <w:rPr>
      <w:rFonts w:eastAsia="Calibri" w:cs="Calibri"/>
      <w:sz w:val="18"/>
      <w:szCs w:val="18"/>
    </w:rPr>
  </w:style>
  <w:style w:type="paragraph" w:styleId="TOC7">
    <w:name w:val="toc 7"/>
    <w:basedOn w:val="Normal"/>
    <w:next w:val="Normal"/>
    <w:autoRedefine/>
    <w:uiPriority w:val="99"/>
    <w:semiHidden/>
    <w:rsid w:val="00200837"/>
    <w:pPr>
      <w:spacing w:after="0" w:line="276" w:lineRule="auto"/>
      <w:ind w:left="1320"/>
    </w:pPr>
    <w:rPr>
      <w:rFonts w:eastAsia="Calibri" w:cs="Calibri"/>
      <w:sz w:val="18"/>
      <w:szCs w:val="18"/>
    </w:rPr>
  </w:style>
  <w:style w:type="paragraph" w:styleId="TOC8">
    <w:name w:val="toc 8"/>
    <w:basedOn w:val="Normal"/>
    <w:next w:val="Normal"/>
    <w:autoRedefine/>
    <w:uiPriority w:val="99"/>
    <w:semiHidden/>
    <w:rsid w:val="00200837"/>
    <w:pPr>
      <w:spacing w:after="0" w:line="276" w:lineRule="auto"/>
      <w:ind w:left="1540"/>
    </w:pPr>
    <w:rPr>
      <w:rFonts w:eastAsia="Calibri" w:cs="Calibri"/>
      <w:sz w:val="18"/>
      <w:szCs w:val="18"/>
    </w:rPr>
  </w:style>
  <w:style w:type="paragraph" w:styleId="TOC9">
    <w:name w:val="toc 9"/>
    <w:basedOn w:val="Normal"/>
    <w:next w:val="Normal"/>
    <w:autoRedefine/>
    <w:uiPriority w:val="99"/>
    <w:semiHidden/>
    <w:rsid w:val="00200837"/>
    <w:pPr>
      <w:spacing w:after="0" w:line="276" w:lineRule="auto"/>
      <w:ind w:left="1760"/>
    </w:pPr>
    <w:rPr>
      <w:rFonts w:eastAsia="Calibri" w:cs="Calibri"/>
      <w:sz w:val="18"/>
      <w:szCs w:val="18"/>
    </w:rPr>
  </w:style>
  <w:style w:type="character" w:customStyle="1" w:styleId="FootnoteTextChar1">
    <w:name w:val="Footnote Text Char1"/>
    <w:aliases w:val="Footnote Char1,Fußnote Char1,Char Char1,Char Rakstz. Rakstz. Rakstz. Rakstz. Rakstz. Rakstz. Rakstz. Char1,Char Rakstz. Rakstz. Rakstz. Rakstz. Rakstz. Rakstz. Char1"/>
    <w:uiPriority w:val="99"/>
    <w:rsid w:val="00200837"/>
    <w:rPr>
      <w:rFonts w:ascii="Calibri" w:hAnsi="Calibri" w:cs="Calibri"/>
      <w:sz w:val="20"/>
      <w:szCs w:val="20"/>
    </w:rPr>
  </w:style>
  <w:style w:type="character" w:customStyle="1" w:styleId="field-content">
    <w:name w:val="field-content"/>
    <w:uiPriority w:val="99"/>
    <w:rsid w:val="00200837"/>
  </w:style>
  <w:style w:type="paragraph" w:styleId="EnvelopeAddress">
    <w:name w:val="envelope address"/>
    <w:basedOn w:val="Normal"/>
    <w:next w:val="Subtitle"/>
    <w:uiPriority w:val="99"/>
    <w:rsid w:val="00200837"/>
    <w:pPr>
      <w:keepNext/>
      <w:keepLines/>
      <w:widowControl w:val="0"/>
      <w:spacing w:before="60" w:after="60" w:line="240" w:lineRule="auto"/>
      <w:ind w:left="5103"/>
    </w:pPr>
    <w:rPr>
      <w:rFonts w:ascii="Times New Roman" w:eastAsia="Times New Roman" w:hAnsi="Times New Roman" w:cs="Times New Roman"/>
      <w:sz w:val="26"/>
      <w:szCs w:val="26"/>
      <w:lang w:val="en-AU"/>
    </w:rPr>
  </w:style>
  <w:style w:type="paragraph" w:customStyle="1" w:styleId="SM">
    <w:name w:val="__S_M"/>
    <w:basedOn w:val="Normal"/>
    <w:next w:val="Normal"/>
    <w:rsid w:val="00200837"/>
    <w:pPr>
      <w:keepNext/>
      <w:keepLines/>
      <w:tabs>
        <w:tab w:val="right" w:leader="dot" w:pos="360"/>
      </w:tabs>
      <w:suppressAutoHyphens/>
      <w:spacing w:after="0" w:line="390" w:lineRule="exact"/>
      <w:ind w:left="1267" w:right="1267"/>
      <w:outlineLvl w:val="0"/>
    </w:pPr>
    <w:rPr>
      <w:rFonts w:ascii="Times New Roman" w:hAnsi="Times New Roman" w:cs="Times New Roman"/>
      <w:b/>
      <w:spacing w:val="-4"/>
      <w:w w:val="98"/>
      <w:kern w:val="14"/>
      <w:sz w:val="40"/>
      <w:szCs w:val="20"/>
      <w:lang w:val="en-GB"/>
    </w:rPr>
  </w:style>
  <w:style w:type="paragraph" w:customStyle="1" w:styleId="SingleTxt">
    <w:name w:val="__Single Txt"/>
    <w:basedOn w:val="Normal"/>
    <w:rsid w:val="00200837"/>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40" w:lineRule="atLeast"/>
      <w:ind w:left="1267" w:right="1267"/>
      <w:jc w:val="both"/>
    </w:pPr>
    <w:rPr>
      <w:rFonts w:ascii="Times New Roman" w:hAnsi="Times New Roman" w:cs="Times New Roman"/>
      <w:spacing w:val="4"/>
      <w:w w:val="103"/>
      <w:kern w:val="14"/>
      <w:sz w:val="20"/>
      <w:szCs w:val="20"/>
      <w:lang w:val="en-GB"/>
    </w:rPr>
  </w:style>
  <w:style w:type="paragraph" w:customStyle="1" w:styleId="Bullet3">
    <w:name w:val="Bullet 3"/>
    <w:basedOn w:val="SingleTxt"/>
    <w:qFormat/>
    <w:rsid w:val="00200837"/>
    <w:pPr>
      <w:numPr>
        <w:numId w:val="12"/>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customStyle="1" w:styleId="H23">
    <w:name w:val="_ H_2/3"/>
    <w:basedOn w:val="Normal"/>
    <w:next w:val="SingleTxt"/>
    <w:rsid w:val="00200837"/>
    <w:pPr>
      <w:suppressAutoHyphens/>
      <w:spacing w:after="0" w:line="240" w:lineRule="exact"/>
      <w:outlineLvl w:val="1"/>
    </w:pPr>
    <w:rPr>
      <w:rFonts w:ascii="Times New Roman" w:hAnsi="Times New Roman" w:cs="Times New Roman"/>
      <w:b/>
      <w:spacing w:val="4"/>
      <w:w w:val="103"/>
      <w:kern w:val="14"/>
      <w:sz w:val="20"/>
      <w:szCs w:val="20"/>
      <w:lang w:val="en-US"/>
    </w:rPr>
  </w:style>
  <w:style w:type="paragraph" w:customStyle="1" w:styleId="text-align-center">
    <w:name w:val="text-align-center"/>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eypar">
    <w:name w:val="grey_par"/>
    <w:basedOn w:val="Normal"/>
    <w:rsid w:val="00200837"/>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Light">
    <w:name w:val="Grid Table Light"/>
    <w:basedOn w:val="TableNormal"/>
    <w:uiPriority w:val="40"/>
    <w:rsid w:val="002008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0083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0083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0083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tion1">
    <w:name w:val="Mention1"/>
    <w:basedOn w:val="DefaultParagraphFont"/>
    <w:uiPriority w:val="99"/>
    <w:semiHidden/>
    <w:unhideWhenUsed/>
    <w:rsid w:val="00200837"/>
    <w:rPr>
      <w:color w:val="2B579A"/>
      <w:shd w:val="clear" w:color="auto" w:fill="E6E6E6"/>
    </w:rPr>
  </w:style>
  <w:style w:type="character" w:customStyle="1" w:styleId="Mention2">
    <w:name w:val="Mention2"/>
    <w:basedOn w:val="DefaultParagraphFont"/>
    <w:uiPriority w:val="99"/>
    <w:semiHidden/>
    <w:unhideWhenUsed/>
    <w:rsid w:val="00200837"/>
    <w:rPr>
      <w:color w:val="2B579A"/>
      <w:shd w:val="clear" w:color="auto" w:fill="E6E6E6"/>
    </w:rPr>
  </w:style>
  <w:style w:type="table" w:customStyle="1" w:styleId="TableGrid1">
    <w:name w:val="Table Grid1"/>
    <w:basedOn w:val="TableNormal"/>
    <w:next w:val="TableGrid"/>
    <w:uiPriority w:val="39"/>
    <w:rsid w:val="00200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200837"/>
    <w:rPr>
      <w:color w:val="605E5C"/>
      <w:shd w:val="clear" w:color="auto" w:fill="E1DFDD"/>
    </w:rPr>
  </w:style>
  <w:style w:type="character" w:customStyle="1" w:styleId="NoSpacingChar">
    <w:name w:val="No Spacing Char"/>
    <w:link w:val="NoSpacing"/>
    <w:uiPriority w:val="1"/>
    <w:rsid w:val="00200837"/>
    <w:rPr>
      <w:sz w:val="20"/>
      <w:szCs w:val="20"/>
    </w:rPr>
  </w:style>
  <w:style w:type="paragraph" w:customStyle="1" w:styleId="FootnoteReferneceCarcter">
    <w:name w:val="Footnote Refernece Carácter"/>
    <w:aliases w:val="ftref Carácter,4_G Carácter"/>
    <w:basedOn w:val="Normal"/>
    <w:rsid w:val="00200837"/>
    <w:pPr>
      <w:spacing w:before="120" w:line="240" w:lineRule="exact"/>
      <w:jc w:val="both"/>
    </w:pPr>
    <w:rPr>
      <w:rFonts w:cs="Times New Roman"/>
      <w:vertAlign w:val="superscript"/>
    </w:rPr>
  </w:style>
  <w:style w:type="table" w:styleId="GridTable6Colorful-Accent2">
    <w:name w:val="Grid Table 6 Colorful Accent 2"/>
    <w:basedOn w:val="TableNormal"/>
    <w:uiPriority w:val="51"/>
    <w:rsid w:val="00200837"/>
    <w:pPr>
      <w:spacing w:after="0" w:line="240" w:lineRule="auto"/>
    </w:pPr>
    <w:rPr>
      <w:rFonts w:ascii="Calibri" w:eastAsia="Calibri" w:hAnsi="Calibri" w:cs="Times New Roman"/>
      <w:color w:val="668926" w:themeColor="accent2" w:themeShade="BF"/>
      <w:sz w:val="20"/>
      <w:szCs w:val="20"/>
      <w:lang w:eastAsia="lv-LV"/>
    </w:r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bottom w:val="single" w:sz="12" w:space="0" w:color="BADB7D" w:themeColor="accent2" w:themeTint="99"/>
        </w:tcBorders>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paragraph" w:customStyle="1" w:styleId="Vresteksts">
    <w:name w:val="Vēres teksts"/>
    <w:basedOn w:val="Normal"/>
    <w:rsid w:val="00200837"/>
    <w:pPr>
      <w:suppressAutoHyphens/>
      <w:autoSpaceDN w:val="0"/>
      <w:spacing w:after="0" w:line="240" w:lineRule="auto"/>
    </w:pPr>
    <w:rPr>
      <w:rFonts w:ascii="Calibri" w:eastAsia="Calibri" w:hAnsi="Calibri" w:cs="Times New Roman"/>
      <w:sz w:val="20"/>
      <w:szCs w:val="20"/>
    </w:rPr>
  </w:style>
  <w:style w:type="character" w:customStyle="1" w:styleId="Noklusjumarindkopasfonts1">
    <w:name w:val="Noklusējuma rindkopas fonts1"/>
    <w:rsid w:val="00200837"/>
  </w:style>
  <w:style w:type="paragraph" w:customStyle="1" w:styleId="galaziojums">
    <w:name w:val="gala ziņojums"/>
    <w:basedOn w:val="Normal"/>
    <w:link w:val="galaziojumsChar"/>
    <w:qFormat/>
    <w:rsid w:val="00261FD0"/>
    <w:pPr>
      <w:spacing w:after="0" w:line="276" w:lineRule="auto"/>
      <w:jc w:val="center"/>
    </w:pPr>
    <w:rPr>
      <w:rFonts w:ascii="Times New Roman" w:eastAsia="Calibri" w:hAnsi="Times New Roman" w:cs="Times New Roman"/>
      <w:b/>
      <w:color w:val="2A4F1C" w:themeColor="accent1" w:themeShade="80"/>
      <w:sz w:val="32"/>
      <w:szCs w:val="24"/>
      <w:lang w:eastAsia="lv-LV"/>
    </w:rPr>
  </w:style>
  <w:style w:type="paragraph" w:customStyle="1" w:styleId="Style3">
    <w:name w:val="Style3"/>
    <w:basedOn w:val="Normal"/>
    <w:qFormat/>
    <w:rsid w:val="00261FD0"/>
    <w:pPr>
      <w:spacing w:after="0" w:line="276" w:lineRule="auto"/>
      <w:jc w:val="center"/>
    </w:pPr>
    <w:rPr>
      <w:rFonts w:ascii="Times New Roman" w:eastAsia="Calibri" w:hAnsi="Times New Roman" w:cs="Times New Roman"/>
      <w:b/>
      <w:color w:val="2A4F1C" w:themeColor="accent1" w:themeShade="80"/>
      <w:sz w:val="24"/>
      <w:szCs w:val="24"/>
      <w:lang w:eastAsia="lv-LV"/>
    </w:rPr>
  </w:style>
  <w:style w:type="character" w:customStyle="1" w:styleId="galaziojumsChar">
    <w:name w:val="gala ziņojums Char"/>
    <w:basedOn w:val="DefaultParagraphFont"/>
    <w:link w:val="galaziojums"/>
    <w:rsid w:val="00261FD0"/>
    <w:rPr>
      <w:rFonts w:ascii="Times New Roman" w:eastAsia="Calibri" w:hAnsi="Times New Roman" w:cs="Times New Roman"/>
      <w:b/>
      <w:color w:val="2A4F1C" w:themeColor="accent1" w:themeShade="80"/>
      <w:sz w:val="32"/>
      <w:szCs w:val="24"/>
      <w:lang w:eastAsia="lv-LV"/>
    </w:rPr>
  </w:style>
  <w:style w:type="paragraph" w:customStyle="1" w:styleId="Parasts">
    <w:name w:val="Parasts"/>
    <w:rsid w:val="00CE558F"/>
    <w:pPr>
      <w:suppressAutoHyphens/>
      <w:autoSpaceDN w:val="0"/>
      <w:spacing w:line="240" w:lineRule="auto"/>
      <w:textAlignment w:val="baseline"/>
    </w:pPr>
    <w:rPr>
      <w:rFonts w:ascii="Calibri" w:eastAsia="Calibri" w:hAnsi="Calibri" w:cs="Times New Roman"/>
    </w:rPr>
  </w:style>
  <w:style w:type="character" w:customStyle="1" w:styleId="Noklusjumarindkopasfonts">
    <w:name w:val="Noklusējuma rindkopas fonts"/>
    <w:rsid w:val="00CE558F"/>
  </w:style>
  <w:style w:type="character" w:customStyle="1" w:styleId="Hipersaite">
    <w:name w:val="Hipersaite"/>
    <w:basedOn w:val="Noklusjumarindkopasfonts"/>
    <w:rsid w:val="00CE558F"/>
    <w:rPr>
      <w:color w:val="0563C1"/>
      <w:u w:val="single"/>
    </w:rPr>
  </w:style>
  <w:style w:type="character" w:styleId="UnresolvedMention">
    <w:name w:val="Unresolved Mention"/>
    <w:basedOn w:val="DefaultParagraphFont"/>
    <w:uiPriority w:val="99"/>
    <w:semiHidden/>
    <w:unhideWhenUsed/>
    <w:rsid w:val="00FE1751"/>
    <w:rPr>
      <w:color w:val="605E5C"/>
      <w:shd w:val="clear" w:color="auto" w:fill="E1DFDD"/>
    </w:rPr>
  </w:style>
  <w:style w:type="table" w:styleId="ListTable4-Accent6">
    <w:name w:val="List Table 4 Accent 6"/>
    <w:basedOn w:val="TableNormal"/>
    <w:uiPriority w:val="49"/>
    <w:rsid w:val="00FE1751"/>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tcBorders>
        <w:shd w:val="clear" w:color="auto" w:fill="0989B1" w:themeFill="accent6"/>
      </w:tcPr>
    </w:tblStylePr>
    <w:tblStylePr w:type="lastRow">
      <w:rPr>
        <w:b/>
        <w:bCs/>
      </w:rPr>
      <w:tblPr/>
      <w:tcPr>
        <w:tcBorders>
          <w:top w:val="double" w:sz="4" w:space="0" w:color="45CBF5" w:themeColor="accent6" w:themeTint="99"/>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TableGrid2">
    <w:name w:val="Table Grid2"/>
    <w:basedOn w:val="TableNormal"/>
    <w:next w:val="TableGrid"/>
    <w:uiPriority w:val="59"/>
    <w:rsid w:val="00FE1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E1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sākums Char"/>
    <w:link w:val="NormalWeb"/>
    <w:uiPriority w:val="99"/>
    <w:locked/>
    <w:rsid w:val="00C36BF7"/>
    <w:rPr>
      <w:rFonts w:ascii="Verdana" w:eastAsia="Times New Roman" w:hAnsi="Verdana" w:cs="Times New Roman"/>
      <w:sz w:val="18"/>
      <w:szCs w:val="18"/>
      <w:lang w:eastAsia="lv-LV"/>
    </w:rPr>
  </w:style>
  <w:style w:type="character" w:customStyle="1" w:styleId="CaptionChar">
    <w:name w:val="Caption Char"/>
    <w:basedOn w:val="DefaultParagraphFont"/>
    <w:link w:val="Caption"/>
    <w:uiPriority w:val="99"/>
    <w:rsid w:val="000F45F4"/>
    <w:rPr>
      <w:rFonts w:ascii="Times New Roman" w:eastAsia="Times New Roman" w:hAnsi="Times New Roman" w:cs="Times New Roman"/>
      <w:b/>
      <w:bCs/>
      <w:sz w:val="20"/>
      <w:szCs w:val="20"/>
      <w:lang w:eastAsia="lv-LV"/>
    </w:rPr>
  </w:style>
  <w:style w:type="paragraph" w:customStyle="1" w:styleId="tabula">
    <w:name w:val="tabula"/>
    <w:basedOn w:val="Caption"/>
    <w:link w:val="tabulaChar"/>
    <w:qFormat/>
    <w:rsid w:val="000F45F4"/>
    <w:pPr>
      <w:spacing w:after="160"/>
      <w:jc w:val="right"/>
    </w:pPr>
    <w:rPr>
      <w:rFonts w:eastAsia="Calibri"/>
      <w:color w:val="455F51" w:themeColor="text2"/>
      <w:szCs w:val="24"/>
    </w:rPr>
  </w:style>
  <w:style w:type="character" w:customStyle="1" w:styleId="tabulaChar">
    <w:name w:val="tabula Char"/>
    <w:basedOn w:val="CaptionChar"/>
    <w:link w:val="tabula"/>
    <w:rsid w:val="000F45F4"/>
    <w:rPr>
      <w:rFonts w:ascii="Times New Roman" w:eastAsia="Calibri" w:hAnsi="Times New Roman" w:cs="Times New Roman"/>
      <w:b/>
      <w:bCs/>
      <w:color w:val="455F51" w:themeColor="text2"/>
      <w:sz w:val="20"/>
      <w:szCs w:val="24"/>
      <w:lang w:eastAsia="lv-LV"/>
    </w:rPr>
  </w:style>
  <w:style w:type="paragraph" w:customStyle="1" w:styleId="VPBody">
    <w:name w:val="VP Body"/>
    <w:basedOn w:val="Normal"/>
    <w:link w:val="VPBodyChar"/>
    <w:qFormat/>
    <w:rsid w:val="00D06282"/>
    <w:pPr>
      <w:tabs>
        <w:tab w:val="left" w:pos="0"/>
      </w:tabs>
      <w:spacing w:before="80" w:after="80" w:line="240" w:lineRule="auto"/>
      <w:jc w:val="both"/>
    </w:pPr>
    <w:rPr>
      <w:rFonts w:ascii="Times New Roman" w:eastAsia="Calibri" w:hAnsi="Times New Roman" w:cs="Times New Roman"/>
      <w:bCs/>
      <w:sz w:val="24"/>
    </w:rPr>
  </w:style>
  <w:style w:type="paragraph" w:customStyle="1" w:styleId="VPTitle">
    <w:name w:val="VP Title"/>
    <w:basedOn w:val="Title"/>
    <w:qFormat/>
    <w:rsid w:val="00D06282"/>
    <w:pPr>
      <w:spacing w:before="80" w:line="360" w:lineRule="auto"/>
      <w:contextualSpacing/>
    </w:pPr>
    <w:rPr>
      <w:rFonts w:eastAsiaTheme="majorEastAsia" w:cstheme="majorBidi"/>
      <w:caps w:val="0"/>
      <w:spacing w:val="-10"/>
      <w:kern w:val="28"/>
      <w:sz w:val="48"/>
      <w:szCs w:val="56"/>
    </w:rPr>
  </w:style>
  <w:style w:type="paragraph" w:customStyle="1" w:styleId="VPHeading2">
    <w:name w:val="VP Heading 2"/>
    <w:basedOn w:val="Heading2"/>
    <w:next w:val="VPBody"/>
    <w:link w:val="VPHeading2Char"/>
    <w:autoRedefine/>
    <w:uiPriority w:val="99"/>
    <w:rsid w:val="00D06282"/>
    <w:pPr>
      <w:spacing w:before="160"/>
      <w:outlineLvl w:val="0"/>
    </w:pPr>
    <w:rPr>
      <w:rFonts w:eastAsia="Calibri" w:cs="Times New Roman"/>
      <w:b w:val="0"/>
      <w:color w:val="000000"/>
      <w:sz w:val="28"/>
      <w:szCs w:val="28"/>
    </w:rPr>
  </w:style>
  <w:style w:type="paragraph" w:customStyle="1" w:styleId="VPBullet1">
    <w:name w:val="VP Bullet 1"/>
    <w:basedOn w:val="VPBody"/>
    <w:uiPriority w:val="99"/>
    <w:rsid w:val="00D06282"/>
    <w:pPr>
      <w:tabs>
        <w:tab w:val="clear" w:pos="0"/>
      </w:tabs>
      <w:ind w:left="360" w:hanging="360"/>
    </w:pPr>
    <w:rPr>
      <w:rFonts w:ascii="Calibri" w:hAnsi="Calibri" w:cs="Calibri"/>
      <w:bCs w:val="0"/>
      <w:sz w:val="20"/>
      <w:szCs w:val="20"/>
      <w:lang w:eastAsia="lv-LV"/>
    </w:rPr>
  </w:style>
  <w:style w:type="character" w:customStyle="1" w:styleId="VPHeading2Char">
    <w:name w:val="VP Heading 2 Char"/>
    <w:link w:val="VPHeading2"/>
    <w:uiPriority w:val="99"/>
    <w:locked/>
    <w:rsid w:val="00D06282"/>
    <w:rPr>
      <w:rFonts w:ascii="Times New Roman" w:eastAsia="Calibri" w:hAnsi="Times New Roman" w:cs="Times New Roman"/>
      <w:color w:val="000000"/>
      <w:sz w:val="28"/>
      <w:szCs w:val="28"/>
    </w:rPr>
  </w:style>
  <w:style w:type="character" w:customStyle="1" w:styleId="VPBodyChar">
    <w:name w:val="VP Body Char"/>
    <w:link w:val="VPBody"/>
    <w:locked/>
    <w:rsid w:val="00D06282"/>
    <w:rPr>
      <w:rFonts w:ascii="Times New Roman" w:eastAsia="Calibri" w:hAnsi="Times New Roman" w:cs="Times New Roman"/>
      <w:bCs/>
      <w:sz w:val="24"/>
    </w:rPr>
  </w:style>
  <w:style w:type="paragraph" w:customStyle="1" w:styleId="VPMessage">
    <w:name w:val="VP Message"/>
    <w:basedOn w:val="Normal"/>
    <w:next w:val="VPBody"/>
    <w:qFormat/>
    <w:rsid w:val="00D06282"/>
    <w:pPr>
      <w:spacing w:before="80" w:after="80" w:line="240" w:lineRule="auto"/>
    </w:pPr>
    <w:rPr>
      <w:rFonts w:ascii="Times New Roman" w:hAnsi="Times New Roman"/>
      <w:b/>
      <w:i/>
      <w:sz w:val="26"/>
    </w:rPr>
  </w:style>
  <w:style w:type="character" w:customStyle="1" w:styleId="normaltextrun">
    <w:name w:val="normaltextrun"/>
    <w:basedOn w:val="DefaultParagraphFont"/>
    <w:rsid w:val="00883EB7"/>
  </w:style>
  <w:style w:type="paragraph" w:customStyle="1" w:styleId="tv20787921">
    <w:name w:val="tv207_87_921"/>
    <w:basedOn w:val="Normal"/>
    <w:rsid w:val="00615513"/>
    <w:pPr>
      <w:spacing w:after="567"/>
      <w:jc w:val="center"/>
    </w:pPr>
    <w:rPr>
      <w:rFonts w:ascii="Verdana" w:eastAsia="Times New Roman" w:hAnsi="Verdana" w:cs="Times New Roman"/>
      <w:b/>
      <w:bCs/>
      <w:sz w:val="28"/>
      <w:szCs w:val="28"/>
      <w:lang w:eastAsia="lv-LV"/>
    </w:rPr>
  </w:style>
  <w:style w:type="paragraph" w:customStyle="1" w:styleId="GalvenaisVirsraksts0">
    <w:name w:val="Galvenais Virsraksts"/>
    <w:basedOn w:val="Heading1"/>
    <w:link w:val="GalvenaisVirsrakstsChar"/>
    <w:qFormat/>
    <w:rsid w:val="00096C2C"/>
    <w:pPr>
      <w:numPr>
        <w:numId w:val="0"/>
      </w:numPr>
      <w:ind w:left="432" w:hanging="432"/>
    </w:pPr>
  </w:style>
  <w:style w:type="paragraph" w:customStyle="1" w:styleId="Virsraksts2">
    <w:name w:val="Virsraksts 2"/>
    <w:basedOn w:val="GalvenaisVirsraksts0"/>
    <w:next w:val="Normal"/>
    <w:link w:val="Virsraksts2Char"/>
    <w:qFormat/>
    <w:rsid w:val="00520521"/>
    <w:pPr>
      <w:spacing w:after="0"/>
    </w:pPr>
    <w:rPr>
      <w:sz w:val="32"/>
      <w:szCs w:val="26"/>
    </w:rPr>
  </w:style>
  <w:style w:type="character" w:customStyle="1" w:styleId="GalvenaisVirsrakstsChar">
    <w:name w:val="Galvenais Virsraksts Char"/>
    <w:basedOn w:val="Heading1Char"/>
    <w:link w:val="GalvenaisVirsraksts0"/>
    <w:rsid w:val="00096C2C"/>
    <w:rPr>
      <w:rFonts w:ascii="Times New Roman" w:eastAsia="Times New Roman" w:hAnsi="Times New Roman" w:cs="Times New Roman"/>
      <w:b/>
      <w:bCs/>
      <w:color w:val="002060"/>
      <w:kern w:val="36"/>
      <w:sz w:val="36"/>
      <w:szCs w:val="48"/>
      <w:lang w:eastAsia="lv-LV"/>
    </w:rPr>
  </w:style>
  <w:style w:type="numbering" w:customStyle="1" w:styleId="Galvenaisvirsraksts">
    <w:name w:val="Galvenais virsraksts"/>
    <w:uiPriority w:val="99"/>
    <w:rsid w:val="00403817"/>
    <w:pPr>
      <w:numPr>
        <w:numId w:val="55"/>
      </w:numPr>
    </w:pPr>
  </w:style>
  <w:style w:type="character" w:customStyle="1" w:styleId="Virsraksts2Char">
    <w:name w:val="Virsraksts 2 Char"/>
    <w:basedOn w:val="GalvenaisVirsrakstsChar"/>
    <w:link w:val="Virsraksts2"/>
    <w:rsid w:val="00520521"/>
    <w:rPr>
      <w:rFonts w:ascii="Times New Roman" w:eastAsia="Times New Roman" w:hAnsi="Times New Roman" w:cs="Times New Roman"/>
      <w:b/>
      <w:bCs/>
      <w:color w:val="002060"/>
      <w:kern w:val="36"/>
      <w:sz w:val="32"/>
      <w:szCs w:val="26"/>
      <w:lang w:eastAsia="lv-LV"/>
    </w:rPr>
  </w:style>
  <w:style w:type="table" w:styleId="GridTable5Dark-Accent1">
    <w:name w:val="Grid Table 5 Dark Accent 1"/>
    <w:basedOn w:val="TableNormal"/>
    <w:uiPriority w:val="50"/>
    <w:rsid w:val="005853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paragraph" w:styleId="NormalIndent">
    <w:name w:val="Normal Indent"/>
    <w:basedOn w:val="Normal"/>
    <w:uiPriority w:val="99"/>
    <w:semiHidden/>
    <w:unhideWhenUsed/>
    <w:rsid w:val="006107C1"/>
    <w:pPr>
      <w:ind w:left="720"/>
    </w:pPr>
  </w:style>
  <w:style w:type="table" w:styleId="GridTable1Light-Accent1">
    <w:name w:val="Grid Table 1 Light Accent 1"/>
    <w:basedOn w:val="TableNormal"/>
    <w:uiPriority w:val="46"/>
    <w:rsid w:val="00585345"/>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GridTable3-Accent2">
    <w:name w:val="Grid Table 3 Accent 2"/>
    <w:basedOn w:val="TableNormal"/>
    <w:uiPriority w:val="48"/>
    <w:rsid w:val="00585345"/>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paragraph" w:customStyle="1" w:styleId="mt-translation">
    <w:name w:val="mt-translation"/>
    <w:basedOn w:val="Normal"/>
    <w:rsid w:val="00C32C9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C32C9F"/>
  </w:style>
  <w:style w:type="character" w:customStyle="1" w:styleId="word">
    <w:name w:val="word"/>
    <w:basedOn w:val="DefaultParagraphFont"/>
    <w:rsid w:val="00C32C9F"/>
  </w:style>
  <w:style w:type="character" w:customStyle="1" w:styleId="infoboxtext-data">
    <w:name w:val="infobox__text-data"/>
    <w:basedOn w:val="DefaultParagraphFont"/>
    <w:rsid w:val="00E81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4994">
      <w:bodyDiv w:val="1"/>
      <w:marLeft w:val="0"/>
      <w:marRight w:val="0"/>
      <w:marTop w:val="0"/>
      <w:marBottom w:val="0"/>
      <w:divBdr>
        <w:top w:val="none" w:sz="0" w:space="0" w:color="auto"/>
        <w:left w:val="none" w:sz="0" w:space="0" w:color="auto"/>
        <w:bottom w:val="none" w:sz="0" w:space="0" w:color="auto"/>
        <w:right w:val="none" w:sz="0" w:space="0" w:color="auto"/>
      </w:divBdr>
      <w:divsChild>
        <w:div w:id="1031340541">
          <w:marLeft w:val="0"/>
          <w:marRight w:val="0"/>
          <w:marTop w:val="0"/>
          <w:marBottom w:val="0"/>
          <w:divBdr>
            <w:top w:val="none" w:sz="0" w:space="0" w:color="auto"/>
            <w:left w:val="none" w:sz="0" w:space="0" w:color="auto"/>
            <w:bottom w:val="none" w:sz="0" w:space="0" w:color="auto"/>
            <w:right w:val="none" w:sz="0" w:space="0" w:color="auto"/>
          </w:divBdr>
        </w:div>
        <w:div w:id="1455294781">
          <w:marLeft w:val="0"/>
          <w:marRight w:val="0"/>
          <w:marTop w:val="0"/>
          <w:marBottom w:val="0"/>
          <w:divBdr>
            <w:top w:val="none" w:sz="0" w:space="0" w:color="auto"/>
            <w:left w:val="none" w:sz="0" w:space="0" w:color="auto"/>
            <w:bottom w:val="none" w:sz="0" w:space="0" w:color="auto"/>
            <w:right w:val="none" w:sz="0" w:space="0" w:color="auto"/>
          </w:divBdr>
        </w:div>
      </w:divsChild>
    </w:div>
    <w:div w:id="154534233">
      <w:bodyDiv w:val="1"/>
      <w:marLeft w:val="0"/>
      <w:marRight w:val="0"/>
      <w:marTop w:val="0"/>
      <w:marBottom w:val="0"/>
      <w:divBdr>
        <w:top w:val="none" w:sz="0" w:space="0" w:color="auto"/>
        <w:left w:val="none" w:sz="0" w:space="0" w:color="auto"/>
        <w:bottom w:val="none" w:sz="0" w:space="0" w:color="auto"/>
        <w:right w:val="none" w:sz="0" w:space="0" w:color="auto"/>
      </w:divBdr>
    </w:div>
    <w:div w:id="392971261">
      <w:bodyDiv w:val="1"/>
      <w:marLeft w:val="0"/>
      <w:marRight w:val="0"/>
      <w:marTop w:val="0"/>
      <w:marBottom w:val="0"/>
      <w:divBdr>
        <w:top w:val="none" w:sz="0" w:space="0" w:color="auto"/>
        <w:left w:val="none" w:sz="0" w:space="0" w:color="auto"/>
        <w:bottom w:val="none" w:sz="0" w:space="0" w:color="auto"/>
        <w:right w:val="none" w:sz="0" w:space="0" w:color="auto"/>
      </w:divBdr>
    </w:div>
    <w:div w:id="611398607">
      <w:bodyDiv w:val="1"/>
      <w:marLeft w:val="0"/>
      <w:marRight w:val="0"/>
      <w:marTop w:val="0"/>
      <w:marBottom w:val="0"/>
      <w:divBdr>
        <w:top w:val="none" w:sz="0" w:space="0" w:color="auto"/>
        <w:left w:val="none" w:sz="0" w:space="0" w:color="auto"/>
        <w:bottom w:val="none" w:sz="0" w:space="0" w:color="auto"/>
        <w:right w:val="none" w:sz="0" w:space="0" w:color="auto"/>
      </w:divBdr>
      <w:divsChild>
        <w:div w:id="817920223">
          <w:marLeft w:val="547"/>
          <w:marRight w:val="0"/>
          <w:marTop w:val="0"/>
          <w:marBottom w:val="0"/>
          <w:divBdr>
            <w:top w:val="none" w:sz="0" w:space="0" w:color="auto"/>
            <w:left w:val="none" w:sz="0" w:space="0" w:color="auto"/>
            <w:bottom w:val="none" w:sz="0" w:space="0" w:color="auto"/>
            <w:right w:val="none" w:sz="0" w:space="0" w:color="auto"/>
          </w:divBdr>
        </w:div>
      </w:divsChild>
    </w:div>
    <w:div w:id="958296633">
      <w:bodyDiv w:val="1"/>
      <w:marLeft w:val="0"/>
      <w:marRight w:val="0"/>
      <w:marTop w:val="0"/>
      <w:marBottom w:val="0"/>
      <w:divBdr>
        <w:top w:val="none" w:sz="0" w:space="0" w:color="auto"/>
        <w:left w:val="none" w:sz="0" w:space="0" w:color="auto"/>
        <w:bottom w:val="none" w:sz="0" w:space="0" w:color="auto"/>
        <w:right w:val="none" w:sz="0" w:space="0" w:color="auto"/>
      </w:divBdr>
    </w:div>
    <w:div w:id="1266500610">
      <w:bodyDiv w:val="1"/>
      <w:marLeft w:val="0"/>
      <w:marRight w:val="0"/>
      <w:marTop w:val="0"/>
      <w:marBottom w:val="0"/>
      <w:divBdr>
        <w:top w:val="none" w:sz="0" w:space="0" w:color="auto"/>
        <w:left w:val="none" w:sz="0" w:space="0" w:color="auto"/>
        <w:bottom w:val="none" w:sz="0" w:space="0" w:color="auto"/>
        <w:right w:val="none" w:sz="0" w:space="0" w:color="auto"/>
      </w:divBdr>
    </w:div>
    <w:div w:id="1427993234">
      <w:bodyDiv w:val="1"/>
      <w:marLeft w:val="0"/>
      <w:marRight w:val="0"/>
      <w:marTop w:val="0"/>
      <w:marBottom w:val="0"/>
      <w:divBdr>
        <w:top w:val="none" w:sz="0" w:space="0" w:color="auto"/>
        <w:left w:val="none" w:sz="0" w:space="0" w:color="auto"/>
        <w:bottom w:val="none" w:sz="0" w:space="0" w:color="auto"/>
        <w:right w:val="none" w:sz="0" w:space="0" w:color="auto"/>
      </w:divBdr>
      <w:divsChild>
        <w:div w:id="1051346213">
          <w:marLeft w:val="0"/>
          <w:marRight w:val="0"/>
          <w:marTop w:val="480"/>
          <w:marBottom w:val="240"/>
          <w:divBdr>
            <w:top w:val="none" w:sz="0" w:space="0" w:color="auto"/>
            <w:left w:val="none" w:sz="0" w:space="0" w:color="auto"/>
            <w:bottom w:val="none" w:sz="0" w:space="0" w:color="auto"/>
            <w:right w:val="none" w:sz="0" w:space="0" w:color="auto"/>
          </w:divBdr>
        </w:div>
        <w:div w:id="759179149">
          <w:marLeft w:val="0"/>
          <w:marRight w:val="0"/>
          <w:marTop w:val="0"/>
          <w:marBottom w:val="567"/>
          <w:divBdr>
            <w:top w:val="none" w:sz="0" w:space="0" w:color="auto"/>
            <w:left w:val="none" w:sz="0" w:space="0" w:color="auto"/>
            <w:bottom w:val="none" w:sz="0" w:space="0" w:color="auto"/>
            <w:right w:val="none" w:sz="0" w:space="0" w:color="auto"/>
          </w:divBdr>
        </w:div>
      </w:divsChild>
    </w:div>
    <w:div w:id="1429234063">
      <w:bodyDiv w:val="1"/>
      <w:marLeft w:val="0"/>
      <w:marRight w:val="0"/>
      <w:marTop w:val="0"/>
      <w:marBottom w:val="0"/>
      <w:divBdr>
        <w:top w:val="none" w:sz="0" w:space="0" w:color="auto"/>
        <w:left w:val="none" w:sz="0" w:space="0" w:color="auto"/>
        <w:bottom w:val="none" w:sz="0" w:space="0" w:color="auto"/>
        <w:right w:val="none" w:sz="0" w:space="0" w:color="auto"/>
      </w:divBdr>
    </w:div>
    <w:div w:id="1761559226">
      <w:bodyDiv w:val="1"/>
      <w:marLeft w:val="0"/>
      <w:marRight w:val="0"/>
      <w:marTop w:val="0"/>
      <w:marBottom w:val="0"/>
      <w:divBdr>
        <w:top w:val="none" w:sz="0" w:space="0" w:color="auto"/>
        <w:left w:val="none" w:sz="0" w:space="0" w:color="auto"/>
        <w:bottom w:val="none" w:sz="0" w:space="0" w:color="auto"/>
        <w:right w:val="none" w:sz="0" w:space="0" w:color="auto"/>
      </w:divBdr>
    </w:div>
    <w:div w:id="1855415490">
      <w:bodyDiv w:val="1"/>
      <w:marLeft w:val="0"/>
      <w:marRight w:val="0"/>
      <w:marTop w:val="0"/>
      <w:marBottom w:val="0"/>
      <w:divBdr>
        <w:top w:val="none" w:sz="0" w:space="0" w:color="auto"/>
        <w:left w:val="none" w:sz="0" w:space="0" w:color="auto"/>
        <w:bottom w:val="none" w:sz="0" w:space="0" w:color="auto"/>
        <w:right w:val="none" w:sz="0" w:space="0" w:color="auto"/>
      </w:divBdr>
      <w:divsChild>
        <w:div w:id="1618558464">
          <w:marLeft w:val="0"/>
          <w:marRight w:val="0"/>
          <w:marTop w:val="480"/>
          <w:marBottom w:val="240"/>
          <w:divBdr>
            <w:top w:val="none" w:sz="0" w:space="0" w:color="auto"/>
            <w:left w:val="none" w:sz="0" w:space="0" w:color="auto"/>
            <w:bottom w:val="none" w:sz="0" w:space="0" w:color="auto"/>
            <w:right w:val="none" w:sz="0" w:space="0" w:color="auto"/>
          </w:divBdr>
        </w:div>
        <w:div w:id="53261940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image" Target="media/image5.png"/><Relationship Id="rId26" Type="http://schemas.openxmlformats.org/officeDocument/2006/relationships/hyperlink" Target="https://likumi.lv/ta/id/225418-civillikums" TargetMode="External"/><Relationship Id="rId39" Type="http://schemas.openxmlformats.org/officeDocument/2006/relationships/chart" Target="charts/chart13.xml"/><Relationship Id="rId21" Type="http://schemas.openxmlformats.org/officeDocument/2006/relationships/image" Target="media/image7.png"/><Relationship Id="rId34" Type="http://schemas.openxmlformats.org/officeDocument/2006/relationships/hyperlink" Target="http://www.l2d.lv/l.php?doc_id=265314" TargetMode="External"/><Relationship Id="rId42" Type="http://schemas.openxmlformats.org/officeDocument/2006/relationships/image" Target="media/image11.png"/><Relationship Id="rId47" Type="http://schemas.openxmlformats.org/officeDocument/2006/relationships/chart" Target="charts/chart15.xml"/><Relationship Id="rId50" Type="http://schemas.openxmlformats.org/officeDocument/2006/relationships/image" Target="media/image15.emf"/><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hyperlink" Target="http://www.l2d.lv/l.php?doc_id=168469" TargetMode="External"/><Relationship Id="rId11" Type="http://schemas.openxmlformats.org/officeDocument/2006/relationships/chart" Target="charts/chart4.xml"/><Relationship Id="rId24" Type="http://schemas.openxmlformats.org/officeDocument/2006/relationships/chart" Target="charts/chart11.xml"/><Relationship Id="rId32" Type="http://schemas.openxmlformats.org/officeDocument/2006/relationships/hyperlink" Target="http://www.l2d.lv/l.php?doc_id=146481" TargetMode="External"/><Relationship Id="rId37" Type="http://schemas.openxmlformats.org/officeDocument/2006/relationships/hyperlink" Target="http://www.l2d.lv/l.php?doc_id=265314" TargetMode="External"/><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19" Type="http://schemas.openxmlformats.org/officeDocument/2006/relationships/chart" Target="charts/chart10.xml"/><Relationship Id="rId31" Type="http://schemas.openxmlformats.org/officeDocument/2006/relationships/hyperlink" Target="http://www.l2d.lv/l.php?doc_id=107820" TargetMode="External"/><Relationship Id="rId44" Type="http://schemas.openxmlformats.org/officeDocument/2006/relationships/image" Target="media/image13.png"/><Relationship Id="rId52"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emf"/><Relationship Id="rId22" Type="http://schemas.openxmlformats.org/officeDocument/2006/relationships/image" Target="media/image8.png"/><Relationship Id="rId27" Type="http://schemas.openxmlformats.org/officeDocument/2006/relationships/chart" Target="charts/chart12.xml"/><Relationship Id="rId30" Type="http://schemas.openxmlformats.org/officeDocument/2006/relationships/hyperlink" Target="http://www.l2d.lv/l.php?doc_id=265314" TargetMode="External"/><Relationship Id="rId35" Type="http://schemas.openxmlformats.org/officeDocument/2006/relationships/hyperlink" Target="http://www.l2d.lv/l.php?doc_id=57255" TargetMode="External"/><Relationship Id="rId43" Type="http://schemas.openxmlformats.org/officeDocument/2006/relationships/image" Target="media/image12.png"/><Relationship Id="rId48" Type="http://schemas.openxmlformats.org/officeDocument/2006/relationships/chart" Target="charts/chart16.xml"/><Relationship Id="rId8" Type="http://schemas.openxmlformats.org/officeDocument/2006/relationships/chart" Target="charts/chart1.xml"/><Relationship Id="rId51" Type="http://schemas.openxmlformats.org/officeDocument/2006/relationships/chart" Target="charts/chart18.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hyperlink" Target="https://likumi.lv/ta/id/302451-grozijumi-valsts-fondeto-pensiju-likuma" TargetMode="External"/><Relationship Id="rId33" Type="http://schemas.openxmlformats.org/officeDocument/2006/relationships/hyperlink" Target="http://www.l2d.lv/l.php?doc_id=265314" TargetMode="External"/><Relationship Id="rId38" Type="http://schemas.openxmlformats.org/officeDocument/2006/relationships/hyperlink" Target="http://www.l2d.lv/l.php?doc_id=265314" TargetMode="External"/><Relationship Id="rId46" Type="http://schemas.openxmlformats.org/officeDocument/2006/relationships/chart" Target="charts/chart14.xml"/><Relationship Id="rId20" Type="http://schemas.openxmlformats.org/officeDocument/2006/relationships/image" Target="media/image6.emf"/><Relationship Id="rId41" Type="http://schemas.openxmlformats.org/officeDocument/2006/relationships/image" Target="media/image10.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yperlink" Target="http://www.oecd.org/finance/survey-large-pension-funds.htm" TargetMode="External"/><Relationship Id="rId28" Type="http://schemas.openxmlformats.org/officeDocument/2006/relationships/hyperlink" Target="http://www.l2d.lv/l.php?doc_id=168469" TargetMode="External"/><Relationship Id="rId36" Type="http://schemas.openxmlformats.org/officeDocument/2006/relationships/hyperlink" Target="http://www.l2d.lv/l.php?doc_id=149305" TargetMode="External"/><Relationship Id="rId49" Type="http://schemas.openxmlformats.org/officeDocument/2006/relationships/chart" Target="charts/chart17.xml"/></Relationships>
</file>

<file path=word/_rels/footnotes.xml.rels><?xml version="1.0" encoding="UTF-8" standalone="yes"?>
<Relationships xmlns="http://schemas.openxmlformats.org/package/2006/relationships"><Relationship Id="rId26" Type="http://schemas.openxmlformats.org/officeDocument/2006/relationships/hyperlink" Target="http://www.likumi.lv/doc.php?id=139370" TargetMode="External"/><Relationship Id="rId21" Type="http://schemas.openxmlformats.org/officeDocument/2006/relationships/hyperlink" Target="https://likumi.lv/ta/id/221589-par-koncepciju-par-socialas-apdrosinasanas-sistemas-stabilitati-ilgtermina" TargetMode="External"/><Relationship Id="rId42" Type="http://schemas.openxmlformats.org/officeDocument/2006/relationships/hyperlink" Target="http://www.likumi.lv/doc.php?id=202630" TargetMode="External"/><Relationship Id="rId47" Type="http://schemas.openxmlformats.org/officeDocument/2006/relationships/hyperlink" Target="https://www.lm.gov.lv/sites/lm/files/data_content/5_gala_zinojums_saskanots1.pdf" TargetMode="External"/><Relationship Id="rId63" Type="http://schemas.openxmlformats.org/officeDocument/2006/relationships/hyperlink" Target="http://www.vdi.gov.lv/files/jnf_gala_zinojums.pdf" TargetMode="External"/><Relationship Id="rId68" Type="http://schemas.openxmlformats.org/officeDocument/2006/relationships/hyperlink" Target="https://www.lrvk.gov.lv/lv/revizijas/revizijas/noslegtas-revizijas/vai-valsti-istenota-socialas-ieklausanas-politika-sasniedz-tai-izvirzitos-merkus-nabadzibas-mazinasanas-joma" TargetMode="External"/><Relationship Id="rId84" Type="http://schemas.openxmlformats.org/officeDocument/2006/relationships/hyperlink" Target="http://lm.gov.lv/lv/nozares-politika/dzimumu-lidztiesiba/latvijas-institucijas/dzimumu-lidztiesibas-komiteja" TargetMode="External"/><Relationship Id="rId89" Type="http://schemas.openxmlformats.org/officeDocument/2006/relationships/hyperlink" Target="https://www.nva.gov.lv/Latvija.lv" TargetMode="External"/><Relationship Id="rId16" Type="http://schemas.openxmlformats.org/officeDocument/2006/relationships/hyperlink" Target="https://www.satv.tiesa.gov.lv/cases/?case-filter-years=&amp;case-filter-status=&amp;case-filter-types=&amp;case-filter-result=&amp;searchtext=2019-24-03" TargetMode="External"/><Relationship Id="rId11" Type="http://schemas.openxmlformats.org/officeDocument/2006/relationships/hyperlink" Target="http://petijumi.mk.gov.lv/sites/default/files/title_file/LM_Muskulu_un_skeleta_sist_slim_izmaks_novert_un_rekomend.pdf" TargetMode="External"/><Relationship Id="rId32" Type="http://schemas.openxmlformats.org/officeDocument/2006/relationships/hyperlink" Target="http://www.lrvk.gov.lv/revizija/vai-valsts-politika-pensiju-sistemas-ilgtspejas-nodrosinasanai-ir-efektiva/" TargetMode="External"/><Relationship Id="rId37" Type="http://schemas.openxmlformats.org/officeDocument/2006/relationships/hyperlink" Target="http://polsis.mk.gov.lv/documents/4558" TargetMode="External"/><Relationship Id="rId53" Type="http://schemas.openxmlformats.org/officeDocument/2006/relationships/hyperlink" Target="https://www.lm.gov.lv/sites/lm/files/data_content/5_gala_zinojums_saskanots1.pdf" TargetMode="External"/><Relationship Id="rId58" Type="http://schemas.openxmlformats.org/officeDocument/2006/relationships/hyperlink" Target="https://www.lm.gov.lv/lv/apmacibu-komisija-apmacibu-jomu-izglitibas-programmu-profesiju-socialo-un-profesionalo-pamatprasmju-noteiksanai" TargetMode="External"/><Relationship Id="rId74" Type="http://schemas.openxmlformats.org/officeDocument/2006/relationships/hyperlink" Target="https://likumi.lv/ta/id/59236-dzimumu-lidztiesibas-padomes-nolikums" TargetMode="External"/><Relationship Id="rId79" Type="http://schemas.openxmlformats.org/officeDocument/2006/relationships/hyperlink" Target="http://lm.gov.lv/upload/diskriminacijas_noversana.pdf" TargetMode="External"/><Relationship Id="rId5" Type="http://schemas.openxmlformats.org/officeDocument/2006/relationships/hyperlink" Target="https://europa.eu/epc/system/files/2020-01/Joint-Paper-on-Pensions-2019.pdf" TargetMode="External"/><Relationship Id="rId90" Type="http://schemas.openxmlformats.org/officeDocument/2006/relationships/hyperlink" Target="https://www.lrvk.gov.lv/lv/revizijas/revizijas/noslegtas-revizijas/valsts-politikas-efektivitate-pensiju-sistemas-ilgtspejas-nodrosinasanai" TargetMode="External"/><Relationship Id="rId22" Type="http://schemas.openxmlformats.org/officeDocument/2006/relationships/hyperlink" Target="http://www.lrvk.gov.lv/revizija/vai-valsts-politika-pensiju-sistemas-ilgtspejas-nodrosinasanai-ir-efektiva/" TargetMode="External"/><Relationship Id="rId27" Type="http://schemas.openxmlformats.org/officeDocument/2006/relationships/hyperlink" Target="http://www.likumi.lv/doc.php?id=147918" TargetMode="External"/><Relationship Id="rId43" Type="http://schemas.openxmlformats.org/officeDocument/2006/relationships/hyperlink" Target="http://www.lm.gov.lv/lv/publikacijas-petijumi-un-statistika/statistika/valsts-statistika-socialo-pakalpojumu-un-socialas-palidzibas-joma/gada-dati/17517-publikacijas-petijumi-un-statistika/statistika/valsts-statistika-socialo-pakalpojumu-un-socialas-palidzibas-joma/gada-dati/par-2019-gadu/91845-par-2018-gadu-2" TargetMode="External"/><Relationship Id="rId48" Type="http://schemas.openxmlformats.org/officeDocument/2006/relationships/hyperlink" Target="https://www.lm.gov.lv/sites/lm/files/data_content/5_gala_zinojums_saskanots1.pdf" TargetMode="External"/><Relationship Id="rId64" Type="http://schemas.openxmlformats.org/officeDocument/2006/relationships/hyperlink" Target="http://www.lm.gov.lv/lv/nozares-politika/darba-tiesiskas-attiecibas-un-darba-aizsardziba/8-politikas-planosanas-dokumenti-un-tiesibu-akti/7-latvijas-politikas-planosanas-dokumenti" TargetMode="External"/><Relationship Id="rId69" Type="http://schemas.openxmlformats.org/officeDocument/2006/relationships/hyperlink" Target="http://www.oecd.org/economy/latvia-economic-snapshot/" TargetMode="External"/><Relationship Id="rId8" Type="http://schemas.openxmlformats.org/officeDocument/2006/relationships/hyperlink" Target="https://www.lrvk.gov.lv/lv/revizijas/revizijas/noslegtas-revizijas/vai-valsti-istenota-socialas-ieklausanas-politika-sasniedz-tai-izvirzitos-merkus-nabadzibas-mazinasanas-joma" TargetMode="External"/><Relationship Id="rId51" Type="http://schemas.openxmlformats.org/officeDocument/2006/relationships/hyperlink" Target="https://www.governanceprinciples.scot/governance-vs-management" TargetMode="External"/><Relationship Id="rId72" Type="http://schemas.openxmlformats.org/officeDocument/2006/relationships/hyperlink" Target="http://polsis.mk.gov.lv/api/file/file36359.DOC" TargetMode="External"/><Relationship Id="rId80" Type="http://schemas.openxmlformats.org/officeDocument/2006/relationships/hyperlink" Target="https://www.csb.gov.lv/lv/dzimumu-lidztiesiba" TargetMode="External"/><Relationship Id="rId85" Type="http://schemas.openxmlformats.org/officeDocument/2006/relationships/hyperlink" Target="https://ec.europa.eu/info/sites/info/files/aid_development_cooperation_fundamental_rights/opinion_online_violence_against_women_2020_en.pdf" TargetMode="External"/><Relationship Id="rId93" Type="http://schemas.openxmlformats.org/officeDocument/2006/relationships/hyperlink" Target="https://www.mk.gov.lv/lv/content/cilvekresursu-attistibas-politika" TargetMode="External"/><Relationship Id="rId3" Type="http://schemas.openxmlformats.org/officeDocument/2006/relationships/hyperlink" Target="https://www.lrvk.gov.lv/lv/revizijas/revizijas/noslegtas-revizijas/valsts-politikas-efektivitate-pensiju-sistemas-ilgtspejas-nodrosinasanai" TargetMode="External"/><Relationship Id="rId12" Type="http://schemas.openxmlformats.org/officeDocument/2006/relationships/hyperlink" Target="https://www.lrvk.gov.lv/lv/revizijas/revizijas/noslegtas-revizijas/vai-valsti-istenota-socialas-ieklausanas-politika-sasniedz-tai-izvirzitos-merkus-nabadzibas-mazinasanas-joma" TargetMode="External"/><Relationship Id="rId17" Type="http://schemas.openxmlformats.org/officeDocument/2006/relationships/hyperlink" Target="https://www.satv.tiesa.gov.lv/cases/?case-filter-years=&amp;case-filter-status=&amp;case-filter-types=&amp;case-filter-result=&amp;searchtext=2019-24-03" TargetMode="External"/><Relationship Id="rId25" Type="http://schemas.openxmlformats.org/officeDocument/2006/relationships/hyperlink" Target="http://www.likumi.lv/doc.php?id=90806" TargetMode="External"/><Relationship Id="rId33" Type="http://schemas.openxmlformats.org/officeDocument/2006/relationships/hyperlink" Target="http://www.lrvk.gov.lv/revizija/vai-valsts-politika-pensiju-sistemas-ilgtspejas-nodrosinasanai-ir-efektiva/" TargetMode="External"/><Relationship Id="rId38" Type="http://schemas.openxmlformats.org/officeDocument/2006/relationships/hyperlink" Target="https://ec.europa.eu/eurostat/documents/1012329/8088300/LC+221-18+EN+Module+2016+assessment.pdf/82b23b36-9e04-4905-ab74-9a07f1223637" TargetMode="External"/><Relationship Id="rId46" Type="http://schemas.openxmlformats.org/officeDocument/2006/relationships/hyperlink" Target="http://www.tiesibsargs.lv/uploads/content/tiesibsarga_2018_gada_zinojums_1550749223.pdf" TargetMode="External"/><Relationship Id="rId59" Type="http://schemas.openxmlformats.org/officeDocument/2006/relationships/hyperlink" Target="http://www.lm.gov.lv/lv/nozares-politika/darba-tirgus/darba-tirgus-prognozesana/darba-tirgus-istermina-prognozesana-latvija" TargetMode="External"/><Relationship Id="rId67" Type="http://schemas.openxmlformats.org/officeDocument/2006/relationships/hyperlink" Target="http://petijumi.mk.gov.lv/node/3048" TargetMode="External"/><Relationship Id="rId20" Type="http://schemas.openxmlformats.org/officeDocument/2006/relationships/hyperlink" Target="http://www.lm.gov.lv/lv/nozares-politika/sociala-apdrosinasana/0-politikas-planosanas-dokumenti-un-tiesibu-akti/0-latvijas-politikas-planosanas-dokumenti" TargetMode="External"/><Relationship Id="rId41" Type="http://schemas.openxmlformats.org/officeDocument/2006/relationships/hyperlink" Target="http://www.likumi.lv/doc.php?id=202674" TargetMode="External"/><Relationship Id="rId54" Type="http://schemas.openxmlformats.org/officeDocument/2006/relationships/hyperlink" Target="https://www.tm.gov.lv/lv/tehniska-palidziba-tieslietu-ministrijai-es-fondu-planosanai-nr1013019tp006" TargetMode="External"/><Relationship Id="rId62" Type="http://schemas.openxmlformats.org/officeDocument/2006/relationships/hyperlink" Target="http://petijumi.mk.gov.lv/node/3370" TargetMode="External"/><Relationship Id="rId70" Type="http://schemas.openxmlformats.org/officeDocument/2006/relationships/hyperlink" Target="https://www.lrvk.gov.lv/lv/revizijas/revizijas/noslegtas-revizijas/vai-valsti-istenota-socialas-ieklausanas-politika-sasniedz-tai-izvirzitos-merkus-nabadzibas-mazinasanas-joma" TargetMode="External"/><Relationship Id="rId75" Type="http://schemas.openxmlformats.org/officeDocument/2006/relationships/hyperlink" Target="http://lm.gov.lv/upload/dzimumu_lidztiesiba/dz_lidzt_rikojums2.pdf" TargetMode="External"/><Relationship Id="rId83" Type="http://schemas.openxmlformats.org/officeDocument/2006/relationships/hyperlink" Target="http://lm.gov.lv/lv/nozares-politika/darba-tirgus/0-noderiga-informacija/14782-nozares-politika/dzimumu-lidztiesiba/latvijas-institucijas/par-dzimumu-lidztiesibas-integretas-pieejas-istenosanu-atbildigas-amatpersonas" TargetMode="External"/><Relationship Id="rId88" Type="http://schemas.openxmlformats.org/officeDocument/2006/relationships/hyperlink" Target="http://e-apmaciba.nva.gov.lv/" TargetMode="External"/><Relationship Id="rId91" Type="http://schemas.openxmlformats.org/officeDocument/2006/relationships/hyperlink" Target="https://www.socialprogress.org/?tab=2&amp;code=LVA" TargetMode="External"/><Relationship Id="rId1" Type="http://schemas.openxmlformats.org/officeDocument/2006/relationships/hyperlink" Target="https://www.csb.gov.lv/lv/Statistika/Covid19/majsaimniecibu-uzkrajumi" TargetMode="External"/><Relationship Id="rId6" Type="http://schemas.openxmlformats.org/officeDocument/2006/relationships/hyperlink" Target="https://europa.eu/epc/system/files/2020-01/Joint-Paper-on-Pensions-2019.pdf" TargetMode="External"/><Relationship Id="rId15" Type="http://schemas.openxmlformats.org/officeDocument/2006/relationships/hyperlink" Target="https://www.lrvk.gov.lv/lv/revizijas/revizijas/noslegtas-revizijas/vai-valsti-istenota-socialas-ieklausanas-politika-sasniedz-tai-izvirzitos-merkus-nabadzibas-mazinasanas-joma" TargetMode="External"/><Relationship Id="rId23" Type="http://schemas.openxmlformats.org/officeDocument/2006/relationships/hyperlink" Target="http://www.likumi.lv/doc.php?id=47744" TargetMode="External"/><Relationship Id="rId28" Type="http://schemas.openxmlformats.org/officeDocument/2006/relationships/hyperlink" Target="http://www.likumi.lv/doc.php?id=182685" TargetMode="External"/><Relationship Id="rId36" Type="http://schemas.openxmlformats.org/officeDocument/2006/relationships/hyperlink" Target="http://www.lrvk.gov.lv/revizija/vai-valsts-politika-pensiju-sistemas-ilgtspejas-nodrosinasanai-ir-efektiva/" TargetMode="External"/><Relationship Id="rId49" Type="http://schemas.openxmlformats.org/officeDocument/2006/relationships/hyperlink" Target="https://izm.gov.lv/lv/sabiedribas-lidzdaliba/sabiedriskajai-apspriesanai-nodotie-normativo-aktu-projekti/2682-informativais-zinojums-priekslikumi-konceptuali-jaunas-kompetences-balstitas-izglitibas-prasibam-atbilstosas-skolotaju-izglitibas-nodrosinasanai-latvija" TargetMode="External"/><Relationship Id="rId57" Type="http://schemas.openxmlformats.org/officeDocument/2006/relationships/hyperlink" Target="https://eur-lex.europa.eu/legal-content/EN/TXT/PDF/?uri=CELEX:52020DC0277&amp;qid=1598525620892&amp;from=EN" TargetMode="External"/><Relationship Id="rId10" Type="http://schemas.openxmlformats.org/officeDocument/2006/relationships/hyperlink" Target="https://www.rsu.lv/sites/default/files/book_download/Darba_apstakli_un_riski_Latvija_2012-2013.pdf" TargetMode="External"/><Relationship Id="rId31" Type="http://schemas.openxmlformats.org/officeDocument/2006/relationships/hyperlink" Target="http://likumi.lv/doc.php?id=274417" TargetMode="External"/><Relationship Id="rId44" Type="http://schemas.openxmlformats.org/officeDocument/2006/relationships/hyperlink" Target="http://www.varam.gov.lv/lat/pol/ppd/?doc=20773" TargetMode="External"/><Relationship Id="rId52" Type="http://schemas.openxmlformats.org/officeDocument/2006/relationships/hyperlink" Target="https://www.lrvk.gov.lv/lv/revizijas/revizijas/noslegtas-revizijas/vai-valsti-istenota-socialas-ieklausanas-politika-sasniedz-tai-izvirzitos-merkus-nabadzibas-mazinasanas-joma" TargetMode="External"/><Relationship Id="rId60" Type="http://schemas.openxmlformats.org/officeDocument/2006/relationships/hyperlink" Target="http://polsis.mk.gov.lv/documents/5207" TargetMode="External"/><Relationship Id="rId65" Type="http://schemas.openxmlformats.org/officeDocument/2006/relationships/hyperlink" Target="http://petijumi.mk.gov.lv/node/3048" TargetMode="External"/><Relationship Id="rId73" Type="http://schemas.openxmlformats.org/officeDocument/2006/relationships/hyperlink" Target="https://data.europa.eu/euodp/en/data/dataset/S2115_85_3_449_ENG" TargetMode="External"/><Relationship Id="rId78" Type="http://schemas.openxmlformats.org/officeDocument/2006/relationships/hyperlink" Target="http://lm.gov.lv/upload/dzimumu_lidztiesiba/dokumenti_un_tiesibu_akti/rekomend_090713.pdf" TargetMode="External"/><Relationship Id="rId81" Type="http://schemas.openxmlformats.org/officeDocument/2006/relationships/hyperlink" Target="https://eige.europa.eu/" TargetMode="External"/><Relationship Id="rId86" Type="http://schemas.openxmlformats.org/officeDocument/2006/relationships/hyperlink" Target="https://ec.europa.eu/info/sites/info/files/aid_development_cooperation_fundamental_rights/opinion_artificial_intelligence_gender_equality_2020_en.pdf" TargetMode="External"/><Relationship Id="rId4" Type="http://schemas.openxmlformats.org/officeDocument/2006/relationships/hyperlink" Target="http://dx.doi.org/10.1787/9789264289390-en" TargetMode="External"/><Relationship Id="rId9" Type="http://schemas.openxmlformats.org/officeDocument/2006/relationships/hyperlink" Target="https://www.lrvk.gov.lv/lv/revizijas/revizijas/noslegtas-revizijas/vai-valsti-istenota-socialas-ieklausanas-politika-sasniedz-tai-izvirzitos-merkus-nabadzibas-mazinasanas-joma" TargetMode="External"/><Relationship Id="rId13" Type="http://schemas.openxmlformats.org/officeDocument/2006/relationships/hyperlink" Target="https://www.satv.tiesa.gov.lv/cases/?case-filter-years=&amp;case-filter-status=&amp;case-filter-types=&amp;case-filter-result=&amp;searchtext=2019-24-03" TargetMode="External"/><Relationship Id="rId18" Type="http://schemas.openxmlformats.org/officeDocument/2006/relationships/hyperlink" Target="https://www.satv.tiesa.gov.lv/cases/?case-filter-years=&amp;case-filter-status=&amp;case-filter-types=&amp;case-filter-result=&amp;searchtext=2019-25-03" TargetMode="External"/><Relationship Id="rId39" Type="http://schemas.openxmlformats.org/officeDocument/2006/relationships/hyperlink" Target="http://likumi.lv/ta/lv/starptautiskie-ligumi/id/1150" TargetMode="External"/><Relationship Id="rId34" Type="http://schemas.openxmlformats.org/officeDocument/2006/relationships/hyperlink" Target="http://www.lrvk.gov.lv/revizija/vai-valsts-politika-pensiju-sistemas-ilgtspejas-nodrosinasanai-ir-efektiva/" TargetMode="External"/><Relationship Id="rId50" Type="http://schemas.openxmlformats.org/officeDocument/2006/relationships/hyperlink" Target="https://assets.publishing.service.gov.uk/government/uploads/system/uploads/attachment_data/file/292453/mental-capital-wellbeing-summary.pdf" TargetMode="External"/><Relationship Id="rId55" Type="http://schemas.openxmlformats.org/officeDocument/2006/relationships/hyperlink" Target="https://ec.europa.eu/social/main.jsp?langId=en&amp;catId=89&amp;newsId=9346&amp;furtherNews=yes" TargetMode="External"/><Relationship Id="rId76" Type="http://schemas.openxmlformats.org/officeDocument/2006/relationships/hyperlink" Target="http://polsis.mk.gov.lv/api/file/file7278085760657997582.docx" TargetMode="External"/><Relationship Id="rId7" Type="http://schemas.openxmlformats.org/officeDocument/2006/relationships/hyperlink" Target="https://www.lrvk.gov.lv/lv/revizijas/revizijas/noslegtas-revizijas/valsts-politikas-efektivitate-pensiju-sistemas-ilgtspejas-nodrosinasanai" TargetMode="External"/><Relationship Id="rId71" Type="http://schemas.openxmlformats.org/officeDocument/2006/relationships/hyperlink" Target="http://polsis.mk.gov.lv/api/file/file36360.doc" TargetMode="External"/><Relationship Id="rId92" Type="http://schemas.openxmlformats.org/officeDocument/2006/relationships/hyperlink" Target="https://www.kantar.lv/newsletters/tnsab55/darbinieku-vidu-iezimejas-profesionalas-izdegsanas-problema/" TargetMode="External"/><Relationship Id="rId2" Type="http://schemas.openxmlformats.org/officeDocument/2006/relationships/hyperlink" Target="http://petijumi.mk.gov.lv/node/3048" TargetMode="External"/><Relationship Id="rId29" Type="http://schemas.openxmlformats.org/officeDocument/2006/relationships/hyperlink" Target="http://www.likumi.lv/doc.php?id=65827" TargetMode="External"/><Relationship Id="rId24" Type="http://schemas.openxmlformats.org/officeDocument/2006/relationships/hyperlink" Target="http://www.likumi.lv/doc.php?id=19650" TargetMode="External"/><Relationship Id="rId40" Type="http://schemas.openxmlformats.org/officeDocument/2006/relationships/hyperlink" Target="https://likumi.lv/ta/id/291788-prasibas-socialo-pakalpojumu-sniedzejiem" TargetMode="External"/><Relationship Id="rId45" Type="http://schemas.openxmlformats.org/officeDocument/2006/relationships/hyperlink" Target="https://www.rsu.lv/sites/default/files/book_download/Darba_apstakli_un_riski_Latvija_2012-2013.pdf" TargetMode="External"/><Relationship Id="rId66" Type="http://schemas.openxmlformats.org/officeDocument/2006/relationships/hyperlink" Target="https://www.lrvk.gov.lv/lv/revizijas/revizijas/noslegtas-revizijas/vai-valsti-istenota-socialas-ieklausanas-politika-sasniedz-tai-izvirzitos-merkus-nabadzibas-mazinasanas-joma" TargetMode="External"/><Relationship Id="rId87" Type="http://schemas.openxmlformats.org/officeDocument/2006/relationships/hyperlink" Target="https://www.ptac.gov.lv/lv/content/petijumi" TargetMode="External"/><Relationship Id="rId61" Type="http://schemas.openxmlformats.org/officeDocument/2006/relationships/hyperlink" Target="http://petijumi.mk.gov.lv/node/3370" TargetMode="External"/><Relationship Id="rId82" Type="http://schemas.openxmlformats.org/officeDocument/2006/relationships/hyperlink" Target="https://eige.europa.eu/gender-equality-index/2020/LV" TargetMode="External"/><Relationship Id="rId19" Type="http://schemas.openxmlformats.org/officeDocument/2006/relationships/hyperlink" Target="https://www.satv.tiesa.gov.lv/cases/?case-filter-years=&amp;case-filter-status=&amp;case-filter-types=&amp;case-filter-result=&amp;searchtext=2019-27-03" TargetMode="External"/><Relationship Id="rId14" Type="http://schemas.openxmlformats.org/officeDocument/2006/relationships/hyperlink" Target="http://petijumi.mk.gov.lv/node/3048" TargetMode="External"/><Relationship Id="rId30" Type="http://schemas.openxmlformats.org/officeDocument/2006/relationships/hyperlink" Target="http://likumi.lv/ta/id/275463" TargetMode="External"/><Relationship Id="rId35" Type="http://schemas.openxmlformats.org/officeDocument/2006/relationships/hyperlink" Target="http://www.lrvk.gov.lv/revizija/vai-valsts-politika-pensiju-sistemas-ilgtspejas-nodrosinasanai-ir-efektiva/" TargetMode="External"/><Relationship Id="rId56" Type="http://schemas.openxmlformats.org/officeDocument/2006/relationships/hyperlink" Target="http://ec.europa.eu/social/BlobServlet?docId=15130&amp;langId=en" TargetMode="External"/><Relationship Id="rId77" Type="http://schemas.openxmlformats.org/officeDocument/2006/relationships/hyperlink" Target="http://lm.gov.lv/upload/dzimumu_lidztiesiba_a/pekinas_zinojums_30012017_1.pdf"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2.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acetr\Documents\DACE%202\IZDIENA%20_2017\Statistika\Izdienas_izdevumi%202011_2019.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3.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raimondsbridaks\Downloads\lc_lci_lev%20(2).xls"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raimondsbridaks\Desktop\PAMATNOSTADNES\excel_tabulas\DSG040.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1.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2.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rigita.buse\Documents\LM_pamatnstadnes\Grafik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r>
              <a:rPr lang="lv-LV" sz="1100" b="1">
                <a:solidFill>
                  <a:srgbClr val="002060"/>
                </a:solidFill>
              </a:rPr>
              <a:t>Demogrāfiskā slodze, </a:t>
            </a:r>
          </a:p>
          <a:p>
            <a:pPr>
              <a:defRPr sz="1100" b="1">
                <a:solidFill>
                  <a:srgbClr val="002060"/>
                </a:solidFill>
              </a:defRPr>
            </a:pPr>
            <a:r>
              <a:rPr lang="lv-LV" sz="1100" b="1">
                <a:solidFill>
                  <a:srgbClr val="002060"/>
                </a:solidFill>
              </a:rPr>
              <a:t>personu skaits uz 1000 darbspējīgiem iedzīvotājiem</a:t>
            </a:r>
          </a:p>
        </c:rich>
      </c:tx>
      <c:layout>
        <c:manualLayout>
          <c:xMode val="edge"/>
          <c:yMode val="edge"/>
          <c:x val="0.19510887772194305"/>
          <c:y val="3.007518796992481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1"/>
          <c:order val="1"/>
          <c:tx>
            <c:strRef>
              <c:f>'ISG010'!$B$40</c:f>
              <c:strCache>
                <c:ptCount val="1"/>
                <c:pt idx="0">
                  <c:v>Līdz darbspējas vecumam</c:v>
                </c:pt>
              </c:strCache>
            </c:strRef>
          </c:tx>
          <c:spPr>
            <a:solidFill>
              <a:schemeClr val="accent1"/>
            </a:solidFill>
            <a:ln>
              <a:noFill/>
            </a:ln>
            <a:effectLst/>
          </c:spPr>
          <c:invertIfNegative val="0"/>
          <c:cat>
            <c:numRef>
              <c:f>'ISG010'!$C$38:$J$38</c:f>
              <c:numCache>
                <c:formatCode>General</c:formatCode>
                <c:ptCount val="8"/>
                <c:pt idx="0">
                  <c:v>1990</c:v>
                </c:pt>
                <c:pt idx="1">
                  <c:v>2014</c:v>
                </c:pt>
                <c:pt idx="2">
                  <c:v>2015</c:v>
                </c:pt>
                <c:pt idx="3">
                  <c:v>2016</c:v>
                </c:pt>
                <c:pt idx="4">
                  <c:v>2017</c:v>
                </c:pt>
                <c:pt idx="5">
                  <c:v>2018</c:v>
                </c:pt>
                <c:pt idx="6">
                  <c:v>2019</c:v>
                </c:pt>
                <c:pt idx="7">
                  <c:v>2020</c:v>
                </c:pt>
              </c:numCache>
            </c:numRef>
          </c:cat>
          <c:val>
            <c:numRef>
              <c:f>'ISG010'!$C$40:$J$40</c:f>
              <c:numCache>
                <c:formatCode>General</c:formatCode>
                <c:ptCount val="8"/>
                <c:pt idx="0">
                  <c:v>403</c:v>
                </c:pt>
                <c:pt idx="1">
                  <c:v>235</c:v>
                </c:pt>
                <c:pt idx="2">
                  <c:v>242</c:v>
                </c:pt>
                <c:pt idx="3">
                  <c:v>248</c:v>
                </c:pt>
                <c:pt idx="4">
                  <c:v>250</c:v>
                </c:pt>
                <c:pt idx="5">
                  <c:v>256</c:v>
                </c:pt>
                <c:pt idx="6">
                  <c:v>259</c:v>
                </c:pt>
                <c:pt idx="7">
                  <c:v>263</c:v>
                </c:pt>
              </c:numCache>
            </c:numRef>
          </c:val>
          <c:extLst>
            <c:ext xmlns:c16="http://schemas.microsoft.com/office/drawing/2014/chart" uri="{C3380CC4-5D6E-409C-BE32-E72D297353CC}">
              <c16:uniqueId val="{00000000-E741-4F9E-B5B3-997EE2FCE5BA}"/>
            </c:ext>
          </c:extLst>
        </c:ser>
        <c:ser>
          <c:idx val="2"/>
          <c:order val="2"/>
          <c:tx>
            <c:strRef>
              <c:f>'ISG010'!$B$41</c:f>
              <c:strCache>
                <c:ptCount val="1"/>
                <c:pt idx="0">
                  <c:v>Virs darbspējas vecuma</c:v>
                </c:pt>
              </c:strCache>
            </c:strRef>
          </c:tx>
          <c:spPr>
            <a:solidFill>
              <a:schemeClr val="accent1">
                <a:tint val="65000"/>
              </a:schemeClr>
            </a:solidFill>
            <a:ln>
              <a:noFill/>
            </a:ln>
            <a:effectLst/>
          </c:spPr>
          <c:invertIfNegative val="0"/>
          <c:cat>
            <c:numRef>
              <c:f>'ISG010'!$C$38:$J$38</c:f>
              <c:numCache>
                <c:formatCode>General</c:formatCode>
                <c:ptCount val="8"/>
                <c:pt idx="0">
                  <c:v>1990</c:v>
                </c:pt>
                <c:pt idx="1">
                  <c:v>2014</c:v>
                </c:pt>
                <c:pt idx="2">
                  <c:v>2015</c:v>
                </c:pt>
                <c:pt idx="3">
                  <c:v>2016</c:v>
                </c:pt>
                <c:pt idx="4">
                  <c:v>2017</c:v>
                </c:pt>
                <c:pt idx="5">
                  <c:v>2018</c:v>
                </c:pt>
                <c:pt idx="6">
                  <c:v>2019</c:v>
                </c:pt>
                <c:pt idx="7">
                  <c:v>2020</c:v>
                </c:pt>
              </c:numCache>
            </c:numRef>
          </c:cat>
          <c:val>
            <c:numRef>
              <c:f>'ISG010'!$C$41:$J$41</c:f>
              <c:numCache>
                <c:formatCode>General</c:formatCode>
                <c:ptCount val="8"/>
                <c:pt idx="0">
                  <c:v>368</c:v>
                </c:pt>
                <c:pt idx="1">
                  <c:v>363</c:v>
                </c:pt>
                <c:pt idx="2">
                  <c:v>371</c:v>
                </c:pt>
                <c:pt idx="3">
                  <c:v>377</c:v>
                </c:pt>
                <c:pt idx="4">
                  <c:v>358</c:v>
                </c:pt>
                <c:pt idx="5">
                  <c:v>365</c:v>
                </c:pt>
                <c:pt idx="6">
                  <c:v>373</c:v>
                </c:pt>
                <c:pt idx="7">
                  <c:v>380</c:v>
                </c:pt>
              </c:numCache>
            </c:numRef>
          </c:val>
          <c:extLst>
            <c:ext xmlns:c16="http://schemas.microsoft.com/office/drawing/2014/chart" uri="{C3380CC4-5D6E-409C-BE32-E72D297353CC}">
              <c16:uniqueId val="{00000001-E741-4F9E-B5B3-997EE2FCE5BA}"/>
            </c:ext>
          </c:extLst>
        </c:ser>
        <c:dLbls>
          <c:showLegendKey val="0"/>
          <c:showVal val="0"/>
          <c:showCatName val="0"/>
          <c:showSerName val="0"/>
          <c:showPercent val="0"/>
          <c:showBubbleSize val="0"/>
        </c:dLbls>
        <c:gapWidth val="150"/>
        <c:axId val="449820432"/>
        <c:axId val="2071115088"/>
      </c:barChart>
      <c:lineChart>
        <c:grouping val="standard"/>
        <c:varyColors val="0"/>
        <c:ser>
          <c:idx val="0"/>
          <c:order val="0"/>
          <c:tx>
            <c:strRef>
              <c:f>'ISG010'!$B$39</c:f>
              <c:strCache>
                <c:ptCount val="1"/>
                <c:pt idx="0">
                  <c:v>Pavisam</c:v>
                </c:pt>
              </c:strCache>
            </c:strRef>
          </c:tx>
          <c:spPr>
            <a:ln w="28575" cap="rnd">
              <a:solidFill>
                <a:schemeClr val="accent1">
                  <a:shade val="65000"/>
                </a:schemeClr>
              </a:solidFill>
              <a:round/>
            </a:ln>
            <a:effectLst/>
          </c:spPr>
          <c:marker>
            <c:symbol val="circle"/>
            <c:size val="5"/>
            <c:spPr>
              <a:solidFill>
                <a:schemeClr val="accent1">
                  <a:shade val="65000"/>
                </a:schemeClr>
              </a:solidFill>
              <a:ln w="9525">
                <a:solidFill>
                  <a:schemeClr val="accent1">
                    <a:shade val="65000"/>
                  </a:schemeClr>
                </a:solidFill>
              </a:ln>
              <a:effectLst/>
            </c:spPr>
          </c:marker>
          <c:cat>
            <c:numRef>
              <c:f>'ISG010'!$C$38:$J$38</c:f>
              <c:numCache>
                <c:formatCode>General</c:formatCode>
                <c:ptCount val="8"/>
                <c:pt idx="0">
                  <c:v>1990</c:v>
                </c:pt>
                <c:pt idx="1">
                  <c:v>2014</c:v>
                </c:pt>
                <c:pt idx="2">
                  <c:v>2015</c:v>
                </c:pt>
                <c:pt idx="3">
                  <c:v>2016</c:v>
                </c:pt>
                <c:pt idx="4">
                  <c:v>2017</c:v>
                </c:pt>
                <c:pt idx="5">
                  <c:v>2018</c:v>
                </c:pt>
                <c:pt idx="6">
                  <c:v>2019</c:v>
                </c:pt>
                <c:pt idx="7">
                  <c:v>2020</c:v>
                </c:pt>
              </c:numCache>
            </c:numRef>
          </c:cat>
          <c:val>
            <c:numRef>
              <c:f>'ISG010'!$C$39:$J$39</c:f>
              <c:numCache>
                <c:formatCode>General</c:formatCode>
                <c:ptCount val="8"/>
                <c:pt idx="0">
                  <c:v>771</c:v>
                </c:pt>
                <c:pt idx="1">
                  <c:v>598</c:v>
                </c:pt>
                <c:pt idx="2">
                  <c:v>613</c:v>
                </c:pt>
                <c:pt idx="3">
                  <c:v>625</c:v>
                </c:pt>
                <c:pt idx="4">
                  <c:v>608</c:v>
                </c:pt>
                <c:pt idx="5">
                  <c:v>621</c:v>
                </c:pt>
                <c:pt idx="6">
                  <c:v>632</c:v>
                </c:pt>
                <c:pt idx="7">
                  <c:v>643</c:v>
                </c:pt>
              </c:numCache>
            </c:numRef>
          </c:val>
          <c:smooth val="0"/>
          <c:extLst>
            <c:ext xmlns:c16="http://schemas.microsoft.com/office/drawing/2014/chart" uri="{C3380CC4-5D6E-409C-BE32-E72D297353CC}">
              <c16:uniqueId val="{00000002-E741-4F9E-B5B3-997EE2FCE5BA}"/>
            </c:ext>
          </c:extLst>
        </c:ser>
        <c:dLbls>
          <c:showLegendKey val="0"/>
          <c:showVal val="0"/>
          <c:showCatName val="0"/>
          <c:showSerName val="0"/>
          <c:showPercent val="0"/>
          <c:showBubbleSize val="0"/>
        </c:dLbls>
        <c:marker val="1"/>
        <c:smooth val="0"/>
        <c:axId val="449820432"/>
        <c:axId val="2071115088"/>
      </c:lineChart>
      <c:catAx>
        <c:axId val="44982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71115088"/>
        <c:crosses val="autoZero"/>
        <c:auto val="1"/>
        <c:lblAlgn val="ctr"/>
        <c:lblOffset val="100"/>
        <c:noMultiLvlLbl val="0"/>
      </c:catAx>
      <c:valAx>
        <c:axId val="20711150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498204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en-US" sz="1200" dirty="0" err="1">
                <a:solidFill>
                  <a:srgbClr val="002060"/>
                </a:solidFill>
                <a:latin typeface="Times New Roman" panose="02020603050405020304" pitchFamily="18" charset="0"/>
                <a:cs typeface="Times New Roman" panose="02020603050405020304" pitchFamily="18" charset="0"/>
              </a:rPr>
              <a:t>Obligāti</a:t>
            </a:r>
            <a:r>
              <a:rPr lang="en-US" sz="1200" dirty="0">
                <a:solidFill>
                  <a:srgbClr val="002060"/>
                </a:solidFill>
                <a:latin typeface="Times New Roman" panose="02020603050405020304" pitchFamily="18" charset="0"/>
                <a:cs typeface="Times New Roman" panose="02020603050405020304" pitchFamily="18" charset="0"/>
              </a:rPr>
              <a:t> </a:t>
            </a:r>
            <a:r>
              <a:rPr lang="en-US" sz="1200" dirty="0" err="1">
                <a:solidFill>
                  <a:srgbClr val="002060"/>
                </a:solidFill>
                <a:latin typeface="Times New Roman" panose="02020603050405020304" pitchFamily="18" charset="0"/>
                <a:cs typeface="Times New Roman" panose="02020603050405020304" pitchFamily="18" charset="0"/>
              </a:rPr>
              <a:t>sociāli</a:t>
            </a:r>
            <a:r>
              <a:rPr lang="en-US" sz="1200" dirty="0">
                <a:solidFill>
                  <a:srgbClr val="002060"/>
                </a:solidFill>
                <a:latin typeface="Times New Roman" panose="02020603050405020304" pitchFamily="18" charset="0"/>
                <a:cs typeface="Times New Roman" panose="02020603050405020304" pitchFamily="18" charset="0"/>
              </a:rPr>
              <a:t> </a:t>
            </a:r>
            <a:r>
              <a:rPr lang="en-US" sz="1200" dirty="0" err="1">
                <a:solidFill>
                  <a:srgbClr val="002060"/>
                </a:solidFill>
                <a:latin typeface="Times New Roman" panose="02020603050405020304" pitchFamily="18" charset="0"/>
                <a:cs typeface="Times New Roman" panose="02020603050405020304" pitchFamily="18" charset="0"/>
              </a:rPr>
              <a:t>apdrošinātās</a:t>
            </a:r>
            <a:r>
              <a:rPr lang="en-US" sz="1200" dirty="0">
                <a:solidFill>
                  <a:srgbClr val="002060"/>
                </a:solidFill>
                <a:latin typeface="Times New Roman" panose="02020603050405020304" pitchFamily="18" charset="0"/>
                <a:cs typeface="Times New Roman" panose="02020603050405020304" pitchFamily="18" charset="0"/>
              </a:rPr>
              <a:t> personas</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4550730669988149E-2"/>
          <c:y val="0.18213030525808291"/>
          <c:w val="0.85830428074501897"/>
          <c:h val="0.63228619011433107"/>
        </c:manualLayout>
      </c:layout>
      <c:barChart>
        <c:barDir val="col"/>
        <c:grouping val="clustered"/>
        <c:varyColors val="0"/>
        <c:ser>
          <c:idx val="0"/>
          <c:order val="0"/>
          <c:tx>
            <c:strRef>
              <c:f>oblig_pers!$B$2</c:f>
              <c:strCache>
                <c:ptCount val="1"/>
                <c:pt idx="0">
                  <c:v>Skaits, tūkst.</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oblig_pers!$A$5:$A$9</c:f>
              <c:strCache>
                <c:ptCount val="5"/>
                <c:pt idx="0">
                  <c:v>darba ņēmēji</c:v>
                </c:pt>
                <c:pt idx="1">
                  <c:v>mikrouzņēmuma darbinieki</c:v>
                </c:pt>
                <c:pt idx="2">
                  <c:v>pašnodarbinātie*</c:v>
                </c:pt>
                <c:pt idx="3">
                  <c:v>autoratlīdzības saņēmēji</c:v>
                </c:pt>
                <c:pt idx="4">
                  <c:v>lauksaimniecības sezonas darbos nodarbinātie</c:v>
                </c:pt>
              </c:strCache>
            </c:strRef>
          </c:cat>
          <c:val>
            <c:numRef>
              <c:f>oblig_pers!$B$5:$B$9</c:f>
              <c:numCache>
                <c:formatCode>General</c:formatCode>
                <c:ptCount val="5"/>
                <c:pt idx="0" formatCode="_(* #,##0.00_);_(* \(#,##0.00\);_(* &quot;-&quot;??_);_(@_)">
                  <c:v>950.12400000000002</c:v>
                </c:pt>
                <c:pt idx="1">
                  <c:v>99.497</c:v>
                </c:pt>
                <c:pt idx="2" formatCode="#,##0.0">
                  <c:v>36.064</c:v>
                </c:pt>
                <c:pt idx="3">
                  <c:v>29.285</c:v>
                </c:pt>
                <c:pt idx="4">
                  <c:v>1.6859999999999999</c:v>
                </c:pt>
              </c:numCache>
            </c:numRef>
          </c:val>
          <c:extLst>
            <c:ext xmlns:c16="http://schemas.microsoft.com/office/drawing/2014/chart" uri="{C3380CC4-5D6E-409C-BE32-E72D297353CC}">
              <c16:uniqueId val="{00000000-9443-4EB7-9B97-C5372361A11C}"/>
            </c:ext>
          </c:extLst>
        </c:ser>
        <c:dLbls>
          <c:showLegendKey val="0"/>
          <c:showVal val="0"/>
          <c:showCatName val="0"/>
          <c:showSerName val="0"/>
          <c:showPercent val="0"/>
          <c:showBubbleSize val="0"/>
        </c:dLbls>
        <c:gapWidth val="150"/>
        <c:axId val="-1548789952"/>
        <c:axId val="-1548789408"/>
      </c:barChart>
      <c:lineChart>
        <c:grouping val="standard"/>
        <c:varyColors val="0"/>
        <c:ser>
          <c:idx val="1"/>
          <c:order val="1"/>
          <c:tx>
            <c:strRef>
              <c:f>oblig_pers!$C$2</c:f>
              <c:strCache>
                <c:ptCount val="1"/>
                <c:pt idx="0">
                  <c:v>Vidējā alga jeb vidējais iemaksu objekts, EUR mēnesī</c:v>
                </c:pt>
              </c:strCache>
            </c:strRef>
          </c:tx>
          <c:spPr>
            <a:ln w="19050" cap="rnd" cmpd="sng" algn="ctr">
              <a:noFill/>
              <a:prstDash val="solid"/>
              <a:round/>
            </a:ln>
            <a:effectLst/>
          </c:spPr>
          <c:marker>
            <c:symbol val="circle"/>
            <c:size val="13"/>
            <c:spPr>
              <a:solidFill>
                <a:schemeClr val="accent3"/>
              </a:solidFill>
              <a:ln w="6350" cap="flat" cmpd="sng" algn="ctr">
                <a:solidFill>
                  <a:schemeClr val="accent3"/>
                </a:solidFill>
                <a:prstDash val="solid"/>
                <a:round/>
              </a:ln>
              <a:effectLst/>
            </c:spPr>
          </c:marker>
          <c:dLbls>
            <c:numFmt formatCode="[$EUR-426]\ #,##0" sourceLinked="0"/>
            <c:spPr>
              <a:noFill/>
              <a:ln>
                <a:noFill/>
              </a:ln>
              <a:effectLst/>
            </c:spPr>
            <c:txPr>
              <a:bodyPr rot="0" spcFirstLastPara="1" vertOverflow="ellipsis" vert="horz" wrap="square" anchor="ctr" anchorCtr="1"/>
              <a:lstStyle/>
              <a:p>
                <a:pPr>
                  <a:defRPr sz="1050" b="1" i="0" u="none" strike="noStrike" kern="1200" baseline="0">
                    <a:solidFill>
                      <a:srgbClr val="C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oblig_pers!$A$5:$A$9</c:f>
              <c:strCache>
                <c:ptCount val="5"/>
                <c:pt idx="0">
                  <c:v>darba ņēmēji</c:v>
                </c:pt>
                <c:pt idx="1">
                  <c:v>mikrouzņēmuma darbinieki</c:v>
                </c:pt>
                <c:pt idx="2">
                  <c:v>pašnodarbinātie*</c:v>
                </c:pt>
                <c:pt idx="3">
                  <c:v>autoratlīdzības saņēmēji</c:v>
                </c:pt>
                <c:pt idx="4">
                  <c:v>lauksaimniecības sezonas darbos nodarbinātie</c:v>
                </c:pt>
              </c:strCache>
            </c:strRef>
          </c:cat>
          <c:val>
            <c:numRef>
              <c:f>oblig_pers!$C$5:$C$9</c:f>
              <c:numCache>
                <c:formatCode>General</c:formatCode>
                <c:ptCount val="5"/>
                <c:pt idx="0">
                  <c:v>926.47</c:v>
                </c:pt>
                <c:pt idx="1">
                  <c:v>231.47</c:v>
                </c:pt>
                <c:pt idx="2">
                  <c:v>298.16000000000003</c:v>
                </c:pt>
                <c:pt idx="3">
                  <c:v>126.15</c:v>
                </c:pt>
                <c:pt idx="4">
                  <c:v>142.13999999999999</c:v>
                </c:pt>
              </c:numCache>
            </c:numRef>
          </c:val>
          <c:smooth val="0"/>
          <c:extLst>
            <c:ext xmlns:c16="http://schemas.microsoft.com/office/drawing/2014/chart" uri="{C3380CC4-5D6E-409C-BE32-E72D297353CC}">
              <c16:uniqueId val="{00000001-9443-4EB7-9B97-C5372361A11C}"/>
            </c:ext>
          </c:extLst>
        </c:ser>
        <c:dLbls>
          <c:showLegendKey val="0"/>
          <c:showVal val="0"/>
          <c:showCatName val="0"/>
          <c:showSerName val="0"/>
          <c:showPercent val="0"/>
          <c:showBubbleSize val="0"/>
        </c:dLbls>
        <c:marker val="1"/>
        <c:smooth val="0"/>
        <c:axId val="-1548763296"/>
        <c:axId val="-1548768736"/>
      </c:lineChart>
      <c:catAx>
        <c:axId val="-1548789952"/>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48789408"/>
        <c:crosses val="autoZero"/>
        <c:auto val="1"/>
        <c:lblAlgn val="ctr"/>
        <c:lblOffset val="100"/>
        <c:noMultiLvlLbl val="0"/>
      </c:catAx>
      <c:valAx>
        <c:axId val="-1548789408"/>
        <c:scaling>
          <c:orientation val="minMax"/>
          <c:max val="980"/>
        </c:scaling>
        <c:delete val="0"/>
        <c:axPos val="l"/>
        <c:numFmt formatCode="General" sourceLinked="0"/>
        <c:majorTickMark val="out"/>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bg1"/>
                </a:solidFill>
                <a:latin typeface="+mn-lt"/>
                <a:ea typeface="+mn-ea"/>
                <a:cs typeface="+mn-cs"/>
              </a:defRPr>
            </a:pPr>
            <a:endParaRPr lang="lv-LV"/>
          </a:p>
        </c:txPr>
        <c:crossAx val="-1548789952"/>
        <c:crosses val="autoZero"/>
        <c:crossBetween val="between"/>
      </c:valAx>
      <c:valAx>
        <c:axId val="-1548768736"/>
        <c:scaling>
          <c:orientation val="minMax"/>
        </c:scaling>
        <c:delete val="0"/>
        <c:axPos val="r"/>
        <c:numFmt formatCode="General" sourceLinked="1"/>
        <c:majorTickMark val="out"/>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bg1"/>
                </a:solidFill>
                <a:latin typeface="+mn-lt"/>
                <a:ea typeface="+mn-ea"/>
                <a:cs typeface="+mn-cs"/>
              </a:defRPr>
            </a:pPr>
            <a:endParaRPr lang="lv-LV"/>
          </a:p>
        </c:txPr>
        <c:crossAx val="-1548763296"/>
        <c:crosses val="max"/>
        <c:crossBetween val="between"/>
      </c:valAx>
      <c:catAx>
        <c:axId val="-1548763296"/>
        <c:scaling>
          <c:orientation val="minMax"/>
        </c:scaling>
        <c:delete val="1"/>
        <c:axPos val="b"/>
        <c:numFmt formatCode="General" sourceLinked="1"/>
        <c:majorTickMark val="out"/>
        <c:minorTickMark val="none"/>
        <c:tickLblPos val="nextTo"/>
        <c:crossAx val="-1548768736"/>
        <c:crosses val="autoZero"/>
        <c:auto val="1"/>
        <c:lblAlgn val="ctr"/>
        <c:lblOffset val="100"/>
        <c:noMultiLvlLbl val="0"/>
      </c:catAx>
      <c:spPr>
        <a:solidFill>
          <a:schemeClr val="bg1"/>
        </a:solidFill>
        <a:ln>
          <a:noFill/>
        </a:ln>
        <a:effectLst/>
      </c:spPr>
    </c:plotArea>
    <c:legend>
      <c:legendPos val="b"/>
      <c:layout>
        <c:manualLayout>
          <c:xMode val="edge"/>
          <c:yMode val="edge"/>
          <c:x val="0.53471246726010657"/>
          <c:y val="0.1295257693811169"/>
          <c:w val="0.4543661360431151"/>
          <c:h val="0.215030790177221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lv-LV"/>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002060"/>
                </a:solidFill>
                <a:latin typeface="Times New Roman" panose="02020603050405020304" pitchFamily="18" charset="0"/>
                <a:ea typeface="+mn-ea"/>
                <a:cs typeface="+mn-cs"/>
              </a:defRPr>
            </a:pPr>
            <a:r>
              <a:rPr lang="lv-LV" sz="1200" b="1" baseline="0">
                <a:solidFill>
                  <a:srgbClr val="002060"/>
                </a:solidFill>
                <a:effectLst/>
                <a:latin typeface="Times New Roman" panose="02020603050405020304" pitchFamily="18" charset="0"/>
              </a:rPr>
              <a:t>Valsts sociālās apdrošināšanas speciālā budžeta rādītāji (milj. eiro)</a:t>
            </a:r>
            <a:endParaRPr lang="lv-LV" sz="1200" baseline="0">
              <a:solidFill>
                <a:srgbClr val="002060"/>
              </a:solidFill>
              <a:effectLst/>
              <a:latin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002060"/>
              </a:solidFill>
              <a:latin typeface="Times New Roman" panose="02020603050405020304" pitchFamily="18" charset="0"/>
              <a:ea typeface="+mn-ea"/>
              <a:cs typeface="+mn-cs"/>
            </a:defRPr>
          </a:pPr>
          <a:endParaRPr lang="lv-LV"/>
        </a:p>
      </c:txPr>
    </c:title>
    <c:autoTitleDeleted val="0"/>
    <c:plotArea>
      <c:layout/>
      <c:barChart>
        <c:barDir val="col"/>
        <c:grouping val="clustered"/>
        <c:varyColors val="0"/>
        <c:ser>
          <c:idx val="2"/>
          <c:order val="2"/>
          <c:tx>
            <c:strRef>
              <c:f>'milj_1998-14 (2)'!$D$5</c:f>
              <c:strCache>
                <c:ptCount val="1"/>
                <c:pt idx="0">
                  <c:v>finansiālā gada bilance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85000"/>
                        <a:lumOff val="1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'milj_1998-14 (2)'!$A$6:$A$27</c:f>
              <c:numCache>
                <c:formatCode>General</c:formatCode>
                <c:ptCount val="22"/>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numCache>
            </c:numRef>
          </c:cat>
          <c:val>
            <c:numRef>
              <c:f>'milj_1998-14 (2)'!$D$6:$D$27</c:f>
              <c:numCache>
                <c:formatCode>#,##0.0</c:formatCode>
                <c:ptCount val="22"/>
                <c:pt idx="0">
                  <c:v>-8.3625135884257897</c:v>
                </c:pt>
                <c:pt idx="1">
                  <c:v>-78.96642876250003</c:v>
                </c:pt>
                <c:pt idx="2">
                  <c:v>-39.720436992390489</c:v>
                </c:pt>
                <c:pt idx="3">
                  <c:v>-11.471010409730239</c:v>
                </c:pt>
                <c:pt idx="4">
                  <c:v>2.2310814964059773</c:v>
                </c:pt>
                <c:pt idx="5">
                  <c:v>26.102792528215559</c:v>
                </c:pt>
                <c:pt idx="6">
                  <c:v>72.769742346372482</c:v>
                </c:pt>
                <c:pt idx="7">
                  <c:v>129.67006733029416</c:v>
                </c:pt>
                <c:pt idx="8">
                  <c:v>258.65826887724029</c:v>
                </c:pt>
                <c:pt idx="9">
                  <c:v>540.18070756569387</c:v>
                </c:pt>
                <c:pt idx="10">
                  <c:v>323.40641345239919</c:v>
                </c:pt>
                <c:pt idx="11">
                  <c:v>-303.08841725431307</c:v>
                </c:pt>
                <c:pt idx="12">
                  <c:v>-477.7503229919007</c:v>
                </c:pt>
                <c:pt idx="13">
                  <c:v>-177.66268831708408</c:v>
                </c:pt>
                <c:pt idx="14">
                  <c:v>-70.403967535756692</c:v>
                </c:pt>
                <c:pt idx="15">
                  <c:v>-57.911089009168791</c:v>
                </c:pt>
                <c:pt idx="16">
                  <c:v>100.35182900000018</c:v>
                </c:pt>
                <c:pt idx="17">
                  <c:v>91.131952000000183</c:v>
                </c:pt>
                <c:pt idx="18">
                  <c:v>47.822464000000309</c:v>
                </c:pt>
                <c:pt idx="19">
                  <c:v>113.83976699999994</c:v>
                </c:pt>
                <c:pt idx="20">
                  <c:v>202.2317294999998</c:v>
                </c:pt>
                <c:pt idx="21">
                  <c:v>299.55068200000005</c:v>
                </c:pt>
              </c:numCache>
            </c:numRef>
          </c:val>
          <c:extLst>
            <c:ext xmlns:c16="http://schemas.microsoft.com/office/drawing/2014/chart" uri="{C3380CC4-5D6E-409C-BE32-E72D297353CC}">
              <c16:uniqueId val="{00000000-81B9-4BCC-9813-06579CB70FF8}"/>
            </c:ext>
          </c:extLst>
        </c:ser>
        <c:dLbls>
          <c:showLegendKey val="0"/>
          <c:showVal val="0"/>
          <c:showCatName val="0"/>
          <c:showSerName val="0"/>
          <c:showPercent val="0"/>
          <c:showBubbleSize val="0"/>
        </c:dLbls>
        <c:gapWidth val="104"/>
        <c:axId val="-1548778528"/>
        <c:axId val="-1548766560"/>
      </c:barChart>
      <c:lineChart>
        <c:grouping val="standard"/>
        <c:varyColors val="0"/>
        <c:ser>
          <c:idx val="0"/>
          <c:order val="0"/>
          <c:tx>
            <c:strRef>
              <c:f>'milj_1998-14 (2)'!$B$5</c:f>
              <c:strCache>
                <c:ptCount val="1"/>
                <c:pt idx="0">
                  <c:v>ieņēmumi</c:v>
                </c:pt>
              </c:strCache>
            </c:strRef>
          </c:tx>
          <c:spPr>
            <a:ln w="28575" cap="rnd">
              <a:solidFill>
                <a:schemeClr val="accent1"/>
              </a:solidFill>
              <a:round/>
            </a:ln>
            <a:effectLst/>
          </c:spPr>
          <c:marker>
            <c:symbol val="none"/>
          </c:marker>
          <c:dLbls>
            <c:dLbl>
              <c:idx val="21"/>
              <c:layout>
                <c:manualLayout>
                  <c:x val="-3.0546013600914325E-3"/>
                  <c:y val="-3.1914893617021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B9-4BCC-9813-06579CB70FF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'milj_1998-14 (2)'!$B$6:$B$27</c:f>
              <c:numCache>
                <c:formatCode>#,##0.0</c:formatCode>
                <c:ptCount val="22"/>
                <c:pt idx="0">
                  <c:v>623.67714469468012</c:v>
                </c:pt>
                <c:pt idx="1">
                  <c:v>654.80856398085382</c:v>
                </c:pt>
                <c:pt idx="2">
                  <c:v>675.27264785060981</c:v>
                </c:pt>
                <c:pt idx="3">
                  <c:v>696.55000256116921</c:v>
                </c:pt>
                <c:pt idx="4">
                  <c:v>763.34733012333459</c:v>
                </c:pt>
                <c:pt idx="5">
                  <c:v>823.74913489393907</c:v>
                </c:pt>
                <c:pt idx="6">
                  <c:v>936.19229685659161</c:v>
                </c:pt>
                <c:pt idx="7">
                  <c:v>1094.5283677952887</c:v>
                </c:pt>
                <c:pt idx="8">
                  <c:v>1394.8774807770019</c:v>
                </c:pt>
                <c:pt idx="9">
                  <c:v>1838.4658966084426</c:v>
                </c:pt>
                <c:pt idx="10">
                  <c:v>2050.5384061559125</c:v>
                </c:pt>
                <c:pt idx="11">
                  <c:v>1776.3996576570423</c:v>
                </c:pt>
                <c:pt idx="12">
                  <c:v>1676.2908293066062</c:v>
                </c:pt>
                <c:pt idx="13">
                  <c:v>1785.5142941702097</c:v>
                </c:pt>
                <c:pt idx="14">
                  <c:v>1924.6825188815089</c:v>
                </c:pt>
                <c:pt idx="15">
                  <c:v>2036.2568966596664</c:v>
                </c:pt>
                <c:pt idx="16">
                  <c:v>2222.1063290000002</c:v>
                </c:pt>
                <c:pt idx="17">
                  <c:v>2294.241043</c:v>
                </c:pt>
                <c:pt idx="18">
                  <c:v>2338.6118580000002</c:v>
                </c:pt>
                <c:pt idx="19">
                  <c:v>2504.1915949999998</c:v>
                </c:pt>
                <c:pt idx="20">
                  <c:v>2782.3229584999999</c:v>
                </c:pt>
                <c:pt idx="21">
                  <c:v>3050.316014</c:v>
                </c:pt>
              </c:numCache>
            </c:numRef>
          </c:val>
          <c:smooth val="0"/>
          <c:extLst>
            <c:ext xmlns:c16="http://schemas.microsoft.com/office/drawing/2014/chart" uri="{C3380CC4-5D6E-409C-BE32-E72D297353CC}">
              <c16:uniqueId val="{00000002-81B9-4BCC-9813-06579CB70FF8}"/>
            </c:ext>
          </c:extLst>
        </c:ser>
        <c:ser>
          <c:idx val="1"/>
          <c:order val="1"/>
          <c:tx>
            <c:strRef>
              <c:f>'milj_1998-14 (2)'!$C$5</c:f>
              <c:strCache>
                <c:ptCount val="1"/>
                <c:pt idx="0">
                  <c:v>izdevumi</c:v>
                </c:pt>
              </c:strCache>
            </c:strRef>
          </c:tx>
          <c:spPr>
            <a:ln w="28575" cap="rnd">
              <a:solidFill>
                <a:schemeClr val="accent3"/>
              </a:solidFill>
              <a:round/>
            </a:ln>
            <a:effectLst/>
          </c:spPr>
          <c:marker>
            <c:symbol val="none"/>
          </c:marker>
          <c:dLbls>
            <c:dLbl>
              <c:idx val="21"/>
              <c:layout>
                <c:manualLayout>
                  <c:x val="0"/>
                  <c:y val="3.1914893617021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B9-4BCC-9813-06579CB70FF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'milj_1998-14 (2)'!$C$6:$C$27</c:f>
              <c:numCache>
                <c:formatCode>#,##0.0</c:formatCode>
                <c:ptCount val="22"/>
                <c:pt idx="0">
                  <c:v>632.03965828310595</c:v>
                </c:pt>
                <c:pt idx="1">
                  <c:v>733.77499274335389</c:v>
                </c:pt>
                <c:pt idx="2">
                  <c:v>714.99308484300036</c:v>
                </c:pt>
                <c:pt idx="3">
                  <c:v>708.02101297089951</c:v>
                </c:pt>
                <c:pt idx="4">
                  <c:v>761.11624862692861</c:v>
                </c:pt>
                <c:pt idx="5">
                  <c:v>797.64634236572351</c:v>
                </c:pt>
                <c:pt idx="6">
                  <c:v>863.42255451021913</c:v>
                </c:pt>
                <c:pt idx="7">
                  <c:v>964.8583004649945</c:v>
                </c:pt>
                <c:pt idx="8">
                  <c:v>1136.2192118997616</c:v>
                </c:pt>
                <c:pt idx="9">
                  <c:v>1298.2851890427487</c:v>
                </c:pt>
                <c:pt idx="10">
                  <c:v>1727.1319927035133</c:v>
                </c:pt>
                <c:pt idx="11">
                  <c:v>2079.4880749113554</c:v>
                </c:pt>
                <c:pt idx="12">
                  <c:v>2154.0411522985069</c:v>
                </c:pt>
                <c:pt idx="13">
                  <c:v>1963.1769824872938</c:v>
                </c:pt>
                <c:pt idx="14">
                  <c:v>1995.0864864172656</c:v>
                </c:pt>
                <c:pt idx="15">
                  <c:v>2094.1679856688352</c:v>
                </c:pt>
                <c:pt idx="16">
                  <c:v>2121.7545</c:v>
                </c:pt>
                <c:pt idx="17">
                  <c:v>2203.1090909999998</c:v>
                </c:pt>
                <c:pt idx="18">
                  <c:v>2290.7893939999999</c:v>
                </c:pt>
                <c:pt idx="19">
                  <c:v>2390.3518279999998</c:v>
                </c:pt>
                <c:pt idx="20">
                  <c:v>2580.0912290000001</c:v>
                </c:pt>
                <c:pt idx="21">
                  <c:v>2750.7653319999999</c:v>
                </c:pt>
              </c:numCache>
            </c:numRef>
          </c:val>
          <c:smooth val="0"/>
          <c:extLst>
            <c:ext xmlns:c16="http://schemas.microsoft.com/office/drawing/2014/chart" uri="{C3380CC4-5D6E-409C-BE32-E72D297353CC}">
              <c16:uniqueId val="{00000004-81B9-4BCC-9813-06579CB70FF8}"/>
            </c:ext>
          </c:extLst>
        </c:ser>
        <c:dLbls>
          <c:showLegendKey val="0"/>
          <c:showVal val="0"/>
          <c:showCatName val="0"/>
          <c:showSerName val="0"/>
          <c:showPercent val="0"/>
          <c:showBubbleSize val="0"/>
        </c:dLbls>
        <c:marker val="1"/>
        <c:smooth val="0"/>
        <c:axId val="-1548778528"/>
        <c:axId val="-1548766560"/>
      </c:lineChart>
      <c:catAx>
        <c:axId val="-1548778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548766560"/>
        <c:crosses val="autoZero"/>
        <c:auto val="1"/>
        <c:lblAlgn val="ctr"/>
        <c:lblOffset val="100"/>
        <c:noMultiLvlLbl val="0"/>
      </c:catAx>
      <c:valAx>
        <c:axId val="-1548766560"/>
        <c:scaling>
          <c:orientation val="minMax"/>
          <c:max val="3100"/>
        </c:scaling>
        <c:delete val="0"/>
        <c:axPos val="l"/>
        <c:majorGridlines>
          <c:spPr>
            <a:ln w="9525" cap="flat" cmpd="sng" algn="ctr">
              <a:solidFill>
                <a:schemeClr val="tx1">
                  <a:lumMod val="15000"/>
                  <a:lumOff val="85000"/>
                </a:schemeClr>
              </a:solidFill>
              <a:prstDash val="sys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87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05363572725984"/>
          <c:y val="4.0866508819264721E-2"/>
          <c:w val="0.78410757342142223"/>
          <c:h val="0.78199676963456488"/>
        </c:manualLayout>
      </c:layout>
      <c:barChart>
        <c:barDir val="col"/>
        <c:grouping val="clustered"/>
        <c:varyColors val="0"/>
        <c:ser>
          <c:idx val="0"/>
          <c:order val="0"/>
          <c:tx>
            <c:strRef>
              <c:f>'izdienu izdevumi (2)'!$A$11</c:f>
              <c:strCache>
                <c:ptCount val="1"/>
                <c:pt idx="0">
                  <c:v>izdevumi no PB</c:v>
                </c:pt>
              </c:strCache>
            </c:strRef>
          </c:tx>
          <c:spPr>
            <a:solidFill>
              <a:schemeClr val="accent1"/>
            </a:solidFill>
            <a:ln>
              <a:noFill/>
            </a:ln>
            <a:effectLst/>
          </c:spPr>
          <c:invertIfNegative val="0"/>
          <c:dLbls>
            <c:numFmt formatCode="#,##0.0" sourceLinked="0"/>
            <c:spPr>
              <a:solidFill>
                <a:schemeClr val="bg1">
                  <a:lumMod val="95000"/>
                </a:schemeClr>
              </a:solid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'izdienu izdevumi (2)'!$B$10:$J$10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'izdienu izdevumi (2)'!$B$11:$J$11</c:f>
              <c:numCache>
                <c:formatCode>#,##0</c:formatCode>
                <c:ptCount val="9"/>
                <c:pt idx="0">
                  <c:v>29848206.190000001</c:v>
                </c:pt>
                <c:pt idx="1">
                  <c:v>34285715.039999999</c:v>
                </c:pt>
                <c:pt idx="2">
                  <c:v>37089196.609999999</c:v>
                </c:pt>
                <c:pt idx="3">
                  <c:v>38695205.340000004</c:v>
                </c:pt>
                <c:pt idx="4">
                  <c:v>41147218.329999998</c:v>
                </c:pt>
                <c:pt idx="5">
                  <c:v>44128392.659999996</c:v>
                </c:pt>
                <c:pt idx="6">
                  <c:v>48891927.920000002</c:v>
                </c:pt>
                <c:pt idx="7">
                  <c:v>54144239.540000007</c:v>
                </c:pt>
                <c:pt idx="8">
                  <c:v>60482501.149999999</c:v>
                </c:pt>
              </c:numCache>
            </c:numRef>
          </c:val>
          <c:extLst>
            <c:ext xmlns:c16="http://schemas.microsoft.com/office/drawing/2014/chart" uri="{C3380CC4-5D6E-409C-BE32-E72D297353CC}">
              <c16:uniqueId val="{00000000-0B92-4F46-9F3D-54798B344C31}"/>
            </c:ext>
          </c:extLst>
        </c:ser>
        <c:dLbls>
          <c:showLegendKey val="0"/>
          <c:showVal val="0"/>
          <c:showCatName val="0"/>
          <c:showSerName val="0"/>
          <c:showPercent val="0"/>
          <c:showBubbleSize val="0"/>
        </c:dLbls>
        <c:gapWidth val="75"/>
        <c:axId val="-1548762208"/>
        <c:axId val="-1548788864"/>
        <c:extLst>
          <c:ext xmlns:c15="http://schemas.microsoft.com/office/drawing/2012/chart" uri="{02D57815-91ED-43cb-92C2-25804820EDAC}">
            <c15:filteredBarSeries>
              <c15:ser>
                <c:idx val="1"/>
                <c:order val="1"/>
                <c:tx>
                  <c:strRef>
                    <c:extLst>
                      <c:ext uri="{02D57815-91ED-43cb-92C2-25804820EDAC}">
                        <c15:formulaRef>
                          <c15:sqref>'izdienu izdevumi (2)'!$A$12</c15:sqref>
                        </c15:formulaRef>
                      </c:ext>
                    </c:extLst>
                    <c:strCache>
                      <c:ptCount val="1"/>
                      <c:pt idx="0">
                        <c:v>izdevumi no SpB </c:v>
                      </c:pt>
                    </c:strCache>
                  </c:strRef>
                </c:tx>
                <c:spPr>
                  <a:solidFill>
                    <a:schemeClr val="accent2"/>
                  </a:solidFill>
                  <a:ln>
                    <a:noFill/>
                  </a:ln>
                  <a:effectLst/>
                </c:spPr>
                <c:invertIfNegative val="0"/>
                <c:dLbls>
                  <c:numFmt formatCode="#,##0.0" sourceLinked="0"/>
                  <c:spPr>
                    <a:solidFill>
                      <a:schemeClr val="bg1">
                        <a:lumMod val="95000"/>
                      </a:schemeClr>
                    </a:solid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lv-LV"/>
                    </a:p>
                  </c:txPr>
                  <c:dLblPos val="inEnd"/>
                  <c:showLegendKey val="0"/>
                  <c:showVal val="1"/>
                  <c:showCatName val="0"/>
                  <c:showSerName val="0"/>
                  <c:showPercent val="0"/>
                  <c:showBubbleSize val="0"/>
                  <c:showLeaderLines val="0"/>
                  <c:extLst>
                    <c:ext uri="{CE6537A1-D6FC-4f65-9D91-7224C49458BB}">
                      <c15:showLeaderLines val="0"/>
                    </c:ext>
                  </c:extLst>
                </c:dLbls>
                <c:cat>
                  <c:numRef>
                    <c:extLst>
                      <c:ext uri="{02D57815-91ED-43cb-92C2-25804820EDAC}">
                        <c15:formulaRef>
                          <c15:sqref>'izdienu izdevumi (2)'!$B$10:$J$10</c15:sqref>
                        </c15:formulaRef>
                      </c:ext>
                    </c:extLst>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extLst>
                      <c:ext uri="{02D57815-91ED-43cb-92C2-25804820EDAC}">
                        <c15:formulaRef>
                          <c15:sqref>'izdienu izdevumi (2)'!$B$12:$J$12</c15:sqref>
                        </c15:formulaRef>
                      </c:ext>
                    </c:extLst>
                    <c:numCache>
                      <c:formatCode>#,##0</c:formatCode>
                      <c:ptCount val="9"/>
                      <c:pt idx="0">
                        <c:v>14694313</c:v>
                      </c:pt>
                      <c:pt idx="1">
                        <c:v>13599844</c:v>
                      </c:pt>
                      <c:pt idx="2">
                        <c:v>13402910</c:v>
                      </c:pt>
                      <c:pt idx="3">
                        <c:v>13072168</c:v>
                      </c:pt>
                      <c:pt idx="4">
                        <c:v>12679776</c:v>
                      </c:pt>
                      <c:pt idx="5">
                        <c:v>12237761</c:v>
                      </c:pt>
                      <c:pt idx="6">
                        <c:v>11944170</c:v>
                      </c:pt>
                      <c:pt idx="7">
                        <c:v>11928648</c:v>
                      </c:pt>
                      <c:pt idx="8">
                        <c:v>11463132</c:v>
                      </c:pt>
                    </c:numCache>
                  </c:numRef>
                </c:val>
                <c:extLst>
                  <c:ext xmlns:c16="http://schemas.microsoft.com/office/drawing/2014/chart" uri="{C3380CC4-5D6E-409C-BE32-E72D297353CC}">
                    <c16:uniqueId val="{00000003-0B92-4F46-9F3D-54798B344C31}"/>
                  </c:ext>
                </c:extLst>
              </c15:ser>
            </c15:filteredBarSeries>
          </c:ext>
        </c:extLst>
      </c:barChart>
      <c:lineChart>
        <c:grouping val="standard"/>
        <c:varyColors val="0"/>
        <c:ser>
          <c:idx val="2"/>
          <c:order val="2"/>
          <c:tx>
            <c:strRef>
              <c:f>'izdienu izdevumi (2)'!$A$13</c:f>
              <c:strCache>
                <c:ptCount val="1"/>
                <c:pt idx="0">
                  <c:v>izdienas pensiju saņēmēji no PB*</c:v>
                </c:pt>
              </c:strCache>
            </c:strRef>
          </c:tx>
          <c:spPr>
            <a:ln w="19050" cap="rnd" cmpd="sng" algn="ctr">
              <a:solidFill>
                <a:schemeClr val="accent3"/>
              </a:solidFill>
              <a:prstDash val="solid"/>
              <a:round/>
            </a:ln>
            <a:effectLst/>
          </c:spPr>
          <c:marker>
            <c:symbol val="none"/>
          </c:marker>
          <c:dLbls>
            <c:dLbl>
              <c:idx val="7"/>
              <c:layout>
                <c:manualLayout>
                  <c:x val="-5.7775663574644739E-2"/>
                  <c:y val="-4.972079277491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92-4F46-9F3D-54798B344C31}"/>
                </c:ext>
              </c:extLst>
            </c:dLbl>
            <c:numFmt formatCode="0" sourceLinked="0"/>
            <c:spPr>
              <a:noFill/>
              <a:ln>
                <a:noFill/>
              </a:ln>
              <a:effectLst/>
            </c:spPr>
            <c:txPr>
              <a:bodyPr rot="0" spcFirstLastPara="1" vertOverflow="ellipsis" vert="horz" wrap="square" anchor="ctr" anchorCtr="1"/>
              <a:lstStyle/>
              <a:p>
                <a:pPr>
                  <a:defRPr sz="1200" b="1" i="1"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'izdienu izdevumi (2)'!$B$10:$J$10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'izdienu izdevumi (2)'!$O$14:$W$14</c:f>
              <c:numCache>
                <c:formatCode>#,##0</c:formatCode>
                <c:ptCount val="9"/>
                <c:pt idx="0">
                  <c:v>7306</c:v>
                </c:pt>
                <c:pt idx="1">
                  <c:v>7956</c:v>
                </c:pt>
                <c:pt idx="2">
                  <c:v>8424</c:v>
                </c:pt>
                <c:pt idx="3">
                  <c:v>8712</c:v>
                </c:pt>
                <c:pt idx="4">
                  <c:v>8976</c:v>
                </c:pt>
                <c:pt idx="5">
                  <c:v>9448</c:v>
                </c:pt>
                <c:pt idx="6">
                  <c:v>9861.833333300001</c:v>
                </c:pt>
                <c:pt idx="7">
                  <c:v>10131.083333299999</c:v>
                </c:pt>
                <c:pt idx="8">
                  <c:v>10544.1666666</c:v>
                </c:pt>
              </c:numCache>
            </c:numRef>
          </c:val>
          <c:smooth val="0"/>
          <c:extLst>
            <c:ext xmlns:c16="http://schemas.microsoft.com/office/drawing/2014/chart" uri="{C3380CC4-5D6E-409C-BE32-E72D297353CC}">
              <c16:uniqueId val="{00000002-0B92-4F46-9F3D-54798B344C31}"/>
            </c:ext>
          </c:extLst>
        </c:ser>
        <c:dLbls>
          <c:showLegendKey val="0"/>
          <c:showVal val="1"/>
          <c:showCatName val="0"/>
          <c:showSerName val="0"/>
          <c:showPercent val="0"/>
          <c:showBubbleSize val="0"/>
        </c:dLbls>
        <c:marker val="1"/>
        <c:smooth val="0"/>
        <c:axId val="-1548768192"/>
        <c:axId val="-1548767648"/>
        <c:extLst>
          <c:ext xmlns:c15="http://schemas.microsoft.com/office/drawing/2012/chart" uri="{02D57815-91ED-43cb-92C2-25804820EDAC}">
            <c15:filteredLineSeries>
              <c15:ser>
                <c:idx val="3"/>
                <c:order val="3"/>
                <c:tx>
                  <c:strRef>
                    <c:extLst>
                      <c:ext uri="{02D57815-91ED-43cb-92C2-25804820EDAC}">
                        <c15:formulaRef>
                          <c15:sqref>'izdienu izdevumi (2)'!$A$14</c15:sqref>
                        </c15:formulaRef>
                      </c:ext>
                    </c:extLst>
                    <c:strCache>
                      <c:ptCount val="1"/>
                      <c:pt idx="0">
                        <c:v>izdienas pensiju saņēmēji no SpB</c:v>
                      </c:pt>
                    </c:strCache>
                  </c:strRef>
                </c:tx>
                <c:spPr>
                  <a:ln w="19050" cap="rnd" cmpd="sng" algn="ctr">
                    <a:solidFill>
                      <a:schemeClr val="accent4"/>
                    </a:solidFill>
                    <a:prstDash val="solid"/>
                    <a:round/>
                  </a:ln>
                  <a:effectLst/>
                </c:spPr>
                <c:marker>
                  <c:symbol val="none"/>
                </c:marker>
                <c:dLbls>
                  <c:numFmt formatCode="#,##0" sourceLinked="0"/>
                  <c:spPr>
                    <a:noFill/>
                    <a:ln>
                      <a:noFill/>
                    </a:ln>
                    <a:effectLst/>
                  </c:spPr>
                  <c:txPr>
                    <a:bodyPr rot="0" spcFirstLastPara="1" vertOverflow="ellipsis" vert="horz" wrap="square" anchor="ctr" anchorCtr="1"/>
                    <a:lstStyle/>
                    <a:p>
                      <a:pPr>
                        <a:defRPr sz="1200" b="1" i="1" u="none" strike="noStrike" kern="1200" baseline="0">
                          <a:solidFill>
                            <a:schemeClr val="tx1"/>
                          </a:solidFill>
                          <a:latin typeface="+mn-lt"/>
                          <a:ea typeface="+mn-ea"/>
                          <a:cs typeface="+mn-cs"/>
                        </a:defRPr>
                      </a:pPr>
                      <a:endParaRPr lang="lv-LV"/>
                    </a:p>
                  </c:txPr>
                  <c:dLblPos val="t"/>
                  <c:showLegendKey val="0"/>
                  <c:showVal val="1"/>
                  <c:showCatName val="0"/>
                  <c:showSerName val="0"/>
                  <c:showPercent val="0"/>
                  <c:showBubbleSize val="0"/>
                  <c:showLeaderLines val="0"/>
                  <c:extLst>
                    <c:ext uri="{CE6537A1-D6FC-4f65-9D91-7224C49458BB}">
                      <c15:showLeaderLines val="0"/>
                    </c:ext>
                  </c:extLst>
                </c:dLbls>
                <c:cat>
                  <c:numRef>
                    <c:extLst>
                      <c:ext uri="{02D57815-91ED-43cb-92C2-25804820EDAC}">
                        <c15:formulaRef>
                          <c15:sqref>'izdienu izdevumi (2)'!$B$10:$J$10</c15:sqref>
                        </c15:formulaRef>
                      </c:ext>
                    </c:extLst>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extLst>
                      <c:ext uri="{02D57815-91ED-43cb-92C2-25804820EDAC}">
                        <c15:formulaRef>
                          <c15:sqref>'izdienu izdevumi (2)'!$B$14:$I$14</c15:sqref>
                        </c15:formulaRef>
                      </c:ext>
                    </c:extLst>
                    <c:numCache>
                      <c:formatCode>#,##0</c:formatCode>
                      <c:ptCount val="8"/>
                      <c:pt idx="0">
                        <c:v>4443</c:v>
                      </c:pt>
                      <c:pt idx="1">
                        <c:v>3993</c:v>
                      </c:pt>
                      <c:pt idx="2">
                        <c:v>3698</c:v>
                      </c:pt>
                      <c:pt idx="3">
                        <c:v>3454</c:v>
                      </c:pt>
                      <c:pt idx="4">
                        <c:v>3181</c:v>
                      </c:pt>
                      <c:pt idx="5">
                        <c:v>2928</c:v>
                      </c:pt>
                      <c:pt idx="6">
                        <c:v>2684</c:v>
                      </c:pt>
                      <c:pt idx="7">
                        <c:v>2425</c:v>
                      </c:pt>
                    </c:numCache>
                  </c:numRef>
                </c:val>
                <c:smooth val="0"/>
                <c:extLst>
                  <c:ext xmlns:c16="http://schemas.microsoft.com/office/drawing/2014/chart" uri="{C3380CC4-5D6E-409C-BE32-E72D297353CC}">
                    <c16:uniqueId val="{00000004-0B92-4F46-9F3D-54798B344C31}"/>
                  </c:ext>
                </c:extLst>
              </c15:ser>
            </c15:filteredLineSeries>
          </c:ext>
        </c:extLst>
      </c:lineChart>
      <c:catAx>
        <c:axId val="-1548768192"/>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lv-LV"/>
          </a:p>
        </c:txPr>
        <c:crossAx val="-1548767648"/>
        <c:crosses val="autoZero"/>
        <c:auto val="1"/>
        <c:lblAlgn val="ctr"/>
        <c:lblOffset val="100"/>
        <c:noMultiLvlLbl val="0"/>
      </c:catAx>
      <c:valAx>
        <c:axId val="-1548767648"/>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Personas</a:t>
                </a:r>
              </a:p>
            </c:rich>
          </c:tx>
          <c:layout>
            <c:manualLayout>
              <c:xMode val="edge"/>
              <c:yMode val="edge"/>
              <c:x val="0"/>
              <c:y val="0.3437831382188337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lv-LV"/>
            </a:p>
          </c:txPr>
        </c:title>
        <c:numFmt formatCode="#,##0"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1548768192"/>
        <c:crosses val="autoZero"/>
        <c:crossBetween val="between"/>
      </c:valAx>
      <c:valAx>
        <c:axId val="-1548788864"/>
        <c:scaling>
          <c:orientation val="minMax"/>
        </c:scaling>
        <c:delete val="0"/>
        <c:axPos val="r"/>
        <c:numFmt formatCode="#,##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1548762208"/>
        <c:crosses val="max"/>
        <c:crossBetween val="between"/>
        <c:dispUnits>
          <c:builtInUnit val="millions"/>
          <c:dispUnitsLbl>
            <c:layout>
              <c:manualLayout>
                <c:xMode val="edge"/>
                <c:yMode val="edge"/>
                <c:x val="0.97047704914748256"/>
                <c:y val="0.39602547194038556"/>
              </c:manualLayout>
            </c:layout>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sz="1200"/>
                    <a:t>Milj.EUR</a:t>
                  </a:r>
                </a:p>
              </c:rich>
            </c:tx>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lv-LV"/>
              </a:p>
            </c:txPr>
          </c:dispUnitsLbl>
        </c:dispUnits>
      </c:valAx>
      <c:catAx>
        <c:axId val="-1548762208"/>
        <c:scaling>
          <c:orientation val="minMax"/>
        </c:scaling>
        <c:delete val="1"/>
        <c:axPos val="b"/>
        <c:numFmt formatCode="General" sourceLinked="1"/>
        <c:majorTickMark val="out"/>
        <c:minorTickMark val="none"/>
        <c:tickLblPos val="nextTo"/>
        <c:crossAx val="-1548788864"/>
        <c:crosses val="autoZero"/>
        <c:auto val="1"/>
        <c:lblAlgn val="ctr"/>
        <c:lblOffset val="100"/>
        <c:noMultiLvlLbl val="0"/>
      </c:catAx>
      <c:spPr>
        <a:solidFill>
          <a:schemeClr val="bg1"/>
        </a:solidFill>
        <a:ln>
          <a:noFill/>
        </a:ln>
        <a:effectLst/>
      </c:spPr>
    </c:plotArea>
    <c:legend>
      <c:legendPos val="b"/>
      <c:layout>
        <c:manualLayout>
          <c:xMode val="edge"/>
          <c:yMode val="edge"/>
          <c:x val="0.30791368841490879"/>
          <c:y val="0.91264262266944152"/>
          <c:w val="0.4113775488693443"/>
          <c:h val="4.779380724262614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bg1"/>
    </a:solidFill>
    <a:ln w="6350" cap="flat" cmpd="sng" algn="ctr">
      <a:noFill/>
      <a:prstDash val="solid"/>
      <a:round/>
    </a:ln>
    <a:effectLst/>
  </c:spPr>
  <c:txPr>
    <a:bodyPr/>
    <a:lstStyle/>
    <a:p>
      <a:pPr>
        <a:defRPr/>
      </a:pPr>
      <a:endParaRPr lang="lv-LV"/>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solidFill>
                  <a:srgbClr val="002060"/>
                </a:solidFill>
              </a:rPr>
              <a:t>Dzīvojamā fonda pieejamība, pašvaldību skaits</a:t>
            </a:r>
            <a:endParaRPr lang="en-US" sz="1200" b="1">
              <a:solidFill>
                <a:srgbClr val="00206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hade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686-4282-84F9-B08E6AB3FA20}"/>
              </c:ext>
            </c:extLst>
          </c:dPt>
          <c:dPt>
            <c:idx val="1"/>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D686-4282-84F9-B08E6AB3FA20}"/>
              </c:ext>
            </c:extLst>
          </c:dPt>
          <c:dPt>
            <c:idx val="2"/>
            <c:bubble3D val="0"/>
            <c:spPr>
              <a:solidFill>
                <a:schemeClr val="accent1">
                  <a:tint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D686-4282-84F9-B08E6AB3FA20}"/>
              </c:ext>
            </c:extLst>
          </c:dPt>
          <c:dLbls>
            <c:spPr>
              <a:noFill/>
              <a:ln>
                <a:noFill/>
              </a:ln>
              <a:effectLst/>
            </c:spPr>
            <c:txPr>
              <a:bodyPr rot="0" spcFirstLastPara="1" vertOverflow="ellipsis" vert="horz" wrap="square" anchor="ctr" anchorCtr="1"/>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Pietiekams</c:v>
                </c:pt>
                <c:pt idx="1">
                  <c:v>Nav pietiekams</c:v>
                </c:pt>
                <c:pt idx="2">
                  <c:v>Mainīgs rādītājs</c:v>
                </c:pt>
              </c:strCache>
            </c:strRef>
          </c:cat>
          <c:val>
            <c:numRef>
              <c:f>Sheet1!$B$2:$B$4</c:f>
              <c:numCache>
                <c:formatCode>General</c:formatCode>
                <c:ptCount val="3"/>
                <c:pt idx="0">
                  <c:v>75</c:v>
                </c:pt>
                <c:pt idx="1">
                  <c:v>39</c:v>
                </c:pt>
                <c:pt idx="2">
                  <c:v>5</c:v>
                </c:pt>
              </c:numCache>
            </c:numRef>
          </c:val>
          <c:extLst>
            <c:ext xmlns:c16="http://schemas.microsoft.com/office/drawing/2014/chart" uri="{C3380CC4-5D6E-409C-BE32-E72D297353CC}">
              <c16:uniqueId val="{00000006-D686-4282-84F9-B08E6AB3FA2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430250170096518E-2"/>
          <c:y val="6.8857589984350542E-2"/>
          <c:w val="0.92437218144084576"/>
          <c:h val="0.71669266693775957"/>
        </c:manualLayout>
      </c:layout>
      <c:barChart>
        <c:barDir val="col"/>
        <c:grouping val="clustered"/>
        <c:varyColors val="0"/>
        <c:ser>
          <c:idx val="0"/>
          <c:order val="0"/>
          <c:tx>
            <c:strRef>
              <c:f>'[lc_lci_lev (2).xls]Data'!$B$11</c:f>
              <c:strCache>
                <c:ptCount val="1"/>
                <c:pt idx="0">
                  <c:v>2017</c:v>
                </c:pt>
              </c:strCache>
            </c:strRef>
          </c:tx>
          <c:spPr>
            <a:solidFill>
              <a:schemeClr val="accent1"/>
            </a:solidFill>
            <a:ln>
              <a:noFill/>
            </a:ln>
            <a:effectLst/>
          </c:spPr>
          <c:invertIfNegative val="0"/>
          <c:dPt>
            <c:idx val="11"/>
            <c:invertIfNegative val="0"/>
            <c:bubble3D val="0"/>
            <c:spPr>
              <a:solidFill>
                <a:srgbClr val="FFFF00"/>
              </a:solidFill>
              <a:ln>
                <a:solidFill>
                  <a:schemeClr val="accent1">
                    <a:lumMod val="60000"/>
                    <a:lumOff val="40000"/>
                  </a:schemeClr>
                </a:solidFill>
              </a:ln>
              <a:effectLst/>
            </c:spPr>
            <c:extLst>
              <c:ext xmlns:c16="http://schemas.microsoft.com/office/drawing/2014/chart" uri="{C3380CC4-5D6E-409C-BE32-E72D297353CC}">
                <c16:uniqueId val="{00000001-CDF7-45E0-9114-199B71964485}"/>
              </c:ext>
            </c:extLst>
          </c:dPt>
          <c:dPt>
            <c:idx val="25"/>
            <c:invertIfNegative val="0"/>
            <c:bubble3D val="0"/>
            <c:spPr>
              <a:solidFill>
                <a:srgbClr val="C00000"/>
              </a:solidFill>
              <a:ln>
                <a:noFill/>
              </a:ln>
              <a:effectLst/>
            </c:spPr>
            <c:extLst>
              <c:ext xmlns:c16="http://schemas.microsoft.com/office/drawing/2014/chart" uri="{C3380CC4-5D6E-409C-BE32-E72D297353CC}">
                <c16:uniqueId val="{00000003-CDF7-45E0-9114-199B71964485}"/>
              </c:ext>
            </c:extLst>
          </c:dPt>
          <c:dLbls>
            <c:dLbl>
              <c:idx val="3"/>
              <c:layout>
                <c:manualLayout>
                  <c:x val="4.507042253521127E-3"/>
                  <c:y val="5.79206487112655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F7-45E0-9114-199B71964485}"/>
                </c:ext>
              </c:extLst>
            </c:dLbl>
            <c:dLbl>
              <c:idx val="4"/>
              <c:layout>
                <c:manualLayout>
                  <c:x val="8.8721304203171793E-8"/>
                  <c:y val="3.475238922675934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5.4050792946656302E-2"/>
                      <c:h val="7.5210190385628387E-2"/>
                    </c:manualLayout>
                  </c15:layout>
                </c:ext>
                <c:ext xmlns:c16="http://schemas.microsoft.com/office/drawing/2014/chart" uri="{C3380CC4-5D6E-409C-BE32-E72D297353CC}">
                  <c16:uniqueId val="{00000005-CDF7-45E0-9114-199B71964485}"/>
                </c:ext>
              </c:extLst>
            </c:dLbl>
            <c:dLbl>
              <c:idx val="6"/>
              <c:layout>
                <c:manualLayout>
                  <c:x val="-2.2535211267605635E-3"/>
                  <c:y val="-5.79206487112655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F7-45E0-9114-199B71964485}"/>
                </c:ext>
              </c:extLst>
            </c:dLbl>
            <c:dLbl>
              <c:idx val="7"/>
              <c:layout>
                <c:manualLayout>
                  <c:x val="-4.507042253521127E-3"/>
                  <c:y val="-0.104257167680278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F7-45E0-9114-199B71964485}"/>
                </c:ext>
              </c:extLst>
            </c:dLbl>
            <c:dLbl>
              <c:idx val="8"/>
              <c:layout>
                <c:manualLayout>
                  <c:x val="-4.5070422535211678E-3"/>
                  <c:y val="-5.7920648711265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DF7-45E0-9114-199B71964485}"/>
                </c:ext>
              </c:extLst>
            </c:dLbl>
            <c:dLbl>
              <c:idx val="11"/>
              <c:layout>
                <c:manualLayout>
                  <c:x val="4.4953922229714546E-3"/>
                  <c:y val="5.62587904360056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F7-45E0-9114-199B71964485}"/>
                </c:ext>
              </c:extLst>
            </c:dLbl>
            <c:dLbl>
              <c:idx val="12"/>
              <c:layout>
                <c:manualLayout>
                  <c:x val="8.9966249161539374E-3"/>
                  <c:y val="-3.64140558379569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DF7-45E0-9114-199B719644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'[lc_lci_lev (2).xls]Data'!$A$12:$A$40</c:f>
              <c:strCache>
                <c:ptCount val="29"/>
                <c:pt idx="0">
                  <c:v>DK</c:v>
                </c:pt>
                <c:pt idx="1">
                  <c:v>LU</c:v>
                </c:pt>
                <c:pt idx="2">
                  <c:v>BE</c:v>
                </c:pt>
                <c:pt idx="3">
                  <c:v>NL</c:v>
                </c:pt>
                <c:pt idx="4">
                  <c:v>DE</c:v>
                </c:pt>
                <c:pt idx="5">
                  <c:v>IR</c:v>
                </c:pt>
                <c:pt idx="6">
                  <c:v>FI</c:v>
                </c:pt>
                <c:pt idx="7">
                  <c:v>SE</c:v>
                </c:pt>
                <c:pt idx="8">
                  <c:v>AT</c:v>
                </c:pt>
                <c:pt idx="9">
                  <c:v>FR</c:v>
                </c:pt>
                <c:pt idx="10">
                  <c:v>UK</c:v>
                </c:pt>
                <c:pt idx="11">
                  <c:v>EU-28</c:v>
                </c:pt>
                <c:pt idx="12">
                  <c:v>IT</c:v>
                </c:pt>
                <c:pt idx="13">
                  <c:v>ES</c:v>
                </c:pt>
                <c:pt idx="14">
                  <c:v>SI</c:v>
                </c:pt>
                <c:pt idx="15">
                  <c:v>MT</c:v>
                </c:pt>
                <c:pt idx="16">
                  <c:v>CY</c:v>
                </c:pt>
                <c:pt idx="17">
                  <c:v>GR</c:v>
                </c:pt>
                <c:pt idx="18">
                  <c:v>PT</c:v>
                </c:pt>
                <c:pt idx="19">
                  <c:v>EE</c:v>
                </c:pt>
                <c:pt idx="20">
                  <c:v>HR</c:v>
                </c:pt>
                <c:pt idx="21">
                  <c:v>CZ</c:v>
                </c:pt>
                <c:pt idx="22">
                  <c:v>SK</c:v>
                </c:pt>
                <c:pt idx="23">
                  <c:v>PL</c:v>
                </c:pt>
                <c:pt idx="24">
                  <c:v>HU</c:v>
                </c:pt>
                <c:pt idx="25">
                  <c:v>LV</c:v>
                </c:pt>
                <c:pt idx="26">
                  <c:v>LT</c:v>
                </c:pt>
                <c:pt idx="27">
                  <c:v>RO</c:v>
                </c:pt>
                <c:pt idx="28">
                  <c:v>BG</c:v>
                </c:pt>
              </c:strCache>
            </c:strRef>
          </c:cat>
          <c:val>
            <c:numRef>
              <c:f>'[lc_lci_lev (2).xls]Data'!$B$12:$B$40</c:f>
              <c:numCache>
                <c:formatCode>#\ ##0.0</c:formatCode>
                <c:ptCount val="29"/>
                <c:pt idx="0">
                  <c:v>36.700000000000003</c:v>
                </c:pt>
                <c:pt idx="1">
                  <c:v>35.299999999999997</c:v>
                </c:pt>
                <c:pt idx="2">
                  <c:v>29.8</c:v>
                </c:pt>
                <c:pt idx="3">
                  <c:v>26.8</c:v>
                </c:pt>
                <c:pt idx="4">
                  <c:v>26.3</c:v>
                </c:pt>
                <c:pt idx="5">
                  <c:v>26.3</c:v>
                </c:pt>
                <c:pt idx="6" formatCode="#,##0">
                  <c:v>26</c:v>
                </c:pt>
                <c:pt idx="7">
                  <c:v>25.8</c:v>
                </c:pt>
                <c:pt idx="8">
                  <c:v>24.3</c:v>
                </c:pt>
                <c:pt idx="9">
                  <c:v>23.7</c:v>
                </c:pt>
                <c:pt idx="10">
                  <c:v>22.1</c:v>
                </c:pt>
                <c:pt idx="11">
                  <c:v>20.3</c:v>
                </c:pt>
                <c:pt idx="12" formatCode="#,##0">
                  <c:v>20</c:v>
                </c:pt>
                <c:pt idx="13">
                  <c:v>15.8</c:v>
                </c:pt>
                <c:pt idx="14">
                  <c:v>14.8</c:v>
                </c:pt>
                <c:pt idx="15">
                  <c:v>13.7</c:v>
                </c:pt>
                <c:pt idx="16">
                  <c:v>13.1</c:v>
                </c:pt>
                <c:pt idx="17">
                  <c:v>12.2</c:v>
                </c:pt>
                <c:pt idx="18">
                  <c:v>11.2</c:v>
                </c:pt>
                <c:pt idx="19">
                  <c:v>8.6</c:v>
                </c:pt>
                <c:pt idx="20">
                  <c:v>8.6</c:v>
                </c:pt>
                <c:pt idx="21">
                  <c:v>8.3000000000000007</c:v>
                </c:pt>
                <c:pt idx="22" formatCode="#,##0">
                  <c:v>8</c:v>
                </c:pt>
                <c:pt idx="23">
                  <c:v>7.7</c:v>
                </c:pt>
                <c:pt idx="24">
                  <c:v>6.7</c:v>
                </c:pt>
                <c:pt idx="25">
                  <c:v>6.5</c:v>
                </c:pt>
                <c:pt idx="26">
                  <c:v>5.8</c:v>
                </c:pt>
                <c:pt idx="27">
                  <c:v>4.9000000000000004</c:v>
                </c:pt>
                <c:pt idx="28">
                  <c:v>4.2</c:v>
                </c:pt>
              </c:numCache>
            </c:numRef>
          </c:val>
          <c:extLst>
            <c:ext xmlns:c16="http://schemas.microsoft.com/office/drawing/2014/chart" uri="{C3380CC4-5D6E-409C-BE32-E72D297353CC}">
              <c16:uniqueId val="{0000000A-CDF7-45E0-9114-199B71964485}"/>
            </c:ext>
          </c:extLst>
        </c:ser>
        <c:dLbls>
          <c:showLegendKey val="0"/>
          <c:showVal val="0"/>
          <c:showCatName val="0"/>
          <c:showSerName val="0"/>
          <c:showPercent val="0"/>
          <c:showBubbleSize val="0"/>
        </c:dLbls>
        <c:gapWidth val="219"/>
        <c:overlap val="-27"/>
        <c:axId val="-1548788320"/>
        <c:axId val="-1548779072"/>
      </c:barChart>
      <c:catAx>
        <c:axId val="-154878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8779072"/>
        <c:crosses val="autoZero"/>
        <c:auto val="1"/>
        <c:lblAlgn val="ctr"/>
        <c:lblOffset val="100"/>
        <c:noMultiLvlLbl val="0"/>
      </c:catAx>
      <c:valAx>
        <c:axId val="-154877907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8788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'DSG040'!$C$12</c:f>
              <c:strCache>
                <c:ptCount val="1"/>
                <c:pt idx="0">
                  <c:v>Sievietes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'DSG040'!$D$11:$J$11</c:f>
              <c:numCache>
                <c:formatCode>General</c:formatCode>
                <c:ptCount val="7"/>
                <c:pt idx="0">
                  <c:v>2012</c:v>
                </c:pt>
                <c:pt idx="1">
                  <c:v>2013</c:v>
                </c:pt>
                <c:pt idx="2">
                  <c:v>2014</c:v>
                </c:pt>
                <c:pt idx="3">
                  <c:v>2015</c:v>
                </c:pt>
                <c:pt idx="4">
                  <c:v>2016</c:v>
                </c:pt>
                <c:pt idx="5">
                  <c:v>2017</c:v>
                </c:pt>
                <c:pt idx="6">
                  <c:v>2018</c:v>
                </c:pt>
              </c:numCache>
            </c:numRef>
          </c:cat>
          <c:val>
            <c:numRef>
              <c:f>'DSG040'!$D$12:$J$12</c:f>
              <c:numCache>
                <c:formatCode>General</c:formatCode>
                <c:ptCount val="7"/>
                <c:pt idx="0">
                  <c:v>606</c:v>
                </c:pt>
                <c:pt idx="1">
                  <c:v>629</c:v>
                </c:pt>
                <c:pt idx="2">
                  <c:v>673</c:v>
                </c:pt>
                <c:pt idx="3">
                  <c:v>719</c:v>
                </c:pt>
                <c:pt idx="4">
                  <c:v>752</c:v>
                </c:pt>
                <c:pt idx="5">
                  <c:v>812</c:v>
                </c:pt>
                <c:pt idx="6">
                  <c:v>883</c:v>
                </c:pt>
              </c:numCache>
            </c:numRef>
          </c:val>
          <c:extLst>
            <c:ext xmlns:c16="http://schemas.microsoft.com/office/drawing/2014/chart" uri="{C3380CC4-5D6E-409C-BE32-E72D297353CC}">
              <c16:uniqueId val="{00000000-95C5-4792-B2A4-AF00E70AAE6B}"/>
            </c:ext>
          </c:extLst>
        </c:ser>
        <c:ser>
          <c:idx val="1"/>
          <c:order val="1"/>
          <c:tx>
            <c:strRef>
              <c:f>'DSG040'!$C$13</c:f>
              <c:strCache>
                <c:ptCount val="1"/>
                <c:pt idx="0">
                  <c:v>Vīrieši</c:v>
                </c:pt>
              </c:strCache>
            </c:strRef>
          </c:tx>
          <c:spPr>
            <a:solidFill>
              <a:schemeClr val="accent2"/>
            </a:solidFill>
            <a:ln>
              <a:noFill/>
            </a:ln>
            <a:effectLst/>
          </c:spPr>
          <c:invertIfNegative val="0"/>
          <c:dLbls>
            <c:dLbl>
              <c:idx val="6"/>
              <c:layout>
                <c:manualLayout>
                  <c:x val="9.0518636051047756E-3"/>
                  <c:y val="0.6223094553453855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C5-4792-B2A4-AF00E70AAE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'DSG040'!$D$11:$J$11</c:f>
              <c:numCache>
                <c:formatCode>General</c:formatCode>
                <c:ptCount val="7"/>
                <c:pt idx="0">
                  <c:v>2012</c:v>
                </c:pt>
                <c:pt idx="1">
                  <c:v>2013</c:v>
                </c:pt>
                <c:pt idx="2">
                  <c:v>2014</c:v>
                </c:pt>
                <c:pt idx="3">
                  <c:v>2015</c:v>
                </c:pt>
                <c:pt idx="4">
                  <c:v>2016</c:v>
                </c:pt>
                <c:pt idx="5">
                  <c:v>2017</c:v>
                </c:pt>
                <c:pt idx="6">
                  <c:v>2018</c:v>
                </c:pt>
              </c:numCache>
            </c:numRef>
          </c:cat>
          <c:val>
            <c:numRef>
              <c:f>'DSG040'!$D$13:$J$13</c:f>
              <c:numCache>
                <c:formatCode>General</c:formatCode>
                <c:ptCount val="7"/>
                <c:pt idx="0">
                  <c:v>728</c:v>
                </c:pt>
                <c:pt idx="1">
                  <c:v>757</c:v>
                </c:pt>
                <c:pt idx="2">
                  <c:v>811</c:v>
                </c:pt>
                <c:pt idx="3">
                  <c:v>857</c:v>
                </c:pt>
                <c:pt idx="4">
                  <c:v>907</c:v>
                </c:pt>
                <c:pt idx="5">
                  <c:v>959</c:v>
                </c:pt>
                <c:pt idx="6">
                  <c:v>1041</c:v>
                </c:pt>
              </c:numCache>
            </c:numRef>
          </c:val>
          <c:extLst>
            <c:ext xmlns:c16="http://schemas.microsoft.com/office/drawing/2014/chart" uri="{C3380CC4-5D6E-409C-BE32-E72D297353CC}">
              <c16:uniqueId val="{00000002-95C5-4792-B2A4-AF00E70AAE6B}"/>
            </c:ext>
          </c:extLst>
        </c:ser>
        <c:dLbls>
          <c:showLegendKey val="0"/>
          <c:showVal val="0"/>
          <c:showCatName val="0"/>
          <c:showSerName val="0"/>
          <c:showPercent val="0"/>
          <c:showBubbleSize val="0"/>
        </c:dLbls>
        <c:gapWidth val="219"/>
        <c:overlap val="-27"/>
        <c:axId val="-1548779616"/>
        <c:axId val="-1548787776"/>
      </c:barChart>
      <c:lineChart>
        <c:grouping val="standard"/>
        <c:varyColors val="0"/>
        <c:ser>
          <c:idx val="2"/>
          <c:order val="2"/>
          <c:tx>
            <c:strRef>
              <c:f>'DSG040'!$C$14</c:f>
              <c:strCache>
                <c:ptCount val="1"/>
                <c:pt idx="0">
                  <c:v>atšķirība % (CSP)</c:v>
                </c:pt>
              </c:strCache>
            </c:strRef>
          </c:tx>
          <c:spPr>
            <a:ln w="28575" cap="rnd">
              <a:solidFill>
                <a:schemeClr val="accent6">
                  <a:lumMod val="75000"/>
                </a:schemeClr>
              </a:solidFill>
              <a:round/>
            </a:ln>
            <a:effectLst/>
          </c:spPr>
          <c:marker>
            <c:symbol val="none"/>
          </c:marker>
          <c:dLbls>
            <c:dLbl>
              <c:idx val="5"/>
              <c:layout>
                <c:manualLayout>
                  <c:x val="0"/>
                  <c:y val="-1.9837333862328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C5-4792-B2A4-AF00E70AAE6B}"/>
                </c:ext>
              </c:extLst>
            </c:dLbl>
            <c:dLbl>
              <c:idx val="6"/>
              <c:layout>
                <c:manualLayout>
                  <c:x val="-5.6573885494455758E-2"/>
                  <c:y val="-4.36421344971236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C5-4792-B2A4-AF00E70AAE6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'DSG040'!$D$11:$J$11</c:f>
              <c:numCache>
                <c:formatCode>General</c:formatCode>
                <c:ptCount val="7"/>
                <c:pt idx="0">
                  <c:v>2012</c:v>
                </c:pt>
                <c:pt idx="1">
                  <c:v>2013</c:v>
                </c:pt>
                <c:pt idx="2">
                  <c:v>2014</c:v>
                </c:pt>
                <c:pt idx="3">
                  <c:v>2015</c:v>
                </c:pt>
                <c:pt idx="4">
                  <c:v>2016</c:v>
                </c:pt>
                <c:pt idx="5">
                  <c:v>2017</c:v>
                </c:pt>
                <c:pt idx="6">
                  <c:v>2018</c:v>
                </c:pt>
              </c:numCache>
            </c:numRef>
          </c:cat>
          <c:val>
            <c:numRef>
              <c:f>'DSG040'!$D$14:$J$14</c:f>
              <c:numCache>
                <c:formatCode>0.00%</c:formatCode>
                <c:ptCount val="7"/>
                <c:pt idx="0">
                  <c:v>0.16800000000000001</c:v>
                </c:pt>
                <c:pt idx="1">
                  <c:v>0.16800000000000001</c:v>
                </c:pt>
                <c:pt idx="2" formatCode="0%">
                  <c:v>0.17</c:v>
                </c:pt>
                <c:pt idx="3">
                  <c:v>0.16200000000000001</c:v>
                </c:pt>
                <c:pt idx="4" formatCode="0%">
                  <c:v>0.17</c:v>
                </c:pt>
                <c:pt idx="5">
                  <c:v>0.153</c:v>
                </c:pt>
                <c:pt idx="6">
                  <c:v>0.152</c:v>
                </c:pt>
              </c:numCache>
            </c:numRef>
          </c:val>
          <c:smooth val="0"/>
          <c:extLst>
            <c:ext xmlns:c16="http://schemas.microsoft.com/office/drawing/2014/chart" uri="{C3380CC4-5D6E-409C-BE32-E72D297353CC}">
              <c16:uniqueId val="{00000005-95C5-4792-B2A4-AF00E70AAE6B}"/>
            </c:ext>
          </c:extLst>
        </c:ser>
        <c:ser>
          <c:idx val="3"/>
          <c:order val="3"/>
          <c:tx>
            <c:strRef>
              <c:f>'DSG040'!$C$15</c:f>
              <c:strCache>
                <c:ptCount val="1"/>
                <c:pt idx="0">
                  <c:v>atšķirība % (Eurostat)</c:v>
                </c:pt>
              </c:strCache>
            </c:strRef>
          </c:tx>
          <c:spPr>
            <a:ln w="28575" cap="rnd">
              <a:solidFill>
                <a:srgbClr val="7030A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'DSG040'!$D$11:$J$11</c:f>
              <c:numCache>
                <c:formatCode>General</c:formatCode>
                <c:ptCount val="7"/>
                <c:pt idx="0">
                  <c:v>2012</c:v>
                </c:pt>
                <c:pt idx="1">
                  <c:v>2013</c:v>
                </c:pt>
                <c:pt idx="2">
                  <c:v>2014</c:v>
                </c:pt>
                <c:pt idx="3">
                  <c:v>2015</c:v>
                </c:pt>
                <c:pt idx="4">
                  <c:v>2016</c:v>
                </c:pt>
                <c:pt idx="5">
                  <c:v>2017</c:v>
                </c:pt>
                <c:pt idx="6">
                  <c:v>2018</c:v>
                </c:pt>
              </c:numCache>
            </c:numRef>
          </c:cat>
          <c:val>
            <c:numRef>
              <c:f>'DSG040'!$D$15:$J$15</c:f>
              <c:numCache>
                <c:formatCode>0%</c:formatCode>
                <c:ptCount val="7"/>
                <c:pt idx="0" formatCode="0.00%">
                  <c:v>0.14899999999999999</c:v>
                </c:pt>
                <c:pt idx="1">
                  <c:v>0.16</c:v>
                </c:pt>
                <c:pt idx="2" formatCode="0.00%">
                  <c:v>0.17299999999999999</c:v>
                </c:pt>
                <c:pt idx="3">
                  <c:v>0.17</c:v>
                </c:pt>
                <c:pt idx="4">
                  <c:v>0.17</c:v>
                </c:pt>
                <c:pt idx="5" formatCode="0.00%">
                  <c:v>0.157</c:v>
                </c:pt>
              </c:numCache>
            </c:numRef>
          </c:val>
          <c:smooth val="0"/>
          <c:extLst>
            <c:ext xmlns:c16="http://schemas.microsoft.com/office/drawing/2014/chart" uri="{C3380CC4-5D6E-409C-BE32-E72D297353CC}">
              <c16:uniqueId val="{00000006-95C5-4792-B2A4-AF00E70AAE6B}"/>
            </c:ext>
          </c:extLst>
        </c:ser>
        <c:dLbls>
          <c:showLegendKey val="0"/>
          <c:showVal val="0"/>
          <c:showCatName val="0"/>
          <c:showSerName val="0"/>
          <c:showPercent val="0"/>
          <c:showBubbleSize val="0"/>
        </c:dLbls>
        <c:marker val="1"/>
        <c:smooth val="0"/>
        <c:axId val="-1571962672"/>
        <c:axId val="-1571950704"/>
      </c:lineChart>
      <c:catAx>
        <c:axId val="-154877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8787776"/>
        <c:crosses val="autoZero"/>
        <c:auto val="1"/>
        <c:lblAlgn val="ctr"/>
        <c:lblOffset val="100"/>
        <c:noMultiLvlLbl val="0"/>
      </c:catAx>
      <c:valAx>
        <c:axId val="-1548787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8779616"/>
        <c:crosses val="autoZero"/>
        <c:crossBetween val="between"/>
      </c:valAx>
      <c:valAx>
        <c:axId val="-1571950704"/>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1962672"/>
        <c:crosses val="max"/>
        <c:crossBetween val="between"/>
      </c:valAx>
      <c:catAx>
        <c:axId val="-1571962672"/>
        <c:scaling>
          <c:orientation val="minMax"/>
        </c:scaling>
        <c:delete val="1"/>
        <c:axPos val="b"/>
        <c:numFmt formatCode="General" sourceLinked="1"/>
        <c:majorTickMark val="out"/>
        <c:minorTickMark val="none"/>
        <c:tickLblPos val="nextTo"/>
        <c:crossAx val="-1571950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Grafika!$R$7</c:f>
              <c:strCache>
                <c:ptCount val="1"/>
                <c:pt idx="0">
                  <c:v>sievietes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Grafika!$Q$8:$Q$19</c:f>
              <c:strCache>
                <c:ptCount val="12"/>
                <c:pt idx="0">
                  <c:v>VBTAI</c:v>
                </c:pt>
                <c:pt idx="1">
                  <c:v>VDEĀVK</c:v>
                </c:pt>
                <c:pt idx="2">
                  <c:v>VDI</c:v>
                </c:pt>
                <c:pt idx="3">
                  <c:v>LM</c:v>
                </c:pt>
                <c:pt idx="4">
                  <c:v>SIVA</c:v>
                </c:pt>
                <c:pt idx="5">
                  <c:v>VSAC "Vidzeme"</c:v>
                </c:pt>
                <c:pt idx="6">
                  <c:v>VSAC "Zemgale"</c:v>
                </c:pt>
                <c:pt idx="7">
                  <c:v>VSAC "Kurzeme"</c:v>
                </c:pt>
                <c:pt idx="8">
                  <c:v>VSAC "Latgale"</c:v>
                </c:pt>
                <c:pt idx="9">
                  <c:v>NVA</c:v>
                </c:pt>
                <c:pt idx="10">
                  <c:v>VSAC "Rīga"</c:v>
                </c:pt>
                <c:pt idx="11">
                  <c:v>VSAA</c:v>
                </c:pt>
              </c:strCache>
            </c:strRef>
          </c:cat>
          <c:val>
            <c:numRef>
              <c:f>Grafika!$R$8:$R$19</c:f>
              <c:numCache>
                <c:formatCode>General</c:formatCode>
                <c:ptCount val="12"/>
                <c:pt idx="0">
                  <c:v>43</c:v>
                </c:pt>
                <c:pt idx="1">
                  <c:v>112</c:v>
                </c:pt>
                <c:pt idx="2">
                  <c:v>118</c:v>
                </c:pt>
                <c:pt idx="3">
                  <c:v>164</c:v>
                </c:pt>
                <c:pt idx="4">
                  <c:v>251</c:v>
                </c:pt>
                <c:pt idx="5">
                  <c:v>327</c:v>
                </c:pt>
                <c:pt idx="6">
                  <c:v>377</c:v>
                </c:pt>
                <c:pt idx="7">
                  <c:v>463</c:v>
                </c:pt>
                <c:pt idx="8">
                  <c:v>536</c:v>
                </c:pt>
                <c:pt idx="9">
                  <c:v>614</c:v>
                </c:pt>
                <c:pt idx="10">
                  <c:v>771</c:v>
                </c:pt>
                <c:pt idx="11">
                  <c:v>838</c:v>
                </c:pt>
              </c:numCache>
            </c:numRef>
          </c:val>
          <c:extLst>
            <c:ext xmlns:c16="http://schemas.microsoft.com/office/drawing/2014/chart" uri="{C3380CC4-5D6E-409C-BE32-E72D297353CC}">
              <c16:uniqueId val="{00000000-67ED-42A2-955A-21AC36A3BF8B}"/>
            </c:ext>
          </c:extLst>
        </c:ser>
        <c:ser>
          <c:idx val="1"/>
          <c:order val="1"/>
          <c:tx>
            <c:strRef>
              <c:f>Grafika!$S$7</c:f>
              <c:strCache>
                <c:ptCount val="1"/>
                <c:pt idx="0">
                  <c:v>vīrieši</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Grafika!$Q$8:$Q$19</c:f>
              <c:strCache>
                <c:ptCount val="12"/>
                <c:pt idx="0">
                  <c:v>VBTAI</c:v>
                </c:pt>
                <c:pt idx="1">
                  <c:v>VDEĀVK</c:v>
                </c:pt>
                <c:pt idx="2">
                  <c:v>VDI</c:v>
                </c:pt>
                <c:pt idx="3">
                  <c:v>LM</c:v>
                </c:pt>
                <c:pt idx="4">
                  <c:v>SIVA</c:v>
                </c:pt>
                <c:pt idx="5">
                  <c:v>VSAC "Vidzeme"</c:v>
                </c:pt>
                <c:pt idx="6">
                  <c:v>VSAC "Zemgale"</c:v>
                </c:pt>
                <c:pt idx="7">
                  <c:v>VSAC "Kurzeme"</c:v>
                </c:pt>
                <c:pt idx="8">
                  <c:v>VSAC "Latgale"</c:v>
                </c:pt>
                <c:pt idx="9">
                  <c:v>NVA</c:v>
                </c:pt>
                <c:pt idx="10">
                  <c:v>VSAC "Rīga"</c:v>
                </c:pt>
                <c:pt idx="11">
                  <c:v>VSAA</c:v>
                </c:pt>
              </c:strCache>
            </c:strRef>
          </c:cat>
          <c:val>
            <c:numRef>
              <c:f>Grafika!$S$8:$S$19</c:f>
              <c:numCache>
                <c:formatCode>General</c:formatCode>
                <c:ptCount val="12"/>
                <c:pt idx="0">
                  <c:v>9</c:v>
                </c:pt>
                <c:pt idx="1">
                  <c:v>25</c:v>
                </c:pt>
                <c:pt idx="2">
                  <c:v>35</c:v>
                </c:pt>
                <c:pt idx="3">
                  <c:v>30</c:v>
                </c:pt>
                <c:pt idx="4">
                  <c:v>89</c:v>
                </c:pt>
                <c:pt idx="5">
                  <c:v>48</c:v>
                </c:pt>
                <c:pt idx="6">
                  <c:v>65</c:v>
                </c:pt>
                <c:pt idx="7">
                  <c:v>99</c:v>
                </c:pt>
                <c:pt idx="8">
                  <c:v>75</c:v>
                </c:pt>
                <c:pt idx="9">
                  <c:v>39</c:v>
                </c:pt>
                <c:pt idx="10">
                  <c:v>84</c:v>
                </c:pt>
                <c:pt idx="11">
                  <c:v>65</c:v>
                </c:pt>
              </c:numCache>
            </c:numRef>
          </c:val>
          <c:extLst>
            <c:ext xmlns:c16="http://schemas.microsoft.com/office/drawing/2014/chart" uri="{C3380CC4-5D6E-409C-BE32-E72D297353CC}">
              <c16:uniqueId val="{00000001-67ED-42A2-955A-21AC36A3BF8B}"/>
            </c:ext>
          </c:extLst>
        </c:ser>
        <c:dLbls>
          <c:dLblPos val="ctr"/>
          <c:showLegendKey val="0"/>
          <c:showVal val="1"/>
          <c:showCatName val="0"/>
          <c:showSerName val="0"/>
          <c:showPercent val="0"/>
          <c:showBubbleSize val="0"/>
        </c:dLbls>
        <c:gapWidth val="50"/>
        <c:overlap val="100"/>
        <c:axId val="803677816"/>
        <c:axId val="803678144"/>
      </c:barChart>
      <c:catAx>
        <c:axId val="80367781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03678144"/>
        <c:crosses val="autoZero"/>
        <c:auto val="1"/>
        <c:lblAlgn val="ctr"/>
        <c:lblOffset val="100"/>
        <c:noMultiLvlLbl val="0"/>
      </c:catAx>
      <c:valAx>
        <c:axId val="803678144"/>
        <c:scaling>
          <c:orientation val="minMax"/>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03677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Grafika!$C$20</c:f>
              <c:strCache>
                <c:ptCount val="1"/>
                <c:pt idx="0">
                  <c:v>līdz 30 gadiem</c:v>
                </c:pt>
              </c:strCache>
            </c:strRef>
          </c:tx>
          <c:spPr>
            <a:solidFill>
              <a:schemeClr val="accent6">
                <a:shade val="58000"/>
                <a:alpha val="70000"/>
              </a:schemeClr>
            </a:solid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Grafika!$B$21:$B$32</c:f>
              <c:strCache>
                <c:ptCount val="12"/>
                <c:pt idx="0">
                  <c:v>VBTAI</c:v>
                </c:pt>
                <c:pt idx="1">
                  <c:v>LM</c:v>
                </c:pt>
                <c:pt idx="2">
                  <c:v>VDI</c:v>
                </c:pt>
                <c:pt idx="3">
                  <c:v>NVA</c:v>
                </c:pt>
                <c:pt idx="4">
                  <c:v>SIVA</c:v>
                </c:pt>
                <c:pt idx="5">
                  <c:v>VSAC "Latgale"</c:v>
                </c:pt>
                <c:pt idx="6">
                  <c:v>VSAA</c:v>
                </c:pt>
                <c:pt idx="7">
                  <c:v>VSAC "Kurzeme"</c:v>
                </c:pt>
                <c:pt idx="8">
                  <c:v>VSAC "Zemgale"</c:v>
                </c:pt>
                <c:pt idx="9">
                  <c:v>VSAC "Vidzeme"</c:v>
                </c:pt>
                <c:pt idx="10">
                  <c:v>VSAC "Rīga"</c:v>
                </c:pt>
                <c:pt idx="11">
                  <c:v>VDEĀVK</c:v>
                </c:pt>
              </c:strCache>
            </c:strRef>
          </c:cat>
          <c:val>
            <c:numRef>
              <c:f>Grafika!$C$21:$C$32</c:f>
              <c:numCache>
                <c:formatCode>0</c:formatCode>
                <c:ptCount val="12"/>
                <c:pt idx="0">
                  <c:v>17.307692307692307</c:v>
                </c:pt>
                <c:pt idx="1">
                  <c:v>6.7010309278350517</c:v>
                </c:pt>
                <c:pt idx="2">
                  <c:v>9.1503267973856204</c:v>
                </c:pt>
                <c:pt idx="3">
                  <c:v>5.0535987748851454</c:v>
                </c:pt>
                <c:pt idx="4">
                  <c:v>9.4117647058823533</c:v>
                </c:pt>
                <c:pt idx="5">
                  <c:v>6.8739770867430439</c:v>
                </c:pt>
                <c:pt idx="6">
                  <c:v>3.5437430786267994</c:v>
                </c:pt>
                <c:pt idx="7">
                  <c:v>5.8718861209964412</c:v>
                </c:pt>
                <c:pt idx="8">
                  <c:v>4.0723981900452486</c:v>
                </c:pt>
                <c:pt idx="9">
                  <c:v>3.4666666666666668</c:v>
                </c:pt>
                <c:pt idx="10">
                  <c:v>5.2631578947368425</c:v>
                </c:pt>
                <c:pt idx="11">
                  <c:v>2.1897810218978102</c:v>
                </c:pt>
              </c:numCache>
            </c:numRef>
          </c:val>
          <c:extLst>
            <c:ext xmlns:c16="http://schemas.microsoft.com/office/drawing/2014/chart" uri="{C3380CC4-5D6E-409C-BE32-E72D297353CC}">
              <c16:uniqueId val="{00000000-3FDE-4C30-9A80-17BC02339A7E}"/>
            </c:ext>
          </c:extLst>
        </c:ser>
        <c:ser>
          <c:idx val="1"/>
          <c:order val="1"/>
          <c:tx>
            <c:strRef>
              <c:f>Grafika!$D$20</c:f>
              <c:strCache>
                <c:ptCount val="1"/>
                <c:pt idx="0">
                  <c:v>31-45 gadi</c:v>
                </c:pt>
              </c:strCache>
            </c:strRef>
          </c:tx>
          <c:spPr>
            <a:solidFill>
              <a:schemeClr val="accent6">
                <a:shade val="86000"/>
                <a:alpha val="70000"/>
              </a:schemeClr>
            </a:solidFill>
            <a:ln>
              <a:solidFill>
                <a:schemeClr val="bg2">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Grafika!$B$21:$B$32</c:f>
              <c:strCache>
                <c:ptCount val="12"/>
                <c:pt idx="0">
                  <c:v>VBTAI</c:v>
                </c:pt>
                <c:pt idx="1">
                  <c:v>LM</c:v>
                </c:pt>
                <c:pt idx="2">
                  <c:v>VDI</c:v>
                </c:pt>
                <c:pt idx="3">
                  <c:v>NVA</c:v>
                </c:pt>
                <c:pt idx="4">
                  <c:v>SIVA</c:v>
                </c:pt>
                <c:pt idx="5">
                  <c:v>VSAC "Latgale"</c:v>
                </c:pt>
                <c:pt idx="6">
                  <c:v>VSAA</c:v>
                </c:pt>
                <c:pt idx="7">
                  <c:v>VSAC "Kurzeme"</c:v>
                </c:pt>
                <c:pt idx="8">
                  <c:v>VSAC "Zemgale"</c:v>
                </c:pt>
                <c:pt idx="9">
                  <c:v>VSAC "Vidzeme"</c:v>
                </c:pt>
                <c:pt idx="10">
                  <c:v>VSAC "Rīga"</c:v>
                </c:pt>
                <c:pt idx="11">
                  <c:v>VDEĀVK</c:v>
                </c:pt>
              </c:strCache>
            </c:strRef>
          </c:cat>
          <c:val>
            <c:numRef>
              <c:f>Grafika!$D$21:$D$32</c:f>
              <c:numCache>
                <c:formatCode>0</c:formatCode>
                <c:ptCount val="12"/>
                <c:pt idx="0">
                  <c:v>51.92307692307692</c:v>
                </c:pt>
                <c:pt idx="1">
                  <c:v>57.216494845360828</c:v>
                </c:pt>
                <c:pt idx="2">
                  <c:v>49.019607843137258</c:v>
                </c:pt>
                <c:pt idx="3">
                  <c:v>36.294027565084228</c:v>
                </c:pt>
                <c:pt idx="4">
                  <c:v>26.470588235294116</c:v>
                </c:pt>
                <c:pt idx="5">
                  <c:v>25.859247135842882</c:v>
                </c:pt>
                <c:pt idx="6">
                  <c:v>27.574750830564785</c:v>
                </c:pt>
                <c:pt idx="7">
                  <c:v>19.395017793594306</c:v>
                </c:pt>
                <c:pt idx="8">
                  <c:v>19.23076923076923</c:v>
                </c:pt>
                <c:pt idx="9">
                  <c:v>18.399999999999999</c:v>
                </c:pt>
                <c:pt idx="10">
                  <c:v>20.935672514619885</c:v>
                </c:pt>
                <c:pt idx="11">
                  <c:v>21.897810218978101</c:v>
                </c:pt>
              </c:numCache>
            </c:numRef>
          </c:val>
          <c:extLst>
            <c:ext xmlns:c16="http://schemas.microsoft.com/office/drawing/2014/chart" uri="{C3380CC4-5D6E-409C-BE32-E72D297353CC}">
              <c16:uniqueId val="{00000001-3FDE-4C30-9A80-17BC02339A7E}"/>
            </c:ext>
          </c:extLst>
        </c:ser>
        <c:ser>
          <c:idx val="2"/>
          <c:order val="2"/>
          <c:tx>
            <c:strRef>
              <c:f>Grafika!$E$20</c:f>
              <c:strCache>
                <c:ptCount val="1"/>
                <c:pt idx="0">
                  <c:v>46-55 gadi</c:v>
                </c:pt>
              </c:strCache>
            </c:strRef>
          </c:tx>
          <c:spPr>
            <a:solidFill>
              <a:schemeClr val="accent6">
                <a:tint val="86000"/>
                <a:alpha val="70000"/>
              </a:schemeClr>
            </a:solidFill>
            <a:ln>
              <a:solidFill>
                <a:schemeClr val="bg2">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Grafika!$B$21:$B$32</c:f>
              <c:strCache>
                <c:ptCount val="12"/>
                <c:pt idx="0">
                  <c:v>VBTAI</c:v>
                </c:pt>
                <c:pt idx="1">
                  <c:v>LM</c:v>
                </c:pt>
                <c:pt idx="2">
                  <c:v>VDI</c:v>
                </c:pt>
                <c:pt idx="3">
                  <c:v>NVA</c:v>
                </c:pt>
                <c:pt idx="4">
                  <c:v>SIVA</c:v>
                </c:pt>
                <c:pt idx="5">
                  <c:v>VSAC "Latgale"</c:v>
                </c:pt>
                <c:pt idx="6">
                  <c:v>VSAA</c:v>
                </c:pt>
                <c:pt idx="7">
                  <c:v>VSAC "Kurzeme"</c:v>
                </c:pt>
                <c:pt idx="8">
                  <c:v>VSAC "Zemgale"</c:v>
                </c:pt>
                <c:pt idx="9">
                  <c:v>VSAC "Vidzeme"</c:v>
                </c:pt>
                <c:pt idx="10">
                  <c:v>VSAC "Rīga"</c:v>
                </c:pt>
                <c:pt idx="11">
                  <c:v>VDEĀVK</c:v>
                </c:pt>
              </c:strCache>
            </c:strRef>
          </c:cat>
          <c:val>
            <c:numRef>
              <c:f>Grafika!$E$21:$E$32</c:f>
              <c:numCache>
                <c:formatCode>0</c:formatCode>
                <c:ptCount val="12"/>
                <c:pt idx="0">
                  <c:v>21.153846153846153</c:v>
                </c:pt>
                <c:pt idx="1">
                  <c:v>21.134020618556701</c:v>
                </c:pt>
                <c:pt idx="2">
                  <c:v>22.222222222222221</c:v>
                </c:pt>
                <c:pt idx="3">
                  <c:v>29.096477794793262</c:v>
                </c:pt>
                <c:pt idx="4">
                  <c:v>28.823529411764707</c:v>
                </c:pt>
                <c:pt idx="5">
                  <c:v>30.441898527004909</c:v>
                </c:pt>
                <c:pt idx="6">
                  <c:v>30.897009966777407</c:v>
                </c:pt>
                <c:pt idx="7">
                  <c:v>30.604982206405694</c:v>
                </c:pt>
                <c:pt idx="8">
                  <c:v>31.447963800904976</c:v>
                </c:pt>
                <c:pt idx="9">
                  <c:v>31.466666666666665</c:v>
                </c:pt>
                <c:pt idx="10">
                  <c:v>25.263157894736842</c:v>
                </c:pt>
                <c:pt idx="11">
                  <c:v>24.087591240875913</c:v>
                </c:pt>
              </c:numCache>
            </c:numRef>
          </c:val>
          <c:extLst>
            <c:ext xmlns:c16="http://schemas.microsoft.com/office/drawing/2014/chart" uri="{C3380CC4-5D6E-409C-BE32-E72D297353CC}">
              <c16:uniqueId val="{00000002-3FDE-4C30-9A80-17BC02339A7E}"/>
            </c:ext>
          </c:extLst>
        </c:ser>
        <c:ser>
          <c:idx val="3"/>
          <c:order val="3"/>
          <c:tx>
            <c:strRef>
              <c:f>Grafika!$F$20</c:f>
              <c:strCache>
                <c:ptCount val="1"/>
                <c:pt idx="0">
                  <c:v>virs 55 gadiem</c:v>
                </c:pt>
              </c:strCache>
            </c:strRef>
          </c:tx>
          <c:spPr>
            <a:solidFill>
              <a:schemeClr val="accent6">
                <a:tint val="58000"/>
                <a:alpha val="70000"/>
              </a:schemeClr>
            </a:solidFill>
            <a:ln>
              <a:solidFill>
                <a:schemeClr val="bg1">
                  <a:lumMod val="8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Grafika!$B$21:$B$32</c:f>
              <c:strCache>
                <c:ptCount val="12"/>
                <c:pt idx="0">
                  <c:v>VBTAI</c:v>
                </c:pt>
                <c:pt idx="1">
                  <c:v>LM</c:v>
                </c:pt>
                <c:pt idx="2">
                  <c:v>VDI</c:v>
                </c:pt>
                <c:pt idx="3">
                  <c:v>NVA</c:v>
                </c:pt>
                <c:pt idx="4">
                  <c:v>SIVA</c:v>
                </c:pt>
                <c:pt idx="5">
                  <c:v>VSAC "Latgale"</c:v>
                </c:pt>
                <c:pt idx="6">
                  <c:v>VSAA</c:v>
                </c:pt>
                <c:pt idx="7">
                  <c:v>VSAC "Kurzeme"</c:v>
                </c:pt>
                <c:pt idx="8">
                  <c:v>VSAC "Zemgale"</c:v>
                </c:pt>
                <c:pt idx="9">
                  <c:v>VSAC "Vidzeme"</c:v>
                </c:pt>
                <c:pt idx="10">
                  <c:v>VSAC "Rīga"</c:v>
                </c:pt>
                <c:pt idx="11">
                  <c:v>VDEĀVK</c:v>
                </c:pt>
              </c:strCache>
            </c:strRef>
          </c:cat>
          <c:val>
            <c:numRef>
              <c:f>Grafika!$F$21:$F$32</c:f>
              <c:numCache>
                <c:formatCode>0</c:formatCode>
                <c:ptCount val="12"/>
                <c:pt idx="0">
                  <c:v>9.615384615384615</c:v>
                </c:pt>
                <c:pt idx="1">
                  <c:v>14.948453608247423</c:v>
                </c:pt>
                <c:pt idx="2">
                  <c:v>19.607843137254903</c:v>
                </c:pt>
                <c:pt idx="3">
                  <c:v>29.555895865237368</c:v>
                </c:pt>
                <c:pt idx="4">
                  <c:v>35.294117647058826</c:v>
                </c:pt>
                <c:pt idx="5">
                  <c:v>36.824877250409166</c:v>
                </c:pt>
                <c:pt idx="6">
                  <c:v>37.984496124031011</c:v>
                </c:pt>
                <c:pt idx="7">
                  <c:v>44.128113879003557</c:v>
                </c:pt>
                <c:pt idx="8">
                  <c:v>44.796380090497735</c:v>
                </c:pt>
                <c:pt idx="9">
                  <c:v>46.666666666666664</c:v>
                </c:pt>
                <c:pt idx="10">
                  <c:v>48.538011695906434</c:v>
                </c:pt>
                <c:pt idx="11">
                  <c:v>51.824817518248175</c:v>
                </c:pt>
              </c:numCache>
            </c:numRef>
          </c:val>
          <c:extLst>
            <c:ext xmlns:c16="http://schemas.microsoft.com/office/drawing/2014/chart" uri="{C3380CC4-5D6E-409C-BE32-E72D297353CC}">
              <c16:uniqueId val="{00000003-3FDE-4C30-9A80-17BC02339A7E}"/>
            </c:ext>
          </c:extLst>
        </c:ser>
        <c:dLbls>
          <c:dLblPos val="ctr"/>
          <c:showLegendKey val="0"/>
          <c:showVal val="1"/>
          <c:showCatName val="0"/>
          <c:showSerName val="0"/>
          <c:showPercent val="0"/>
          <c:showBubbleSize val="0"/>
        </c:dLbls>
        <c:gapWidth val="50"/>
        <c:overlap val="100"/>
        <c:axId val="298893480"/>
        <c:axId val="298888888"/>
      </c:barChart>
      <c:catAx>
        <c:axId val="29889348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888888"/>
        <c:crosses val="autoZero"/>
        <c:auto val="1"/>
        <c:lblAlgn val="ctr"/>
        <c:lblOffset val="100"/>
        <c:noMultiLvlLbl val="0"/>
      </c:catAx>
      <c:valAx>
        <c:axId val="298888888"/>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893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Pt>
            <c:idx val="0"/>
            <c:invertIfNegative val="0"/>
            <c:bubble3D val="0"/>
            <c:spPr>
              <a:solidFill>
                <a:srgbClr val="92D050">
                  <a:shade val="30000"/>
                  <a:satMod val="115000"/>
                </a:srgbClr>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01-388A-4A4A-9242-030369D5C15D}"/>
              </c:ext>
            </c:extLst>
          </c:dPt>
          <c:dPt>
            <c:idx val="1"/>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03-388A-4A4A-9242-030369D5C15D}"/>
              </c:ext>
            </c:extLst>
          </c:dPt>
          <c:dPt>
            <c:idx val="2"/>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05-388A-4A4A-9242-030369D5C15D}"/>
              </c:ext>
            </c:extLst>
          </c:dPt>
          <c:dPt>
            <c:idx val="3"/>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07-388A-4A4A-9242-030369D5C15D}"/>
              </c:ext>
            </c:extLst>
          </c:dPt>
          <c:dPt>
            <c:idx val="4"/>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09-388A-4A4A-9242-030369D5C15D}"/>
              </c:ext>
            </c:extLst>
          </c:dPt>
          <c:dPt>
            <c:idx val="5"/>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0B-388A-4A4A-9242-030369D5C15D}"/>
              </c:ext>
            </c:extLst>
          </c:dPt>
          <c:dPt>
            <c:idx val="6"/>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0D-388A-4A4A-9242-030369D5C15D}"/>
              </c:ext>
            </c:extLst>
          </c:dPt>
          <c:dPt>
            <c:idx val="7"/>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0F-388A-4A4A-9242-030369D5C15D}"/>
              </c:ext>
            </c:extLst>
          </c:dPt>
          <c:dPt>
            <c:idx val="8"/>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11-388A-4A4A-9242-030369D5C15D}"/>
              </c:ext>
            </c:extLst>
          </c:dPt>
          <c:dPt>
            <c:idx val="9"/>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13-388A-4A4A-9242-030369D5C15D}"/>
              </c:ext>
            </c:extLst>
          </c:dPt>
          <c:dPt>
            <c:idx val="10"/>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15-388A-4A4A-9242-030369D5C15D}"/>
              </c:ext>
            </c:extLst>
          </c:dPt>
          <c:dPt>
            <c:idx val="11"/>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17-388A-4A4A-9242-030369D5C15D}"/>
              </c:ext>
            </c:extLst>
          </c:dPt>
          <c:dPt>
            <c:idx val="12"/>
            <c:invertIfNegative val="0"/>
            <c:bubble3D val="0"/>
            <c:spPr>
              <a:solidFill>
                <a:srgbClr val="92D050"/>
              </a:solidFill>
              <a:ln w="9525" cap="flat" cmpd="sng" algn="ctr">
                <a:solidFill>
                  <a:schemeClr val="dk1">
                    <a:tint val="88500"/>
                    <a:shade val="95000"/>
                  </a:schemeClr>
                </a:solidFill>
                <a:round/>
              </a:ln>
              <a:effectLst/>
            </c:spPr>
            <c:extLst>
              <c:ext xmlns:c16="http://schemas.microsoft.com/office/drawing/2014/chart" uri="{C3380CC4-5D6E-409C-BE32-E72D297353CC}">
                <c16:uniqueId val="{00000019-388A-4A4A-9242-030369D5C15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Grafika_2!$B$36:$B$54</c:f>
              <c:strCache>
                <c:ptCount val="19"/>
                <c:pt idx="0">
                  <c:v>Labklājības ministrijas resors</c:v>
                </c:pt>
                <c:pt idx="1">
                  <c:v>LM</c:v>
                </c:pt>
                <c:pt idx="2">
                  <c:v>VBTAI</c:v>
                </c:pt>
                <c:pt idx="3">
                  <c:v>VDEĀVK</c:v>
                </c:pt>
                <c:pt idx="4">
                  <c:v>VDI</c:v>
                </c:pt>
                <c:pt idx="5">
                  <c:v>VSAA</c:v>
                </c:pt>
                <c:pt idx="6">
                  <c:v>NVA</c:v>
                </c:pt>
                <c:pt idx="7">
                  <c:v>SIVA</c:v>
                </c:pt>
                <c:pt idx="8">
                  <c:v>VSAC "Vidzeme"</c:v>
                </c:pt>
                <c:pt idx="9">
                  <c:v>VSAC "Rīga"</c:v>
                </c:pt>
                <c:pt idx="10">
                  <c:v>VSAC "Kurzeme"</c:v>
                </c:pt>
                <c:pt idx="11">
                  <c:v>VSAC "Latgale"</c:v>
                </c:pt>
                <c:pt idx="12">
                  <c:v>VSAC "Zemgale"</c:v>
                </c:pt>
                <c:pt idx="13">
                  <c:v>(O) Valsts pārvalde un aizsardzība; obligātā sociālā apdrošināšana</c:v>
                </c:pt>
                <c:pt idx="14">
                  <c:v>(86) Veselības aizsardzība</c:v>
                </c:pt>
                <c:pt idx="15">
                  <c:v>(87) Sociālā aprūpe ar izmitināšanu</c:v>
                </c:pt>
                <c:pt idx="16">
                  <c:v>(88) Sociālā aprūpe bez izmitināšanas</c:v>
                </c:pt>
                <c:pt idx="17">
                  <c:v>(J) Informācijas un komunikācijas pakalpojumi</c:v>
                </c:pt>
                <c:pt idx="18">
                  <c:v>(K) Finanšu un apdrošināšanas darbības</c:v>
                </c:pt>
              </c:strCache>
            </c:strRef>
          </c:cat>
          <c:val>
            <c:numRef>
              <c:f>Grafika_2!$C$36:$C$54</c:f>
              <c:numCache>
                <c:formatCode>General</c:formatCode>
                <c:ptCount val="19"/>
                <c:pt idx="0">
                  <c:v>934</c:v>
                </c:pt>
                <c:pt idx="1">
                  <c:v>1817</c:v>
                </c:pt>
                <c:pt idx="2">
                  <c:v>1403</c:v>
                </c:pt>
                <c:pt idx="3">
                  <c:v>1399</c:v>
                </c:pt>
                <c:pt idx="4">
                  <c:v>1281</c:v>
                </c:pt>
                <c:pt idx="5">
                  <c:v>1079</c:v>
                </c:pt>
                <c:pt idx="6">
                  <c:v>960</c:v>
                </c:pt>
                <c:pt idx="7">
                  <c:v>937</c:v>
                </c:pt>
                <c:pt idx="8">
                  <c:v>826</c:v>
                </c:pt>
                <c:pt idx="9">
                  <c:v>822</c:v>
                </c:pt>
                <c:pt idx="10">
                  <c:v>806</c:v>
                </c:pt>
                <c:pt idx="11">
                  <c:v>774</c:v>
                </c:pt>
                <c:pt idx="12">
                  <c:v>702</c:v>
                </c:pt>
                <c:pt idx="13" formatCode="0">
                  <c:v>1311</c:v>
                </c:pt>
                <c:pt idx="14" formatCode="0">
                  <c:v>1259</c:v>
                </c:pt>
                <c:pt idx="15" formatCode="0">
                  <c:v>704</c:v>
                </c:pt>
                <c:pt idx="16" formatCode="0">
                  <c:v>725</c:v>
                </c:pt>
                <c:pt idx="17" formatCode="0">
                  <c:v>1731</c:v>
                </c:pt>
                <c:pt idx="18" formatCode="0">
                  <c:v>2083</c:v>
                </c:pt>
              </c:numCache>
            </c:numRef>
          </c:val>
          <c:extLst>
            <c:ext xmlns:c16="http://schemas.microsoft.com/office/drawing/2014/chart" uri="{C3380CC4-5D6E-409C-BE32-E72D297353CC}">
              <c16:uniqueId val="{0000001A-388A-4A4A-9242-030369D5C15D}"/>
            </c:ext>
          </c:extLst>
        </c:ser>
        <c:dLbls>
          <c:dLblPos val="outEnd"/>
          <c:showLegendKey val="0"/>
          <c:showVal val="1"/>
          <c:showCatName val="0"/>
          <c:showSerName val="0"/>
          <c:showPercent val="0"/>
          <c:showBubbleSize val="0"/>
        </c:dLbls>
        <c:gapWidth val="100"/>
        <c:axId val="690865288"/>
        <c:axId val="690872504"/>
      </c:barChart>
      <c:catAx>
        <c:axId val="690865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90872504"/>
        <c:crosses val="autoZero"/>
        <c:auto val="1"/>
        <c:lblAlgn val="ctr"/>
        <c:lblOffset val="100"/>
        <c:noMultiLvlLbl val="0"/>
      </c:catAx>
      <c:valAx>
        <c:axId val="690872504"/>
        <c:scaling>
          <c:orientation val="minMax"/>
          <c:max val="2100"/>
          <c:min val="4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90865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manualLayout>
          <c:layoutTarget val="inner"/>
          <c:xMode val="edge"/>
          <c:yMode val="edge"/>
          <c:x val="0.12750614186319748"/>
          <c:y val="0.13286105490683633"/>
          <c:w val="0.7281183699858369"/>
          <c:h val="0.69337006248831923"/>
        </c:manualLayout>
      </c:layout>
      <c:pie3DChart>
        <c:varyColors val="1"/>
        <c:ser>
          <c:idx val="0"/>
          <c:order val="0"/>
          <c:tx>
            <c:strRef>
              <c:f>Sheet1!$B$1</c:f>
              <c:strCache>
                <c:ptCount val="1"/>
                <c:pt idx="0">
                  <c:v>Sales</c:v>
                </c:pt>
              </c:strCache>
            </c:strRef>
          </c:tx>
          <c:dLbls>
            <c:dLbl>
              <c:idx val="0"/>
              <c:layout>
                <c:manualLayout>
                  <c:x val="-5.6177000191897676E-2"/>
                  <c:y val="-1.6813192739341263E-2"/>
                </c:manualLayout>
              </c:layout>
              <c:tx>
                <c:rich>
                  <a:bodyPr/>
                  <a:lstStyle/>
                  <a:p>
                    <a:r>
                      <a:rPr lang="en-US"/>
                      <a:t>Pamatdarbības VIS</a:t>
                    </a:r>
                    <a:r>
                      <a:rPr lang="en-US" baseline="0"/>
                      <a:t> - </a:t>
                    </a:r>
                    <a:r>
                      <a:rPr lang="en-US"/>
                      <a:t>12</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0069-444F-927B-D133C6025FFA}"/>
                </c:ext>
              </c:extLst>
            </c:dLbl>
            <c:dLbl>
              <c:idx val="1"/>
              <c:layout>
                <c:manualLayout>
                  <c:x val="-4.6029841984024707E-3"/>
                  <c:y val="-0.13501136061657254"/>
                </c:manualLayout>
              </c:layout>
              <c:tx>
                <c:rich>
                  <a:bodyPr/>
                  <a:lstStyle/>
                  <a:p>
                    <a:r>
                      <a:rPr lang="en-US"/>
                      <a:t>Infrastruktūra</a:t>
                    </a:r>
                    <a:r>
                      <a:rPr lang="en-US" baseline="0"/>
                      <a:t> - </a:t>
                    </a:r>
                    <a:r>
                      <a:rPr lang="en-US"/>
                      <a:t>15</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0069-444F-927B-D133C6025FFA}"/>
                </c:ext>
              </c:extLst>
            </c:dLbl>
            <c:dLbl>
              <c:idx val="2"/>
              <c:tx>
                <c:rich>
                  <a:bodyPr/>
                  <a:lstStyle/>
                  <a:p>
                    <a:r>
                      <a:rPr lang="en-US"/>
                      <a:t>Aktīvā direktorija</a:t>
                    </a:r>
                    <a:r>
                      <a:rPr lang="en-US" baseline="0"/>
                      <a:t> - 3</a:t>
                    </a:r>
                    <a:endParaRPr lang="en-US"/>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0069-444F-927B-D133C6025FFA}"/>
                </c:ext>
              </c:extLst>
            </c:dLbl>
            <c:dLbl>
              <c:idx val="3"/>
              <c:tx>
                <c:rich>
                  <a:bodyPr/>
                  <a:lstStyle/>
                  <a:p>
                    <a:r>
                      <a:rPr lang="en-US"/>
                      <a:t>Apmācību sistēmas</a:t>
                    </a:r>
                    <a:r>
                      <a:rPr lang="en-US" baseline="0"/>
                      <a:t> - </a:t>
                    </a:r>
                    <a:r>
                      <a:rPr lang="en-US"/>
                      <a:t>5</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0069-444F-927B-D133C6025FFA}"/>
                </c:ext>
              </c:extLst>
            </c:dLbl>
            <c:dLbl>
              <c:idx val="4"/>
              <c:layout>
                <c:manualLayout>
                  <c:x val="8.7947726467694828E-3"/>
                  <c:y val="1.0308370730997364E-2"/>
                </c:manualLayout>
              </c:layout>
              <c:tx>
                <c:rich>
                  <a:bodyPr/>
                  <a:lstStyle/>
                  <a:p>
                    <a:r>
                      <a:rPr lang="en-US"/>
                      <a:t>Biznesa procesu sistēma</a:t>
                    </a:r>
                    <a:r>
                      <a:rPr lang="en-US" baseline="0"/>
                      <a:t> - </a:t>
                    </a:r>
                    <a:r>
                      <a:rPr lang="en-US"/>
                      <a:t>1</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4-0069-444F-927B-D133C6025FFA}"/>
                </c:ext>
              </c:extLst>
            </c:dLbl>
            <c:dLbl>
              <c:idx val="5"/>
              <c:layout>
                <c:manualLayout>
                  <c:x val="3.8813863810298922E-2"/>
                  <c:y val="-2.9288754581443966E-2"/>
                </c:manualLayout>
              </c:layout>
              <c:tx>
                <c:rich>
                  <a:bodyPr/>
                  <a:lstStyle/>
                  <a:p>
                    <a:r>
                      <a:rPr lang="en-US"/>
                      <a:t>Darba laika </a:t>
                    </a:r>
                  </a:p>
                  <a:p>
                    <a:r>
                      <a:rPr lang="en-US"/>
                      <a:t>uzskaite</a:t>
                    </a:r>
                    <a:r>
                      <a:rPr lang="en-US" baseline="0"/>
                      <a:t> - </a:t>
                    </a:r>
                    <a:r>
                      <a:rPr lang="en-US"/>
                      <a:t>7</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0069-444F-927B-D133C6025FFA}"/>
                </c:ext>
              </c:extLst>
            </c:dLbl>
            <c:dLbl>
              <c:idx val="6"/>
              <c:layout>
                <c:manualLayout>
                  <c:x val="1.8513195050708774E-2"/>
                  <c:y val="7.5330276546710451E-3"/>
                </c:manualLayout>
              </c:layout>
              <c:tx>
                <c:rich>
                  <a:bodyPr/>
                  <a:lstStyle/>
                  <a:p>
                    <a:r>
                      <a:rPr lang="en-US"/>
                      <a:t>Datu rezerves </a:t>
                    </a:r>
                  </a:p>
                  <a:p>
                    <a:r>
                      <a:rPr lang="en-US"/>
                      <a:t>kopijas</a:t>
                    </a:r>
                    <a:r>
                      <a:rPr lang="en-US" baseline="0"/>
                      <a:t> - </a:t>
                    </a:r>
                    <a:r>
                      <a:rPr lang="en-US"/>
                      <a:t>4</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6-0069-444F-927B-D133C6025FFA}"/>
                </c:ext>
              </c:extLst>
            </c:dLbl>
            <c:dLbl>
              <c:idx val="7"/>
              <c:layout>
                <c:manualLayout>
                  <c:x val="5.0250743699175808E-2"/>
                  <c:y val="2.4732697886448409E-2"/>
                </c:manualLayout>
              </c:layout>
              <c:tx>
                <c:rich>
                  <a:bodyPr/>
                  <a:lstStyle/>
                  <a:p>
                    <a:r>
                      <a:rPr lang="en-US"/>
                      <a:t>E-pastu </a:t>
                    </a:r>
                  </a:p>
                  <a:p>
                    <a:r>
                      <a:rPr lang="en-US"/>
                      <a:t>sistēmas</a:t>
                    </a:r>
                    <a:r>
                      <a:rPr lang="en-US" baseline="0"/>
                      <a:t> - </a:t>
                    </a:r>
                    <a:r>
                      <a:rPr lang="en-US"/>
                      <a:t>11</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0069-444F-927B-D133C6025FFA}"/>
                </c:ext>
              </c:extLst>
            </c:dLbl>
            <c:dLbl>
              <c:idx val="8"/>
              <c:layout>
                <c:manualLayout>
                  <c:x val="7.7048242164241667E-3"/>
                  <c:y val="4.5741344392689429E-3"/>
                </c:manualLayout>
              </c:layout>
              <c:tx>
                <c:rich>
                  <a:bodyPr/>
                  <a:lstStyle/>
                  <a:p>
                    <a:r>
                      <a:rPr lang="en-US"/>
                      <a:t>Failu </a:t>
                    </a:r>
                  </a:p>
                  <a:p>
                    <a:r>
                      <a:rPr lang="en-US"/>
                      <a:t>serveris</a:t>
                    </a:r>
                    <a:r>
                      <a:rPr lang="en-US" baseline="0"/>
                      <a:t> - </a:t>
                    </a:r>
                    <a:r>
                      <a:rPr lang="en-US"/>
                      <a:t>4</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8-0069-444F-927B-D133C6025FFA}"/>
                </c:ext>
              </c:extLst>
            </c:dLbl>
            <c:dLbl>
              <c:idx val="9"/>
              <c:layout>
                <c:manualLayout>
                  <c:x val="-2.5707840726450257E-2"/>
                  <c:y val="3.2974051533082235E-2"/>
                </c:manualLayout>
              </c:layout>
              <c:tx>
                <c:rich>
                  <a:bodyPr/>
                  <a:lstStyle/>
                  <a:p>
                    <a:r>
                      <a:rPr lang="en-US"/>
                      <a:t>Grāmatvedība, finanses</a:t>
                    </a:r>
                    <a:r>
                      <a:rPr lang="en-US" baseline="0"/>
                      <a:t> - </a:t>
                    </a:r>
                    <a:r>
                      <a:rPr lang="en-US"/>
                      <a:t>11</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9-0069-444F-927B-D133C6025FFA}"/>
                </c:ext>
              </c:extLst>
            </c:dLbl>
            <c:dLbl>
              <c:idx val="10"/>
              <c:layout>
                <c:manualLayout>
                  <c:x val="7.705412045257512E-2"/>
                  <c:y val="5.6697500924248065E-2"/>
                </c:manualLayout>
              </c:layout>
              <c:tx>
                <c:rich>
                  <a:bodyPr/>
                  <a:lstStyle/>
                  <a:p>
                    <a:r>
                      <a:rPr lang="en-US"/>
                      <a:t>IKT pārvaldības </a:t>
                    </a:r>
                  </a:p>
                  <a:p>
                    <a:r>
                      <a:rPr lang="en-US"/>
                      <a:t>rīki</a:t>
                    </a:r>
                    <a:r>
                      <a:rPr lang="en-US" baseline="0"/>
                      <a:t> - </a:t>
                    </a:r>
                    <a:r>
                      <a:rPr lang="en-US"/>
                      <a:t>6</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A-0069-444F-927B-D133C6025FFA}"/>
                </c:ext>
              </c:extLst>
            </c:dLbl>
            <c:dLbl>
              <c:idx val="11"/>
              <c:layout>
                <c:manualLayout>
                  <c:x val="-3.0851532640428525E-3"/>
                  <c:y val="1.0791773575147379E-2"/>
                </c:manualLayout>
              </c:layout>
              <c:tx>
                <c:rich>
                  <a:bodyPr/>
                  <a:lstStyle/>
                  <a:p>
                    <a:r>
                      <a:rPr lang="en-US"/>
                      <a:t>Komunikāciju risinājumi</a:t>
                    </a:r>
                    <a:r>
                      <a:rPr lang="en-US" baseline="0"/>
                      <a:t> - </a:t>
                    </a:r>
                    <a:r>
                      <a:rPr lang="en-US"/>
                      <a:t>4</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0069-444F-927B-D133C6025FFA}"/>
                </c:ext>
              </c:extLst>
            </c:dLbl>
            <c:dLbl>
              <c:idx val="12"/>
              <c:layout>
                <c:manualLayout>
                  <c:x val="-2.5053075254984986E-2"/>
                  <c:y val="7.4297197887841478E-3"/>
                </c:manualLayout>
              </c:layout>
              <c:tx>
                <c:rich>
                  <a:bodyPr/>
                  <a:lstStyle/>
                  <a:p>
                    <a:r>
                      <a:rPr lang="en-US"/>
                      <a:t>Lietvedība</a:t>
                    </a:r>
                    <a:r>
                      <a:rPr lang="en-US" baseline="0"/>
                      <a:t> - </a:t>
                    </a:r>
                    <a:r>
                      <a:rPr lang="en-US"/>
                      <a:t>13</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C-0069-444F-927B-D133C6025FFA}"/>
                </c:ext>
              </c:extLst>
            </c:dLbl>
            <c:dLbl>
              <c:idx val="13"/>
              <c:layout>
                <c:manualLayout>
                  <c:x val="-1.4154159818144723E-2"/>
                  <c:y val="-4.9929536238645086E-2"/>
                </c:manualLayout>
              </c:layout>
              <c:tx>
                <c:rich>
                  <a:bodyPr/>
                  <a:lstStyle/>
                  <a:p>
                    <a:r>
                      <a:rPr lang="en-US"/>
                      <a:t>Mājas lapas, </a:t>
                    </a:r>
                  </a:p>
                  <a:p>
                    <a:r>
                      <a:rPr lang="en-US"/>
                      <a:t>intranet</a:t>
                    </a:r>
                    <a:r>
                      <a:rPr lang="en-US" baseline="0"/>
                      <a:t> - </a:t>
                    </a:r>
                    <a:r>
                      <a:rPr lang="en-US"/>
                      <a:t>20</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0069-444F-927B-D133C6025FFA}"/>
                </c:ext>
              </c:extLst>
            </c:dLbl>
            <c:dLbl>
              <c:idx val="14"/>
              <c:layout>
                <c:manualLayout>
                  <c:x val="-1.8579183577806919E-2"/>
                  <c:y val="6.5282124685447059E-3"/>
                </c:manualLayout>
              </c:layout>
              <c:tx>
                <c:rich>
                  <a:bodyPr/>
                  <a:lstStyle/>
                  <a:p>
                    <a:r>
                      <a:rPr lang="en-US"/>
                      <a:t>Personālvadība</a:t>
                    </a:r>
                    <a:r>
                      <a:rPr lang="en-US" baseline="0"/>
                      <a:t> - </a:t>
                    </a:r>
                    <a:r>
                      <a:rPr lang="en-US"/>
                      <a:t>4</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E-0069-444F-927B-D133C6025FFA}"/>
                </c:ext>
              </c:extLst>
            </c:dLbl>
            <c:dLbl>
              <c:idx val="15"/>
              <c:tx>
                <c:rich>
                  <a:bodyPr/>
                  <a:lstStyle/>
                  <a:p>
                    <a:r>
                      <a:rPr lang="en-US"/>
                      <a:t>Projektu vadība</a:t>
                    </a:r>
                    <a:r>
                      <a:rPr lang="en-US" baseline="0"/>
                      <a:t> - </a:t>
                    </a:r>
                    <a:r>
                      <a:rPr lang="en-US"/>
                      <a:t>2</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F-0069-444F-927B-D133C6025FFA}"/>
                </c:ext>
              </c:extLst>
            </c:dLbl>
            <c:dLbl>
              <c:idx val="16"/>
              <c:tx>
                <c:rich>
                  <a:bodyPr/>
                  <a:lstStyle/>
                  <a:p>
                    <a:r>
                      <a:rPr lang="en-US"/>
                      <a:t>IS versiju kontrole</a:t>
                    </a:r>
                    <a:r>
                      <a:rPr lang="en-US" baseline="0"/>
                      <a:t> - </a:t>
                    </a:r>
                    <a:r>
                      <a:rPr lang="en-US"/>
                      <a:t>2</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0-0069-444F-927B-D133C6025FFA}"/>
                </c:ext>
              </c:extLst>
            </c:dLbl>
            <c:dLbl>
              <c:idx val="17"/>
              <c:layout>
                <c:manualLayout>
                  <c:x val="7.5087358949523342E-2"/>
                  <c:y val="-3.2687843263125148E-2"/>
                </c:manualLayout>
              </c:layout>
              <c:tx>
                <c:rich>
                  <a:bodyPr/>
                  <a:lstStyle/>
                  <a:p>
                    <a:r>
                      <a:rPr lang="en-US"/>
                      <a:t>Dažādās </a:t>
                    </a:r>
                  </a:p>
                  <a:p>
                    <a:r>
                      <a:rPr lang="en-US"/>
                      <a:t>atbalsta IS</a:t>
                    </a:r>
                    <a:r>
                      <a:rPr lang="en-US" baseline="0"/>
                      <a:t> - </a:t>
                    </a:r>
                    <a:r>
                      <a:rPr lang="en-US"/>
                      <a:t>19</a:t>
                    </a:r>
                  </a:p>
                </c:rich>
              </c:tx>
              <c:dLblPos val="bestFi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1-0069-444F-927B-D133C6025FFA}"/>
                </c:ext>
              </c:extLst>
            </c:dLbl>
            <c:spPr>
              <a:noFill/>
              <a:ln>
                <a:noFill/>
              </a:ln>
              <a:effectLst/>
            </c:spPr>
            <c:txPr>
              <a:bodyPr/>
              <a:lstStyle/>
              <a:p>
                <a:pPr>
                  <a:defRPr sz="800"/>
                </a:pPr>
                <a:endParaRPr lang="lv-LV"/>
              </a:p>
            </c:txPr>
            <c:dLblPos val="bestFit"/>
            <c:showLegendKey val="1"/>
            <c:showVal val="1"/>
            <c:showCatName val="1"/>
            <c:showSerName val="1"/>
            <c:showPercent val="1"/>
            <c:showBubbleSize val="1"/>
            <c:showLeaderLines val="1"/>
            <c:extLst>
              <c:ext xmlns:c15="http://schemas.microsoft.com/office/drawing/2012/chart" uri="{CE6537A1-D6FC-4f65-9D91-7224C49458BB}"/>
            </c:extLst>
          </c:dLbls>
          <c:cat>
            <c:strRef>
              <c:f>Sheet1!$A$2:$A$19</c:f>
              <c:strCache>
                <c:ptCount val="18"/>
                <c:pt idx="0">
                  <c:v>Pamatdarbības IS</c:v>
                </c:pt>
                <c:pt idx="1">
                  <c:v>Infrastruktūra</c:v>
                </c:pt>
                <c:pt idx="2">
                  <c:v>Aktīvā direktorija</c:v>
                </c:pt>
                <c:pt idx="3">
                  <c:v>Apmācību sistēmas</c:v>
                </c:pt>
                <c:pt idx="4">
                  <c:v>Biznesa procesu sistēma</c:v>
                </c:pt>
                <c:pt idx="5">
                  <c:v>Darba laika uzskaite</c:v>
                </c:pt>
                <c:pt idx="6">
                  <c:v>Datu rezerves kopijas</c:v>
                </c:pt>
                <c:pt idx="7">
                  <c:v>E-pastu sistēmas</c:v>
                </c:pt>
                <c:pt idx="8">
                  <c:v>Failu serveris</c:v>
                </c:pt>
                <c:pt idx="9">
                  <c:v>Grāmatvedība, finanses</c:v>
                </c:pt>
                <c:pt idx="10">
                  <c:v>IKT pārvadlības rīki</c:v>
                </c:pt>
                <c:pt idx="11">
                  <c:v>Komunikāciju risinājumi</c:v>
                </c:pt>
                <c:pt idx="12">
                  <c:v>Lietvedība</c:v>
                </c:pt>
                <c:pt idx="13">
                  <c:v>Mājas lapas, intranet</c:v>
                </c:pt>
                <c:pt idx="14">
                  <c:v>Personālvadība</c:v>
                </c:pt>
                <c:pt idx="15">
                  <c:v>Projektu vadība</c:v>
                </c:pt>
                <c:pt idx="16">
                  <c:v>IS versiju kontrole</c:v>
                </c:pt>
                <c:pt idx="17">
                  <c:v>Dažādās atbalsta IS</c:v>
                </c:pt>
              </c:strCache>
            </c:strRef>
          </c:cat>
          <c:val>
            <c:numRef>
              <c:f>Sheet1!$B$2:$B$19</c:f>
              <c:numCache>
                <c:formatCode>General</c:formatCode>
                <c:ptCount val="18"/>
                <c:pt idx="0">
                  <c:v>12</c:v>
                </c:pt>
                <c:pt idx="1">
                  <c:v>15</c:v>
                </c:pt>
                <c:pt idx="2">
                  <c:v>2</c:v>
                </c:pt>
                <c:pt idx="3">
                  <c:v>5</c:v>
                </c:pt>
                <c:pt idx="4">
                  <c:v>1</c:v>
                </c:pt>
                <c:pt idx="5">
                  <c:v>7</c:v>
                </c:pt>
                <c:pt idx="6">
                  <c:v>4</c:v>
                </c:pt>
                <c:pt idx="7">
                  <c:v>11</c:v>
                </c:pt>
                <c:pt idx="8">
                  <c:v>4</c:v>
                </c:pt>
                <c:pt idx="9">
                  <c:v>11</c:v>
                </c:pt>
                <c:pt idx="10">
                  <c:v>6</c:v>
                </c:pt>
                <c:pt idx="11">
                  <c:v>4</c:v>
                </c:pt>
                <c:pt idx="12">
                  <c:v>13</c:v>
                </c:pt>
                <c:pt idx="13">
                  <c:v>20</c:v>
                </c:pt>
                <c:pt idx="14">
                  <c:v>4</c:v>
                </c:pt>
                <c:pt idx="15">
                  <c:v>2</c:v>
                </c:pt>
                <c:pt idx="16">
                  <c:v>2</c:v>
                </c:pt>
                <c:pt idx="17">
                  <c:v>19</c:v>
                </c:pt>
              </c:numCache>
            </c:numRef>
          </c:val>
          <c:extLst>
            <c:ext xmlns:c16="http://schemas.microsoft.com/office/drawing/2014/chart" uri="{C3380CC4-5D6E-409C-BE32-E72D297353CC}">
              <c16:uniqueId val="{00000012-0069-444F-927B-D133C6025FFA}"/>
            </c:ext>
          </c:extLst>
        </c:ser>
        <c:dLbls>
          <c:showLegendKey val="0"/>
          <c:showVal val="0"/>
          <c:showCatName val="0"/>
          <c:showSerName val="0"/>
          <c:showPercent val="0"/>
          <c:showBubbleSize val="0"/>
          <c:showLeaderLines val="1"/>
        </c:dLbls>
      </c:pie3DChart>
    </c:plotArea>
    <c:plotVisOnly val="1"/>
    <c:dispBlanksAs val="zero"/>
    <c:showDLblsOverMax val="1"/>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r>
              <a:rPr lang="lv-LV" sz="1100" b="1">
                <a:solidFill>
                  <a:srgbClr val="002060"/>
                </a:solidFill>
              </a:rPr>
              <a:t>Iedzīvotāju dabiskais pieaugums un migrācijas saldo, personu skaits</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7744418783679747E-2"/>
          <c:y val="0.21318892900120337"/>
          <c:w val="0.93225558121632024"/>
          <c:h val="0.44170897410386878"/>
        </c:manualLayout>
      </c:layout>
      <c:barChart>
        <c:barDir val="bar"/>
        <c:grouping val="clustered"/>
        <c:varyColors val="0"/>
        <c:ser>
          <c:idx val="0"/>
          <c:order val="0"/>
          <c:tx>
            <c:strRef>
              <c:f>'ISG010'!$M$10</c:f>
              <c:strCache>
                <c:ptCount val="1"/>
                <c:pt idx="0">
                  <c:v>Iedzīvotāju dabiskais pieaugums</c:v>
                </c:pt>
              </c:strCache>
            </c:strRef>
          </c:tx>
          <c:spPr>
            <a:solidFill>
              <a:schemeClr val="accent1">
                <a:shade val="76000"/>
              </a:schemeClr>
            </a:solidFill>
            <a:ln>
              <a:noFill/>
            </a:ln>
            <a:effectLst/>
          </c:spPr>
          <c:invertIfNegative val="0"/>
          <c:cat>
            <c:strRef>
              <c:f>'ISG010'!$N$9:$R$9</c:f>
              <c:strCache>
                <c:ptCount val="5"/>
                <c:pt idx="0">
                  <c:v>1990</c:v>
                </c:pt>
                <c:pt idx="1">
                  <c:v>1991</c:v>
                </c:pt>
                <c:pt idx="2">
                  <c:v>2014</c:v>
                </c:pt>
                <c:pt idx="3">
                  <c:v>2018</c:v>
                </c:pt>
                <c:pt idx="4">
                  <c:v>2019</c:v>
                </c:pt>
              </c:strCache>
            </c:strRef>
          </c:cat>
          <c:val>
            <c:numRef>
              <c:f>'ISG010'!$N$10:$R$10</c:f>
              <c:numCache>
                <c:formatCode>0</c:formatCode>
                <c:ptCount val="5"/>
                <c:pt idx="0">
                  <c:v>3106</c:v>
                </c:pt>
                <c:pt idx="1">
                  <c:v>-116</c:v>
                </c:pt>
                <c:pt idx="2">
                  <c:v>-6720</c:v>
                </c:pt>
                <c:pt idx="3">
                  <c:v>-9506</c:v>
                </c:pt>
                <c:pt idx="4">
                  <c:v>-8933</c:v>
                </c:pt>
              </c:numCache>
            </c:numRef>
          </c:val>
          <c:extLst>
            <c:ext xmlns:c16="http://schemas.microsoft.com/office/drawing/2014/chart" uri="{C3380CC4-5D6E-409C-BE32-E72D297353CC}">
              <c16:uniqueId val="{00000000-7356-4FE8-9CCA-7187CEA292B7}"/>
            </c:ext>
          </c:extLst>
        </c:ser>
        <c:ser>
          <c:idx val="1"/>
          <c:order val="1"/>
          <c:tx>
            <c:strRef>
              <c:f>'ISG010'!$M$11</c:f>
              <c:strCache>
                <c:ptCount val="1"/>
                <c:pt idx="0">
                  <c:v>Migrācijas saldo</c:v>
                </c:pt>
              </c:strCache>
            </c:strRef>
          </c:tx>
          <c:spPr>
            <a:solidFill>
              <a:schemeClr val="accent1">
                <a:tint val="77000"/>
              </a:schemeClr>
            </a:solidFill>
            <a:ln>
              <a:noFill/>
            </a:ln>
            <a:effectLst/>
          </c:spPr>
          <c:invertIfNegative val="0"/>
          <c:cat>
            <c:strRef>
              <c:f>'ISG010'!$N$9:$R$9</c:f>
              <c:strCache>
                <c:ptCount val="5"/>
                <c:pt idx="0">
                  <c:v>1990</c:v>
                </c:pt>
                <c:pt idx="1">
                  <c:v>1991</c:v>
                </c:pt>
                <c:pt idx="2">
                  <c:v>2014</c:v>
                </c:pt>
                <c:pt idx="3">
                  <c:v>2018</c:v>
                </c:pt>
                <c:pt idx="4">
                  <c:v>2019</c:v>
                </c:pt>
              </c:strCache>
            </c:strRef>
          </c:cat>
          <c:val>
            <c:numRef>
              <c:f>'ISG010'!$N$11:$R$11</c:f>
              <c:numCache>
                <c:formatCode>0</c:formatCode>
                <c:ptCount val="5"/>
                <c:pt idx="0">
                  <c:v>-13085</c:v>
                </c:pt>
                <c:pt idx="1">
                  <c:v>-5045</c:v>
                </c:pt>
                <c:pt idx="2">
                  <c:v>-8652</c:v>
                </c:pt>
                <c:pt idx="3">
                  <c:v>-4905</c:v>
                </c:pt>
                <c:pt idx="4">
                  <c:v>-3360</c:v>
                </c:pt>
              </c:numCache>
            </c:numRef>
          </c:val>
          <c:extLst>
            <c:ext xmlns:c16="http://schemas.microsoft.com/office/drawing/2014/chart" uri="{C3380CC4-5D6E-409C-BE32-E72D297353CC}">
              <c16:uniqueId val="{00000001-7356-4FE8-9CCA-7187CEA292B7}"/>
            </c:ext>
          </c:extLst>
        </c:ser>
        <c:dLbls>
          <c:showLegendKey val="0"/>
          <c:showVal val="0"/>
          <c:showCatName val="0"/>
          <c:showSerName val="0"/>
          <c:showPercent val="0"/>
          <c:showBubbleSize val="0"/>
        </c:dLbls>
        <c:gapWidth val="182"/>
        <c:axId val="305663872"/>
        <c:axId val="297304416"/>
      </c:barChart>
      <c:catAx>
        <c:axId val="305663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crossAx val="297304416"/>
        <c:crosses val="autoZero"/>
        <c:auto val="1"/>
        <c:lblAlgn val="ctr"/>
        <c:lblOffset val="100"/>
        <c:noMultiLvlLbl val="0"/>
      </c:catAx>
      <c:valAx>
        <c:axId val="2973044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05663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lv-LV" sz="1100" b="1">
                <a:solidFill>
                  <a:srgbClr val="002060"/>
                </a:solidFill>
              </a:rPr>
              <a:t>Iedzīvotāju skaits pēc dzimuma pa vecuma grupām  </a:t>
            </a:r>
          </a:p>
          <a:p>
            <a:pPr>
              <a:defRPr sz="1100">
                <a:solidFill>
                  <a:srgbClr val="002060"/>
                </a:solidFill>
              </a:defRPr>
            </a:pPr>
            <a:r>
              <a:rPr lang="lv-LV" sz="1100" b="1">
                <a:solidFill>
                  <a:srgbClr val="002060"/>
                </a:solidFill>
              </a:rPr>
              <a:t>2020.gada sākumā</a:t>
            </a:r>
          </a:p>
        </c:rich>
      </c:tx>
      <c:overlay val="0"/>
      <c:spPr>
        <a:noFill/>
        <a:ln>
          <a:noFill/>
        </a:ln>
        <a:effectLst/>
      </c:spPr>
      <c:txPr>
        <a:bodyPr rot="0" spcFirstLastPara="1" vertOverflow="ellipsis" vert="horz" wrap="square" anchor="ctr" anchorCtr="1"/>
        <a:lstStyle/>
        <a:p>
          <a:pPr>
            <a:defRPr sz="11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4982248857982722"/>
          <c:y val="0.13859349399506879"/>
          <c:w val="0.80281555097753421"/>
          <c:h val="0.78147556555430575"/>
        </c:manualLayout>
      </c:layout>
      <c:barChart>
        <c:barDir val="bar"/>
        <c:grouping val="stacked"/>
        <c:varyColors val="0"/>
        <c:ser>
          <c:idx val="0"/>
          <c:order val="0"/>
          <c:tx>
            <c:strRef>
              <c:f>Sheet2!$M$2</c:f>
              <c:strCache>
                <c:ptCount val="1"/>
                <c:pt idx="0">
                  <c:v>vīrieši</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invertIfNegative val="0"/>
          <c:dLbls>
            <c:dLbl>
              <c:idx val="9"/>
              <c:layout>
                <c:manualLayout>
                  <c:x val="5.1519835136527546E-2"/>
                  <c:y val="-4.761904761904761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2D-4A19-BA2C-F894F9D70379}"/>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Sheet2!$L$3:$L$12</c:f>
              <c:strCache>
                <c:ptCount val="10"/>
                <c:pt idx="0">
                  <c:v>0-10</c:v>
                </c:pt>
                <c:pt idx="1">
                  <c:v>11-20</c:v>
                </c:pt>
                <c:pt idx="2">
                  <c:v>21-30</c:v>
                </c:pt>
                <c:pt idx="3">
                  <c:v>31-40</c:v>
                </c:pt>
                <c:pt idx="4">
                  <c:v>41-50</c:v>
                </c:pt>
                <c:pt idx="5">
                  <c:v>51-60</c:v>
                </c:pt>
                <c:pt idx="6">
                  <c:v>61-70</c:v>
                </c:pt>
                <c:pt idx="7">
                  <c:v>71-80</c:v>
                </c:pt>
                <c:pt idx="8">
                  <c:v>81-90</c:v>
                </c:pt>
                <c:pt idx="9">
                  <c:v>91+</c:v>
                </c:pt>
              </c:strCache>
            </c:strRef>
          </c:cat>
          <c:val>
            <c:numRef>
              <c:f>Sheet2!$M$3:$M$12</c:f>
              <c:numCache>
                <c:formatCode>0</c:formatCode>
                <c:ptCount val="10"/>
                <c:pt idx="0">
                  <c:v>115267</c:v>
                </c:pt>
                <c:pt idx="1">
                  <c:v>96734</c:v>
                </c:pt>
                <c:pt idx="2">
                  <c:v>108500</c:v>
                </c:pt>
                <c:pt idx="3">
                  <c:v>136024</c:v>
                </c:pt>
                <c:pt idx="4">
                  <c:v>125798</c:v>
                </c:pt>
                <c:pt idx="5">
                  <c:v>123738</c:v>
                </c:pt>
                <c:pt idx="6">
                  <c:v>97202</c:v>
                </c:pt>
                <c:pt idx="7">
                  <c:v>54305</c:v>
                </c:pt>
                <c:pt idx="8">
                  <c:v>21474</c:v>
                </c:pt>
                <c:pt idx="9">
                  <c:v>1914</c:v>
                </c:pt>
              </c:numCache>
            </c:numRef>
          </c:val>
          <c:extLst>
            <c:ext xmlns:c16="http://schemas.microsoft.com/office/drawing/2014/chart" uri="{C3380CC4-5D6E-409C-BE32-E72D297353CC}">
              <c16:uniqueId val="{00000001-582D-4A19-BA2C-F894F9D70379}"/>
            </c:ext>
          </c:extLst>
        </c:ser>
        <c:ser>
          <c:idx val="1"/>
          <c:order val="1"/>
          <c:tx>
            <c:strRef>
              <c:f>Sheet2!$N$2</c:f>
              <c:strCache>
                <c:ptCount val="1"/>
                <c:pt idx="0">
                  <c:v>sievietes </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invertIfNegative val="0"/>
          <c:dLbls>
            <c:dLbl>
              <c:idx val="9"/>
              <c:layout>
                <c:manualLayout>
                  <c:x val="0.11552938918200431"/>
                  <c:y val="-9.5238567471257717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2D-4A19-BA2C-F894F9D70379}"/>
                </c:ext>
              </c:extLst>
            </c:dLbl>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Sheet2!$L$3:$L$12</c:f>
              <c:strCache>
                <c:ptCount val="10"/>
                <c:pt idx="0">
                  <c:v>0-10</c:v>
                </c:pt>
                <c:pt idx="1">
                  <c:v>11-20</c:v>
                </c:pt>
                <c:pt idx="2">
                  <c:v>21-30</c:v>
                </c:pt>
                <c:pt idx="3">
                  <c:v>31-40</c:v>
                </c:pt>
                <c:pt idx="4">
                  <c:v>41-50</c:v>
                </c:pt>
                <c:pt idx="5">
                  <c:v>51-60</c:v>
                </c:pt>
                <c:pt idx="6">
                  <c:v>61-70</c:v>
                </c:pt>
                <c:pt idx="7">
                  <c:v>71-80</c:v>
                </c:pt>
                <c:pt idx="8">
                  <c:v>81-90</c:v>
                </c:pt>
                <c:pt idx="9">
                  <c:v>91+</c:v>
                </c:pt>
              </c:strCache>
            </c:strRef>
          </c:cat>
          <c:val>
            <c:numRef>
              <c:f>Sheet2!$N$3:$N$12</c:f>
              <c:numCache>
                <c:formatCode>0</c:formatCode>
                <c:ptCount val="10"/>
                <c:pt idx="0">
                  <c:v>107667</c:v>
                </c:pt>
                <c:pt idx="1">
                  <c:v>92119</c:v>
                </c:pt>
                <c:pt idx="2">
                  <c:v>100659</c:v>
                </c:pt>
                <c:pt idx="3">
                  <c:v>129809</c:v>
                </c:pt>
                <c:pt idx="4">
                  <c:v>131610</c:v>
                </c:pt>
                <c:pt idx="5">
                  <c:v>144306</c:v>
                </c:pt>
                <c:pt idx="6">
                  <c:v>138515</c:v>
                </c:pt>
                <c:pt idx="7">
                  <c:v>109939</c:v>
                </c:pt>
                <c:pt idx="8">
                  <c:v>62862</c:v>
                </c:pt>
                <c:pt idx="9">
                  <c:v>9233</c:v>
                </c:pt>
              </c:numCache>
            </c:numRef>
          </c:val>
          <c:extLst>
            <c:ext xmlns:c16="http://schemas.microsoft.com/office/drawing/2014/chart" uri="{C3380CC4-5D6E-409C-BE32-E72D297353CC}">
              <c16:uniqueId val="{00000003-582D-4A19-BA2C-F894F9D70379}"/>
            </c:ext>
          </c:extLst>
        </c:ser>
        <c:dLbls>
          <c:dLblPos val="ctr"/>
          <c:showLegendKey val="0"/>
          <c:showVal val="1"/>
          <c:showCatName val="0"/>
          <c:showSerName val="0"/>
          <c:showPercent val="0"/>
          <c:showBubbleSize val="0"/>
        </c:dLbls>
        <c:gapWidth val="150"/>
        <c:overlap val="100"/>
        <c:serLines>
          <c:spPr>
            <a:ln w="9525">
              <a:solidFill>
                <a:schemeClr val="tx2">
                  <a:lumMod val="60000"/>
                  <a:lumOff val="40000"/>
                </a:schemeClr>
              </a:solidFill>
              <a:prstDash val="dash"/>
            </a:ln>
            <a:effectLst/>
          </c:spPr>
        </c:serLines>
        <c:axId val="516242424"/>
        <c:axId val="516241640"/>
      </c:barChart>
      <c:catAx>
        <c:axId val="516242424"/>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t>Vecuma grupa</a:t>
                </a:r>
              </a:p>
            </c:rich>
          </c:tx>
          <c:layout>
            <c:manualLayout>
              <c:xMode val="edge"/>
              <c:yMode val="edge"/>
              <c:x val="3.4049210692806663E-2"/>
              <c:y val="0.4059979320766721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516241640"/>
        <c:crosses val="autoZero"/>
        <c:auto val="1"/>
        <c:lblAlgn val="ctr"/>
        <c:lblOffset val="100"/>
        <c:noMultiLvlLbl val="0"/>
      </c:catAx>
      <c:valAx>
        <c:axId val="516241640"/>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516242424"/>
        <c:crosses val="autoZero"/>
        <c:crossBetween val="between"/>
      </c:valAx>
      <c:spPr>
        <a:noFill/>
        <a:ln>
          <a:noFill/>
        </a:ln>
        <a:effectLst/>
      </c:spPr>
    </c:plotArea>
    <c:legend>
      <c:legendPos val="b"/>
      <c:layout>
        <c:manualLayout>
          <c:xMode val="edge"/>
          <c:yMode val="edge"/>
          <c:x val="0.7830758940721162"/>
          <c:y val="0.78604233620189901"/>
          <c:w val="0.20713449483137983"/>
          <c:h val="5.67024815250488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r>
              <a:rPr lang="lv-LV" sz="1100" b="1">
                <a:solidFill>
                  <a:srgbClr val="002060"/>
                </a:solidFill>
              </a:rPr>
              <a:t>Patstāvīgo iedzīvotāju skaits gada sākumā</a:t>
            </a:r>
          </a:p>
          <a:p>
            <a:pPr>
              <a:defRPr sz="1100" b="1">
                <a:solidFill>
                  <a:srgbClr val="002060"/>
                </a:solidFill>
              </a:defRPr>
            </a:pPr>
            <a:r>
              <a:rPr lang="lv-LV" sz="1100" b="1">
                <a:solidFill>
                  <a:srgbClr val="002060"/>
                </a:solidFill>
              </a:rPr>
              <a:t> un īpatsvars pa vecuma grupām (%)</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Sheet1!$B$16</c:f>
              <c:strCache>
                <c:ptCount val="1"/>
                <c:pt idx="0">
                  <c:v>0-17</c:v>
                </c:pt>
              </c:strCache>
            </c:strRef>
          </c:tx>
          <c:spPr>
            <a:solidFill>
              <a:schemeClr val="accent1">
                <a:shade val="65000"/>
              </a:schemeClr>
            </a:solidFill>
            <a:ln>
              <a:noFill/>
            </a:ln>
            <a:effectLst/>
          </c:spPr>
          <c:invertIfNegative val="0"/>
          <c:dLbls>
            <c:dLbl>
              <c:idx val="0"/>
              <c:layout>
                <c:manualLayout>
                  <c:x val="-1.9444444444444445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71-41C5-8054-88896C762CA2}"/>
                </c:ext>
              </c:extLst>
            </c:dLbl>
            <c:dLbl>
              <c:idx val="1"/>
              <c:layout>
                <c:manualLayout>
                  <c:x val="-1.3888904456337975E-2"/>
                  <c:y val="-4.42140984232488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71-41C5-8054-88896C762CA2}"/>
                </c:ext>
              </c:extLst>
            </c:dLbl>
            <c:dLbl>
              <c:idx val="2"/>
              <c:layout>
                <c:manualLayout>
                  <c:x val="-8.3333333333333332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71-41C5-8054-88896C762CA2}"/>
                </c:ext>
              </c:extLst>
            </c:dLbl>
            <c:dLbl>
              <c:idx val="3"/>
              <c:layout>
                <c:manualLayout>
                  <c:x val="-1.42348754448399E-2"/>
                  <c:y val="-4.4532409698169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71-41C5-8054-88896C762CA2}"/>
                </c:ext>
              </c:extLst>
            </c:dLbl>
            <c:dLbl>
              <c:idx val="4"/>
              <c:layout>
                <c:manualLayout>
                  <c:x val="-7.1174377224199285E-3"/>
                  <c:y val="-4.4532409698169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71-41C5-8054-88896C762CA2}"/>
                </c:ext>
              </c:extLst>
            </c:dLbl>
            <c:dLbl>
              <c:idx val="6"/>
              <c:layout>
                <c:manualLayout>
                  <c:x val="-9.4899169632266592E-3"/>
                  <c:y val="-2.9688273132112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71-41C5-8054-88896C762CA2}"/>
                </c:ext>
              </c:extLst>
            </c:dLbl>
            <c:dLbl>
              <c:idx val="7"/>
              <c:layout>
                <c:manualLayout>
                  <c:x val="-7.1174377224199285E-3"/>
                  <c:y val="-2.9688273132112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71-41C5-8054-88896C762CA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Sheet1!$C$14:$J$15</c:f>
              <c:multiLvlStrCache>
                <c:ptCount val="8"/>
                <c:lvl>
                  <c:pt idx="0">
                    <c:v>2668.1</c:v>
                  </c:pt>
                  <c:pt idx="1">
                    <c:v>2001.5</c:v>
                  </c:pt>
                  <c:pt idx="2">
                    <c:v>1986.1</c:v>
                  </c:pt>
                  <c:pt idx="3">
                    <c:v>1969.0</c:v>
                  </c:pt>
                  <c:pt idx="4">
                    <c:v>1950.1</c:v>
                  </c:pt>
                  <c:pt idx="5">
                    <c:v>1934.4</c:v>
                  </c:pt>
                  <c:pt idx="6">
                    <c:v>1920.0</c:v>
                  </c:pt>
                  <c:pt idx="7">
                    <c:v>1907.7</c:v>
                  </c:pt>
                </c:lvl>
                <c:lvl>
                  <c:pt idx="0">
                    <c:v>1990</c:v>
                  </c:pt>
                  <c:pt idx="1">
                    <c:v>2014</c:v>
                  </c:pt>
                  <c:pt idx="2">
                    <c:v>2015</c:v>
                  </c:pt>
                  <c:pt idx="3">
                    <c:v>2016</c:v>
                  </c:pt>
                  <c:pt idx="4">
                    <c:v>2017</c:v>
                  </c:pt>
                  <c:pt idx="5">
                    <c:v>2018</c:v>
                  </c:pt>
                  <c:pt idx="6">
                    <c:v>2019</c:v>
                  </c:pt>
                  <c:pt idx="7">
                    <c:v>2020</c:v>
                  </c:pt>
                </c:lvl>
              </c:multiLvlStrCache>
            </c:multiLvlStrRef>
          </c:cat>
          <c:val>
            <c:numRef>
              <c:f>Sheet1!$C$16:$J$16</c:f>
              <c:numCache>
                <c:formatCode>0.0</c:formatCode>
                <c:ptCount val="8"/>
                <c:pt idx="0">
                  <c:v>25.576252764139273</c:v>
                </c:pt>
                <c:pt idx="1">
                  <c:v>17.282038471146638</c:v>
                </c:pt>
                <c:pt idx="2">
                  <c:v>17.557021298021247</c:v>
                </c:pt>
                <c:pt idx="3">
                  <c:v>17.892331132554599</c:v>
                </c:pt>
                <c:pt idx="4">
                  <c:v>18.281113789036461</c:v>
                </c:pt>
                <c:pt idx="5">
                  <c:v>18.548387096774192</c:v>
                </c:pt>
                <c:pt idx="6">
                  <c:v>18.6875</c:v>
                </c:pt>
                <c:pt idx="7">
                  <c:v>18.844682077894849</c:v>
                </c:pt>
              </c:numCache>
            </c:numRef>
          </c:val>
          <c:extLst>
            <c:ext xmlns:c16="http://schemas.microsoft.com/office/drawing/2014/chart" uri="{C3380CC4-5D6E-409C-BE32-E72D297353CC}">
              <c16:uniqueId val="{00000007-4871-41C5-8054-88896C762CA2}"/>
            </c:ext>
          </c:extLst>
        </c:ser>
        <c:ser>
          <c:idx val="1"/>
          <c:order val="1"/>
          <c:tx>
            <c:strRef>
              <c:f>Sheet1!$B$17</c:f>
              <c:strCache>
                <c:ptCount val="1"/>
                <c:pt idx="0">
                  <c:v>18-64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Sheet1!$C$14:$J$15</c:f>
              <c:multiLvlStrCache>
                <c:ptCount val="8"/>
                <c:lvl>
                  <c:pt idx="0">
                    <c:v>2668.1</c:v>
                  </c:pt>
                  <c:pt idx="1">
                    <c:v>2001.5</c:v>
                  </c:pt>
                  <c:pt idx="2">
                    <c:v>1986.1</c:v>
                  </c:pt>
                  <c:pt idx="3">
                    <c:v>1969.0</c:v>
                  </c:pt>
                  <c:pt idx="4">
                    <c:v>1950.1</c:v>
                  </c:pt>
                  <c:pt idx="5">
                    <c:v>1934.4</c:v>
                  </c:pt>
                  <c:pt idx="6">
                    <c:v>1920.0</c:v>
                  </c:pt>
                  <c:pt idx="7">
                    <c:v>1907.7</c:v>
                  </c:pt>
                </c:lvl>
                <c:lvl>
                  <c:pt idx="0">
                    <c:v>1990</c:v>
                  </c:pt>
                  <c:pt idx="1">
                    <c:v>2014</c:v>
                  </c:pt>
                  <c:pt idx="2">
                    <c:v>2015</c:v>
                  </c:pt>
                  <c:pt idx="3">
                    <c:v>2016</c:v>
                  </c:pt>
                  <c:pt idx="4">
                    <c:v>2017</c:v>
                  </c:pt>
                  <c:pt idx="5">
                    <c:v>2018</c:v>
                  </c:pt>
                  <c:pt idx="6">
                    <c:v>2019</c:v>
                  </c:pt>
                  <c:pt idx="7">
                    <c:v>2020</c:v>
                  </c:pt>
                </c:lvl>
              </c:multiLvlStrCache>
            </c:multiLvlStrRef>
          </c:cat>
          <c:val>
            <c:numRef>
              <c:f>Sheet1!$C$17:$J$17</c:f>
              <c:numCache>
                <c:formatCode>0.0</c:formatCode>
                <c:ptCount val="8"/>
                <c:pt idx="0">
                  <c:v>62.606349087365544</c:v>
                </c:pt>
                <c:pt idx="1">
                  <c:v>63.652260804396697</c:v>
                </c:pt>
                <c:pt idx="2">
                  <c:v>63.058254871355935</c:v>
                </c:pt>
                <c:pt idx="3">
                  <c:v>62.473336719146765</c:v>
                </c:pt>
                <c:pt idx="4">
                  <c:v>61.827598584687969</c:v>
                </c:pt>
                <c:pt idx="5">
                  <c:v>61.352357320099252</c:v>
                </c:pt>
                <c:pt idx="6">
                  <c:v>61.052083333333343</c:v>
                </c:pt>
                <c:pt idx="7">
                  <c:v>60.638465167479161</c:v>
                </c:pt>
              </c:numCache>
            </c:numRef>
          </c:val>
          <c:extLst>
            <c:ext xmlns:c16="http://schemas.microsoft.com/office/drawing/2014/chart" uri="{C3380CC4-5D6E-409C-BE32-E72D297353CC}">
              <c16:uniqueId val="{00000008-4871-41C5-8054-88896C762CA2}"/>
            </c:ext>
          </c:extLst>
        </c:ser>
        <c:ser>
          <c:idx val="2"/>
          <c:order val="2"/>
          <c:tx>
            <c:strRef>
              <c:f>Sheet1!$B$18</c:f>
              <c:strCache>
                <c:ptCount val="1"/>
                <c:pt idx="0">
                  <c:v>65+</c:v>
                </c:pt>
              </c:strCache>
            </c:strRef>
          </c:tx>
          <c:spPr>
            <a:solidFill>
              <a:schemeClr val="accent1">
                <a:tint val="65000"/>
              </a:schemeClr>
            </a:solidFill>
            <a:ln>
              <a:noFill/>
            </a:ln>
            <a:effectLst/>
          </c:spPr>
          <c:invertIfNegative val="0"/>
          <c:dLbls>
            <c:dLbl>
              <c:idx val="0"/>
              <c:layout>
                <c:manualLayout>
                  <c:x val="1.6666760071361166E-2"/>
                  <c:y val="-4.62973424709838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871-41C5-8054-88896C762CA2}"/>
                </c:ext>
              </c:extLst>
            </c:dLbl>
            <c:dLbl>
              <c:idx val="1"/>
              <c:layout>
                <c:manualLayout>
                  <c:x val="1.6666666666666642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871-41C5-8054-88896C762CA2}"/>
                </c:ext>
              </c:extLst>
            </c:dLbl>
            <c:dLbl>
              <c:idx val="2"/>
              <c:layout>
                <c:manualLayout>
                  <c:x val="8.3333333333333332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871-41C5-8054-88896C762CA2}"/>
                </c:ext>
              </c:extLst>
            </c:dLbl>
            <c:dLbl>
              <c:idx val="7"/>
              <c:layout>
                <c:manualLayout>
                  <c:x val="1.512287334593554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871-41C5-8054-88896C762CA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Sheet1!$C$14:$J$15</c:f>
              <c:multiLvlStrCache>
                <c:ptCount val="8"/>
                <c:lvl>
                  <c:pt idx="0">
                    <c:v>2668.1</c:v>
                  </c:pt>
                  <c:pt idx="1">
                    <c:v>2001.5</c:v>
                  </c:pt>
                  <c:pt idx="2">
                    <c:v>1986.1</c:v>
                  </c:pt>
                  <c:pt idx="3">
                    <c:v>1969.0</c:v>
                  </c:pt>
                  <c:pt idx="4">
                    <c:v>1950.1</c:v>
                  </c:pt>
                  <c:pt idx="5">
                    <c:v>1934.4</c:v>
                  </c:pt>
                  <c:pt idx="6">
                    <c:v>1920.0</c:v>
                  </c:pt>
                  <c:pt idx="7">
                    <c:v>1907.7</c:v>
                  </c:pt>
                </c:lvl>
                <c:lvl>
                  <c:pt idx="0">
                    <c:v>1990</c:v>
                  </c:pt>
                  <c:pt idx="1">
                    <c:v>2014</c:v>
                  </c:pt>
                  <c:pt idx="2">
                    <c:v>2015</c:v>
                  </c:pt>
                  <c:pt idx="3">
                    <c:v>2016</c:v>
                  </c:pt>
                  <c:pt idx="4">
                    <c:v>2017</c:v>
                  </c:pt>
                  <c:pt idx="5">
                    <c:v>2018</c:v>
                  </c:pt>
                  <c:pt idx="6">
                    <c:v>2019</c:v>
                  </c:pt>
                  <c:pt idx="7">
                    <c:v>2020</c:v>
                  </c:pt>
                </c:lvl>
              </c:multiLvlStrCache>
            </c:multiLvlStrRef>
          </c:cat>
          <c:val>
            <c:numRef>
              <c:f>Sheet1!$C$18:$J$18</c:f>
              <c:numCache>
                <c:formatCode>0.0</c:formatCode>
                <c:ptCount val="8"/>
                <c:pt idx="0">
                  <c:v>11.821146133952999</c:v>
                </c:pt>
                <c:pt idx="1">
                  <c:v>19.065700724456658</c:v>
                </c:pt>
                <c:pt idx="2">
                  <c:v>19.389758823825591</c:v>
                </c:pt>
                <c:pt idx="3">
                  <c:v>19.634332148298629</c:v>
                </c:pt>
                <c:pt idx="4">
                  <c:v>19.896415568432388</c:v>
                </c:pt>
                <c:pt idx="5">
                  <c:v>20.104425144747722</c:v>
                </c:pt>
                <c:pt idx="6">
                  <c:v>20.260416666666668</c:v>
                </c:pt>
                <c:pt idx="7">
                  <c:v>20.51685275462599</c:v>
                </c:pt>
              </c:numCache>
            </c:numRef>
          </c:val>
          <c:extLst>
            <c:ext xmlns:c16="http://schemas.microsoft.com/office/drawing/2014/chart" uri="{C3380CC4-5D6E-409C-BE32-E72D297353CC}">
              <c16:uniqueId val="{0000000D-4871-41C5-8054-88896C762CA2}"/>
            </c:ext>
          </c:extLst>
        </c:ser>
        <c:dLbls>
          <c:showLegendKey val="0"/>
          <c:showVal val="0"/>
          <c:showCatName val="0"/>
          <c:showSerName val="0"/>
          <c:showPercent val="0"/>
          <c:showBubbleSize val="0"/>
        </c:dLbls>
        <c:gapWidth val="219"/>
        <c:overlap val="-27"/>
        <c:axId val="516239680"/>
        <c:axId val="516240856"/>
      </c:barChart>
      <c:catAx>
        <c:axId val="51623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16240856"/>
        <c:crosses val="autoZero"/>
        <c:auto val="1"/>
        <c:lblAlgn val="ctr"/>
        <c:lblOffset val="100"/>
        <c:noMultiLvlLbl val="0"/>
      </c:catAx>
      <c:valAx>
        <c:axId val="51624085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1623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r>
              <a:rPr lang="lv-LV" sz="1100" b="1">
                <a:solidFill>
                  <a:srgbClr val="002060"/>
                </a:solidFill>
              </a:rPr>
              <a:t>Nabadzības vai sociālās atstumtības riskam pakļauto iedzīvotāju īpatsvars ES, Latvijā, Igaunijā un Lietuvā pa vecuma grupām, % </a:t>
            </a:r>
          </a:p>
        </c:rich>
      </c:tx>
      <c:overlay val="0"/>
      <c:spPr>
        <a:noFill/>
        <a:ln>
          <a:noFill/>
        </a:ln>
        <a:effectLst/>
      </c:spPr>
      <c:txPr>
        <a:bodyPr rot="0" spcFirstLastPara="1" vertOverflow="ellipsis" vert="horz" wrap="square" anchor="ctr" anchorCtr="1"/>
        <a:lstStyle/>
        <a:p>
          <a:pPr>
            <a:defRPr sz="11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6963573745659288"/>
          <c:y val="0.19100048299953948"/>
          <c:w val="0.81474041617487747"/>
          <c:h val="0.42372089002859675"/>
        </c:manualLayout>
      </c:layout>
      <c:barChart>
        <c:barDir val="col"/>
        <c:grouping val="clustered"/>
        <c:varyColors val="0"/>
        <c:ser>
          <c:idx val="1"/>
          <c:order val="1"/>
          <c:tx>
            <c:strRef>
              <c:f>Sheet1!$B$35</c:f>
              <c:strCache>
                <c:ptCount val="1"/>
                <c:pt idx="0">
                  <c:v>LV</c:v>
                </c:pt>
              </c:strCache>
            </c:strRef>
          </c:tx>
          <c:spPr>
            <a:solidFill>
              <a:schemeClr val="accent1">
                <a:shade val="86000"/>
              </a:schemeClr>
            </a:solidFill>
            <a:ln>
              <a:noFill/>
            </a:ln>
            <a:effectLst/>
          </c:spPr>
          <c:invertIfNegative val="0"/>
          <c:cat>
            <c:multiLvlStrRef>
              <c:f>Sheet1!$C$30:$J$31</c:f>
              <c:multiLvlStrCache>
                <c:ptCount val="8"/>
                <c:lvl>
                  <c:pt idx="0">
                    <c:v>Pavisam</c:v>
                  </c:pt>
                  <c:pt idx="1">
                    <c:v>0-17</c:v>
                  </c:pt>
                  <c:pt idx="2">
                    <c:v>18-64</c:v>
                  </c:pt>
                  <c:pt idx="3">
                    <c:v>65+</c:v>
                  </c:pt>
                  <c:pt idx="4">
                    <c:v>Pavisam</c:v>
                  </c:pt>
                  <c:pt idx="5">
                    <c:v>0-17</c:v>
                  </c:pt>
                  <c:pt idx="6">
                    <c:v>18-64</c:v>
                  </c:pt>
                  <c:pt idx="7">
                    <c:v>65+</c:v>
                  </c:pt>
                </c:lvl>
                <c:lvl>
                  <c:pt idx="0">
                    <c:v>2014</c:v>
                  </c:pt>
                  <c:pt idx="4">
                    <c:v>2018</c:v>
                  </c:pt>
                </c:lvl>
              </c:multiLvlStrCache>
            </c:multiLvlStrRef>
          </c:cat>
          <c:val>
            <c:numRef>
              <c:f>Sheet1!$C$35:$J$35</c:f>
              <c:numCache>
                <c:formatCode>0.0</c:formatCode>
                <c:ptCount val="8"/>
                <c:pt idx="0">
                  <c:v>32.700000000000003</c:v>
                </c:pt>
                <c:pt idx="1">
                  <c:v>35.299999999999997</c:v>
                </c:pt>
                <c:pt idx="2">
                  <c:v>30</c:v>
                </c:pt>
                <c:pt idx="3">
                  <c:v>39.299999999999997</c:v>
                </c:pt>
                <c:pt idx="4">
                  <c:v>28.4</c:v>
                </c:pt>
                <c:pt idx="5">
                  <c:v>22.5</c:v>
                </c:pt>
                <c:pt idx="6">
                  <c:v>23.5</c:v>
                </c:pt>
                <c:pt idx="7">
                  <c:v>49</c:v>
                </c:pt>
              </c:numCache>
            </c:numRef>
          </c:val>
          <c:extLst>
            <c:ext xmlns:c16="http://schemas.microsoft.com/office/drawing/2014/chart" uri="{C3380CC4-5D6E-409C-BE32-E72D297353CC}">
              <c16:uniqueId val="{00000000-F73D-403D-B945-E9E5C5788728}"/>
            </c:ext>
          </c:extLst>
        </c:ser>
        <c:ser>
          <c:idx val="2"/>
          <c:order val="2"/>
          <c:tx>
            <c:strRef>
              <c:f>Sheet1!$B$33</c:f>
              <c:strCache>
                <c:ptCount val="1"/>
                <c:pt idx="0">
                  <c:v>EE</c:v>
                </c:pt>
              </c:strCache>
            </c:strRef>
          </c:tx>
          <c:spPr>
            <a:solidFill>
              <a:schemeClr val="accent1">
                <a:tint val="86000"/>
              </a:schemeClr>
            </a:solidFill>
            <a:ln>
              <a:noFill/>
            </a:ln>
            <a:effectLst/>
          </c:spPr>
          <c:invertIfNegative val="0"/>
          <c:cat>
            <c:multiLvlStrRef>
              <c:f>Sheet1!$C$30:$J$31</c:f>
              <c:multiLvlStrCache>
                <c:ptCount val="8"/>
                <c:lvl>
                  <c:pt idx="0">
                    <c:v>Pavisam</c:v>
                  </c:pt>
                  <c:pt idx="1">
                    <c:v>0-17</c:v>
                  </c:pt>
                  <c:pt idx="2">
                    <c:v>18-64</c:v>
                  </c:pt>
                  <c:pt idx="3">
                    <c:v>65+</c:v>
                  </c:pt>
                  <c:pt idx="4">
                    <c:v>Pavisam</c:v>
                  </c:pt>
                  <c:pt idx="5">
                    <c:v>0-17</c:v>
                  </c:pt>
                  <c:pt idx="6">
                    <c:v>18-64</c:v>
                  </c:pt>
                  <c:pt idx="7">
                    <c:v>65+</c:v>
                  </c:pt>
                </c:lvl>
                <c:lvl>
                  <c:pt idx="0">
                    <c:v>2014</c:v>
                  </c:pt>
                  <c:pt idx="4">
                    <c:v>2018</c:v>
                  </c:pt>
                </c:lvl>
              </c:multiLvlStrCache>
            </c:multiLvlStrRef>
          </c:cat>
          <c:val>
            <c:numRef>
              <c:f>Sheet1!$C$33:$J$33</c:f>
              <c:numCache>
                <c:formatCode>0.0</c:formatCode>
                <c:ptCount val="8"/>
                <c:pt idx="0">
                  <c:v>26</c:v>
                </c:pt>
                <c:pt idx="1">
                  <c:v>23.8</c:v>
                </c:pt>
                <c:pt idx="2">
                  <c:v>24</c:v>
                </c:pt>
                <c:pt idx="3">
                  <c:v>35</c:v>
                </c:pt>
                <c:pt idx="4">
                  <c:v>24.4</c:v>
                </c:pt>
                <c:pt idx="5">
                  <c:v>17.899999999999999</c:v>
                </c:pt>
                <c:pt idx="6">
                  <c:v>19.2</c:v>
                </c:pt>
                <c:pt idx="7">
                  <c:v>47.4</c:v>
                </c:pt>
              </c:numCache>
            </c:numRef>
          </c:val>
          <c:extLst>
            <c:ext xmlns:c16="http://schemas.microsoft.com/office/drawing/2014/chart" uri="{C3380CC4-5D6E-409C-BE32-E72D297353CC}">
              <c16:uniqueId val="{00000001-F73D-403D-B945-E9E5C5788728}"/>
            </c:ext>
          </c:extLst>
        </c:ser>
        <c:ser>
          <c:idx val="3"/>
          <c:order val="3"/>
          <c:tx>
            <c:strRef>
              <c:f>Sheet1!$B$34</c:f>
              <c:strCache>
                <c:ptCount val="1"/>
                <c:pt idx="0">
                  <c:v>LT</c:v>
                </c:pt>
              </c:strCache>
            </c:strRef>
          </c:tx>
          <c:spPr>
            <a:solidFill>
              <a:schemeClr val="accent1">
                <a:tint val="58000"/>
              </a:schemeClr>
            </a:solidFill>
            <a:ln>
              <a:noFill/>
            </a:ln>
            <a:effectLst/>
          </c:spPr>
          <c:invertIfNegative val="0"/>
          <c:cat>
            <c:multiLvlStrRef>
              <c:f>Sheet1!$C$30:$J$31</c:f>
              <c:multiLvlStrCache>
                <c:ptCount val="8"/>
                <c:lvl>
                  <c:pt idx="0">
                    <c:v>Pavisam</c:v>
                  </c:pt>
                  <c:pt idx="1">
                    <c:v>0-17</c:v>
                  </c:pt>
                  <c:pt idx="2">
                    <c:v>18-64</c:v>
                  </c:pt>
                  <c:pt idx="3">
                    <c:v>65+</c:v>
                  </c:pt>
                  <c:pt idx="4">
                    <c:v>Pavisam</c:v>
                  </c:pt>
                  <c:pt idx="5">
                    <c:v>0-17</c:v>
                  </c:pt>
                  <c:pt idx="6">
                    <c:v>18-64</c:v>
                  </c:pt>
                  <c:pt idx="7">
                    <c:v>65+</c:v>
                  </c:pt>
                </c:lvl>
                <c:lvl>
                  <c:pt idx="0">
                    <c:v>2014</c:v>
                  </c:pt>
                  <c:pt idx="4">
                    <c:v>2018</c:v>
                  </c:pt>
                </c:lvl>
              </c:multiLvlStrCache>
            </c:multiLvlStrRef>
          </c:cat>
          <c:val>
            <c:numRef>
              <c:f>Sheet1!$C$34:$J$34</c:f>
              <c:numCache>
                <c:formatCode>0.0</c:formatCode>
                <c:ptCount val="8"/>
                <c:pt idx="0">
                  <c:v>27.3</c:v>
                </c:pt>
                <c:pt idx="1">
                  <c:v>28.9</c:v>
                </c:pt>
                <c:pt idx="2">
                  <c:v>25.6</c:v>
                </c:pt>
                <c:pt idx="3">
                  <c:v>31.9</c:v>
                </c:pt>
                <c:pt idx="4">
                  <c:v>28.3</c:v>
                </c:pt>
                <c:pt idx="5">
                  <c:v>28</c:v>
                </c:pt>
                <c:pt idx="6">
                  <c:v>23.8</c:v>
                </c:pt>
                <c:pt idx="7">
                  <c:v>42.7</c:v>
                </c:pt>
              </c:numCache>
            </c:numRef>
          </c:val>
          <c:extLst>
            <c:ext xmlns:c16="http://schemas.microsoft.com/office/drawing/2014/chart" uri="{C3380CC4-5D6E-409C-BE32-E72D297353CC}">
              <c16:uniqueId val="{00000002-F73D-403D-B945-E9E5C5788728}"/>
            </c:ext>
          </c:extLst>
        </c:ser>
        <c:dLbls>
          <c:showLegendKey val="0"/>
          <c:showVal val="0"/>
          <c:showCatName val="0"/>
          <c:showSerName val="0"/>
          <c:showPercent val="0"/>
          <c:showBubbleSize val="0"/>
        </c:dLbls>
        <c:gapWidth val="150"/>
        <c:axId val="502870288"/>
        <c:axId val="489226640"/>
      </c:barChart>
      <c:lineChart>
        <c:grouping val="standard"/>
        <c:varyColors val="0"/>
        <c:ser>
          <c:idx val="0"/>
          <c:order val="0"/>
          <c:tx>
            <c:strRef>
              <c:f>Sheet1!$B$32</c:f>
              <c:strCache>
                <c:ptCount val="1"/>
                <c:pt idx="0">
                  <c:v>ES 28</c:v>
                </c:pt>
              </c:strCache>
            </c:strRef>
          </c:tx>
          <c:spPr>
            <a:ln w="28575" cap="rnd">
              <a:solidFill>
                <a:schemeClr val="accent1">
                  <a:shade val="58000"/>
                </a:schemeClr>
              </a:solidFill>
              <a:round/>
            </a:ln>
            <a:effectLst/>
          </c:spPr>
          <c:marker>
            <c:symbol val="circle"/>
            <c:size val="5"/>
            <c:spPr>
              <a:solidFill>
                <a:schemeClr val="accent1">
                  <a:shade val="58000"/>
                </a:schemeClr>
              </a:solidFill>
              <a:ln w="9525">
                <a:solidFill>
                  <a:schemeClr val="accent1">
                    <a:shade val="58000"/>
                  </a:schemeClr>
                </a:solidFill>
              </a:ln>
              <a:effectLst/>
            </c:spPr>
          </c:marker>
          <c:cat>
            <c:multiLvlStrRef>
              <c:f>Sheet1!$C$30:$J$31</c:f>
              <c:multiLvlStrCache>
                <c:ptCount val="8"/>
                <c:lvl>
                  <c:pt idx="0">
                    <c:v>Pavisam</c:v>
                  </c:pt>
                  <c:pt idx="1">
                    <c:v>0-17</c:v>
                  </c:pt>
                  <c:pt idx="2">
                    <c:v>18-64</c:v>
                  </c:pt>
                  <c:pt idx="3">
                    <c:v>65+</c:v>
                  </c:pt>
                  <c:pt idx="4">
                    <c:v>Pavisam</c:v>
                  </c:pt>
                  <c:pt idx="5">
                    <c:v>0-17</c:v>
                  </c:pt>
                  <c:pt idx="6">
                    <c:v>18-64</c:v>
                  </c:pt>
                  <c:pt idx="7">
                    <c:v>65+</c:v>
                  </c:pt>
                </c:lvl>
                <c:lvl>
                  <c:pt idx="0">
                    <c:v>2014</c:v>
                  </c:pt>
                  <c:pt idx="4">
                    <c:v>2018</c:v>
                  </c:pt>
                </c:lvl>
              </c:multiLvlStrCache>
            </c:multiLvlStrRef>
          </c:cat>
          <c:val>
            <c:numRef>
              <c:f>Sheet1!$C$32:$J$32</c:f>
              <c:numCache>
                <c:formatCode>0.0</c:formatCode>
                <c:ptCount val="8"/>
                <c:pt idx="0">
                  <c:v>24.4</c:v>
                </c:pt>
                <c:pt idx="1">
                  <c:v>27.8</c:v>
                </c:pt>
                <c:pt idx="2">
                  <c:v>25.4</c:v>
                </c:pt>
                <c:pt idx="3">
                  <c:v>17.8</c:v>
                </c:pt>
                <c:pt idx="4">
                  <c:v>21.8</c:v>
                </c:pt>
                <c:pt idx="5">
                  <c:v>24.2</c:v>
                </c:pt>
                <c:pt idx="6">
                  <c:v>22.1</c:v>
                </c:pt>
                <c:pt idx="7">
                  <c:v>18.7</c:v>
                </c:pt>
              </c:numCache>
            </c:numRef>
          </c:val>
          <c:smooth val="0"/>
          <c:extLst>
            <c:ext xmlns:c16="http://schemas.microsoft.com/office/drawing/2014/chart" uri="{C3380CC4-5D6E-409C-BE32-E72D297353CC}">
              <c16:uniqueId val="{00000003-F73D-403D-B945-E9E5C5788728}"/>
            </c:ext>
          </c:extLst>
        </c:ser>
        <c:dLbls>
          <c:showLegendKey val="0"/>
          <c:showVal val="0"/>
          <c:showCatName val="0"/>
          <c:showSerName val="0"/>
          <c:showPercent val="0"/>
          <c:showBubbleSize val="0"/>
        </c:dLbls>
        <c:marker val="1"/>
        <c:smooth val="0"/>
        <c:axId val="502870288"/>
        <c:axId val="489226640"/>
      </c:lineChart>
      <c:catAx>
        <c:axId val="50287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89226640"/>
        <c:crosses val="autoZero"/>
        <c:auto val="1"/>
        <c:lblAlgn val="ctr"/>
        <c:lblOffset val="100"/>
        <c:noMultiLvlLbl val="0"/>
      </c:catAx>
      <c:valAx>
        <c:axId val="489226640"/>
        <c:scaling>
          <c:orientation val="minMax"/>
        </c:scaling>
        <c:delete val="1"/>
        <c:axPos val="l"/>
        <c:numFmt formatCode="0.0" sourceLinked="1"/>
        <c:majorTickMark val="none"/>
        <c:minorTickMark val="none"/>
        <c:tickLblPos val="nextTo"/>
        <c:crossAx val="5028702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lv-LV" sz="1100">
                <a:solidFill>
                  <a:srgbClr val="002060"/>
                </a:solidFill>
              </a:rPr>
              <a:t>Nabadzības riskam pakļauto iedzīvotāju īpatsvars, %</a:t>
            </a:r>
          </a:p>
        </c:rich>
      </c:tx>
      <c:overlay val="0"/>
      <c:spPr>
        <a:noFill/>
        <a:ln>
          <a:noFill/>
        </a:ln>
        <a:effectLst/>
      </c:spPr>
      <c:txPr>
        <a:bodyPr rot="0" spcFirstLastPara="1" vertOverflow="ellipsis" vert="horz" wrap="square" anchor="ctr" anchorCtr="1"/>
        <a:lstStyle/>
        <a:p>
          <a:pPr>
            <a:defRPr sz="11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1"/>
          <c:order val="1"/>
          <c:tx>
            <c:strRef>
              <c:f>Sheet1!$B$64</c:f>
              <c:strCache>
                <c:ptCount val="1"/>
                <c:pt idx="0">
                  <c:v>EE</c:v>
                </c:pt>
              </c:strCache>
            </c:strRef>
          </c:tx>
          <c:spPr>
            <a:gradFill rotWithShape="1">
              <a:gsLst>
                <a:gs pos="0">
                  <a:schemeClr val="accent1">
                    <a:shade val="86000"/>
                    <a:satMod val="103000"/>
                    <a:lumMod val="102000"/>
                    <a:tint val="94000"/>
                  </a:schemeClr>
                </a:gs>
                <a:gs pos="50000">
                  <a:schemeClr val="accent1">
                    <a:shade val="86000"/>
                    <a:satMod val="110000"/>
                    <a:lumMod val="100000"/>
                    <a:shade val="100000"/>
                  </a:schemeClr>
                </a:gs>
                <a:gs pos="100000">
                  <a:schemeClr val="accent1">
                    <a:shade val="86000"/>
                    <a:lumMod val="99000"/>
                    <a:satMod val="120000"/>
                    <a:shade val="78000"/>
                  </a:schemeClr>
                </a:gs>
              </a:gsLst>
              <a:lin ang="5400000" scaled="0"/>
            </a:gradFill>
            <a:ln>
              <a:noFill/>
            </a:ln>
            <a:effectLst/>
          </c:spPr>
          <c:invertIfNegative val="0"/>
          <c:cat>
            <c:multiLvlStrRef>
              <c:f>Sheet1!$C$61:$J$62</c:f>
              <c:multiLvlStrCache>
                <c:ptCount val="8"/>
                <c:lvl>
                  <c:pt idx="0">
                    <c:v>Pavisam</c:v>
                  </c:pt>
                  <c:pt idx="1">
                    <c:v>0-17</c:v>
                  </c:pt>
                  <c:pt idx="2">
                    <c:v>18-64</c:v>
                  </c:pt>
                  <c:pt idx="3">
                    <c:v>65+</c:v>
                  </c:pt>
                  <c:pt idx="4">
                    <c:v>Pavisam</c:v>
                  </c:pt>
                  <c:pt idx="5">
                    <c:v>0-17</c:v>
                  </c:pt>
                  <c:pt idx="6">
                    <c:v>18-64</c:v>
                  </c:pt>
                  <c:pt idx="7">
                    <c:v>65+</c:v>
                  </c:pt>
                </c:lvl>
                <c:lvl>
                  <c:pt idx="0">
                    <c:v>2014</c:v>
                  </c:pt>
                  <c:pt idx="4">
                    <c:v>2018</c:v>
                  </c:pt>
                </c:lvl>
              </c:multiLvlStrCache>
            </c:multiLvlStrRef>
          </c:cat>
          <c:val>
            <c:numRef>
              <c:f>Sheet1!$C$64:$J$64</c:f>
              <c:numCache>
                <c:formatCode>General</c:formatCode>
                <c:ptCount val="8"/>
                <c:pt idx="0">
                  <c:v>21.8</c:v>
                </c:pt>
                <c:pt idx="1">
                  <c:v>19.7</c:v>
                </c:pt>
                <c:pt idx="2">
                  <c:v>19.399999999999999</c:v>
                </c:pt>
                <c:pt idx="3">
                  <c:v>32.6</c:v>
                </c:pt>
                <c:pt idx="4">
                  <c:v>21.9</c:v>
                </c:pt>
                <c:pt idx="5">
                  <c:v>15.2</c:v>
                </c:pt>
                <c:pt idx="6">
                  <c:v>16.399999999999999</c:v>
                </c:pt>
                <c:pt idx="7">
                  <c:v>46.3</c:v>
                </c:pt>
              </c:numCache>
            </c:numRef>
          </c:val>
          <c:extLst>
            <c:ext xmlns:c16="http://schemas.microsoft.com/office/drawing/2014/chart" uri="{C3380CC4-5D6E-409C-BE32-E72D297353CC}">
              <c16:uniqueId val="{00000000-C271-468C-9C49-D9D089511420}"/>
            </c:ext>
          </c:extLst>
        </c:ser>
        <c:ser>
          <c:idx val="2"/>
          <c:order val="2"/>
          <c:tx>
            <c:strRef>
              <c:f>Sheet1!$B$65</c:f>
              <c:strCache>
                <c:ptCount val="1"/>
                <c:pt idx="0">
                  <c:v>LT</c:v>
                </c:pt>
              </c:strCache>
            </c:strRef>
          </c:tx>
          <c:spPr>
            <a:gradFill rotWithShape="1">
              <a:gsLst>
                <a:gs pos="0">
                  <a:schemeClr val="accent1">
                    <a:tint val="86000"/>
                    <a:satMod val="103000"/>
                    <a:lumMod val="102000"/>
                    <a:tint val="94000"/>
                  </a:schemeClr>
                </a:gs>
                <a:gs pos="50000">
                  <a:schemeClr val="accent1">
                    <a:tint val="86000"/>
                    <a:satMod val="110000"/>
                    <a:lumMod val="100000"/>
                    <a:shade val="100000"/>
                  </a:schemeClr>
                </a:gs>
                <a:gs pos="100000">
                  <a:schemeClr val="accent1">
                    <a:tint val="86000"/>
                    <a:lumMod val="99000"/>
                    <a:satMod val="120000"/>
                    <a:shade val="78000"/>
                  </a:schemeClr>
                </a:gs>
              </a:gsLst>
              <a:lin ang="5400000" scaled="0"/>
            </a:gradFill>
            <a:ln>
              <a:noFill/>
            </a:ln>
            <a:effectLst/>
          </c:spPr>
          <c:invertIfNegative val="0"/>
          <c:cat>
            <c:multiLvlStrRef>
              <c:f>Sheet1!$C$61:$J$62</c:f>
              <c:multiLvlStrCache>
                <c:ptCount val="8"/>
                <c:lvl>
                  <c:pt idx="0">
                    <c:v>Pavisam</c:v>
                  </c:pt>
                  <c:pt idx="1">
                    <c:v>0-17</c:v>
                  </c:pt>
                  <c:pt idx="2">
                    <c:v>18-64</c:v>
                  </c:pt>
                  <c:pt idx="3">
                    <c:v>65+</c:v>
                  </c:pt>
                  <c:pt idx="4">
                    <c:v>Pavisam</c:v>
                  </c:pt>
                  <c:pt idx="5">
                    <c:v>0-17</c:v>
                  </c:pt>
                  <c:pt idx="6">
                    <c:v>18-64</c:v>
                  </c:pt>
                  <c:pt idx="7">
                    <c:v>65+</c:v>
                  </c:pt>
                </c:lvl>
                <c:lvl>
                  <c:pt idx="0">
                    <c:v>2014</c:v>
                  </c:pt>
                  <c:pt idx="4">
                    <c:v>2018</c:v>
                  </c:pt>
                </c:lvl>
              </c:multiLvlStrCache>
            </c:multiLvlStrRef>
          </c:cat>
          <c:val>
            <c:numRef>
              <c:f>Sheet1!$C$65:$J$65</c:f>
              <c:numCache>
                <c:formatCode>General</c:formatCode>
                <c:ptCount val="8"/>
                <c:pt idx="0">
                  <c:v>19.100000000000001</c:v>
                </c:pt>
                <c:pt idx="1">
                  <c:v>23.5</c:v>
                </c:pt>
                <c:pt idx="2">
                  <c:v>17.600000000000001</c:v>
                </c:pt>
                <c:pt idx="3">
                  <c:v>20.100000000000001</c:v>
                </c:pt>
                <c:pt idx="4">
                  <c:v>22.9</c:v>
                </c:pt>
                <c:pt idx="5">
                  <c:v>23.9</c:v>
                </c:pt>
                <c:pt idx="6">
                  <c:v>18</c:v>
                </c:pt>
                <c:pt idx="7">
                  <c:v>37.700000000000003</c:v>
                </c:pt>
              </c:numCache>
            </c:numRef>
          </c:val>
          <c:extLst>
            <c:ext xmlns:c16="http://schemas.microsoft.com/office/drawing/2014/chart" uri="{C3380CC4-5D6E-409C-BE32-E72D297353CC}">
              <c16:uniqueId val="{00000001-C271-468C-9C49-D9D089511420}"/>
            </c:ext>
          </c:extLst>
        </c:ser>
        <c:ser>
          <c:idx val="3"/>
          <c:order val="3"/>
          <c:tx>
            <c:strRef>
              <c:f>Sheet1!$B$66</c:f>
              <c:strCache>
                <c:ptCount val="1"/>
                <c:pt idx="0">
                  <c:v>LV</c:v>
                </c:pt>
              </c:strCache>
            </c:strRef>
          </c:tx>
          <c:spPr>
            <a:gradFill rotWithShape="1">
              <a:gsLst>
                <a:gs pos="0">
                  <a:schemeClr val="accent1">
                    <a:tint val="58000"/>
                    <a:satMod val="103000"/>
                    <a:lumMod val="102000"/>
                    <a:tint val="94000"/>
                  </a:schemeClr>
                </a:gs>
                <a:gs pos="50000">
                  <a:schemeClr val="accent1">
                    <a:tint val="58000"/>
                    <a:satMod val="110000"/>
                    <a:lumMod val="100000"/>
                    <a:shade val="100000"/>
                  </a:schemeClr>
                </a:gs>
                <a:gs pos="100000">
                  <a:schemeClr val="accent1">
                    <a:tint val="58000"/>
                    <a:lumMod val="99000"/>
                    <a:satMod val="120000"/>
                    <a:shade val="78000"/>
                  </a:schemeClr>
                </a:gs>
              </a:gsLst>
              <a:lin ang="5400000" scaled="0"/>
            </a:gradFill>
            <a:ln>
              <a:noFill/>
            </a:ln>
            <a:effectLst/>
          </c:spPr>
          <c:invertIfNegative val="0"/>
          <c:cat>
            <c:multiLvlStrRef>
              <c:f>Sheet1!$C$61:$J$62</c:f>
              <c:multiLvlStrCache>
                <c:ptCount val="8"/>
                <c:lvl>
                  <c:pt idx="0">
                    <c:v>Pavisam</c:v>
                  </c:pt>
                  <c:pt idx="1">
                    <c:v>0-17</c:v>
                  </c:pt>
                  <c:pt idx="2">
                    <c:v>18-64</c:v>
                  </c:pt>
                  <c:pt idx="3">
                    <c:v>65+</c:v>
                  </c:pt>
                  <c:pt idx="4">
                    <c:v>Pavisam</c:v>
                  </c:pt>
                  <c:pt idx="5">
                    <c:v>0-17</c:v>
                  </c:pt>
                  <c:pt idx="6">
                    <c:v>18-64</c:v>
                  </c:pt>
                  <c:pt idx="7">
                    <c:v>65+</c:v>
                  </c:pt>
                </c:lvl>
                <c:lvl>
                  <c:pt idx="0">
                    <c:v>2014</c:v>
                  </c:pt>
                  <c:pt idx="4">
                    <c:v>2018</c:v>
                  </c:pt>
                </c:lvl>
              </c:multiLvlStrCache>
            </c:multiLvlStrRef>
          </c:cat>
          <c:val>
            <c:numRef>
              <c:f>Sheet1!$C$66:$J$66</c:f>
              <c:numCache>
                <c:formatCode>General</c:formatCode>
                <c:ptCount val="8"/>
                <c:pt idx="0">
                  <c:v>21.2</c:v>
                </c:pt>
                <c:pt idx="1">
                  <c:v>24.3</c:v>
                </c:pt>
                <c:pt idx="2">
                  <c:v>18.399999999999999</c:v>
                </c:pt>
                <c:pt idx="3">
                  <c:v>27.6</c:v>
                </c:pt>
                <c:pt idx="4">
                  <c:v>23.3</c:v>
                </c:pt>
                <c:pt idx="5">
                  <c:v>17.5</c:v>
                </c:pt>
                <c:pt idx="6">
                  <c:v>17.8</c:v>
                </c:pt>
                <c:pt idx="7">
                  <c:v>45.7</c:v>
                </c:pt>
              </c:numCache>
            </c:numRef>
          </c:val>
          <c:extLst>
            <c:ext xmlns:c16="http://schemas.microsoft.com/office/drawing/2014/chart" uri="{C3380CC4-5D6E-409C-BE32-E72D297353CC}">
              <c16:uniqueId val="{00000002-C271-468C-9C49-D9D089511420}"/>
            </c:ext>
          </c:extLst>
        </c:ser>
        <c:dLbls>
          <c:showLegendKey val="0"/>
          <c:showVal val="0"/>
          <c:showCatName val="0"/>
          <c:showSerName val="0"/>
          <c:showPercent val="0"/>
          <c:showBubbleSize val="0"/>
        </c:dLbls>
        <c:gapWidth val="150"/>
        <c:axId val="1685577632"/>
        <c:axId val="1580656432"/>
      </c:barChart>
      <c:lineChart>
        <c:grouping val="stacked"/>
        <c:varyColors val="0"/>
        <c:ser>
          <c:idx val="0"/>
          <c:order val="0"/>
          <c:tx>
            <c:strRef>
              <c:f>Sheet1!$B$63</c:f>
              <c:strCache>
                <c:ptCount val="1"/>
                <c:pt idx="0">
                  <c:v>EU 28</c:v>
                </c:pt>
              </c:strCache>
            </c:strRef>
          </c:tx>
          <c:spPr>
            <a:ln w="31750" cap="rnd">
              <a:solidFill>
                <a:schemeClr val="accent1">
                  <a:shade val="58000"/>
                </a:schemeClr>
              </a:solidFill>
              <a:round/>
            </a:ln>
            <a:effectLst/>
          </c:spPr>
          <c:marker>
            <c:symbol val="circle"/>
            <c:size val="6"/>
            <c:spPr>
              <a:gradFill rotWithShape="1">
                <a:gsLst>
                  <a:gs pos="0">
                    <a:schemeClr val="accent1">
                      <a:shade val="58000"/>
                      <a:satMod val="103000"/>
                      <a:lumMod val="102000"/>
                      <a:tint val="94000"/>
                    </a:schemeClr>
                  </a:gs>
                  <a:gs pos="50000">
                    <a:schemeClr val="accent1">
                      <a:shade val="58000"/>
                      <a:satMod val="110000"/>
                      <a:lumMod val="100000"/>
                      <a:shade val="100000"/>
                    </a:schemeClr>
                  </a:gs>
                  <a:gs pos="100000">
                    <a:schemeClr val="accent1">
                      <a:shade val="58000"/>
                      <a:lumMod val="99000"/>
                      <a:satMod val="120000"/>
                      <a:shade val="78000"/>
                    </a:schemeClr>
                  </a:gs>
                </a:gsLst>
                <a:lin ang="5400000" scaled="0"/>
              </a:gradFill>
              <a:ln w="12700">
                <a:solidFill>
                  <a:schemeClr val="lt2"/>
                </a:solidFill>
                <a:round/>
              </a:ln>
              <a:effectLst/>
            </c:spPr>
          </c:marker>
          <c:cat>
            <c:multiLvlStrRef>
              <c:f>Sheet1!$C$61:$J$62</c:f>
              <c:multiLvlStrCache>
                <c:ptCount val="8"/>
                <c:lvl>
                  <c:pt idx="0">
                    <c:v>Pavisam</c:v>
                  </c:pt>
                  <c:pt idx="1">
                    <c:v>0-17</c:v>
                  </c:pt>
                  <c:pt idx="2">
                    <c:v>18-64</c:v>
                  </c:pt>
                  <c:pt idx="3">
                    <c:v>65+</c:v>
                  </c:pt>
                  <c:pt idx="4">
                    <c:v>Pavisam</c:v>
                  </c:pt>
                  <c:pt idx="5">
                    <c:v>0-17</c:v>
                  </c:pt>
                  <c:pt idx="6">
                    <c:v>18-64</c:v>
                  </c:pt>
                  <c:pt idx="7">
                    <c:v>65+</c:v>
                  </c:pt>
                </c:lvl>
                <c:lvl>
                  <c:pt idx="0">
                    <c:v>2014</c:v>
                  </c:pt>
                  <c:pt idx="4">
                    <c:v>2018</c:v>
                  </c:pt>
                </c:lvl>
              </c:multiLvlStrCache>
            </c:multiLvlStrRef>
          </c:cat>
          <c:val>
            <c:numRef>
              <c:f>Sheet1!$C$63:$J$63</c:f>
              <c:numCache>
                <c:formatCode>General</c:formatCode>
                <c:ptCount val="8"/>
                <c:pt idx="0">
                  <c:v>17.2</c:v>
                </c:pt>
                <c:pt idx="1">
                  <c:v>21.1</c:v>
                </c:pt>
                <c:pt idx="2">
                  <c:v>17.100000000000001</c:v>
                </c:pt>
                <c:pt idx="3">
                  <c:v>13.7</c:v>
                </c:pt>
                <c:pt idx="4">
                  <c:v>17.100000000000001</c:v>
                </c:pt>
                <c:pt idx="5">
                  <c:v>20.2</c:v>
                </c:pt>
                <c:pt idx="6">
                  <c:v>16.399999999999999</c:v>
                </c:pt>
                <c:pt idx="7">
                  <c:v>16.100000000000001</c:v>
                </c:pt>
              </c:numCache>
            </c:numRef>
          </c:val>
          <c:smooth val="0"/>
          <c:extLst>
            <c:ext xmlns:c16="http://schemas.microsoft.com/office/drawing/2014/chart" uri="{C3380CC4-5D6E-409C-BE32-E72D297353CC}">
              <c16:uniqueId val="{00000003-C271-468C-9C49-D9D089511420}"/>
            </c:ext>
          </c:extLst>
        </c:ser>
        <c:dLbls>
          <c:showLegendKey val="0"/>
          <c:showVal val="0"/>
          <c:showCatName val="0"/>
          <c:showSerName val="0"/>
          <c:showPercent val="0"/>
          <c:showBubbleSize val="0"/>
        </c:dLbls>
        <c:marker val="1"/>
        <c:smooth val="0"/>
        <c:axId val="1685577632"/>
        <c:axId val="1580656432"/>
      </c:lineChart>
      <c:catAx>
        <c:axId val="16855776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580656432"/>
        <c:crosses val="autoZero"/>
        <c:auto val="1"/>
        <c:lblAlgn val="ctr"/>
        <c:lblOffset val="100"/>
        <c:noMultiLvlLbl val="0"/>
      </c:catAx>
      <c:valAx>
        <c:axId val="15806564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68557763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1912358932203257"/>
          <c:y val="4.0417274987941336E-2"/>
          <c:w val="0.78545414791735568"/>
          <c:h val="0.71195301195003768"/>
        </c:manualLayout>
      </c:layout>
      <c:barChart>
        <c:barDir val="col"/>
        <c:grouping val="clustered"/>
        <c:varyColors val="0"/>
        <c:ser>
          <c:idx val="0"/>
          <c:order val="0"/>
          <c:tx>
            <c:strRef>
              <c:f>Sheet1!$B$1</c:f>
              <c:strCache>
                <c:ptCount val="1"/>
                <c:pt idx="0">
                  <c:v>2013.gada aptauja</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Personiskie uzkrājumi, īpašumi</c:v>
                </c:pt>
                <c:pt idx="1">
                  <c:v>Ģimenes locekļu, radinieku atbalsts</c:v>
                </c:pt>
                <c:pt idx="2">
                  <c:v>Valsts sociālās apdrošināšanas sistēma</c:v>
                </c:pt>
              </c:strCache>
            </c:strRef>
          </c:cat>
          <c:val>
            <c:numRef>
              <c:f>Sheet1!$B$2:$B$5</c:f>
              <c:numCache>
                <c:formatCode>General</c:formatCode>
                <c:ptCount val="4"/>
                <c:pt idx="0">
                  <c:v>35</c:v>
                </c:pt>
                <c:pt idx="1">
                  <c:v>32</c:v>
                </c:pt>
                <c:pt idx="2">
                  <c:v>25</c:v>
                </c:pt>
              </c:numCache>
            </c:numRef>
          </c:val>
          <c:extLst>
            <c:ext xmlns:c16="http://schemas.microsoft.com/office/drawing/2014/chart" uri="{C3380CC4-5D6E-409C-BE32-E72D297353CC}">
              <c16:uniqueId val="{00000000-CFE4-493D-9A43-0ACB2DCC6761}"/>
            </c:ext>
          </c:extLst>
        </c:ser>
        <c:ser>
          <c:idx val="1"/>
          <c:order val="1"/>
          <c:tx>
            <c:strRef>
              <c:f>Sheet1!$C$1</c:f>
              <c:strCache>
                <c:ptCount val="1"/>
                <c:pt idx="0">
                  <c:v>2019.gada aptauja</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Personiskie uzkrājumi, īpašumi</c:v>
                </c:pt>
                <c:pt idx="1">
                  <c:v>Ģimenes locekļu, radinieku atbalsts</c:v>
                </c:pt>
                <c:pt idx="2">
                  <c:v>Valsts sociālās apdrošināšanas sistēma</c:v>
                </c:pt>
              </c:strCache>
            </c:strRef>
          </c:cat>
          <c:val>
            <c:numRef>
              <c:f>Sheet1!$C$2:$C$5</c:f>
              <c:numCache>
                <c:formatCode>General</c:formatCode>
                <c:ptCount val="4"/>
                <c:pt idx="0">
                  <c:v>55</c:v>
                </c:pt>
                <c:pt idx="1">
                  <c:v>71</c:v>
                </c:pt>
                <c:pt idx="2">
                  <c:v>39</c:v>
                </c:pt>
              </c:numCache>
            </c:numRef>
          </c:val>
          <c:extLst>
            <c:ext xmlns:c16="http://schemas.microsoft.com/office/drawing/2014/chart" uri="{C3380CC4-5D6E-409C-BE32-E72D297353CC}">
              <c16:uniqueId val="{00000001-CFE4-493D-9A43-0ACB2DCC6761}"/>
            </c:ext>
          </c:extLst>
        </c:ser>
        <c:dLbls>
          <c:showLegendKey val="0"/>
          <c:showVal val="0"/>
          <c:showCatName val="0"/>
          <c:showSerName val="0"/>
          <c:showPercent val="0"/>
          <c:showBubbleSize val="0"/>
        </c:dLbls>
        <c:gapWidth val="219"/>
        <c:overlap val="-27"/>
        <c:axId val="-1548777984"/>
        <c:axId val="-1548772000"/>
      </c:barChart>
      <c:catAx>
        <c:axId val="-154877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48772000"/>
        <c:crosses val="autoZero"/>
        <c:auto val="1"/>
        <c:lblAlgn val="ctr"/>
        <c:lblOffset val="100"/>
        <c:noMultiLvlLbl val="0"/>
      </c:catAx>
      <c:valAx>
        <c:axId val="-1548772000"/>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t>% gadījumu</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548777984"/>
        <c:crosses val="autoZero"/>
        <c:crossBetween val="between"/>
      </c:valAx>
      <c:spPr>
        <a:noFill/>
        <a:ln w="25400">
          <a:noFill/>
        </a:ln>
        <a:effectLst/>
      </c:spPr>
    </c:plotArea>
    <c:legend>
      <c:legendPos val="b"/>
      <c:layout>
        <c:manualLayout>
          <c:xMode val="edge"/>
          <c:yMode val="edge"/>
          <c:x val="0.19128047475740925"/>
          <c:y val="0.92399651993361542"/>
          <c:w val="0.61743905048518155"/>
          <c:h val="7.6003480066384466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6350" cap="flat" cmpd="sng" algn="ctr">
      <a:no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r>
              <a:rPr lang="lv-LV" sz="1200" b="1">
                <a:solidFill>
                  <a:srgbClr val="002060"/>
                </a:solidFill>
                <a:effectLst/>
                <a:latin typeface="Times New Roman" panose="02020603050405020304" pitchFamily="18" charset="0"/>
                <a:cs typeface="Times New Roman" panose="02020603050405020304" pitchFamily="18" charset="0"/>
              </a:rPr>
              <a:t>Vecuma pensiju saņēmēju īpatsvara sadalījums pēc piešķirtā apjoma (ar piemaksu), %</a:t>
            </a:r>
            <a:endParaRPr lang="lv-LV" sz="1200">
              <a:solidFill>
                <a:srgbClr val="002060"/>
              </a:solidFill>
              <a:latin typeface="Times New Roman" panose="02020603050405020304" pitchFamily="18" charset="0"/>
              <a:cs typeface="Times New Roman" panose="02020603050405020304" pitchFamily="18" charset="0"/>
            </a:endParaRPr>
          </a:p>
        </c:rich>
      </c:tx>
      <c:layout>
        <c:manualLayout>
          <c:xMode val="edge"/>
          <c:yMode val="edge"/>
          <c:x val="9.2053936913074896E-2"/>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4237179743395018E-2"/>
          <c:y val="0.15783776712278441"/>
          <c:w val="0.65872443609523423"/>
          <c:h val="0.70864586702843069"/>
        </c:manualLayout>
      </c:layout>
      <c:barChart>
        <c:barDir val="col"/>
        <c:grouping val="percentStacked"/>
        <c:varyColors val="0"/>
        <c:ser>
          <c:idx val="5"/>
          <c:order val="0"/>
          <c:tx>
            <c:strRef>
              <c:f>'gads-dinamika (2)'!$A$19</c:f>
              <c:strCache>
                <c:ptCount val="1"/>
                <c:pt idx="0">
                  <c:v>&gt;1000,00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'gads-dinamika (2)'!$B$3:$D$3</c:f>
              <c:numCache>
                <c:formatCode>General</c:formatCode>
                <c:ptCount val="3"/>
                <c:pt idx="0">
                  <c:v>2017</c:v>
                </c:pt>
                <c:pt idx="1">
                  <c:v>2018</c:v>
                </c:pt>
                <c:pt idx="2">
                  <c:v>2019</c:v>
                </c:pt>
              </c:numCache>
            </c:numRef>
          </c:cat>
          <c:val>
            <c:numRef>
              <c:f>'gads-dinamika (2)'!$B$19:$D$19</c:f>
              <c:numCache>
                <c:formatCode>0%</c:formatCode>
                <c:ptCount val="3"/>
                <c:pt idx="0">
                  <c:v>1.2454835861918328E-2</c:v>
                </c:pt>
                <c:pt idx="1">
                  <c:v>1.5757514351703666E-2</c:v>
                </c:pt>
                <c:pt idx="2">
                  <c:v>1.9353503214342198E-2</c:v>
                </c:pt>
              </c:numCache>
            </c:numRef>
          </c:val>
          <c:extLst>
            <c:ext xmlns:c16="http://schemas.microsoft.com/office/drawing/2014/chart" uri="{C3380CC4-5D6E-409C-BE32-E72D297353CC}">
              <c16:uniqueId val="{00000000-8427-4BB4-A7B9-F4E62C703F64}"/>
            </c:ext>
          </c:extLst>
        </c:ser>
        <c:ser>
          <c:idx val="4"/>
          <c:order val="1"/>
          <c:tx>
            <c:strRef>
              <c:f>'gads-dinamika (2)'!$A$18</c:f>
              <c:strCache>
                <c:ptCount val="1"/>
                <c:pt idx="0">
                  <c:v>500,01-1000,00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'gads-dinamika (2)'!$B$3:$D$3</c:f>
              <c:numCache>
                <c:formatCode>General</c:formatCode>
                <c:ptCount val="3"/>
                <c:pt idx="0">
                  <c:v>2017</c:v>
                </c:pt>
                <c:pt idx="1">
                  <c:v>2018</c:v>
                </c:pt>
                <c:pt idx="2">
                  <c:v>2019</c:v>
                </c:pt>
              </c:numCache>
            </c:numRef>
          </c:cat>
          <c:val>
            <c:numRef>
              <c:f>'gads-dinamika (2)'!$B$18:$D$18</c:f>
              <c:numCache>
                <c:formatCode>0%</c:formatCode>
                <c:ptCount val="3"/>
                <c:pt idx="0">
                  <c:v>6.4001110332462668E-2</c:v>
                </c:pt>
                <c:pt idx="1">
                  <c:v>8.1442608153011159E-2</c:v>
                </c:pt>
                <c:pt idx="2">
                  <c:v>0.10666173583782225</c:v>
                </c:pt>
              </c:numCache>
            </c:numRef>
          </c:val>
          <c:extLst>
            <c:ext xmlns:c16="http://schemas.microsoft.com/office/drawing/2014/chart" uri="{C3380CC4-5D6E-409C-BE32-E72D297353CC}">
              <c16:uniqueId val="{00000001-8427-4BB4-A7B9-F4E62C703F64}"/>
            </c:ext>
          </c:extLst>
        </c:ser>
        <c:ser>
          <c:idx val="3"/>
          <c:order val="2"/>
          <c:tx>
            <c:strRef>
              <c:f>'gads-dinamika (2)'!$A$17</c:f>
              <c:strCache>
                <c:ptCount val="1"/>
                <c:pt idx="0">
                  <c:v>350,01-500,00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'gads-dinamika (2)'!$B$3:$D$3</c:f>
              <c:numCache>
                <c:formatCode>General</c:formatCode>
                <c:ptCount val="3"/>
                <c:pt idx="0">
                  <c:v>2017</c:v>
                </c:pt>
                <c:pt idx="1">
                  <c:v>2018</c:v>
                </c:pt>
                <c:pt idx="2">
                  <c:v>2019</c:v>
                </c:pt>
              </c:numCache>
            </c:numRef>
          </c:cat>
          <c:val>
            <c:numRef>
              <c:f>'gads-dinamika (2)'!$B$17:$D$17</c:f>
              <c:numCache>
                <c:formatCode>0%</c:formatCode>
                <c:ptCount val="3"/>
                <c:pt idx="0">
                  <c:v>0.13414545355260882</c:v>
                </c:pt>
                <c:pt idx="1">
                  <c:v>0.18150501187052265</c:v>
                </c:pt>
                <c:pt idx="2">
                  <c:v>0.24992324653213877</c:v>
                </c:pt>
              </c:numCache>
            </c:numRef>
          </c:val>
          <c:extLst>
            <c:ext xmlns:c16="http://schemas.microsoft.com/office/drawing/2014/chart" uri="{C3380CC4-5D6E-409C-BE32-E72D297353CC}">
              <c16:uniqueId val="{00000002-8427-4BB4-A7B9-F4E62C703F64}"/>
            </c:ext>
          </c:extLst>
        </c:ser>
        <c:ser>
          <c:idx val="2"/>
          <c:order val="3"/>
          <c:tx>
            <c:strRef>
              <c:f>'gads-dinamika (2)'!$A$16</c:f>
              <c:strCache>
                <c:ptCount val="1"/>
                <c:pt idx="0">
                  <c:v>250,01-350,00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'gads-dinamika (2)'!$B$3:$D$3</c:f>
              <c:numCache>
                <c:formatCode>General</c:formatCode>
                <c:ptCount val="3"/>
                <c:pt idx="0">
                  <c:v>2017</c:v>
                </c:pt>
                <c:pt idx="1">
                  <c:v>2018</c:v>
                </c:pt>
                <c:pt idx="2">
                  <c:v>2019</c:v>
                </c:pt>
              </c:numCache>
            </c:numRef>
          </c:cat>
          <c:val>
            <c:numRef>
              <c:f>'gads-dinamika (2)'!$B$16:$D$16</c:f>
              <c:numCache>
                <c:formatCode>0%</c:formatCode>
                <c:ptCount val="3"/>
                <c:pt idx="0">
                  <c:v>0.46360020750475534</c:v>
                </c:pt>
                <c:pt idx="1">
                  <c:v>0.49395420810603569</c:v>
                </c:pt>
                <c:pt idx="2">
                  <c:v>0.46163489538269742</c:v>
                </c:pt>
              </c:numCache>
            </c:numRef>
          </c:val>
          <c:extLst>
            <c:ext xmlns:c16="http://schemas.microsoft.com/office/drawing/2014/chart" uri="{C3380CC4-5D6E-409C-BE32-E72D297353CC}">
              <c16:uniqueId val="{00000003-8427-4BB4-A7B9-F4E62C703F64}"/>
            </c:ext>
          </c:extLst>
        </c:ser>
        <c:ser>
          <c:idx val="1"/>
          <c:order val="4"/>
          <c:tx>
            <c:strRef>
              <c:f>'gads-dinamika (2)'!$A$15</c:f>
              <c:strCache>
                <c:ptCount val="1"/>
                <c:pt idx="0">
                  <c:v>150,01-250,00</c:v>
                </c:pt>
              </c:strCache>
            </c:strRef>
          </c:tx>
          <c:spPr>
            <a:solidFill>
              <a:schemeClr val="accent2"/>
            </a:solidFill>
            <a:ln>
              <a:noFill/>
            </a:ln>
            <a:effectLst/>
          </c:spPr>
          <c:invertIfNegative val="0"/>
          <c:dLbls>
            <c:dLbl>
              <c:idx val="2"/>
              <c:layout>
                <c:manualLayout>
                  <c:x val="2.6966885061792709E-2"/>
                  <c:y val="-7.97193693875317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27-4BB4-A7B9-F4E62C703F6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'gads-dinamika (2)'!$B$3:$D$3</c:f>
              <c:numCache>
                <c:formatCode>General</c:formatCode>
                <c:ptCount val="3"/>
                <c:pt idx="0">
                  <c:v>2017</c:v>
                </c:pt>
                <c:pt idx="1">
                  <c:v>2018</c:v>
                </c:pt>
                <c:pt idx="2">
                  <c:v>2019</c:v>
                </c:pt>
              </c:numCache>
            </c:numRef>
          </c:cat>
          <c:val>
            <c:numRef>
              <c:f>'gads-dinamika (2)'!$B$15:$D$15</c:f>
              <c:numCache>
                <c:formatCode>0%</c:formatCode>
                <c:ptCount val="3"/>
                <c:pt idx="0">
                  <c:v>0.26751503954421763</c:v>
                </c:pt>
                <c:pt idx="1">
                  <c:v>0.16767026888863815</c:v>
                </c:pt>
                <c:pt idx="2">
                  <c:v>0.10033073767060202</c:v>
                </c:pt>
              </c:numCache>
            </c:numRef>
          </c:val>
          <c:extLst>
            <c:ext xmlns:c16="http://schemas.microsoft.com/office/drawing/2014/chart" uri="{C3380CC4-5D6E-409C-BE32-E72D297353CC}">
              <c16:uniqueId val="{00000005-8427-4BB4-A7B9-F4E62C703F64}"/>
            </c:ext>
          </c:extLst>
        </c:ser>
        <c:ser>
          <c:idx val="0"/>
          <c:order val="5"/>
          <c:tx>
            <c:strRef>
              <c:f>'gads-dinamika (2)'!$A$14</c:f>
              <c:strCache>
                <c:ptCount val="1"/>
                <c:pt idx="0">
                  <c:v>&lt;=150,00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'gads-dinamika (2)'!$B$3:$D$3</c:f>
              <c:numCache>
                <c:formatCode>General</c:formatCode>
                <c:ptCount val="3"/>
                <c:pt idx="0">
                  <c:v>2017</c:v>
                </c:pt>
                <c:pt idx="1">
                  <c:v>2018</c:v>
                </c:pt>
                <c:pt idx="2">
                  <c:v>2019</c:v>
                </c:pt>
              </c:numCache>
            </c:numRef>
          </c:cat>
          <c:val>
            <c:numRef>
              <c:f>'gads-dinamika (2)'!$B$14:$D$14</c:f>
              <c:numCache>
                <c:formatCode>0%</c:formatCode>
                <c:ptCount val="3"/>
                <c:pt idx="0">
                  <c:v>5.8283353204037242E-2</c:v>
                </c:pt>
                <c:pt idx="1">
                  <c:v>5.9670388630088722E-2</c:v>
                </c:pt>
                <c:pt idx="2">
                  <c:v>6.2095881362397312E-2</c:v>
                </c:pt>
              </c:numCache>
            </c:numRef>
          </c:val>
          <c:extLst>
            <c:ext xmlns:c16="http://schemas.microsoft.com/office/drawing/2014/chart" uri="{C3380CC4-5D6E-409C-BE32-E72D297353CC}">
              <c16:uniqueId val="{00000006-8427-4BB4-A7B9-F4E62C703F64}"/>
            </c:ext>
          </c:extLst>
        </c:ser>
        <c:dLbls>
          <c:showLegendKey val="0"/>
          <c:showVal val="0"/>
          <c:showCatName val="0"/>
          <c:showSerName val="0"/>
          <c:showPercent val="0"/>
          <c:showBubbleSize val="0"/>
        </c:dLbls>
        <c:gapWidth val="69"/>
        <c:overlap val="100"/>
        <c:axId val="-1548780704"/>
        <c:axId val="-1548760576"/>
      </c:barChart>
      <c:lineChart>
        <c:grouping val="standard"/>
        <c:varyColors val="0"/>
        <c:ser>
          <c:idx val="6"/>
          <c:order val="6"/>
          <c:tx>
            <c:strRef>
              <c:f>'gads-dinamika (2)'!$A$13</c:f>
              <c:strCache>
                <c:ptCount val="1"/>
                <c:pt idx="0">
                  <c:v>Vidējā vecuma pensija, EUR</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dLbls>
            <c:numFmt formatCode="&quot;€&quot;\ #,##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002060"/>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'gads-dinamika (2)'!$B$13:$D$13</c:f>
              <c:numCache>
                <c:formatCode>_-[$€-2]\ * #,##0_-;\-[$€-2]\ * #,##0_-;_-[$€-2]\ * "-"??_-;_-@_-</c:formatCode>
                <c:ptCount val="3"/>
                <c:pt idx="0">
                  <c:v>308.62</c:v>
                </c:pt>
                <c:pt idx="1">
                  <c:v>332.57</c:v>
                </c:pt>
                <c:pt idx="2">
                  <c:v>359.80801081682102</c:v>
                </c:pt>
              </c:numCache>
            </c:numRef>
          </c:val>
          <c:smooth val="0"/>
          <c:extLst>
            <c:ext xmlns:c16="http://schemas.microsoft.com/office/drawing/2014/chart" uri="{C3380CC4-5D6E-409C-BE32-E72D297353CC}">
              <c16:uniqueId val="{00000007-8427-4BB4-A7B9-F4E62C703F64}"/>
            </c:ext>
          </c:extLst>
        </c:ser>
        <c:dLbls>
          <c:showLegendKey val="0"/>
          <c:showVal val="0"/>
          <c:showCatName val="0"/>
          <c:showSerName val="0"/>
          <c:showPercent val="0"/>
          <c:showBubbleSize val="0"/>
        </c:dLbls>
        <c:marker val="1"/>
        <c:smooth val="0"/>
        <c:axId val="-1548775264"/>
        <c:axId val="-1548785600"/>
      </c:lineChart>
      <c:catAx>
        <c:axId val="-15487807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lv-LV"/>
          </a:p>
        </c:txPr>
        <c:crossAx val="-1548760576"/>
        <c:crosses val="autoZero"/>
        <c:auto val="1"/>
        <c:lblAlgn val="ctr"/>
        <c:lblOffset val="100"/>
        <c:noMultiLvlLbl val="0"/>
      </c:catAx>
      <c:valAx>
        <c:axId val="-1548760576"/>
        <c:scaling>
          <c:orientation val="minMax"/>
        </c:scaling>
        <c:delete val="0"/>
        <c:axPos val="l"/>
        <c:majorGridlines>
          <c:spPr>
            <a:ln w="9525" cap="flat" cmpd="sng" algn="ctr">
              <a:no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lv-LV"/>
          </a:p>
        </c:txPr>
        <c:crossAx val="-1548780704"/>
        <c:crosses val="autoZero"/>
        <c:crossBetween val="between"/>
      </c:valAx>
      <c:valAx>
        <c:axId val="-1548785600"/>
        <c:scaling>
          <c:orientation val="minMax"/>
          <c:min val="200"/>
        </c:scaling>
        <c:delete val="0"/>
        <c:axPos val="r"/>
        <c:numFmt formatCode="&quot;€&quot;\ #,##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lv-LV"/>
          </a:p>
        </c:txPr>
        <c:crossAx val="-1548775264"/>
        <c:crosses val="max"/>
        <c:crossBetween val="between"/>
      </c:valAx>
      <c:catAx>
        <c:axId val="-1548775264"/>
        <c:scaling>
          <c:orientation val="minMax"/>
        </c:scaling>
        <c:delete val="1"/>
        <c:axPos val="b"/>
        <c:majorTickMark val="out"/>
        <c:minorTickMark val="none"/>
        <c:tickLblPos val="nextTo"/>
        <c:crossAx val="-1548785600"/>
        <c:crosses val="autoZero"/>
        <c:auto val="1"/>
        <c:lblAlgn val="ctr"/>
        <c:lblOffset val="100"/>
        <c:noMultiLvlLbl val="0"/>
      </c:catAx>
      <c:spPr>
        <a:noFill/>
        <a:ln>
          <a:noFill/>
        </a:ln>
        <a:effectLst/>
      </c:spPr>
    </c:plotArea>
    <c:legend>
      <c:legendPos val="r"/>
      <c:layout>
        <c:manualLayout>
          <c:xMode val="edge"/>
          <c:yMode val="edge"/>
          <c:x val="0.7040866338091778"/>
          <c:y val="0.23023783921282964"/>
          <c:w val="0.29374875094927855"/>
          <c:h val="0.5797707254903542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r>
              <a:rPr lang="en-US" b="1">
                <a:solidFill>
                  <a:srgbClr val="002060"/>
                </a:solidFill>
              </a:rPr>
              <a:t>Pensiju reformu virzieni</a:t>
            </a: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00206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1-EBDC-4906-81E2-0F53A208BDF2}"/>
              </c:ext>
            </c:extLst>
          </c:dPt>
          <c:dPt>
            <c:idx val="1"/>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3-EBDC-4906-81E2-0F53A208BDF2}"/>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EBDC-4906-81E2-0F53A208BDF2}"/>
              </c:ext>
            </c:extLst>
          </c:dPt>
          <c:dPt>
            <c:idx val="3"/>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7-EBDC-4906-81E2-0F53A208BDF2}"/>
              </c:ext>
            </c:extLst>
          </c:dPt>
          <c:dPt>
            <c:idx val="4"/>
            <c:bubble3D val="0"/>
            <c:spPr>
              <a:solidFill>
                <a:schemeClr val="accent1">
                  <a:tint val="54000"/>
                </a:schemeClr>
              </a:solidFill>
              <a:ln w="19050">
                <a:solidFill>
                  <a:schemeClr val="lt1"/>
                </a:solidFill>
              </a:ln>
              <a:effectLst/>
            </c:spPr>
            <c:extLst>
              <c:ext xmlns:c16="http://schemas.microsoft.com/office/drawing/2014/chart" uri="{C3380CC4-5D6E-409C-BE32-E72D297353CC}">
                <c16:uniqueId val="{00000009-EBDC-4906-81E2-0F53A208BDF2}"/>
              </c:ext>
            </c:extLst>
          </c:dPt>
          <c:dLbls>
            <c:dLbl>
              <c:idx val="2"/>
              <c:layout>
                <c:manualLayout>
                  <c:x val="0.10906612133605999"/>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BDC-4906-81E2-0F53A208BDF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Sheet1!$B$3:$B$7</c:f>
              <c:strCache>
                <c:ptCount val="5"/>
                <c:pt idx="0">
                  <c:v>apdrošināšanas iemaksas/nodokļi</c:v>
                </c:pt>
                <c:pt idx="1">
                  <c:v>pensiju shēmas</c:v>
                </c:pt>
                <c:pt idx="2">
                  <c:v>nosacījumi pensiju saņemšanai</c:v>
                </c:pt>
                <c:pt idx="3">
                  <c:v>pensijas formula</c:v>
                </c:pt>
                <c:pt idx="4">
                  <c:v>indeksācija</c:v>
                </c:pt>
              </c:strCache>
            </c:strRef>
          </c:cat>
          <c:val>
            <c:numRef>
              <c:f>Sheet1!$C$3:$C$7</c:f>
              <c:numCache>
                <c:formatCode>0%</c:formatCode>
                <c:ptCount val="5"/>
                <c:pt idx="0">
                  <c:v>0.21</c:v>
                </c:pt>
                <c:pt idx="1">
                  <c:v>7.0000000000000007E-2</c:v>
                </c:pt>
                <c:pt idx="2">
                  <c:v>0.32</c:v>
                </c:pt>
                <c:pt idx="3">
                  <c:v>0.28000000000000003</c:v>
                </c:pt>
                <c:pt idx="4">
                  <c:v>0.12</c:v>
                </c:pt>
              </c:numCache>
            </c:numRef>
          </c:val>
          <c:extLst>
            <c:ext xmlns:c16="http://schemas.microsoft.com/office/drawing/2014/chart" uri="{C3380CC4-5D6E-409C-BE32-E72D297353CC}">
              <c16:uniqueId val="{0000000A-EBDC-4906-81E2-0F53A208BDF2}"/>
            </c:ext>
          </c:extLst>
        </c:ser>
        <c:dLbls>
          <c:showLegendKey val="0"/>
          <c:showVal val="0"/>
          <c:showCatName val="1"/>
          <c:showSerName val="0"/>
          <c:showPercent val="1"/>
          <c:showBubbleSize val="0"/>
          <c:showLeaderLines val="1"/>
        </c:dLbls>
        <c:firstSliceAng val="1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 id="19">
  <a:schemeClr val="accent6"/>
</cs:colorStyle>
</file>

<file path=word/charts/colors1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0.9175</cdr:y>
    </cdr:from>
    <cdr:to>
      <cdr:x>0.98754</cdr:x>
      <cdr:y>1</cdr:y>
    </cdr:to>
    <cdr:sp macro="" textlink="">
      <cdr:nvSpPr>
        <cdr:cNvPr id="2" name="TextBox 1">
          <a:extLst xmlns:a="http://schemas.openxmlformats.org/drawingml/2006/main">
            <a:ext uri="{FF2B5EF4-FFF2-40B4-BE49-F238E27FC236}">
              <a16:creationId xmlns:a16="http://schemas.microsoft.com/office/drawing/2014/main" id="{01C1C179-DF9F-4B27-8DA3-445F3FCF53FA}"/>
            </a:ext>
          </a:extLst>
        </cdr:cNvPr>
        <cdr:cNvSpPr txBox="1"/>
      </cdr:nvSpPr>
      <cdr:spPr>
        <a:xfrm xmlns:a="http://schemas.openxmlformats.org/drawingml/2006/main">
          <a:off x="0" y="2293745"/>
          <a:ext cx="5208608" cy="206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t> </a:t>
          </a:r>
          <a:r>
            <a:rPr lang="en-GB" sz="1100" i="1"/>
            <a:t>*</a:t>
          </a:r>
          <a:r>
            <a:rPr lang="lv-LV" sz="1100" i="1">
              <a:latin typeface="Times New Roman" panose="02020603050405020304" pitchFamily="18" charset="0"/>
              <a:cs typeface="Times New Roman" panose="02020603050405020304" pitchFamily="18" charset="0"/>
            </a:rPr>
            <a:t>nav iekļautas personas, kuras saņem pensijas saskaņā ar starptautiskiem līgumiem </a:t>
          </a:r>
          <a:r>
            <a:rPr lang="lv-LV" sz="1100" i="1"/>
            <a:t>vai regulu Nr.883/2004</a:t>
          </a:r>
        </a:p>
      </cdr:txBody>
    </cdr:sp>
  </cdr:relSizeAnchor>
</c:userShapes>
</file>

<file path=word/drawings/drawing2.xml><?xml version="1.0" encoding="utf-8"?>
<c:userShapes xmlns:c="http://schemas.openxmlformats.org/drawingml/2006/chart">
  <cdr:relSizeAnchor xmlns:cdr="http://schemas.openxmlformats.org/drawingml/2006/chartDrawing">
    <cdr:from>
      <cdr:x>0.03934</cdr:x>
      <cdr:y>0.92685</cdr:y>
    </cdr:from>
    <cdr:to>
      <cdr:x>0.69168</cdr:x>
      <cdr:y>0.98781</cdr:y>
    </cdr:to>
    <cdr:sp macro="" textlink="">
      <cdr:nvSpPr>
        <cdr:cNvPr id="2" name="TextBox 1">
          <a:extLst xmlns:a="http://schemas.openxmlformats.org/drawingml/2006/main">
            <a:ext uri="{FF2B5EF4-FFF2-40B4-BE49-F238E27FC236}">
              <a16:creationId xmlns:a16="http://schemas.microsoft.com/office/drawing/2014/main" id="{ED6D6108-485B-470F-9C3C-6D0A11CD5CE3}"/>
            </a:ext>
          </a:extLst>
        </cdr:cNvPr>
        <cdr:cNvSpPr txBox="1"/>
      </cdr:nvSpPr>
      <cdr:spPr>
        <a:xfrm xmlns:a="http://schemas.openxmlformats.org/drawingml/2006/main">
          <a:off x="230898" y="2896586"/>
          <a:ext cx="38290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i="1">
              <a:latin typeface="Times New Roman" panose="02020603050405020304" pitchFamily="18" charset="0"/>
              <a:cs typeface="Times New Roman" panose="02020603050405020304" pitchFamily="18" charset="0"/>
            </a:rPr>
            <a:t>*ieskaitot patentmaksas maksātājus </a:t>
          </a: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0.91826</cdr:y>
    </cdr:from>
    <cdr:to>
      <cdr:x>0.95751</cdr:x>
      <cdr:y>0.98638</cdr:y>
    </cdr:to>
    <cdr:sp macro="" textlink="">
      <cdr:nvSpPr>
        <cdr:cNvPr id="2" name="TextBox 1">
          <a:extLst xmlns:a="http://schemas.openxmlformats.org/drawingml/2006/main">
            <a:ext uri="{FF2B5EF4-FFF2-40B4-BE49-F238E27FC236}">
              <a16:creationId xmlns:a16="http://schemas.microsoft.com/office/drawing/2014/main" id="{6B9AAD4A-9FD1-4E06-B335-9F23EEDE91C4}"/>
            </a:ext>
          </a:extLst>
        </cdr:cNvPr>
        <cdr:cNvSpPr txBox="1"/>
      </cdr:nvSpPr>
      <cdr:spPr>
        <a:xfrm xmlns:a="http://schemas.openxmlformats.org/drawingml/2006/main">
          <a:off x="0" y="3209925"/>
          <a:ext cx="56959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200"/>
        </a:p>
      </cdr:txBody>
    </cdr:sp>
  </cdr:relSizeAnchor>
</c:userShape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E3486-A83F-492A-9420-2B356AECD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174</Pages>
  <Words>324648</Words>
  <Characters>185050</Characters>
  <Application>Microsoft Office Word</Application>
  <DocSecurity>0</DocSecurity>
  <Lines>1542</Lines>
  <Paragraphs>1017</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508681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Vasiljeva</dc:creator>
  <cp:keywords/>
  <dc:description/>
  <cp:lastModifiedBy>Sanita Vasiljeva</cp:lastModifiedBy>
  <cp:revision>2</cp:revision>
  <cp:lastPrinted>2020-11-05T10:09:00Z</cp:lastPrinted>
  <dcterms:created xsi:type="dcterms:W3CDTF">2020-11-30T11:48:00Z</dcterms:created>
  <dcterms:modified xsi:type="dcterms:W3CDTF">2020-11-30T11:48:00Z</dcterms:modified>
</cp:coreProperties>
</file>