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C40" w:rsidRPr="00EC0C40" w:rsidRDefault="00EC0C40" w:rsidP="00835409">
      <w:pPr>
        <w:shd w:val="clear" w:color="auto" w:fill="FFFFFF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EC0C40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lv-LV"/>
        </w:rPr>
        <w:t xml:space="preserve">Informācija ilgstošas sociālas aprūpes un sociālās rehabilitācijas institūciju </w:t>
      </w:r>
      <w:r w:rsidRPr="00EC0C40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klientu tuviniekiem</w:t>
      </w:r>
    </w:p>
    <w:p w:rsidR="00EC0C40" w:rsidRPr="00CD2AAD" w:rsidRDefault="00835409" w:rsidP="00CD2AA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CD2AAD">
        <w:rPr>
          <w:rFonts w:ascii="Times New Roman" w:eastAsia="Calibri" w:hAnsi="Times New Roman" w:cs="Times New Roman"/>
          <w:sz w:val="26"/>
          <w:szCs w:val="26"/>
        </w:rPr>
        <w:t>S</w:t>
      </w:r>
      <w:r w:rsidR="00DD2324" w:rsidRPr="00CD2AAD">
        <w:rPr>
          <w:rFonts w:ascii="Times New Roman" w:eastAsia="Calibri" w:hAnsi="Times New Roman" w:cs="Times New Roman"/>
          <w:sz w:val="26"/>
          <w:szCs w:val="26"/>
        </w:rPr>
        <w:t>askaņā ar Eiropas Slimību profilakses un kontroles centra (ECDC) novērtējumu</w:t>
      </w:r>
      <w:r w:rsidR="00DD2324" w:rsidRPr="00CD2AAD">
        <w:rPr>
          <w:rFonts w:ascii="Times New Roman" w:eastAsia="Calibri" w:hAnsi="Times New Roman" w:cs="Times New Roman"/>
          <w:sz w:val="26"/>
          <w:szCs w:val="26"/>
          <w:vertAlign w:val="superscript"/>
        </w:rPr>
        <w:footnoteReference w:id="1"/>
      </w:r>
      <w:r w:rsidR="00DD2324" w:rsidRPr="00CD2AAD">
        <w:rPr>
          <w:rFonts w:ascii="Times New Roman" w:eastAsia="Calibri" w:hAnsi="Times New Roman" w:cs="Times New Roman"/>
          <w:sz w:val="26"/>
          <w:szCs w:val="26"/>
        </w:rPr>
        <w:t xml:space="preserve"> Eiropas Savienības un Eiropas Ekonomikas zonas valstīs augsta Covid-19 saslimstība un mirstība novērota ilgstošās aprūpes iestādēs, kas rada nopietnas problēmas infekcijas profilaksei un kontrolei šādās iestādēs. Saistībā ar minēto S</w:t>
      </w:r>
      <w:r w:rsidR="00F10799" w:rsidRPr="00CD2AAD">
        <w:rPr>
          <w:rFonts w:ascii="Times New Roman" w:eastAsia="Calibri" w:hAnsi="Times New Roman" w:cs="Times New Roman"/>
          <w:sz w:val="26"/>
          <w:szCs w:val="26"/>
        </w:rPr>
        <w:t>limību profilakses un kontroles centrs (S</w:t>
      </w:r>
      <w:r w:rsidR="00DD2324" w:rsidRPr="00CD2AAD">
        <w:rPr>
          <w:rFonts w:ascii="Times New Roman" w:eastAsia="Calibri" w:hAnsi="Times New Roman" w:cs="Times New Roman"/>
          <w:sz w:val="26"/>
          <w:szCs w:val="26"/>
        </w:rPr>
        <w:t>PKC</w:t>
      </w:r>
      <w:r w:rsidR="00F10799" w:rsidRPr="00CD2AAD">
        <w:rPr>
          <w:rFonts w:ascii="Times New Roman" w:eastAsia="Calibri" w:hAnsi="Times New Roman" w:cs="Times New Roman"/>
          <w:sz w:val="26"/>
          <w:szCs w:val="26"/>
        </w:rPr>
        <w:t>)</w:t>
      </w:r>
      <w:r w:rsidR="00DD2324" w:rsidRPr="00CD2AAD">
        <w:rPr>
          <w:rFonts w:ascii="Times New Roman" w:eastAsia="Calibri" w:hAnsi="Times New Roman" w:cs="Times New Roman"/>
          <w:sz w:val="26"/>
          <w:szCs w:val="26"/>
        </w:rPr>
        <w:t xml:space="preserve"> ir norādījis, ka ir ļoti svarīgi spēt ātri identificēt, novērtēt un kontrolēt COVID-19 uzliesmojumus </w:t>
      </w:r>
      <w:r w:rsidR="00DD2324" w:rsidRPr="00CD2AAD">
        <w:rPr>
          <w:rFonts w:ascii="Times New Roman" w:eastAsia="Calibri" w:hAnsi="Times New Roman" w:cs="Times New Roman"/>
          <w:bCs/>
          <w:sz w:val="26"/>
          <w:szCs w:val="26"/>
        </w:rPr>
        <w:t>institūcijās</w:t>
      </w:r>
      <w:r w:rsidR="00DD2324" w:rsidRPr="00CD2AAD">
        <w:rPr>
          <w:rFonts w:ascii="Times New Roman" w:eastAsia="Calibri" w:hAnsi="Times New Roman" w:cs="Times New Roman"/>
          <w:sz w:val="26"/>
          <w:szCs w:val="26"/>
        </w:rPr>
        <w:t xml:space="preserve">, lai aizsargātu sabiedrības daļu ar augstu inficēšanās un masveida saslimšanas risku. Tādējādi, ievērojot augsto inficēšanās risku institūcijās, atsevišķi ierobežojumi saglabāti arī </w:t>
      </w:r>
      <w:r w:rsidR="00F10799" w:rsidRPr="00CD2AAD">
        <w:rPr>
          <w:rFonts w:ascii="Times New Roman" w:eastAsia="Calibri" w:hAnsi="Times New Roman" w:cs="Times New Roman"/>
          <w:sz w:val="26"/>
          <w:szCs w:val="26"/>
        </w:rPr>
        <w:t>šobrīd, tai skaitā arī</w:t>
      </w:r>
      <w:r w:rsidR="00D9783C" w:rsidRPr="00CD2AAD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357BDC" w:rsidRPr="00CD2AAD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attiecībā uz </w:t>
      </w:r>
      <w:r w:rsidR="00EC0C40" w:rsidRPr="00EC0C40">
        <w:rPr>
          <w:rFonts w:ascii="Times New Roman" w:eastAsia="Times New Roman" w:hAnsi="Times New Roman" w:cs="Times New Roman"/>
          <w:sz w:val="26"/>
          <w:szCs w:val="26"/>
          <w:lang w:eastAsia="lv-LV"/>
        </w:rPr>
        <w:t>ilgstošas sociālas aprūpes un sociālās rehabilitācijas institūcij</w:t>
      </w:r>
      <w:r w:rsidR="00F10799" w:rsidRPr="00CD2AAD">
        <w:rPr>
          <w:rFonts w:ascii="Times New Roman" w:eastAsia="Times New Roman" w:hAnsi="Times New Roman" w:cs="Times New Roman"/>
          <w:sz w:val="26"/>
          <w:szCs w:val="26"/>
          <w:lang w:eastAsia="lv-LV"/>
        </w:rPr>
        <w:t>u</w:t>
      </w:r>
      <w:r w:rsidR="00EC0C40" w:rsidRPr="00EC0C40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(SAC) </w:t>
      </w:r>
      <w:r w:rsidR="00F10799" w:rsidRPr="00CD2AAD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klientu </w:t>
      </w:r>
      <w:r w:rsidR="00D85586" w:rsidRPr="00CD2AAD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tuvinieku </w:t>
      </w:r>
      <w:r w:rsidR="00F10799" w:rsidRPr="00CD2AAD">
        <w:rPr>
          <w:rFonts w:ascii="Times New Roman" w:eastAsia="Times New Roman" w:hAnsi="Times New Roman" w:cs="Times New Roman"/>
          <w:sz w:val="26"/>
          <w:szCs w:val="26"/>
          <w:lang w:eastAsia="lv-LV"/>
        </w:rPr>
        <w:t>apmeklējumiem.</w:t>
      </w:r>
    </w:p>
    <w:p w:rsidR="00D85586" w:rsidRPr="00CD2AAD" w:rsidRDefault="00357BDC" w:rsidP="00C9157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D2AAD">
        <w:rPr>
          <w:rFonts w:ascii="Times New Roman" w:eastAsia="Times New Roman" w:hAnsi="Times New Roman" w:cs="Times New Roman"/>
          <w:sz w:val="26"/>
          <w:szCs w:val="26"/>
          <w:lang w:eastAsia="lv-LV"/>
        </w:rPr>
        <w:t>Ieteikumi ierobežojošo pasākumu piemērošanai</w:t>
      </w:r>
      <w:r w:rsidRPr="00CD2AAD">
        <w:rPr>
          <w:rStyle w:val="FootnoteReference"/>
          <w:rFonts w:ascii="Times New Roman" w:eastAsia="Times New Roman" w:hAnsi="Times New Roman" w:cs="Times New Roman"/>
          <w:sz w:val="26"/>
          <w:szCs w:val="26"/>
          <w:lang w:eastAsia="lv-LV"/>
        </w:rPr>
        <w:footnoteReference w:id="2"/>
      </w:r>
      <w:r w:rsidRPr="00CD2AAD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minētajās institūcijās ir izstrādāti </w:t>
      </w:r>
      <w:r w:rsidR="00C9157E" w:rsidRPr="00CD2AAD">
        <w:rPr>
          <w:rStyle w:val="Emphasis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sadarbībā ar </w:t>
      </w:r>
      <w:r w:rsidRPr="00CD2AAD">
        <w:rPr>
          <w:rStyle w:val="Emphasis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Veselības ministriju</w:t>
      </w:r>
      <w:r w:rsidRPr="00CD2AAD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un attiecībā uz klientu </w:t>
      </w:r>
      <w:r w:rsidR="00D85586" w:rsidRPr="00CD2AAD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tuvinieku </w:t>
      </w:r>
      <w:r w:rsidRPr="00CD2AAD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apmeklējumiem </w:t>
      </w:r>
      <w:r w:rsidR="00C9157E" w:rsidRPr="00CD2AAD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tie </w:t>
      </w:r>
      <w:r w:rsidRPr="00CD2AAD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nosaka, ka  </w:t>
      </w:r>
      <w:r w:rsidR="00C9157E" w:rsidRPr="00CD2AAD">
        <w:rPr>
          <w:rFonts w:ascii="Times New Roman" w:eastAsia="Times New Roman" w:hAnsi="Times New Roman" w:cs="Times New Roman"/>
          <w:sz w:val="26"/>
          <w:szCs w:val="26"/>
          <w:lang w:eastAsia="lv-LV"/>
        </w:rPr>
        <w:t>apmeklējumi ir saskaņojami ar SAC administrāciju</w:t>
      </w:r>
      <w:r w:rsidR="00D85586" w:rsidRPr="00CD2AAD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, lai saskaņotu apmeklējuma laiku un varētu nodrošināt darbinieku klātbūtni un </w:t>
      </w:r>
      <w:r w:rsidR="00D85586" w:rsidRPr="00CD2AAD">
        <w:rPr>
          <w:rFonts w:ascii="Times New Roman" w:hAnsi="Times New Roman" w:cs="Times New Roman"/>
          <w:sz w:val="26"/>
          <w:szCs w:val="26"/>
        </w:rPr>
        <w:t>epidemioloģiskās drošības pasākumu ievērošan</w:t>
      </w:r>
      <w:r w:rsidR="00D85586" w:rsidRPr="00CD2AAD">
        <w:rPr>
          <w:rFonts w:ascii="Times New Roman" w:hAnsi="Times New Roman" w:cs="Times New Roman"/>
          <w:sz w:val="26"/>
          <w:szCs w:val="26"/>
        </w:rPr>
        <w:t xml:space="preserve">u </w:t>
      </w:r>
      <w:r w:rsidR="00D85586" w:rsidRPr="00CD2AAD">
        <w:rPr>
          <w:rFonts w:ascii="Times New Roman" w:hAnsi="Times New Roman" w:cs="Times New Roman"/>
          <w:sz w:val="26"/>
          <w:szCs w:val="26"/>
        </w:rPr>
        <w:t xml:space="preserve">(t.sk. ja iespējams, </w:t>
      </w:r>
      <w:r w:rsidR="00D85586" w:rsidRPr="00CD2AAD">
        <w:rPr>
          <w:rFonts w:ascii="Times New Roman" w:hAnsi="Times New Roman" w:cs="Times New Roman"/>
          <w:sz w:val="26"/>
          <w:szCs w:val="26"/>
        </w:rPr>
        <w:t xml:space="preserve">apmeklējumi organizējami arī </w:t>
      </w:r>
      <w:r w:rsidR="00D85586" w:rsidRPr="00CD2AAD">
        <w:rPr>
          <w:rFonts w:ascii="Times New Roman" w:hAnsi="Times New Roman" w:cs="Times New Roman"/>
          <w:sz w:val="26"/>
          <w:szCs w:val="26"/>
        </w:rPr>
        <w:t>darba dienu vakaros un brīvdienās).</w:t>
      </w:r>
    </w:p>
    <w:p w:rsidR="00C9157E" w:rsidRPr="00CD2AAD" w:rsidRDefault="00D85586" w:rsidP="00C9157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D2AAD">
        <w:rPr>
          <w:rFonts w:ascii="Times New Roman" w:hAnsi="Times New Roman" w:cs="Times New Roman"/>
          <w:sz w:val="26"/>
          <w:szCs w:val="26"/>
        </w:rPr>
        <w:t xml:space="preserve">Apmeklējumi ir </w:t>
      </w:r>
      <w:r w:rsidR="00C9157E" w:rsidRPr="00CD2AAD">
        <w:rPr>
          <w:rFonts w:ascii="Times New Roman" w:hAnsi="Times New Roman" w:cs="Times New Roman"/>
          <w:sz w:val="26"/>
          <w:szCs w:val="26"/>
        </w:rPr>
        <w:t>atļaut</w:t>
      </w:r>
      <w:r w:rsidRPr="00CD2AAD">
        <w:rPr>
          <w:rFonts w:ascii="Times New Roman" w:hAnsi="Times New Roman" w:cs="Times New Roman"/>
          <w:sz w:val="26"/>
          <w:szCs w:val="26"/>
        </w:rPr>
        <w:t>i</w:t>
      </w:r>
      <w:r w:rsidR="00C9157E" w:rsidRPr="00CD2AAD">
        <w:rPr>
          <w:rFonts w:ascii="Times New Roman" w:hAnsi="Times New Roman" w:cs="Times New Roman"/>
          <w:sz w:val="26"/>
          <w:szCs w:val="26"/>
        </w:rPr>
        <w:t xml:space="preserve">, ja tuvinieks 14 dienu laikā nav uzturējies valstī, kas </w:t>
      </w:r>
      <w:r w:rsidR="00C9157E" w:rsidRPr="00CD2AAD">
        <w:rPr>
          <w:rFonts w:ascii="Times New Roman" w:hAnsi="Times New Roman" w:cs="Times New Roman"/>
          <w:sz w:val="26"/>
          <w:szCs w:val="26"/>
        </w:rPr>
        <w:t>SPKC</w:t>
      </w:r>
      <w:r w:rsidR="00C9157E" w:rsidRPr="00CD2AAD">
        <w:rPr>
          <w:rFonts w:ascii="Times New Roman" w:hAnsi="Times New Roman" w:cs="Times New Roman"/>
          <w:spacing w:val="6"/>
          <w:sz w:val="26"/>
          <w:szCs w:val="26"/>
        </w:rPr>
        <w:t xml:space="preserve"> mājaslapā publicēta kā valsts, </w:t>
      </w:r>
      <w:r w:rsidR="00C9157E" w:rsidRPr="00CD2AAD">
        <w:rPr>
          <w:rFonts w:ascii="Times New Roman" w:hAnsi="Times New Roman" w:cs="Times New Roman"/>
          <w:sz w:val="26"/>
          <w:szCs w:val="26"/>
        </w:rPr>
        <w:t>uz kuru ir attiecināmi īpašie piesardzības un ierobežojošie pasākumi, nav bijis ciešā kontaktā ar COVID-19 infekcijas slimnieku vai cilvēku, kurš atrodas mājas karantīnā, un nav COVID-19 raksturīgo klīnisko simptomu (t</w:t>
      </w:r>
      <w:r w:rsidR="00C9157E" w:rsidRPr="00CD2AAD">
        <w:rPr>
          <w:rFonts w:ascii="Times New Roman" w:hAnsi="Times New Roman" w:cs="Times New Roman"/>
          <w:sz w:val="26"/>
          <w:szCs w:val="26"/>
        </w:rPr>
        <w:t xml:space="preserve">ai </w:t>
      </w:r>
      <w:r w:rsidR="00C9157E" w:rsidRPr="00CD2AAD">
        <w:rPr>
          <w:rFonts w:ascii="Times New Roman" w:hAnsi="Times New Roman" w:cs="Times New Roman"/>
          <w:sz w:val="26"/>
          <w:szCs w:val="26"/>
        </w:rPr>
        <w:t>sk</w:t>
      </w:r>
      <w:r w:rsidR="00C9157E" w:rsidRPr="00CD2AAD">
        <w:rPr>
          <w:rFonts w:ascii="Times New Roman" w:hAnsi="Times New Roman" w:cs="Times New Roman"/>
          <w:sz w:val="26"/>
          <w:szCs w:val="26"/>
        </w:rPr>
        <w:t>aitā</w:t>
      </w:r>
      <w:r w:rsidR="00C9157E" w:rsidRPr="00CD2AAD">
        <w:rPr>
          <w:rFonts w:ascii="Times New Roman" w:hAnsi="Times New Roman" w:cs="Times New Roman"/>
          <w:sz w:val="26"/>
          <w:szCs w:val="26"/>
        </w:rPr>
        <w:t xml:space="preserve"> temperatūra).</w:t>
      </w:r>
      <w:r w:rsidR="00C9157E" w:rsidRPr="00CD2AAD">
        <w:rPr>
          <w:rFonts w:ascii="Times New Roman" w:hAnsi="Times New Roman" w:cs="Times New Roman"/>
          <w:sz w:val="26"/>
          <w:szCs w:val="26"/>
        </w:rPr>
        <w:t xml:space="preserve"> </w:t>
      </w:r>
      <w:r w:rsidRPr="00CD2AAD">
        <w:rPr>
          <w:rFonts w:ascii="Times New Roman" w:hAnsi="Times New Roman" w:cs="Times New Roman"/>
          <w:sz w:val="26"/>
          <w:szCs w:val="26"/>
        </w:rPr>
        <w:t>V</w:t>
      </w:r>
      <w:r w:rsidRPr="00CD2AAD">
        <w:rPr>
          <w:rFonts w:ascii="Times New Roman" w:hAnsi="Times New Roman" w:cs="Times New Roman"/>
          <w:sz w:val="26"/>
          <w:szCs w:val="26"/>
        </w:rPr>
        <w:t>ienā apmeklējuma reizē ne vairāk kā viena persona, izņemot, ja apmeklētāji ir vairāki vienā mājsaimniecībā dzīvojoši vienas ģimenes locekļi.</w:t>
      </w:r>
    </w:p>
    <w:p w:rsidR="00C9157E" w:rsidRPr="00CD2AAD" w:rsidRDefault="00C9157E" w:rsidP="00C9157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D2AAD">
        <w:rPr>
          <w:rFonts w:ascii="Times New Roman" w:hAnsi="Times New Roman" w:cs="Times New Roman"/>
          <w:sz w:val="26"/>
          <w:szCs w:val="26"/>
        </w:rPr>
        <w:t xml:space="preserve">Labvēlīgos laika apstākļos </w:t>
      </w:r>
      <w:r w:rsidRPr="00CD2AAD">
        <w:rPr>
          <w:rFonts w:ascii="Times New Roman" w:hAnsi="Times New Roman" w:cs="Times New Roman"/>
          <w:sz w:val="26"/>
          <w:szCs w:val="26"/>
        </w:rPr>
        <w:t xml:space="preserve">ieteikts </w:t>
      </w:r>
      <w:r w:rsidRPr="00CD2AAD">
        <w:rPr>
          <w:rFonts w:ascii="Times New Roman" w:hAnsi="Times New Roman" w:cs="Times New Roman"/>
          <w:sz w:val="26"/>
          <w:szCs w:val="26"/>
        </w:rPr>
        <w:t xml:space="preserve">tikšanos organizēt </w:t>
      </w:r>
      <w:r w:rsidRPr="00CD2AAD">
        <w:rPr>
          <w:rFonts w:ascii="Times New Roman" w:hAnsi="Times New Roman" w:cs="Times New Roman"/>
          <w:sz w:val="26"/>
          <w:szCs w:val="26"/>
        </w:rPr>
        <w:t>SAC</w:t>
      </w:r>
      <w:r w:rsidRPr="00CD2AAD">
        <w:rPr>
          <w:rFonts w:ascii="Times New Roman" w:hAnsi="Times New Roman" w:cs="Times New Roman"/>
          <w:sz w:val="26"/>
          <w:szCs w:val="26"/>
        </w:rPr>
        <w:t xml:space="preserve"> teritorijā, dārzā, lapenē, ievērojot 2 m distancēšanos. </w:t>
      </w:r>
    </w:p>
    <w:p w:rsidR="00CD2AAD" w:rsidRPr="00CD2AAD" w:rsidRDefault="00CD2AAD" w:rsidP="00C9157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9157E" w:rsidRPr="00C9157E" w:rsidRDefault="00C9157E" w:rsidP="00C9157E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2AAD">
        <w:rPr>
          <w:rFonts w:ascii="Times New Roman" w:hAnsi="Times New Roman" w:cs="Times New Roman"/>
          <w:sz w:val="26"/>
          <w:szCs w:val="26"/>
        </w:rPr>
        <w:t xml:space="preserve">Apmeklējuma laikā gan klientam, gan tuviniekam </w:t>
      </w:r>
      <w:r w:rsidRPr="00C915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jānodrošina individuālo aizsardzības līdzekļu (maskas) un dezinfekcijas līdzekļu pieejamība, kā arī jāuzrauga to lietošana. Ja tikšanās tiek organizēta </w:t>
      </w:r>
      <w:r w:rsidRPr="00C9157E">
        <w:rPr>
          <w:rFonts w:ascii="Times New Roman" w:eastAsia="Times New Roman" w:hAnsi="Times New Roman" w:cs="Times New Roman"/>
          <w:sz w:val="26"/>
          <w:szCs w:val="26"/>
        </w:rPr>
        <w:t>īpaši aprīkotā apmeklējumu telpā, kur iespējams sarunāties caur stiklu pa telefonu vai izmantojot citus tehniskus risinājumus, individuālie aizsardzības līdzekļi nav jālieto</w:t>
      </w:r>
      <w:r w:rsidR="00D8558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C0C40" w:rsidRPr="00EC0C40" w:rsidRDefault="00D85586" w:rsidP="00EC0C4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lv-LV"/>
        </w:rPr>
      </w:pPr>
      <w:r w:rsidRPr="00CD2AAD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lv-LV"/>
        </w:rPr>
        <w:t>L</w:t>
      </w:r>
      <w:r w:rsidR="00EC0C40" w:rsidRPr="00EC0C40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lv-LV"/>
        </w:rPr>
        <w:t xml:space="preserve">ūdzam tuviniekus, radiniekus un draugus būt saprotošiem un ievērot noteiktos </w:t>
      </w:r>
      <w:r w:rsidR="003E50B3" w:rsidRPr="00CD2AAD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lv-LV"/>
        </w:rPr>
        <w:t xml:space="preserve">ierobežojošos </w:t>
      </w:r>
      <w:r w:rsidR="00EC0C40" w:rsidRPr="00EC0C40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lv-LV"/>
        </w:rPr>
        <w:t>pasākumus</w:t>
      </w:r>
      <w:r w:rsidRPr="00CD2AAD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lv-LV"/>
        </w:rPr>
        <w:t xml:space="preserve">, lai pasargātu </w:t>
      </w:r>
      <w:r w:rsidR="00EC0C40" w:rsidRPr="00EC0C40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lv-LV"/>
        </w:rPr>
        <w:t xml:space="preserve">no iespējas inficēt ar COVID–19 vīrusu savus tuviniekus un citus SAC klientus, </w:t>
      </w:r>
      <w:bookmarkStart w:id="0" w:name="_GoBack"/>
      <w:bookmarkEnd w:id="0"/>
      <w:r w:rsidR="00EC0C40" w:rsidRPr="00EC0C40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lv-LV"/>
        </w:rPr>
        <w:t>kā arī darbiniekus, kuriem šis ir ļoti spraigs darba periods. </w:t>
      </w:r>
    </w:p>
    <w:p w:rsidR="00D9783C" w:rsidRPr="00C9157E" w:rsidRDefault="00EC0C40" w:rsidP="00EC0C4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lv-LV"/>
        </w:rPr>
      </w:pPr>
      <w:r w:rsidRPr="00EC0C40">
        <w:rPr>
          <w:rFonts w:ascii="Times New Roman" w:eastAsia="Times New Roman" w:hAnsi="Times New Roman" w:cs="Times New Roman"/>
          <w:color w:val="333333"/>
          <w:sz w:val="26"/>
          <w:szCs w:val="26"/>
          <w:lang w:eastAsia="lv-LV"/>
        </w:rPr>
        <w:t>Saziņai  lūdzam izmantot SAC mājas lapās pieejamos tālruņa numurus. Visu informāciju par saziņu ar tuviniekiem sniegs SAC darbinieki.</w:t>
      </w:r>
    </w:p>
    <w:p w:rsidR="00C9157E" w:rsidRPr="00C9157E" w:rsidRDefault="00C61426" w:rsidP="00CD2AA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915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sectPr w:rsidR="00C9157E" w:rsidRPr="00C9157E" w:rsidSect="00CD2AAD">
      <w:pgSz w:w="11906" w:h="16838"/>
      <w:pgMar w:top="1191" w:right="1418" w:bottom="119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E63" w:rsidRDefault="000D2E63" w:rsidP="00DD2324">
      <w:pPr>
        <w:spacing w:after="0" w:line="240" w:lineRule="auto"/>
      </w:pPr>
      <w:r>
        <w:separator/>
      </w:r>
    </w:p>
  </w:endnote>
  <w:endnote w:type="continuationSeparator" w:id="0">
    <w:p w:rsidR="000D2E63" w:rsidRDefault="000D2E63" w:rsidP="00DD2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E63" w:rsidRDefault="000D2E63" w:rsidP="00DD2324">
      <w:pPr>
        <w:spacing w:after="0" w:line="240" w:lineRule="auto"/>
      </w:pPr>
      <w:r>
        <w:separator/>
      </w:r>
    </w:p>
  </w:footnote>
  <w:footnote w:type="continuationSeparator" w:id="0">
    <w:p w:rsidR="000D2E63" w:rsidRDefault="000D2E63" w:rsidP="00DD2324">
      <w:pPr>
        <w:spacing w:after="0" w:line="240" w:lineRule="auto"/>
      </w:pPr>
      <w:r>
        <w:continuationSeparator/>
      </w:r>
    </w:p>
  </w:footnote>
  <w:footnote w:id="1">
    <w:p w:rsidR="00DD2324" w:rsidRPr="003F3190" w:rsidRDefault="00DD2324" w:rsidP="00DD2324">
      <w:pPr>
        <w:pStyle w:val="FootnoteText"/>
        <w:jc w:val="both"/>
        <w:rPr>
          <w:color w:val="0000FF"/>
          <w:lang w:val="en-GB"/>
        </w:rPr>
      </w:pPr>
      <w:r w:rsidRPr="00CC35D4">
        <w:rPr>
          <w:rStyle w:val="FootnoteReference"/>
          <w:rFonts w:eastAsia="Calibri"/>
          <w:lang w:val="en-GB"/>
        </w:rPr>
        <w:footnoteRef/>
      </w:r>
      <w:r w:rsidRPr="00CC35D4">
        <w:rPr>
          <w:lang w:val="en-GB"/>
        </w:rPr>
        <w:t xml:space="preserve"> ECDC. Surveillance of COVID-19 at long-term care facilities in</w:t>
      </w:r>
      <w:r w:rsidRPr="00963026">
        <w:rPr>
          <w:lang w:val="en-GB"/>
        </w:rPr>
        <w:t xml:space="preserve"> the EU/EEA. Technical Report. – 19 May 2020: </w:t>
      </w:r>
      <w:hyperlink r:id="rId1" w:history="1">
        <w:r w:rsidRPr="003F3190">
          <w:rPr>
            <w:rStyle w:val="Hyperlink1"/>
            <w:color w:val="0000FF"/>
            <w:lang w:val="en-GB"/>
          </w:rPr>
          <w:t>https://www.ecdc.europa.eu/sites/default/files/documents/covid-19-long-term-care-facilities-surveillance-guidance.pdf</w:t>
        </w:r>
      </w:hyperlink>
      <w:r w:rsidRPr="003F3190">
        <w:rPr>
          <w:color w:val="0000FF"/>
          <w:lang w:val="en-GB"/>
        </w:rPr>
        <w:t>.</w:t>
      </w:r>
    </w:p>
  </w:footnote>
  <w:footnote w:id="2">
    <w:p w:rsidR="00357BDC" w:rsidRPr="00357BDC" w:rsidRDefault="00357BDC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hyperlink r:id="rId2" w:history="1">
        <w:r>
          <w:rPr>
            <w:rStyle w:val="Hyperlink"/>
          </w:rPr>
          <w:t>http://www.lm.gov.lv/lv/?option=com_content&amp;view=article&amp;id=91683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87049"/>
    <w:multiLevelType w:val="multilevel"/>
    <w:tmpl w:val="D1320B0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750" w:hanging="390"/>
      </w:pPr>
      <w:rPr>
        <w:rFonts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1110" w:hanging="39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  <w:sz w:val="2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40"/>
    <w:rsid w:val="000D2E63"/>
    <w:rsid w:val="00357BDC"/>
    <w:rsid w:val="003E50B3"/>
    <w:rsid w:val="00835409"/>
    <w:rsid w:val="00C61426"/>
    <w:rsid w:val="00C9157E"/>
    <w:rsid w:val="00CD2AAD"/>
    <w:rsid w:val="00D005D0"/>
    <w:rsid w:val="00D85586"/>
    <w:rsid w:val="00D9783C"/>
    <w:rsid w:val="00DD2324"/>
    <w:rsid w:val="00EC0C40"/>
    <w:rsid w:val="00F1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9C7A78"/>
  <w15:chartTrackingRefBased/>
  <w15:docId w15:val="{2E95F376-A325-4B07-BF45-5460FF86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C0C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0C40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EC0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pacing">
    <w:name w:val="No Spacing"/>
    <w:uiPriority w:val="1"/>
    <w:qFormat/>
    <w:rsid w:val="00C61426"/>
    <w:pPr>
      <w:spacing w:after="0" w:line="240" w:lineRule="auto"/>
      <w:jc w:val="both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D23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2324"/>
    <w:rPr>
      <w:sz w:val="20"/>
      <w:szCs w:val="20"/>
    </w:rPr>
  </w:style>
  <w:style w:type="character" w:styleId="FootnoteReference">
    <w:name w:val="footnote reference"/>
    <w:aliases w:val="Footnote Refernece,Footnote Reference Number,Footnote symbol,SUPERS,ftref,stylish,BVI fnr,Fußnotenzeichen_Raxen,callout,Footnote Reference Superscript"/>
    <w:uiPriority w:val="99"/>
    <w:rsid w:val="00DD2324"/>
    <w:rPr>
      <w:vertAlign w:val="superscript"/>
    </w:rPr>
  </w:style>
  <w:style w:type="character" w:customStyle="1" w:styleId="Hyperlink1">
    <w:name w:val="Hyperlink1"/>
    <w:uiPriority w:val="99"/>
    <w:unhideWhenUsed/>
    <w:rsid w:val="00DD2324"/>
    <w:rPr>
      <w:color w:val="0563C1"/>
      <w:u w:val="single"/>
    </w:rPr>
  </w:style>
  <w:style w:type="character" w:styleId="Emphasis">
    <w:name w:val="Emphasis"/>
    <w:basedOn w:val="DefaultParagraphFont"/>
    <w:uiPriority w:val="20"/>
    <w:qFormat/>
    <w:rsid w:val="00357BD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57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8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5585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904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m.gov.lv/lv/?option=com_content&amp;view=article&amp;id=91683" TargetMode="External"/><Relationship Id="rId1" Type="http://schemas.openxmlformats.org/officeDocument/2006/relationships/hyperlink" Target="https://www.ecdc.europa.eu/sites/default/files/documents/covid-19-long-term-care-facilities-surveillance-guidan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CC153-E95F-488E-80AA-8E4AAEA12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1732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Egita Dorozkina</dc:creator>
  <cp:keywords/>
  <dc:description/>
  <cp:lastModifiedBy>Egita Dorozkina</cp:lastModifiedBy>
  <cp:revision>3</cp:revision>
  <dcterms:created xsi:type="dcterms:W3CDTF">2020-09-03T07:12:00Z</dcterms:created>
  <dcterms:modified xsi:type="dcterms:W3CDTF">2020-09-03T09:32:00Z</dcterms:modified>
</cp:coreProperties>
</file>