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AD5" w:rsidRDefault="00BC7AD5" w:rsidP="00BC7AD5">
      <w:pPr>
        <w:pStyle w:val="Default"/>
      </w:pPr>
    </w:p>
    <w:p w:rsidR="00BC7AD5" w:rsidRPr="00BC7AD5" w:rsidRDefault="00BC7AD5" w:rsidP="00BC7AD5">
      <w:pPr>
        <w:jc w:val="center"/>
        <w:rPr>
          <w:rFonts w:ascii="Times New Roman" w:hAnsi="Times New Roman" w:cs="Times New Roman"/>
          <w:b/>
          <w:bCs/>
          <w:sz w:val="24"/>
          <w:szCs w:val="24"/>
        </w:rPr>
      </w:pPr>
      <w:r w:rsidRPr="00BC7AD5">
        <w:rPr>
          <w:rFonts w:ascii="Times New Roman" w:hAnsi="Times New Roman" w:cs="Times New Roman"/>
          <w:b/>
          <w:bCs/>
          <w:sz w:val="24"/>
          <w:szCs w:val="24"/>
        </w:rPr>
        <w:t>Sociālo uzņēmumu komisijas darbība skaitļos 2021. gadā</w:t>
      </w:r>
    </w:p>
    <w:p w:rsidR="00BC7AD5" w:rsidRPr="00BC7AD5" w:rsidRDefault="00BC7AD5" w:rsidP="00BC7AD5">
      <w:pPr>
        <w:jc w:val="both"/>
        <w:rPr>
          <w:rFonts w:ascii="Times New Roman" w:hAnsi="Times New Roman" w:cs="Times New Roman"/>
          <w:sz w:val="24"/>
          <w:szCs w:val="24"/>
        </w:rPr>
      </w:pPr>
      <w:r w:rsidRPr="00BC7AD5">
        <w:rPr>
          <w:rFonts w:ascii="Times New Roman" w:hAnsi="Times New Roman" w:cs="Times New Roman"/>
          <w:sz w:val="24"/>
          <w:szCs w:val="24"/>
        </w:rPr>
        <w:t xml:space="preserve">10. decembrī notika 2021. gada pēdējā Sociālo uzņēmumu komisijas (turpmāk – komisija) sēde. Pavisam kopā 2021. gadā notika 17 komisijas sēdes, kurās izskatīja 91 sociālā uzņēmuma (SU) statusa iesniegumu (ieskaitot atkārtotās vērtēšanas reizes). Rezultātā: pozitīvu atzinumu par SU statusu saņēma 61 uzņēmums, 8 gadījumos iesniegumu rekomendēja neatbalstīt, bet 21 gadījumā iesnieguma izskatīšana tika atlikta atkārtotai skatīšanai. </w:t>
      </w:r>
    </w:p>
    <w:p w:rsidR="00BC7AD5" w:rsidRPr="00BC7AD5" w:rsidRDefault="00BC7AD5" w:rsidP="00BC7AD5">
      <w:pPr>
        <w:jc w:val="both"/>
        <w:rPr>
          <w:rFonts w:ascii="Times New Roman" w:hAnsi="Times New Roman" w:cs="Times New Roman"/>
          <w:sz w:val="24"/>
          <w:szCs w:val="24"/>
        </w:rPr>
      </w:pPr>
      <w:r w:rsidRPr="00BC7AD5">
        <w:rPr>
          <w:rFonts w:ascii="Times New Roman" w:hAnsi="Times New Roman" w:cs="Times New Roman"/>
          <w:sz w:val="24"/>
          <w:szCs w:val="24"/>
        </w:rPr>
        <w:t xml:space="preserve">Sociālo uzņēmumu gada darbības pārskatus komisija izskata par katru iepriekšējo gadu. 2021. gadā tika skatīti 130 sociālo uzņēmumu 2020.gada darbības pārskati. No tiem: pozitīvi tika vērtēti - 117 sociālie uzņēmumu gada darbības pārskati, statusu jau zaudējuši 10 uzņēmumi, bet vēl 3 sociālie uzņēmumi statusu var zaudēt tuvākajā laikā. </w:t>
      </w:r>
    </w:p>
    <w:p w:rsidR="00BC7AD5" w:rsidRPr="00BC7AD5" w:rsidRDefault="00BC7AD5" w:rsidP="00BC7AD5">
      <w:pPr>
        <w:jc w:val="both"/>
        <w:rPr>
          <w:rFonts w:ascii="Times New Roman" w:hAnsi="Times New Roman" w:cs="Times New Roman"/>
          <w:sz w:val="24"/>
          <w:szCs w:val="24"/>
        </w:rPr>
      </w:pPr>
      <w:r w:rsidRPr="00BC7AD5">
        <w:rPr>
          <w:rFonts w:ascii="Times New Roman" w:hAnsi="Times New Roman" w:cs="Times New Roman"/>
          <w:sz w:val="24"/>
          <w:szCs w:val="24"/>
        </w:rPr>
        <w:t xml:space="preserve">Kopš Sociālā uzņēmuma likuma stāšanās spēkā 01.04.2018., uz 10.12.2021. Labklājības ministrija (LM) piešķīrusi sociālā uzņēmuma statusu 219 uzņēmumiem, no tiem 194 ir aktīvi sociālie uzņēmumi, 25 uzņēmumiem SU statuss ir atcelts vai atņemts, 67 uzņēmumiem SU statuss noraidīts. </w:t>
      </w:r>
    </w:p>
    <w:p w:rsidR="00BC7AD5" w:rsidRPr="00BC7AD5" w:rsidRDefault="00BC7AD5" w:rsidP="00BC7AD5">
      <w:pPr>
        <w:jc w:val="both"/>
        <w:rPr>
          <w:rFonts w:ascii="Times New Roman" w:hAnsi="Times New Roman" w:cs="Times New Roman"/>
          <w:sz w:val="24"/>
          <w:szCs w:val="24"/>
        </w:rPr>
      </w:pPr>
      <w:r w:rsidRPr="00BC7AD5">
        <w:rPr>
          <w:rFonts w:ascii="Times New Roman" w:hAnsi="Times New Roman" w:cs="Times New Roman"/>
          <w:sz w:val="24"/>
          <w:szCs w:val="24"/>
        </w:rPr>
        <w:t xml:space="preserve">Savukārt uz 30.11.2021 </w:t>
      </w:r>
      <w:proofErr w:type="spellStart"/>
      <w:r w:rsidRPr="00BC7AD5">
        <w:rPr>
          <w:rFonts w:ascii="Times New Roman" w:hAnsi="Times New Roman" w:cs="Times New Roman"/>
          <w:sz w:val="24"/>
          <w:szCs w:val="24"/>
        </w:rPr>
        <w:t>Altum</w:t>
      </w:r>
      <w:proofErr w:type="spellEnd"/>
      <w:r w:rsidRPr="00BC7AD5">
        <w:rPr>
          <w:rFonts w:ascii="Times New Roman" w:hAnsi="Times New Roman" w:cs="Times New Roman"/>
          <w:sz w:val="24"/>
          <w:szCs w:val="24"/>
        </w:rPr>
        <w:t xml:space="preserve"> iesniegti 274 </w:t>
      </w:r>
      <w:proofErr w:type="spellStart"/>
      <w:r w:rsidRPr="00BC7AD5">
        <w:rPr>
          <w:rFonts w:ascii="Times New Roman" w:hAnsi="Times New Roman" w:cs="Times New Roman"/>
          <w:sz w:val="24"/>
          <w:szCs w:val="24"/>
        </w:rPr>
        <w:t>grantu</w:t>
      </w:r>
      <w:proofErr w:type="spellEnd"/>
      <w:r w:rsidRPr="00BC7AD5">
        <w:rPr>
          <w:rFonts w:ascii="Times New Roman" w:hAnsi="Times New Roman" w:cs="Times New Roman"/>
          <w:sz w:val="24"/>
          <w:szCs w:val="24"/>
        </w:rPr>
        <w:t xml:space="preserve"> pieteikumi, piešķirti granti 144 uzņēmumiem 8,9 </w:t>
      </w:r>
      <w:proofErr w:type="spellStart"/>
      <w:r w:rsidRPr="00BC7AD5">
        <w:rPr>
          <w:rFonts w:ascii="Times New Roman" w:hAnsi="Times New Roman" w:cs="Times New Roman"/>
          <w:sz w:val="24"/>
          <w:szCs w:val="24"/>
        </w:rPr>
        <w:t>mlj</w:t>
      </w:r>
      <w:proofErr w:type="spellEnd"/>
      <w:r w:rsidRPr="00BC7AD5">
        <w:rPr>
          <w:rFonts w:ascii="Times New Roman" w:hAnsi="Times New Roman" w:cs="Times New Roman"/>
          <w:sz w:val="24"/>
          <w:szCs w:val="24"/>
        </w:rPr>
        <w:t xml:space="preserve"> EUR apmērā. Noraidīti vai pretendents atteicies 99 </w:t>
      </w:r>
      <w:proofErr w:type="spellStart"/>
      <w:r w:rsidRPr="00BC7AD5">
        <w:rPr>
          <w:rFonts w:ascii="Times New Roman" w:hAnsi="Times New Roman" w:cs="Times New Roman"/>
          <w:sz w:val="24"/>
          <w:szCs w:val="24"/>
        </w:rPr>
        <w:t>grantu</w:t>
      </w:r>
      <w:proofErr w:type="spellEnd"/>
      <w:r w:rsidRPr="00BC7AD5">
        <w:rPr>
          <w:rFonts w:ascii="Times New Roman" w:hAnsi="Times New Roman" w:cs="Times New Roman"/>
          <w:sz w:val="24"/>
          <w:szCs w:val="24"/>
        </w:rPr>
        <w:t xml:space="preserve"> pieteikumu gadījumos. </w:t>
      </w:r>
      <w:proofErr w:type="spellStart"/>
      <w:r w:rsidRPr="00BC7AD5">
        <w:rPr>
          <w:rFonts w:ascii="Times New Roman" w:hAnsi="Times New Roman" w:cs="Times New Roman"/>
          <w:sz w:val="24"/>
          <w:szCs w:val="24"/>
        </w:rPr>
        <w:t>Altum</w:t>
      </w:r>
      <w:proofErr w:type="spellEnd"/>
      <w:r w:rsidRPr="00BC7AD5">
        <w:rPr>
          <w:rFonts w:ascii="Times New Roman" w:hAnsi="Times New Roman" w:cs="Times New Roman"/>
          <w:sz w:val="24"/>
          <w:szCs w:val="24"/>
        </w:rPr>
        <w:t xml:space="preserve"> noslēdzis </w:t>
      </w:r>
      <w:proofErr w:type="spellStart"/>
      <w:r w:rsidRPr="00BC7AD5">
        <w:rPr>
          <w:rFonts w:ascii="Times New Roman" w:hAnsi="Times New Roman" w:cs="Times New Roman"/>
          <w:sz w:val="24"/>
          <w:szCs w:val="24"/>
        </w:rPr>
        <w:t>granta</w:t>
      </w:r>
      <w:proofErr w:type="spellEnd"/>
      <w:r w:rsidRPr="00BC7AD5">
        <w:rPr>
          <w:rFonts w:ascii="Times New Roman" w:hAnsi="Times New Roman" w:cs="Times New Roman"/>
          <w:sz w:val="24"/>
          <w:szCs w:val="24"/>
        </w:rPr>
        <w:t xml:space="preserve"> līgumus ar 140 SU, 8,87 </w:t>
      </w:r>
      <w:proofErr w:type="spellStart"/>
      <w:r w:rsidRPr="00BC7AD5">
        <w:rPr>
          <w:rFonts w:ascii="Times New Roman" w:hAnsi="Times New Roman" w:cs="Times New Roman"/>
          <w:sz w:val="24"/>
          <w:szCs w:val="24"/>
        </w:rPr>
        <w:t>mlj.EUR</w:t>
      </w:r>
      <w:proofErr w:type="spellEnd"/>
      <w:r w:rsidRPr="00BC7AD5">
        <w:rPr>
          <w:rFonts w:ascii="Times New Roman" w:hAnsi="Times New Roman" w:cs="Times New Roman"/>
          <w:sz w:val="24"/>
          <w:szCs w:val="24"/>
        </w:rPr>
        <w:t xml:space="preserve">. Biznesa plānu īstenošanu pabeiguši 70 SU, 4,177 </w:t>
      </w:r>
      <w:proofErr w:type="spellStart"/>
      <w:r w:rsidRPr="00BC7AD5">
        <w:rPr>
          <w:rFonts w:ascii="Times New Roman" w:hAnsi="Times New Roman" w:cs="Times New Roman"/>
          <w:sz w:val="24"/>
          <w:szCs w:val="24"/>
        </w:rPr>
        <w:t>mlj.EUR</w:t>
      </w:r>
      <w:proofErr w:type="spellEnd"/>
      <w:r w:rsidRPr="00BC7AD5">
        <w:rPr>
          <w:rFonts w:ascii="Times New Roman" w:hAnsi="Times New Roman" w:cs="Times New Roman"/>
          <w:sz w:val="24"/>
          <w:szCs w:val="24"/>
        </w:rPr>
        <w:t xml:space="preserve"> apmērā. </w:t>
      </w:r>
    </w:p>
    <w:p w:rsidR="00BC7AD5" w:rsidRPr="00BC7AD5" w:rsidRDefault="00BC7AD5" w:rsidP="00BC7AD5">
      <w:pPr>
        <w:jc w:val="both"/>
        <w:rPr>
          <w:rFonts w:ascii="Times New Roman" w:hAnsi="Times New Roman" w:cs="Times New Roman"/>
          <w:sz w:val="24"/>
          <w:szCs w:val="24"/>
        </w:rPr>
      </w:pPr>
      <w:r w:rsidRPr="00BC7AD5">
        <w:rPr>
          <w:rFonts w:ascii="Times New Roman" w:hAnsi="Times New Roman" w:cs="Times New Roman"/>
          <w:sz w:val="24"/>
          <w:szCs w:val="24"/>
        </w:rPr>
        <w:t xml:space="preserve">Uz 10.decembri no aktīvajiem SU 28% ir darba integrācijas uzņēmumi. Tie ir uzņēmumi, kuru galvenā sociālā ietekme ir sabiedrības mērķa grupu nodarbināšana. 20% SU darbojas Izglītības jomā, 17% Sporta, veselības veicināšanas, medicīnas jomā, 11% iekļaujošas pilsoniskās sabiedrības veidošanas, kultūras daudzveidības jomā, 9% sociālās atstumtības riskam pakļauto iedzīvotāju grupu atbalsta jomā, 15% citās jomās. </w:t>
      </w:r>
    </w:p>
    <w:p w:rsidR="00BC7AD5" w:rsidRDefault="00BC7AD5" w:rsidP="00BC7AD5">
      <w:pPr>
        <w:jc w:val="both"/>
        <w:rPr>
          <w:rFonts w:ascii="Times New Roman" w:hAnsi="Times New Roman" w:cs="Times New Roman"/>
          <w:sz w:val="24"/>
          <w:szCs w:val="24"/>
        </w:rPr>
      </w:pPr>
      <w:r w:rsidRPr="00BC7AD5">
        <w:rPr>
          <w:rFonts w:ascii="Times New Roman" w:hAnsi="Times New Roman" w:cs="Times New Roman"/>
          <w:sz w:val="24"/>
          <w:szCs w:val="24"/>
        </w:rPr>
        <w:t>Teritoriāli 51% SU atrodas Rīgā, 21% Pierīgā, 10% Kurzemē, 9% Zemgalē, 5% Vidzemē un 4% Latgalē.</w:t>
      </w:r>
    </w:p>
    <w:p w:rsidR="00BC7AD5" w:rsidRDefault="00BC7AD5" w:rsidP="00BC7AD5">
      <w:pPr>
        <w:jc w:val="both"/>
        <w:rPr>
          <w:rFonts w:ascii="Times New Roman" w:hAnsi="Times New Roman" w:cs="Times New Roman"/>
          <w:sz w:val="24"/>
          <w:szCs w:val="24"/>
        </w:rPr>
      </w:pPr>
    </w:p>
    <w:p w:rsidR="00BC7AD5" w:rsidRDefault="00BC7AD5" w:rsidP="00BC7AD5">
      <w:pPr>
        <w:jc w:val="both"/>
        <w:rPr>
          <w:rFonts w:ascii="Times New Roman" w:hAnsi="Times New Roman" w:cs="Times New Roman"/>
          <w:sz w:val="24"/>
          <w:szCs w:val="24"/>
        </w:rPr>
      </w:pPr>
    </w:p>
    <w:p w:rsidR="00BC7AD5" w:rsidRDefault="00BC7AD5" w:rsidP="00BC7AD5">
      <w:pPr>
        <w:jc w:val="both"/>
        <w:rPr>
          <w:rFonts w:ascii="Times New Roman" w:hAnsi="Times New Roman" w:cs="Times New Roman"/>
          <w:sz w:val="24"/>
          <w:szCs w:val="24"/>
        </w:rPr>
      </w:pPr>
    </w:p>
    <w:p w:rsidR="00BC7AD5" w:rsidRDefault="00BC7AD5" w:rsidP="00BC7AD5">
      <w:pPr>
        <w:jc w:val="both"/>
        <w:rPr>
          <w:rFonts w:ascii="Times New Roman" w:hAnsi="Times New Roman" w:cs="Times New Roman"/>
          <w:sz w:val="24"/>
          <w:szCs w:val="24"/>
        </w:rPr>
      </w:pPr>
    </w:p>
    <w:p w:rsidR="00BC7AD5" w:rsidRDefault="00BC7AD5" w:rsidP="00BC7AD5">
      <w:pPr>
        <w:jc w:val="both"/>
        <w:rPr>
          <w:rFonts w:ascii="Times New Roman" w:hAnsi="Times New Roman" w:cs="Times New Roman"/>
          <w:sz w:val="24"/>
          <w:szCs w:val="24"/>
        </w:rPr>
      </w:pPr>
    </w:p>
    <w:p w:rsidR="00BC7AD5" w:rsidRDefault="00BC7AD5" w:rsidP="00BC7AD5">
      <w:pPr>
        <w:jc w:val="both"/>
        <w:rPr>
          <w:rFonts w:ascii="Times New Roman" w:hAnsi="Times New Roman" w:cs="Times New Roman"/>
          <w:sz w:val="24"/>
          <w:szCs w:val="24"/>
        </w:rPr>
      </w:pPr>
      <w:bookmarkStart w:id="0" w:name="_GoBack"/>
      <w:bookmarkEnd w:id="0"/>
    </w:p>
    <w:p w:rsidR="00BC7AD5" w:rsidRDefault="00BC7AD5" w:rsidP="00BC7AD5">
      <w:pPr>
        <w:jc w:val="both"/>
        <w:rPr>
          <w:rFonts w:ascii="Times New Roman" w:hAnsi="Times New Roman" w:cs="Times New Roman"/>
          <w:sz w:val="24"/>
          <w:szCs w:val="24"/>
        </w:rPr>
      </w:pPr>
    </w:p>
    <w:p w:rsidR="00BC7AD5" w:rsidRPr="00BC7AD5" w:rsidRDefault="00BC7AD5" w:rsidP="00BC7AD5">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1D29897">
            <wp:extent cx="5547995" cy="99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7995" cy="993775"/>
                    </a:xfrm>
                    <a:prstGeom prst="rect">
                      <a:avLst/>
                    </a:prstGeom>
                    <a:noFill/>
                  </pic:spPr>
                </pic:pic>
              </a:graphicData>
            </a:graphic>
          </wp:inline>
        </w:drawing>
      </w:r>
    </w:p>
    <w:sectPr w:rsidR="00BC7AD5" w:rsidRPr="00BC7A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D5"/>
    <w:rsid w:val="0006724E"/>
    <w:rsid w:val="00BC7A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F1E0C"/>
  <w15:chartTrackingRefBased/>
  <w15:docId w15:val="{9C306F41-0A4D-4AB7-A38C-FD2FFDD0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A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1228</Words>
  <Characters>700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Kuharenoka</dc:creator>
  <cp:keywords/>
  <dc:description/>
  <cp:lastModifiedBy>Sandra Kuharenoka</cp:lastModifiedBy>
  <cp:revision>1</cp:revision>
  <dcterms:created xsi:type="dcterms:W3CDTF">2022-08-25T09:18:00Z</dcterms:created>
  <dcterms:modified xsi:type="dcterms:W3CDTF">2022-08-25T09:21:00Z</dcterms:modified>
</cp:coreProperties>
</file>